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2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229235</wp:posOffset>
            </wp:positionV>
            <wp:extent cx="1191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347" w:lineRule="exact"/>
        <w:rPr>
          <w:sz w:val="24"/>
          <w:szCs w:val="24"/>
          <w:color w:val="auto"/>
        </w:rPr>
      </w:pPr>
    </w:p>
    <w:p>
      <w:pPr>
        <w:jc w:val="center"/>
        <w:ind w:right="80"/>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45085</wp:posOffset>
            </wp:positionV>
            <wp:extent cx="1191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ind w:left="240"/>
        <w:spacing w:after="0"/>
        <w:rPr>
          <w:sz w:val="20"/>
          <w:szCs w:val="20"/>
          <w:color w:val="auto"/>
        </w:rPr>
      </w:pPr>
      <w:r>
        <w:rPr>
          <w:rFonts w:ascii="Arial" w:cs="Arial" w:eastAsia="Arial" w:hAnsi="Arial"/>
          <w:sz w:val="16"/>
          <w:szCs w:val="16"/>
          <w:color w:val="auto"/>
        </w:rPr>
        <w:t>(Mark One)</w:t>
      </w:r>
    </w:p>
    <w:p>
      <w:pPr>
        <w:spacing w:after="0" w:line="206" w:lineRule="exact"/>
        <w:rPr>
          <w:sz w:val="24"/>
          <w:szCs w:val="24"/>
          <w:color w:val="auto"/>
        </w:rPr>
      </w:pPr>
    </w:p>
    <w:p>
      <w:pPr>
        <w:ind w:left="680" w:hanging="449"/>
        <w:spacing w:after="0"/>
        <w:tabs>
          <w:tab w:leader="none" w:pos="680" w:val="left"/>
        </w:tabs>
        <w:numPr>
          <w:ilvl w:val="0"/>
          <w:numId w:val="1"/>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For the quarterly period ended May 30, 2015</w:t>
      </w:r>
    </w:p>
    <w:p>
      <w:pPr>
        <w:spacing w:after="0" w:line="86"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or</w:t>
      </w:r>
    </w:p>
    <w:p>
      <w:pPr>
        <w:spacing w:after="0" w:line="206" w:lineRule="exact"/>
        <w:rPr>
          <w:sz w:val="24"/>
          <w:szCs w:val="24"/>
          <w:color w:val="auto"/>
        </w:rPr>
      </w:pPr>
    </w:p>
    <w:p>
      <w:pPr>
        <w:ind w:left="3020" w:right="2420" w:hanging="2789"/>
        <w:spacing w:after="0" w:line="509" w:lineRule="auto"/>
        <w:tabs>
          <w:tab w:leader="none" w:pos="684" w:val="left"/>
        </w:tabs>
        <w:numPr>
          <w:ilvl w:val="0"/>
          <w:numId w:val="2"/>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TRANSITION REPORT PURSUANT TO SECTION 13 OR 15(d) OF THE SECURITIES EXCHANGE ACT OF 1934 </w:t>
      </w:r>
      <w:r>
        <w:rPr>
          <w:rFonts w:ascii="Arial" w:cs="Arial" w:eastAsia="Arial" w:hAnsi="Arial"/>
          <w:sz w:val="16"/>
          <w:szCs w:val="16"/>
          <w:color w:val="auto"/>
        </w:rPr>
        <w:t>For the transition period from _________________ to _________________</w:t>
      </w:r>
    </w:p>
    <w:p>
      <w:pPr>
        <w:spacing w:after="0" w:line="1" w:lineRule="exact"/>
        <w:rPr>
          <w:rFonts w:ascii="Times New Roman" w:cs="Times New Roman" w:eastAsia="Times New Roman" w:hAnsi="Times New Roman"/>
          <w:sz w:val="16"/>
          <w:szCs w:val="16"/>
          <w:color w:val="auto"/>
        </w:rPr>
      </w:pPr>
    </w:p>
    <w:p>
      <w:pPr>
        <w:ind w:left="4380"/>
        <w:spacing w:after="0"/>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001-06403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1994535</wp:posOffset>
            </wp:positionH>
            <wp:positionV relativeFrom="paragraph">
              <wp:posOffset>144780</wp:posOffset>
            </wp:positionV>
            <wp:extent cx="3267075" cy="462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6707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WINNEBAGO INDUSTRIES, INC.</w:t>
      </w:r>
    </w:p>
    <w:p>
      <w:pPr>
        <w:spacing w:after="0" w:line="91"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(Exact name of registrant as specified in its charter)</w:t>
      </w:r>
    </w:p>
    <w:p>
      <w:pPr>
        <w:spacing w:after="0" w:line="216" w:lineRule="exact"/>
        <w:rPr>
          <w:sz w:val="24"/>
          <w:szCs w:val="24"/>
          <w:color w:val="auto"/>
        </w:rPr>
      </w:pPr>
    </w:p>
    <w:tbl>
      <w:tblPr>
        <w:tblLayout w:type="fixed"/>
        <w:tblInd w:w="1020" w:type="dxa"/>
        <w:tblCellMar>
          <w:top w:w="0" w:type="dxa"/>
          <w:left w:w="0" w:type="dxa"/>
          <w:bottom w:w="0" w:type="dxa"/>
          <w:right w:w="0" w:type="dxa"/>
        </w:tblCellMar>
      </w:tblPr>
      <w:tr>
        <w:trPr>
          <w:trHeight w:val="232"/>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Iowa</w:t>
            </w:r>
          </w:p>
        </w:tc>
        <w:tc>
          <w:tcPr>
            <w:tcW w:w="760" w:type="dxa"/>
            <w:vAlign w:val="bottom"/>
          </w:tcPr>
          <w:p>
            <w:pPr>
              <w:spacing w:after="0"/>
              <w:rPr>
                <w:sz w:val="20"/>
                <w:szCs w:val="20"/>
                <w:color w:val="auto"/>
              </w:rPr>
            </w:pPr>
          </w:p>
        </w:tc>
        <w:tc>
          <w:tcPr>
            <w:tcW w:w="4340" w:type="dxa"/>
            <w:vAlign w:val="bottom"/>
            <w:tcBorders>
              <w:bottom w:val="single" w:sz="8" w:color="auto"/>
            </w:tcBorders>
          </w:tcPr>
          <w:p>
            <w:pPr>
              <w:jc w:val="right"/>
              <w:ind w:right="1659"/>
              <w:spacing w:after="0"/>
              <w:rPr>
                <w:sz w:val="20"/>
                <w:szCs w:val="20"/>
                <w:color w:val="auto"/>
              </w:rPr>
            </w:pPr>
            <w:r>
              <w:rPr>
                <w:rFonts w:ascii="Arial" w:cs="Arial" w:eastAsia="Arial" w:hAnsi="Arial"/>
                <w:sz w:val="16"/>
                <w:szCs w:val="16"/>
                <w:b w:val="1"/>
                <w:bCs w:val="1"/>
                <w:color w:val="auto"/>
              </w:rPr>
              <w:t>42-0802678</w:t>
            </w:r>
          </w:p>
        </w:tc>
      </w:tr>
      <w:tr>
        <w:trPr>
          <w:trHeight w:val="238"/>
        </w:trPr>
        <w:tc>
          <w:tcPr>
            <w:tcW w:w="5060" w:type="dxa"/>
            <w:vAlign w:val="bottom"/>
            <w:gridSpan w:val="2"/>
          </w:tcPr>
          <w:p>
            <w:pPr>
              <w:ind w:left="20"/>
              <w:spacing w:after="0"/>
              <w:rPr>
                <w:sz w:val="20"/>
                <w:szCs w:val="20"/>
                <w:color w:val="auto"/>
              </w:rPr>
            </w:pPr>
            <w:r>
              <w:rPr>
                <w:rFonts w:ascii="Arial" w:cs="Arial" w:eastAsia="Arial" w:hAnsi="Arial"/>
                <w:sz w:val="16"/>
                <w:szCs w:val="16"/>
                <w:color w:val="auto"/>
              </w:rPr>
              <w:t>(State or other jurisdiction of incorporation or organization)</w:t>
            </w:r>
          </w:p>
        </w:tc>
        <w:tc>
          <w:tcPr>
            <w:tcW w:w="4340" w:type="dxa"/>
            <w:vAlign w:val="bottom"/>
          </w:tcPr>
          <w:p>
            <w:pPr>
              <w:jc w:val="center"/>
              <w:spacing w:after="0"/>
              <w:rPr>
                <w:sz w:val="20"/>
                <w:szCs w:val="20"/>
                <w:color w:val="auto"/>
              </w:rPr>
            </w:pPr>
            <w:r>
              <w:rPr>
                <w:rFonts w:ascii="Arial" w:cs="Arial" w:eastAsia="Arial" w:hAnsi="Arial"/>
                <w:sz w:val="16"/>
                <w:szCs w:val="16"/>
                <w:color w:val="auto"/>
              </w:rPr>
              <w:t>(I.R.S. Employer Identification No.)</w:t>
            </w:r>
          </w:p>
        </w:tc>
      </w:tr>
      <w:tr>
        <w:trPr>
          <w:trHeight w:val="579"/>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P. O. Box 152, Forest City, Iowa</w:t>
            </w:r>
          </w:p>
        </w:tc>
        <w:tc>
          <w:tcPr>
            <w:tcW w:w="760" w:type="dxa"/>
            <w:vAlign w:val="bottom"/>
          </w:tcPr>
          <w:p>
            <w:pPr>
              <w:spacing w:after="0"/>
              <w:rPr>
                <w:sz w:val="24"/>
                <w:szCs w:val="24"/>
                <w:color w:val="auto"/>
              </w:rPr>
            </w:pPr>
          </w:p>
        </w:tc>
        <w:tc>
          <w:tcPr>
            <w:tcW w:w="4340" w:type="dxa"/>
            <w:vAlign w:val="bottom"/>
            <w:tcBorders>
              <w:bottom w:val="single" w:sz="8" w:color="auto"/>
            </w:tcBorders>
          </w:tcPr>
          <w:p>
            <w:pPr>
              <w:jc w:val="right"/>
              <w:ind w:right="1879"/>
              <w:spacing w:after="0"/>
              <w:rPr>
                <w:sz w:val="20"/>
                <w:szCs w:val="20"/>
                <w:color w:val="auto"/>
              </w:rPr>
            </w:pPr>
            <w:r>
              <w:rPr>
                <w:rFonts w:ascii="Arial" w:cs="Arial" w:eastAsia="Arial" w:hAnsi="Arial"/>
                <w:sz w:val="16"/>
                <w:szCs w:val="16"/>
                <w:b w:val="1"/>
                <w:bCs w:val="1"/>
                <w:color w:val="auto"/>
              </w:rPr>
              <w:t>50436</w:t>
            </w:r>
          </w:p>
        </w:tc>
      </w:tr>
      <w:tr>
        <w:trPr>
          <w:trHeight w:val="238"/>
        </w:trPr>
        <w:tc>
          <w:tcPr>
            <w:tcW w:w="5060" w:type="dxa"/>
            <w:vAlign w:val="bottom"/>
            <w:gridSpan w:val="2"/>
          </w:tcPr>
          <w:p>
            <w:pPr>
              <w:jc w:val="center"/>
              <w:ind w:right="760"/>
              <w:spacing w:after="0"/>
              <w:rPr>
                <w:sz w:val="20"/>
                <w:szCs w:val="20"/>
                <w:color w:val="auto"/>
              </w:rPr>
            </w:pPr>
            <w:r>
              <w:rPr>
                <w:rFonts w:ascii="Arial" w:cs="Arial" w:eastAsia="Arial" w:hAnsi="Arial"/>
                <w:sz w:val="16"/>
                <w:szCs w:val="16"/>
                <w:color w:val="auto"/>
              </w:rPr>
              <w:t>(Address of principal executive offices)</w:t>
            </w:r>
          </w:p>
        </w:tc>
        <w:tc>
          <w:tcPr>
            <w:tcW w:w="4340" w:type="dxa"/>
            <w:vAlign w:val="bottom"/>
          </w:tcPr>
          <w:p>
            <w:pPr>
              <w:jc w:val="center"/>
              <w:spacing w:after="0"/>
              <w:rPr>
                <w:sz w:val="20"/>
                <w:szCs w:val="20"/>
                <w:color w:val="auto"/>
              </w:rPr>
            </w:pPr>
            <w:r>
              <w:rPr>
                <w:rFonts w:ascii="Arial" w:cs="Arial" w:eastAsia="Arial" w:hAnsi="Arial"/>
                <w:sz w:val="16"/>
                <w:szCs w:val="16"/>
                <w:color w:val="auto"/>
              </w:rPr>
              <w:t>(Zip Code)</w:t>
            </w:r>
          </w:p>
        </w:tc>
      </w:tr>
    </w:tbl>
    <w:p>
      <w:pPr>
        <w:spacing w:after="0" w:line="32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(641) 585-3535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2414905</wp:posOffset>
            </wp:positionH>
            <wp:positionV relativeFrom="paragraph">
              <wp:posOffset>33020</wp:posOffset>
            </wp:positionV>
            <wp:extent cx="2418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41"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(Registrant's telephone number, including area code)</w:t>
      </w:r>
    </w:p>
    <w:p>
      <w:pPr>
        <w:spacing w:after="0" w:line="200" w:lineRule="exact"/>
        <w:rPr>
          <w:sz w:val="24"/>
          <w:szCs w:val="24"/>
          <w:color w:val="auto"/>
        </w:rPr>
      </w:pPr>
    </w:p>
    <w:p>
      <w:pPr>
        <w:spacing w:after="0" w:line="291" w:lineRule="exact"/>
        <w:rPr>
          <w:sz w:val="24"/>
          <w:szCs w:val="24"/>
          <w:color w:val="auto"/>
        </w:rPr>
      </w:pPr>
    </w:p>
    <w:p>
      <w:pPr>
        <w:jc w:val="both"/>
        <w:ind w:right="120"/>
        <w:spacing w:after="0" w:line="268" w:lineRule="auto"/>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 w:cs="Times New Roman" w:eastAsia="Times New Roman" w:hAnsi="Times New Roman"/>
          <w:sz w:val="16"/>
          <w:szCs w:val="16"/>
          <w:color w:val="auto"/>
        </w:rPr>
        <w:t>x</w:t>
      </w:r>
      <w:r>
        <w:rPr>
          <w:rFonts w:ascii="Arial" w:cs="Arial" w:eastAsia="Arial" w:hAnsi="Arial"/>
          <w:sz w:val="16"/>
          <w:szCs w:val="16"/>
          <w:color w:val="auto"/>
        </w:rPr>
        <w:t xml:space="preserve"> No </w:t>
      </w:r>
      <w:r>
        <w:rPr>
          <w:rFonts w:ascii="Times New Roman" w:cs="Times New Roman" w:eastAsia="Times New Roman" w:hAnsi="Times New Roman"/>
          <w:sz w:val="16"/>
          <w:szCs w:val="16"/>
          <w:color w:val="auto"/>
        </w:rPr>
        <w:t>o</w:t>
      </w:r>
    </w:p>
    <w:p>
      <w:pPr>
        <w:spacing w:after="0" w:line="220" w:lineRule="exact"/>
        <w:rPr>
          <w:sz w:val="24"/>
          <w:szCs w:val="24"/>
          <w:color w:val="auto"/>
        </w:rPr>
      </w:pPr>
    </w:p>
    <w:p>
      <w:pPr>
        <w:spacing w:after="0" w:line="268" w:lineRule="auto"/>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Times New Roman" w:cs="Times New Roman" w:eastAsia="Times New Roman" w:hAnsi="Times New Roman"/>
          <w:sz w:val="16"/>
          <w:szCs w:val="16"/>
          <w:color w:val="auto"/>
        </w:rPr>
        <w:t>x</w:t>
      </w:r>
      <w:r>
        <w:rPr>
          <w:rFonts w:ascii="Arial" w:cs="Arial" w:eastAsia="Arial" w:hAnsi="Arial"/>
          <w:sz w:val="16"/>
          <w:szCs w:val="16"/>
          <w:color w:val="auto"/>
        </w:rPr>
        <w:t xml:space="preserve"> No </w:t>
      </w:r>
      <w:r>
        <w:rPr>
          <w:rFonts w:ascii="Times New Roman" w:cs="Times New Roman" w:eastAsia="Times New Roman" w:hAnsi="Times New Roman"/>
          <w:sz w:val="16"/>
          <w:szCs w:val="16"/>
          <w:color w:val="auto"/>
        </w:rPr>
        <w:t>o</w:t>
      </w:r>
    </w:p>
    <w:p>
      <w:pPr>
        <w:spacing w:after="0" w:line="220" w:lineRule="exact"/>
        <w:rPr>
          <w:sz w:val="24"/>
          <w:szCs w:val="24"/>
          <w:color w:val="auto"/>
        </w:rPr>
      </w:pPr>
    </w:p>
    <w:p>
      <w:pPr>
        <w:ind w:right="180"/>
        <w:spacing w:after="0" w:line="29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07" w:lineRule="exact"/>
        <w:rPr>
          <w:sz w:val="24"/>
          <w:szCs w:val="24"/>
          <w:color w:val="auto"/>
        </w:rPr>
      </w:pPr>
    </w:p>
    <w:p>
      <w:pPr>
        <w:ind w:left="40"/>
        <w:spacing w:after="0"/>
        <w:tabs>
          <w:tab w:leader="none" w:pos="2240" w:val="left"/>
          <w:tab w:leader="none" w:pos="4540" w:val="left"/>
          <w:tab w:leader="none" w:pos="6780" w:val="left"/>
        </w:tabs>
        <w:rPr>
          <w:sz w:val="20"/>
          <w:szCs w:val="20"/>
          <w:color w:val="auto"/>
        </w:rPr>
      </w:pPr>
      <w:r>
        <w:rPr>
          <w:rFonts w:ascii="Arial" w:cs="Arial" w:eastAsia="Arial" w:hAnsi="Arial"/>
          <w:sz w:val="16"/>
          <w:szCs w:val="16"/>
          <w:color w:val="auto"/>
        </w:rPr>
        <w:t xml:space="preserve">Large accelerated filer </w:t>
      </w:r>
      <w:r>
        <w:rPr>
          <w:rFonts w:ascii="Times New Roman" w:cs="Times New Roman" w:eastAsia="Times New Roman" w:hAnsi="Times New Roman"/>
          <w:sz w:val="18"/>
          <w:szCs w:val="18"/>
          <w:color w:val="auto"/>
        </w:rPr>
        <w:t>o</w:t>
      </w:r>
      <w:r>
        <w:rPr>
          <w:sz w:val="20"/>
          <w:szCs w:val="20"/>
          <w:color w:val="auto"/>
        </w:rPr>
        <w:tab/>
      </w:r>
      <w:r>
        <w:rPr>
          <w:rFonts w:ascii="Arial" w:cs="Arial" w:eastAsia="Arial" w:hAnsi="Arial"/>
          <w:sz w:val="16"/>
          <w:szCs w:val="16"/>
          <w:color w:val="auto"/>
        </w:rPr>
        <w:t xml:space="preserve">Accelerated filer </w:t>
      </w:r>
      <w:r>
        <w:rPr>
          <w:rFonts w:ascii="Times New Roman" w:cs="Times New Roman" w:eastAsia="Times New Roman" w:hAnsi="Times New Roman"/>
          <w:sz w:val="18"/>
          <w:szCs w:val="18"/>
          <w:color w:val="auto"/>
        </w:rPr>
        <w:t>x</w:t>
      </w:r>
      <w:r>
        <w:rPr>
          <w:sz w:val="20"/>
          <w:szCs w:val="20"/>
          <w:color w:val="auto"/>
        </w:rPr>
        <w:tab/>
      </w:r>
      <w:r>
        <w:rPr>
          <w:rFonts w:ascii="Arial" w:cs="Arial" w:eastAsia="Arial" w:hAnsi="Arial"/>
          <w:sz w:val="16"/>
          <w:szCs w:val="16"/>
          <w:color w:val="auto"/>
        </w:rPr>
        <w:t xml:space="preserve">Non-accelerated filer </w:t>
      </w:r>
      <w:r>
        <w:rPr>
          <w:rFonts w:ascii="Times New Roman" w:cs="Times New Roman" w:eastAsia="Times New Roman" w:hAnsi="Times New Roman"/>
          <w:sz w:val="18"/>
          <w:szCs w:val="18"/>
          <w:color w:val="auto"/>
        </w:rPr>
        <w:t>o</w:t>
      </w:r>
      <w:r>
        <w:rPr>
          <w:sz w:val="20"/>
          <w:szCs w:val="20"/>
          <w:color w:val="auto"/>
        </w:rPr>
        <w:tab/>
      </w:r>
      <w:r>
        <w:rPr>
          <w:rFonts w:ascii="Arial" w:cs="Arial" w:eastAsia="Arial" w:hAnsi="Arial"/>
          <w:sz w:val="16"/>
          <w:szCs w:val="16"/>
          <w:color w:val="auto"/>
        </w:rPr>
        <w:t xml:space="preserve">Smaller Reporting Company </w:t>
      </w:r>
      <w:r>
        <w:rPr>
          <w:rFonts w:ascii="Times New Roman" w:cs="Times New Roman" w:eastAsia="Times New Roman" w:hAnsi="Times New Roman"/>
          <w:sz w:val="18"/>
          <w:szCs w:val="18"/>
          <w:color w:val="auto"/>
        </w:rPr>
        <w:t>o</w:t>
      </w:r>
    </w:p>
    <w:p>
      <w:pPr>
        <w:spacing w:after="0" w:line="238" w:lineRule="exact"/>
        <w:rPr>
          <w:sz w:val="24"/>
          <w:szCs w:val="24"/>
          <w:color w:val="auto"/>
        </w:rPr>
      </w:pPr>
    </w:p>
    <w:p>
      <w:pPr>
        <w:ind w:right="2480"/>
        <w:spacing w:after="0" w:line="502" w:lineRule="auto"/>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Times New Roman" w:cs="Times New Roman" w:eastAsia="Times New Roman" w:hAnsi="Times New Roman"/>
          <w:sz w:val="16"/>
          <w:szCs w:val="16"/>
          <w:color w:val="auto"/>
        </w:rPr>
        <w:t>o</w:t>
      </w:r>
      <w:r>
        <w:rPr>
          <w:rFonts w:ascii="Arial" w:cs="Arial" w:eastAsia="Arial" w:hAnsi="Arial"/>
          <w:sz w:val="16"/>
          <w:szCs w:val="16"/>
          <w:color w:val="auto"/>
        </w:rPr>
        <w:t xml:space="preserve"> No </w:t>
      </w:r>
      <w:r>
        <w:rPr>
          <w:rFonts w:ascii="Times New Roman" w:cs="Times New Roman" w:eastAsia="Times New Roman" w:hAnsi="Times New Roman"/>
          <w:sz w:val="16"/>
          <w:szCs w:val="16"/>
          <w:color w:val="auto"/>
        </w:rPr>
        <w:t>x</w:t>
      </w:r>
      <w:r>
        <w:rPr>
          <w:rFonts w:ascii="Arial" w:cs="Arial" w:eastAsia="Arial" w:hAnsi="Arial"/>
          <w:sz w:val="16"/>
          <w:szCs w:val="16"/>
          <w:color w:val="auto"/>
        </w:rPr>
        <w:t xml:space="preserve"> The number of shares of common stock, par value $0.50 per share, outstanding June 25, 2015 was 26,933,852.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94"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7"/>
        </w:trPr>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20" w:type="dxa"/>
            <w:vAlign w:val="bottom"/>
            <w:gridSpan w:val="8"/>
          </w:tcPr>
          <w:p>
            <w:pPr>
              <w:jc w:val="center"/>
              <w:ind w:right="760"/>
              <w:spacing w:after="0"/>
              <w:rPr>
                <w:sz w:val="20"/>
                <w:szCs w:val="20"/>
                <w:color w:val="auto"/>
              </w:rPr>
            </w:pPr>
            <w:r>
              <w:rPr>
                <w:rFonts w:ascii="Arial" w:cs="Arial" w:eastAsia="Arial" w:hAnsi="Arial"/>
                <w:sz w:val="22"/>
                <w:szCs w:val="22"/>
                <w:b w:val="1"/>
                <w:bCs w:val="1"/>
                <w:color w:val="auto"/>
                <w:w w:val="97"/>
              </w:rPr>
              <w:t>Winnebago Industries, Inc.</w:t>
            </w:r>
          </w:p>
        </w:tc>
      </w:tr>
      <w:tr>
        <w:trPr>
          <w:trHeight w:val="306"/>
        </w:trPr>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560" w:type="dxa"/>
            <w:vAlign w:val="bottom"/>
            <w:gridSpan w:val="7"/>
          </w:tcPr>
          <w:p>
            <w:pPr>
              <w:jc w:val="center"/>
              <w:ind w:right="820"/>
              <w:spacing w:after="0"/>
              <w:rPr>
                <w:sz w:val="20"/>
                <w:szCs w:val="20"/>
                <w:color w:val="auto"/>
              </w:rPr>
            </w:pPr>
            <w:r>
              <w:rPr>
                <w:rFonts w:ascii="Arial" w:cs="Arial" w:eastAsia="Arial" w:hAnsi="Arial"/>
                <w:sz w:val="22"/>
                <w:szCs w:val="22"/>
                <w:b w:val="1"/>
                <w:bCs w:val="1"/>
                <w:color w:val="auto"/>
                <w:w w:val="97"/>
              </w:rPr>
              <w:t>Table of Contents</w:t>
            </w:r>
          </w:p>
        </w:tc>
      </w:tr>
      <w:tr>
        <w:trPr>
          <w:trHeight w:val="514"/>
        </w:trPr>
        <w:tc>
          <w:tcPr>
            <w:tcW w:w="640" w:type="dxa"/>
            <w:vAlign w:val="bottom"/>
            <w:tcBorders>
              <w:bottom w:val="single" w:sz="8" w:color="0000EE"/>
            </w:tcBorders>
            <w:gridSpan w:val="3"/>
          </w:tcPr>
          <w:p>
            <w:pPr>
              <w:spacing w:after="0"/>
              <w:rPr>
                <w:rFonts w:ascii="Arial" w:cs="Arial" w:eastAsia="Arial" w:hAnsi="Arial"/>
                <w:sz w:val="16"/>
                <w:szCs w:val="16"/>
                <w:color w:val="0000EE"/>
                <w:w w:val="98"/>
              </w:rPr>
            </w:pPr>
            <w:hyperlink w:anchor="page2">
              <w:r>
                <w:rPr>
                  <w:rFonts w:ascii="Arial" w:cs="Arial" w:eastAsia="Arial" w:hAnsi="Arial"/>
                  <w:sz w:val="16"/>
                  <w:szCs w:val="16"/>
                  <w:color w:val="0000EE"/>
                  <w:w w:val="98"/>
                </w:rPr>
                <w:t>Glossary</w:t>
              </w:r>
            </w:hyperlink>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520"/>
        </w:trPr>
        <w:tc>
          <w:tcPr>
            <w:tcW w:w="520" w:type="dxa"/>
            <w:vAlign w:val="bottom"/>
          </w:tcPr>
          <w:p>
            <w:pPr>
              <w:spacing w:after="0"/>
              <w:rPr>
                <w:sz w:val="20"/>
                <w:szCs w:val="20"/>
                <w:color w:val="auto"/>
              </w:rPr>
            </w:pPr>
            <w:r>
              <w:rPr>
                <w:rFonts w:ascii="Arial" w:cs="Arial" w:eastAsia="Arial" w:hAnsi="Arial"/>
                <w:sz w:val="16"/>
                <w:szCs w:val="16"/>
                <w:b w:val="1"/>
                <w:bCs w:val="1"/>
                <w:color w:val="0000EE"/>
                <w:w w:val="95"/>
              </w:rPr>
              <w:t>PART I</w:t>
            </w:r>
          </w:p>
        </w:tc>
        <w:tc>
          <w:tcPr>
            <w:tcW w:w="12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6940" w:type="dxa"/>
            <w:vAlign w:val="bottom"/>
            <w:gridSpan w:val="30"/>
          </w:tcPr>
          <w:p>
            <w:pPr>
              <w:spacing w:after="0"/>
              <w:rPr>
                <w:rFonts w:ascii="Arial" w:cs="Arial" w:eastAsia="Arial" w:hAnsi="Arial"/>
                <w:sz w:val="16"/>
                <w:szCs w:val="16"/>
                <w:b w:val="1"/>
                <w:bCs w:val="1"/>
                <w:color w:val="0000EE"/>
              </w:rPr>
            </w:pPr>
            <w:hyperlink w:anchor="page3">
              <w:r>
                <w:rPr>
                  <w:rFonts w:ascii="Arial" w:cs="Arial" w:eastAsia="Arial" w:hAnsi="Arial"/>
                  <w:sz w:val="16"/>
                  <w:szCs w:val="16"/>
                  <w:b w:val="1"/>
                  <w:bCs w:val="1"/>
                  <w:color w:val="0000EE"/>
                </w:rPr>
                <w:t>FINANCIAL INFORMATION</w:t>
              </w:r>
            </w:hyperlink>
          </w:p>
        </w:tc>
      </w:tr>
      <w:tr>
        <w:trPr>
          <w:trHeight w:val="20"/>
        </w:trPr>
        <w:tc>
          <w:tcPr>
            <w:tcW w:w="5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23"/>
        </w:trPr>
        <w:tc>
          <w:tcPr>
            <w:tcW w:w="520" w:type="dxa"/>
            <w:vAlign w:val="bottom"/>
          </w:tcPr>
          <w:p>
            <w:pPr>
              <w:spacing w:after="0"/>
              <w:rPr>
                <w:sz w:val="20"/>
                <w:szCs w:val="20"/>
                <w:color w:val="auto"/>
              </w:rPr>
            </w:pPr>
            <w:r>
              <w:rPr>
                <w:rFonts w:ascii="Arial" w:cs="Arial" w:eastAsia="Arial" w:hAnsi="Arial"/>
                <w:sz w:val="16"/>
                <w:szCs w:val="16"/>
                <w:color w:val="auto"/>
              </w:rPr>
              <w:t>Item 1.</w:t>
            </w:r>
          </w:p>
        </w:tc>
        <w:tc>
          <w:tcPr>
            <w:tcW w:w="120" w:type="dxa"/>
            <w:vAlign w:val="bottom"/>
            <w:gridSpan w:val="2"/>
          </w:tcPr>
          <w:p>
            <w:pPr>
              <w:spacing w:after="0"/>
              <w:rPr>
                <w:sz w:val="19"/>
                <w:szCs w:val="19"/>
                <w:color w:val="auto"/>
              </w:rPr>
            </w:pPr>
          </w:p>
        </w:tc>
        <w:tc>
          <w:tcPr>
            <w:tcW w:w="280" w:type="dxa"/>
            <w:vAlign w:val="bottom"/>
          </w:tcPr>
          <w:p>
            <w:pPr>
              <w:spacing w:after="0"/>
              <w:rPr>
                <w:sz w:val="19"/>
                <w:szCs w:val="19"/>
                <w:color w:val="auto"/>
              </w:rPr>
            </w:pPr>
          </w:p>
        </w:tc>
        <w:tc>
          <w:tcPr>
            <w:tcW w:w="6940" w:type="dxa"/>
            <w:vAlign w:val="bottom"/>
            <w:gridSpan w:val="30"/>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Condensed Financial Statements (Unaudited</w:t>
              </w:r>
            </w:hyperlink>
            <w:r>
              <w:rPr>
                <w:rFonts w:ascii="Arial" w:cs="Arial" w:eastAsia="Arial" w:hAnsi="Arial"/>
                <w:sz w:val="16"/>
                <w:szCs w:val="16"/>
                <w:color w:val="000000"/>
              </w:rPr>
              <w:t>)</w:t>
            </w: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40" w:type="dxa"/>
            <w:vAlign w:val="bottom"/>
            <w:tcBorders>
              <w:bottom w:val="single" w:sz="8" w:color="0000EE"/>
            </w:tcBorders>
            <w:gridSpan w:val="27"/>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Consolidated Statements of Income and Comprehensive Income</w:t>
              </w:r>
            </w:hyperlink>
          </w:p>
        </w:tc>
        <w:tc>
          <w:tcPr>
            <w:tcW w:w="2060" w:type="dxa"/>
            <w:vAlign w:val="bottom"/>
            <w:gridSpan w:val="2"/>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700" w:type="dxa"/>
            <w:vAlign w:val="bottom"/>
            <w:gridSpan w:val="29"/>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Consolidated Balance Sheets</w:t>
              </w:r>
            </w:hyperlink>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80" w:type="dxa"/>
            <w:vAlign w:val="bottom"/>
            <w:tcBorders>
              <w:bottom w:val="single" w:sz="8" w:color="0000EE"/>
            </w:tcBorders>
            <w:gridSpan w:val="18"/>
          </w:tcPr>
          <w:p>
            <w:pPr>
              <w:spacing w:after="0"/>
              <w:rPr>
                <w:rFonts w:ascii="Arial" w:cs="Arial" w:eastAsia="Arial" w:hAnsi="Arial"/>
                <w:sz w:val="16"/>
                <w:szCs w:val="16"/>
                <w:color w:val="0000EE"/>
              </w:rPr>
            </w:pPr>
            <w:hyperlink w:anchor="page5">
              <w:r>
                <w:rPr>
                  <w:rFonts w:ascii="Arial" w:cs="Arial" w:eastAsia="Arial" w:hAnsi="Arial"/>
                  <w:sz w:val="16"/>
                  <w:szCs w:val="16"/>
                  <w:color w:val="0000EE"/>
                </w:rPr>
                <w:t>Consolidated Statements of Cash Flows</w:t>
              </w:r>
            </w:hyperlink>
          </w:p>
        </w:tc>
        <w:tc>
          <w:tcPr>
            <w:tcW w:w="3820" w:type="dxa"/>
            <w:vAlign w:val="bottom"/>
            <w:gridSpan w:val="11"/>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700" w:type="dxa"/>
            <w:vAlign w:val="bottom"/>
            <w:gridSpan w:val="29"/>
          </w:tcPr>
          <w:p>
            <w:pPr>
              <w:spacing w:after="0"/>
              <w:rPr>
                <w:rFonts w:ascii="Arial" w:cs="Arial" w:eastAsia="Arial" w:hAnsi="Arial"/>
                <w:sz w:val="16"/>
                <w:szCs w:val="16"/>
                <w:color w:val="0000EE"/>
              </w:rPr>
            </w:pPr>
            <w:hyperlink w:anchor="page6">
              <w:r>
                <w:rPr>
                  <w:rFonts w:ascii="Arial" w:cs="Arial" w:eastAsia="Arial" w:hAnsi="Arial"/>
                  <w:sz w:val="16"/>
                  <w:szCs w:val="16"/>
                  <w:color w:val="0000EE"/>
                </w:rPr>
                <w:t>Notes to Consolidated Financial Statements</w:t>
              </w:r>
            </w:hyperlink>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2100" w:type="dxa"/>
            <w:vAlign w:val="bottom"/>
            <w:tcBorders>
              <w:top w:val="single" w:sz="8" w:color="0000EE"/>
              <w:bottom w:val="single" w:sz="8" w:color="0000EE"/>
            </w:tcBorders>
            <w:gridSpan w:val="15"/>
          </w:tcPr>
          <w:p>
            <w:pPr>
              <w:spacing w:after="0"/>
              <w:rPr>
                <w:rFonts w:ascii="Arial" w:cs="Arial" w:eastAsia="Arial" w:hAnsi="Arial"/>
                <w:sz w:val="16"/>
                <w:szCs w:val="16"/>
                <w:color w:val="0000EE"/>
              </w:rPr>
            </w:pPr>
            <w:hyperlink w:anchor="page7">
              <w:r>
                <w:rPr>
                  <w:rFonts w:ascii="Arial" w:cs="Arial" w:eastAsia="Arial" w:hAnsi="Arial"/>
                  <w:sz w:val="16"/>
                  <w:szCs w:val="16"/>
                  <w:color w:val="0000EE"/>
                </w:rPr>
                <w:t>Note 1: Basis of Presentation</w:t>
              </w:r>
            </w:hyperlink>
          </w:p>
        </w:tc>
        <w:tc>
          <w:tcPr>
            <w:tcW w:w="820" w:type="dxa"/>
            <w:vAlign w:val="bottom"/>
            <w:tcBorders>
              <w:top w:val="single" w:sz="8" w:color="0000EE"/>
            </w:tcBorders>
            <w:gridSpan w:val="6"/>
          </w:tcPr>
          <w:p>
            <w:pPr>
              <w:spacing w:after="0"/>
              <w:rPr>
                <w:sz w:val="21"/>
                <w:szCs w:val="21"/>
                <w:color w:val="auto"/>
              </w:rPr>
            </w:pPr>
          </w:p>
        </w:tc>
        <w:tc>
          <w:tcPr>
            <w:tcW w:w="3560" w:type="dxa"/>
            <w:vAlign w:val="bottom"/>
            <w:gridSpan w:val="7"/>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80" w:type="dxa"/>
            <w:vAlign w:val="bottom"/>
            <w:gridSpan w:val="28"/>
          </w:tcPr>
          <w:p>
            <w:pPr>
              <w:spacing w:after="0"/>
              <w:rPr>
                <w:rFonts w:ascii="Arial" w:cs="Arial" w:eastAsia="Arial" w:hAnsi="Arial"/>
                <w:sz w:val="16"/>
                <w:szCs w:val="16"/>
                <w:color w:val="0000EE"/>
              </w:rPr>
            </w:pPr>
            <w:hyperlink w:anchor="page7">
              <w:r>
                <w:rPr>
                  <w:rFonts w:ascii="Arial" w:cs="Arial" w:eastAsia="Arial" w:hAnsi="Arial"/>
                  <w:sz w:val="16"/>
                  <w:szCs w:val="16"/>
                  <w:color w:val="0000EE"/>
                </w:rPr>
                <w:t>Note 2: Concentration Risk</w:t>
              </w:r>
            </w:hyperlink>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40" w:type="dxa"/>
            <w:vAlign w:val="bottom"/>
            <w:tcBorders>
              <w:bottom w:val="single" w:sz="8" w:color="0000EE"/>
            </w:tcBorders>
            <w:gridSpan w:val="23"/>
          </w:tcPr>
          <w:p>
            <w:pPr>
              <w:spacing w:after="0"/>
              <w:rPr>
                <w:rFonts w:ascii="Arial" w:cs="Arial" w:eastAsia="Arial" w:hAnsi="Arial"/>
                <w:sz w:val="16"/>
                <w:szCs w:val="16"/>
                <w:color w:val="0000EE"/>
              </w:rPr>
            </w:pPr>
            <w:hyperlink w:anchor="page7">
              <w:r>
                <w:rPr>
                  <w:rFonts w:ascii="Arial" w:cs="Arial" w:eastAsia="Arial" w:hAnsi="Arial"/>
                  <w:sz w:val="16"/>
                  <w:szCs w:val="16"/>
                  <w:color w:val="0000EE"/>
                </w:rPr>
                <w:t>Note 3: Investments and Fair Value Measurements</w:t>
              </w:r>
            </w:hyperlink>
          </w:p>
        </w:tc>
        <w:tc>
          <w:tcPr>
            <w:tcW w:w="2840" w:type="dxa"/>
            <w:vAlign w:val="bottom"/>
            <w:gridSpan w:val="5"/>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Borders>
              <w:bottom w:val="single" w:sz="8" w:color="0000EE"/>
            </w:tcBorders>
            <w:gridSpan w:val="7"/>
          </w:tcPr>
          <w:p>
            <w:pPr>
              <w:spacing w:after="0"/>
              <w:rPr>
                <w:rFonts w:ascii="Arial" w:cs="Arial" w:eastAsia="Arial" w:hAnsi="Arial"/>
                <w:sz w:val="16"/>
                <w:szCs w:val="16"/>
                <w:color w:val="0000EE"/>
                <w:w w:val="99"/>
              </w:rPr>
            </w:pPr>
            <w:hyperlink w:anchor="page8">
              <w:r>
                <w:rPr>
                  <w:rFonts w:ascii="Arial" w:cs="Arial" w:eastAsia="Arial" w:hAnsi="Arial"/>
                  <w:sz w:val="16"/>
                  <w:szCs w:val="16"/>
                  <w:color w:val="0000EE"/>
                  <w:w w:val="99"/>
                </w:rPr>
                <w:t>Note 4: Inventories</w:t>
              </w:r>
            </w:hyperlink>
          </w:p>
        </w:tc>
        <w:tc>
          <w:tcPr>
            <w:tcW w:w="5120" w:type="dxa"/>
            <w:vAlign w:val="bottom"/>
            <w:gridSpan w:val="21"/>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80" w:type="dxa"/>
            <w:vAlign w:val="bottom"/>
            <w:tcBorders>
              <w:bottom w:val="single" w:sz="8" w:color="0000EE"/>
            </w:tcBorders>
            <w:gridSpan w:val="28"/>
          </w:tcPr>
          <w:p>
            <w:pPr>
              <w:spacing w:after="0"/>
              <w:rPr>
                <w:rFonts w:ascii="Arial" w:cs="Arial" w:eastAsia="Arial" w:hAnsi="Arial"/>
                <w:sz w:val="16"/>
                <w:szCs w:val="16"/>
                <w:color w:val="0000EE"/>
              </w:rPr>
            </w:pPr>
            <w:hyperlink w:anchor="page9">
              <w:r>
                <w:rPr>
                  <w:rFonts w:ascii="Arial" w:cs="Arial" w:eastAsia="Arial" w:hAnsi="Arial"/>
                  <w:sz w:val="16"/>
                  <w:szCs w:val="16"/>
                  <w:color w:val="0000EE"/>
                </w:rPr>
                <w:t>Note 5: Net Investment in Operating Leases and Operating Lease Repurchase Obligations</w:t>
              </w:r>
            </w:hyperlink>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780" w:type="dxa"/>
            <w:vAlign w:val="bottom"/>
            <w:tcBorders>
              <w:bottom w:val="single" w:sz="8" w:color="0000EE"/>
            </w:tcBorders>
            <w:gridSpan w:val="18"/>
          </w:tcPr>
          <w:p>
            <w:pPr>
              <w:spacing w:after="0"/>
              <w:rPr>
                <w:rFonts w:ascii="Arial" w:cs="Arial" w:eastAsia="Arial" w:hAnsi="Arial"/>
                <w:sz w:val="16"/>
                <w:szCs w:val="16"/>
                <w:color w:val="0000EE"/>
              </w:rPr>
            </w:pPr>
            <w:hyperlink w:anchor="page9">
              <w:r>
                <w:rPr>
                  <w:rFonts w:ascii="Arial" w:cs="Arial" w:eastAsia="Arial" w:hAnsi="Arial"/>
                  <w:sz w:val="16"/>
                  <w:szCs w:val="16"/>
                  <w:color w:val="0000EE"/>
                </w:rPr>
                <w:t>Note 6: Property, Plant and Equipment</w:t>
              </w:r>
            </w:hyperlink>
          </w:p>
        </w:tc>
        <w:tc>
          <w:tcPr>
            <w:tcW w:w="3700" w:type="dxa"/>
            <w:vAlign w:val="bottom"/>
            <w:gridSpan w:val="10"/>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80" w:type="dxa"/>
            <w:vAlign w:val="bottom"/>
            <w:tcBorders>
              <w:bottom w:val="single" w:sz="8" w:color="0000EE"/>
            </w:tcBorders>
            <w:gridSpan w:val="10"/>
          </w:tcPr>
          <w:p>
            <w:pPr>
              <w:spacing w:after="0"/>
              <w:rPr>
                <w:rFonts w:ascii="Arial" w:cs="Arial" w:eastAsia="Arial" w:hAnsi="Arial"/>
                <w:sz w:val="16"/>
                <w:szCs w:val="16"/>
                <w:color w:val="0000EE"/>
              </w:rPr>
            </w:pPr>
            <w:hyperlink w:anchor="page10">
              <w:r>
                <w:rPr>
                  <w:rFonts w:ascii="Arial" w:cs="Arial" w:eastAsia="Arial" w:hAnsi="Arial"/>
                  <w:sz w:val="16"/>
                  <w:szCs w:val="16"/>
                  <w:color w:val="0000EE"/>
                </w:rPr>
                <w:t>Note 7: Credit Facilities</w:t>
              </w:r>
            </w:hyperlink>
          </w:p>
        </w:tc>
        <w:tc>
          <w:tcPr>
            <w:tcW w:w="4800" w:type="dxa"/>
            <w:vAlign w:val="bottom"/>
            <w:gridSpan w:val="18"/>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Borders>
              <w:bottom w:val="single" w:sz="8" w:color="0000EE"/>
            </w:tcBorders>
            <w:gridSpan w:val="4"/>
          </w:tcPr>
          <w:p>
            <w:pPr>
              <w:spacing w:after="0"/>
              <w:rPr>
                <w:rFonts w:ascii="Arial" w:cs="Arial" w:eastAsia="Arial" w:hAnsi="Arial"/>
                <w:sz w:val="16"/>
                <w:szCs w:val="16"/>
                <w:color w:val="0000EE"/>
                <w:w w:val="99"/>
              </w:rPr>
            </w:pPr>
            <w:hyperlink w:anchor="page10">
              <w:r>
                <w:rPr>
                  <w:rFonts w:ascii="Arial" w:cs="Arial" w:eastAsia="Arial" w:hAnsi="Arial"/>
                  <w:sz w:val="16"/>
                  <w:szCs w:val="16"/>
                  <w:color w:val="0000EE"/>
                  <w:w w:val="99"/>
                </w:rPr>
                <w:t>Note 8: Warranty</w:t>
              </w:r>
            </w:hyperlink>
          </w:p>
        </w:tc>
        <w:tc>
          <w:tcPr>
            <w:tcW w:w="5260" w:type="dxa"/>
            <w:vAlign w:val="bottom"/>
            <w:gridSpan w:val="24"/>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0" w:type="dxa"/>
            <w:vAlign w:val="bottom"/>
            <w:tcBorders>
              <w:bottom w:val="single" w:sz="8" w:color="0000EE"/>
            </w:tcBorders>
            <w:gridSpan w:val="19"/>
          </w:tcPr>
          <w:p>
            <w:pPr>
              <w:spacing w:after="0"/>
              <w:rPr>
                <w:rFonts w:ascii="Arial" w:cs="Arial" w:eastAsia="Arial" w:hAnsi="Arial"/>
                <w:sz w:val="16"/>
                <w:szCs w:val="16"/>
                <w:color w:val="0000EE"/>
              </w:rPr>
            </w:pPr>
            <w:hyperlink w:anchor="page10">
              <w:r>
                <w:rPr>
                  <w:rFonts w:ascii="Arial" w:cs="Arial" w:eastAsia="Arial" w:hAnsi="Arial"/>
                  <w:sz w:val="16"/>
                  <w:szCs w:val="16"/>
                  <w:color w:val="0000EE"/>
                </w:rPr>
                <w:t>Note 9: Employee and Retiree Benefits</w:t>
              </w:r>
            </w:hyperlink>
          </w:p>
        </w:tc>
        <w:tc>
          <w:tcPr>
            <w:tcW w:w="3680" w:type="dxa"/>
            <w:vAlign w:val="bottom"/>
            <w:gridSpan w:val="9"/>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20" w:type="dxa"/>
            <w:vAlign w:val="bottom"/>
            <w:tcBorders>
              <w:bottom w:val="single" w:sz="8" w:color="0000EE"/>
            </w:tcBorders>
            <w:gridSpan w:val="16"/>
          </w:tcPr>
          <w:p>
            <w:pPr>
              <w:spacing w:after="0"/>
              <w:rPr>
                <w:rFonts w:ascii="Arial" w:cs="Arial" w:eastAsia="Arial" w:hAnsi="Arial"/>
                <w:sz w:val="16"/>
                <w:szCs w:val="16"/>
                <w:color w:val="0000EE"/>
              </w:rPr>
            </w:pPr>
            <w:hyperlink w:anchor="page11">
              <w:r>
                <w:rPr>
                  <w:rFonts w:ascii="Arial" w:cs="Arial" w:eastAsia="Arial" w:hAnsi="Arial"/>
                  <w:sz w:val="16"/>
                  <w:szCs w:val="16"/>
                  <w:color w:val="0000EE"/>
                </w:rPr>
                <w:t>Note 10: Stockholders' Equity</w:t>
              </w:r>
            </w:hyperlink>
          </w:p>
        </w:tc>
        <w:tc>
          <w:tcPr>
            <w:tcW w:w="4360" w:type="dxa"/>
            <w:vAlign w:val="bottom"/>
            <w:gridSpan w:val="12"/>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00" w:type="dxa"/>
            <w:vAlign w:val="bottom"/>
            <w:tcBorders>
              <w:bottom w:val="single" w:sz="8" w:color="0000EE"/>
            </w:tcBorders>
            <w:gridSpan w:val="22"/>
          </w:tcPr>
          <w:p>
            <w:pPr>
              <w:spacing w:after="0"/>
              <w:rPr>
                <w:rFonts w:ascii="Arial" w:cs="Arial" w:eastAsia="Arial" w:hAnsi="Arial"/>
                <w:sz w:val="16"/>
                <w:szCs w:val="16"/>
                <w:color w:val="0000EE"/>
              </w:rPr>
            </w:pPr>
            <w:hyperlink w:anchor="page12">
              <w:r>
                <w:rPr>
                  <w:rFonts w:ascii="Arial" w:cs="Arial" w:eastAsia="Arial" w:hAnsi="Arial"/>
                  <w:sz w:val="16"/>
                  <w:szCs w:val="16"/>
                  <w:color w:val="0000EE"/>
                </w:rPr>
                <w:t>Note 11: Contingent Liabilities and Commitments</w:t>
              </w:r>
            </w:hyperlink>
          </w:p>
        </w:tc>
        <w:tc>
          <w:tcPr>
            <w:tcW w:w="2980" w:type="dxa"/>
            <w:vAlign w:val="bottom"/>
            <w:gridSpan w:val="6"/>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tcBorders>
              <w:bottom w:val="single" w:sz="8" w:color="0000EE"/>
            </w:tcBorders>
            <w:gridSpan w:val="9"/>
          </w:tcPr>
          <w:p>
            <w:pPr>
              <w:spacing w:after="0"/>
              <w:rPr>
                <w:rFonts w:ascii="Arial" w:cs="Arial" w:eastAsia="Arial" w:hAnsi="Arial"/>
                <w:sz w:val="16"/>
                <w:szCs w:val="16"/>
                <w:color w:val="0000EE"/>
                <w:w w:val="99"/>
              </w:rPr>
            </w:pPr>
            <w:hyperlink w:anchor="page13">
              <w:r>
                <w:rPr>
                  <w:rFonts w:ascii="Arial" w:cs="Arial" w:eastAsia="Arial" w:hAnsi="Arial"/>
                  <w:sz w:val="16"/>
                  <w:szCs w:val="16"/>
                  <w:color w:val="0000EE"/>
                  <w:w w:val="99"/>
                </w:rPr>
                <w:t>Note 12: Income Taxes</w:t>
              </w:r>
            </w:hyperlink>
          </w:p>
        </w:tc>
        <w:tc>
          <w:tcPr>
            <w:tcW w:w="4820" w:type="dxa"/>
            <w:vAlign w:val="bottom"/>
            <w:gridSpan w:val="19"/>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80" w:type="dxa"/>
            <w:vAlign w:val="bottom"/>
            <w:gridSpan w:val="28"/>
          </w:tcPr>
          <w:p>
            <w:pPr>
              <w:spacing w:after="0"/>
              <w:rPr>
                <w:rFonts w:ascii="Arial" w:cs="Arial" w:eastAsia="Arial" w:hAnsi="Arial"/>
                <w:sz w:val="16"/>
                <w:szCs w:val="16"/>
                <w:color w:val="0000EE"/>
              </w:rPr>
            </w:pPr>
            <w:hyperlink w:anchor="page13">
              <w:r>
                <w:rPr>
                  <w:rFonts w:ascii="Arial" w:cs="Arial" w:eastAsia="Arial" w:hAnsi="Arial"/>
                  <w:sz w:val="16"/>
                  <w:szCs w:val="16"/>
                  <w:color w:val="0000EE"/>
                </w:rPr>
                <w:t>Note 13: Earnings Per Share</w:t>
              </w:r>
            </w:hyperlink>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gridSpan w:val="7"/>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0" w:type="dxa"/>
            <w:vAlign w:val="bottom"/>
            <w:gridSpan w:val="6"/>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60" w:type="dxa"/>
            <w:vAlign w:val="bottom"/>
            <w:tcBorders>
              <w:bottom w:val="single" w:sz="8" w:color="0000EE"/>
            </w:tcBorders>
            <w:gridSpan w:val="20"/>
          </w:tcPr>
          <w:p>
            <w:pPr>
              <w:spacing w:after="0"/>
              <w:rPr>
                <w:rFonts w:ascii="Arial" w:cs="Arial" w:eastAsia="Arial" w:hAnsi="Arial"/>
                <w:sz w:val="16"/>
                <w:szCs w:val="16"/>
                <w:color w:val="0000EE"/>
              </w:rPr>
            </w:pPr>
            <w:hyperlink w:anchor="page13">
              <w:r>
                <w:rPr>
                  <w:rFonts w:ascii="Arial" w:cs="Arial" w:eastAsia="Arial" w:hAnsi="Arial"/>
                  <w:sz w:val="16"/>
                  <w:szCs w:val="16"/>
                  <w:color w:val="0000EE"/>
                </w:rPr>
                <w:t>Note 14: Comprehensive Income (Loss)</w:t>
              </w:r>
            </w:hyperlink>
          </w:p>
        </w:tc>
        <w:tc>
          <w:tcPr>
            <w:tcW w:w="3620" w:type="dxa"/>
            <w:vAlign w:val="bottom"/>
            <w:gridSpan w:val="8"/>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80" w:type="dxa"/>
            <w:vAlign w:val="bottom"/>
            <w:tcBorders>
              <w:bottom w:val="single" w:sz="8" w:color="0000EE"/>
            </w:tcBorders>
            <w:gridSpan w:val="13"/>
          </w:tcPr>
          <w:p>
            <w:pPr>
              <w:spacing w:after="0"/>
              <w:rPr>
                <w:rFonts w:ascii="Arial" w:cs="Arial" w:eastAsia="Arial" w:hAnsi="Arial"/>
                <w:sz w:val="16"/>
                <w:szCs w:val="16"/>
                <w:color w:val="0000EE"/>
              </w:rPr>
            </w:pPr>
            <w:hyperlink w:anchor="page14">
              <w:r>
                <w:rPr>
                  <w:rFonts w:ascii="Arial" w:cs="Arial" w:eastAsia="Arial" w:hAnsi="Arial"/>
                  <w:sz w:val="16"/>
                  <w:szCs w:val="16"/>
                  <w:color w:val="0000EE"/>
                </w:rPr>
                <w:t>Note 15: Subsequent Event</w:t>
              </w:r>
            </w:hyperlink>
          </w:p>
        </w:tc>
        <w:tc>
          <w:tcPr>
            <w:tcW w:w="4500" w:type="dxa"/>
            <w:vAlign w:val="bottom"/>
            <w:gridSpan w:val="15"/>
          </w:tcPr>
          <w:p>
            <w:pPr>
              <w:spacing w:after="0"/>
              <w:rPr>
                <w:sz w:val="21"/>
                <w:szCs w:val="21"/>
                <w:color w:val="auto"/>
              </w:rPr>
            </w:pPr>
          </w:p>
        </w:tc>
      </w:tr>
      <w:tr>
        <w:trPr>
          <w:trHeight w:val="250"/>
        </w:trPr>
        <w:tc>
          <w:tcPr>
            <w:tcW w:w="640" w:type="dxa"/>
            <w:vAlign w:val="bottom"/>
            <w:gridSpan w:val="3"/>
          </w:tcPr>
          <w:p>
            <w:pPr>
              <w:spacing w:after="0"/>
              <w:rPr>
                <w:sz w:val="20"/>
                <w:szCs w:val="20"/>
                <w:color w:val="auto"/>
              </w:rPr>
            </w:pPr>
            <w:r>
              <w:rPr>
                <w:rFonts w:ascii="Arial" w:cs="Arial" w:eastAsia="Arial" w:hAnsi="Arial"/>
                <w:sz w:val="16"/>
                <w:szCs w:val="16"/>
                <w:color w:val="auto"/>
              </w:rPr>
              <w:t>Item 2.</w:t>
            </w:r>
          </w:p>
        </w:tc>
        <w:tc>
          <w:tcPr>
            <w:tcW w:w="280" w:type="dxa"/>
            <w:vAlign w:val="bottom"/>
          </w:tcPr>
          <w:p>
            <w:pPr>
              <w:spacing w:after="0"/>
              <w:rPr>
                <w:sz w:val="21"/>
                <w:szCs w:val="21"/>
                <w:color w:val="auto"/>
              </w:rPr>
            </w:pPr>
          </w:p>
        </w:tc>
        <w:tc>
          <w:tcPr>
            <w:tcW w:w="6940" w:type="dxa"/>
            <w:vAlign w:val="bottom"/>
            <w:gridSpan w:val="30"/>
          </w:tcPr>
          <w:p>
            <w:pPr>
              <w:spacing w:after="0"/>
              <w:rPr>
                <w:rFonts w:ascii="Arial" w:cs="Arial" w:eastAsia="Arial" w:hAnsi="Arial"/>
                <w:sz w:val="16"/>
                <w:szCs w:val="16"/>
                <w:color w:val="0000EE"/>
              </w:rPr>
            </w:pPr>
            <w:hyperlink w:anchor="page14">
              <w:r>
                <w:rPr>
                  <w:rFonts w:ascii="Arial" w:cs="Arial" w:eastAsia="Arial" w:hAnsi="Arial"/>
                  <w:sz w:val="16"/>
                  <w:szCs w:val="16"/>
                  <w:color w:val="0000EE"/>
                </w:rPr>
                <w:t>Management's Discussion and Analysis of Financial Condition and Results of Operations</w:t>
              </w:r>
            </w:hyperlink>
          </w:p>
        </w:tc>
      </w:tr>
      <w:tr>
        <w:trPr>
          <w:trHeight w:val="223"/>
        </w:trPr>
        <w:tc>
          <w:tcPr>
            <w:tcW w:w="640" w:type="dxa"/>
            <w:vAlign w:val="bottom"/>
            <w:gridSpan w:val="3"/>
          </w:tcPr>
          <w:p>
            <w:pPr>
              <w:spacing w:after="0"/>
              <w:rPr>
                <w:sz w:val="20"/>
                <w:szCs w:val="20"/>
                <w:color w:val="auto"/>
              </w:rPr>
            </w:pPr>
            <w:r>
              <w:rPr>
                <w:rFonts w:ascii="Arial" w:cs="Arial" w:eastAsia="Arial" w:hAnsi="Arial"/>
                <w:sz w:val="16"/>
                <w:szCs w:val="16"/>
                <w:color w:val="auto"/>
              </w:rPr>
              <w:t>Item 3.</w:t>
            </w:r>
          </w:p>
        </w:tc>
        <w:tc>
          <w:tcPr>
            <w:tcW w:w="280" w:type="dxa"/>
            <w:vAlign w:val="bottom"/>
          </w:tcPr>
          <w:p>
            <w:pPr>
              <w:spacing w:after="0"/>
              <w:rPr>
                <w:sz w:val="19"/>
                <w:szCs w:val="19"/>
                <w:color w:val="auto"/>
              </w:rPr>
            </w:pPr>
          </w:p>
        </w:tc>
        <w:tc>
          <w:tcPr>
            <w:tcW w:w="4240" w:type="dxa"/>
            <w:vAlign w:val="bottom"/>
            <w:tcBorders>
              <w:top w:val="single" w:sz="8" w:color="0000EE"/>
              <w:bottom w:val="single" w:sz="8" w:color="0000EE"/>
            </w:tcBorders>
            <w:gridSpan w:val="26"/>
          </w:tcPr>
          <w:p>
            <w:pPr>
              <w:spacing w:after="0"/>
              <w:rPr>
                <w:rFonts w:ascii="Arial" w:cs="Arial" w:eastAsia="Arial" w:hAnsi="Arial"/>
                <w:sz w:val="16"/>
                <w:szCs w:val="16"/>
                <w:color w:val="0000EE"/>
              </w:rPr>
            </w:pPr>
            <w:hyperlink w:anchor="page23">
              <w:r>
                <w:rPr>
                  <w:rFonts w:ascii="Arial" w:cs="Arial" w:eastAsia="Arial" w:hAnsi="Arial"/>
                  <w:sz w:val="16"/>
                  <w:szCs w:val="16"/>
                  <w:color w:val="0000EE"/>
                </w:rPr>
                <w:t>Quantitative and Qualitative Disclosures About Market Risk</w:t>
              </w:r>
            </w:hyperlink>
          </w:p>
        </w:tc>
        <w:tc>
          <w:tcPr>
            <w:tcW w:w="2120" w:type="dxa"/>
            <w:vAlign w:val="bottom"/>
            <w:tcBorders>
              <w:top w:val="single" w:sz="8" w:color="0000EE"/>
            </w:tcBorders>
            <w:gridSpan w:val="3"/>
          </w:tcPr>
          <w:p>
            <w:pPr>
              <w:spacing w:after="0"/>
              <w:rPr>
                <w:sz w:val="19"/>
                <w:szCs w:val="19"/>
                <w:color w:val="auto"/>
              </w:rPr>
            </w:pPr>
          </w:p>
        </w:tc>
        <w:tc>
          <w:tcPr>
            <w:tcW w:w="580" w:type="dxa"/>
            <w:vAlign w:val="bottom"/>
          </w:tcPr>
          <w:p>
            <w:pPr>
              <w:spacing w:after="0"/>
              <w:rPr>
                <w:sz w:val="19"/>
                <w:szCs w:val="19"/>
                <w:color w:val="auto"/>
              </w:rPr>
            </w:pPr>
          </w:p>
        </w:tc>
      </w:tr>
      <w:tr>
        <w:trPr>
          <w:trHeight w:val="223"/>
        </w:trPr>
        <w:tc>
          <w:tcPr>
            <w:tcW w:w="640" w:type="dxa"/>
            <w:vAlign w:val="bottom"/>
            <w:gridSpan w:val="3"/>
          </w:tcPr>
          <w:p>
            <w:pPr>
              <w:spacing w:after="0"/>
              <w:rPr>
                <w:sz w:val="20"/>
                <w:szCs w:val="20"/>
                <w:color w:val="auto"/>
              </w:rPr>
            </w:pPr>
            <w:r>
              <w:rPr>
                <w:rFonts w:ascii="Arial" w:cs="Arial" w:eastAsia="Arial" w:hAnsi="Arial"/>
                <w:sz w:val="16"/>
                <w:szCs w:val="16"/>
                <w:color w:val="auto"/>
              </w:rPr>
              <w:t>Item 4.</w:t>
            </w:r>
          </w:p>
        </w:tc>
        <w:tc>
          <w:tcPr>
            <w:tcW w:w="280" w:type="dxa"/>
            <w:vAlign w:val="bottom"/>
          </w:tcPr>
          <w:p>
            <w:pPr>
              <w:spacing w:after="0"/>
              <w:rPr>
                <w:sz w:val="19"/>
                <w:szCs w:val="19"/>
                <w:color w:val="auto"/>
              </w:rPr>
            </w:pPr>
          </w:p>
        </w:tc>
        <w:tc>
          <w:tcPr>
            <w:tcW w:w="6940" w:type="dxa"/>
            <w:vAlign w:val="bottom"/>
            <w:gridSpan w:val="30"/>
          </w:tcPr>
          <w:p>
            <w:pPr>
              <w:spacing w:after="0"/>
              <w:rPr>
                <w:rFonts w:ascii="Arial" w:cs="Arial" w:eastAsia="Arial" w:hAnsi="Arial"/>
                <w:sz w:val="16"/>
                <w:szCs w:val="16"/>
                <w:color w:val="0000EE"/>
              </w:rPr>
            </w:pPr>
            <w:hyperlink w:anchor="page23">
              <w:r>
                <w:rPr>
                  <w:rFonts w:ascii="Arial" w:cs="Arial" w:eastAsia="Arial" w:hAnsi="Arial"/>
                  <w:sz w:val="16"/>
                  <w:szCs w:val="16"/>
                  <w:color w:val="0000EE"/>
                </w:rPr>
                <w:t>Controls and Procedures</w:t>
              </w:r>
            </w:hyperlink>
          </w:p>
        </w:tc>
      </w:tr>
      <w:tr>
        <w:trPr>
          <w:trHeight w:val="520"/>
        </w:trPr>
        <w:tc>
          <w:tcPr>
            <w:tcW w:w="560" w:type="dxa"/>
            <w:vAlign w:val="bottom"/>
            <w:tcBorders>
              <w:bottom w:val="single" w:sz="8" w:color="0000EE"/>
            </w:tcBorders>
            <w:gridSpan w:val="2"/>
          </w:tcPr>
          <w:p>
            <w:pPr>
              <w:spacing w:after="0"/>
              <w:rPr>
                <w:rFonts w:ascii="Arial" w:cs="Arial" w:eastAsia="Arial" w:hAnsi="Arial"/>
                <w:sz w:val="16"/>
                <w:szCs w:val="16"/>
                <w:b w:val="1"/>
                <w:bCs w:val="1"/>
                <w:color w:val="0000EE"/>
                <w:w w:val="94"/>
              </w:rPr>
            </w:pPr>
            <w:hyperlink w:anchor="page23">
              <w:r>
                <w:rPr>
                  <w:rFonts w:ascii="Arial" w:cs="Arial" w:eastAsia="Arial" w:hAnsi="Arial"/>
                  <w:sz w:val="16"/>
                  <w:szCs w:val="16"/>
                  <w:b w:val="1"/>
                  <w:bCs w:val="1"/>
                  <w:color w:val="0000EE"/>
                  <w:w w:val="94"/>
                </w:rPr>
                <w:t>PART II</w:t>
              </w:r>
            </w:hyperlink>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Borders>
              <w:top w:val="single" w:sz="8" w:color="0000EE"/>
              <w:bottom w:val="single" w:sz="8" w:color="0000EE"/>
            </w:tcBorders>
            <w:gridSpan w:val="7"/>
          </w:tcPr>
          <w:p>
            <w:pPr>
              <w:spacing w:after="0"/>
              <w:rPr>
                <w:rFonts w:ascii="Arial" w:cs="Arial" w:eastAsia="Arial" w:hAnsi="Arial"/>
                <w:sz w:val="16"/>
                <w:szCs w:val="16"/>
                <w:b w:val="1"/>
                <w:bCs w:val="1"/>
                <w:color w:val="0000EE"/>
                <w:w w:val="99"/>
              </w:rPr>
            </w:pPr>
            <w:hyperlink w:anchor="page23">
              <w:r>
                <w:rPr>
                  <w:rFonts w:ascii="Arial" w:cs="Arial" w:eastAsia="Arial" w:hAnsi="Arial"/>
                  <w:sz w:val="16"/>
                  <w:szCs w:val="16"/>
                  <w:b w:val="1"/>
                  <w:bCs w:val="1"/>
                  <w:color w:val="0000EE"/>
                  <w:w w:val="99"/>
                </w:rPr>
                <w:t>OTHER INFORMATION</w:t>
              </w:r>
            </w:hyperlink>
          </w:p>
        </w:tc>
        <w:tc>
          <w:tcPr>
            <w:tcW w:w="40" w:type="dxa"/>
            <w:vAlign w:val="bottom"/>
            <w:tcBorders>
              <w:top w:val="single" w:sz="8" w:color="0000EE"/>
            </w:tcBorders>
          </w:tcPr>
          <w:p>
            <w:pPr>
              <w:spacing w:after="0"/>
              <w:rPr>
                <w:sz w:val="24"/>
                <w:szCs w:val="24"/>
                <w:color w:val="auto"/>
              </w:rPr>
            </w:pPr>
          </w:p>
        </w:tc>
        <w:tc>
          <w:tcPr>
            <w:tcW w:w="5160" w:type="dxa"/>
            <w:vAlign w:val="bottom"/>
            <w:gridSpan w:val="22"/>
          </w:tcPr>
          <w:p>
            <w:pPr>
              <w:spacing w:after="0"/>
              <w:rPr>
                <w:sz w:val="24"/>
                <w:szCs w:val="24"/>
                <w:color w:val="auto"/>
              </w:rPr>
            </w:pPr>
          </w:p>
        </w:tc>
      </w:tr>
      <w:tr>
        <w:trPr>
          <w:trHeight w:val="250"/>
        </w:trPr>
        <w:tc>
          <w:tcPr>
            <w:tcW w:w="640" w:type="dxa"/>
            <w:vAlign w:val="bottom"/>
            <w:gridSpan w:val="3"/>
          </w:tcPr>
          <w:p>
            <w:pPr>
              <w:spacing w:after="0"/>
              <w:rPr>
                <w:sz w:val="20"/>
                <w:szCs w:val="20"/>
                <w:color w:val="auto"/>
              </w:rPr>
            </w:pPr>
            <w:r>
              <w:rPr>
                <w:rFonts w:ascii="Arial" w:cs="Arial" w:eastAsia="Arial" w:hAnsi="Arial"/>
                <w:sz w:val="16"/>
                <w:szCs w:val="16"/>
                <w:color w:val="auto"/>
              </w:rPr>
              <w:t>Item 1.</w:t>
            </w:r>
          </w:p>
        </w:tc>
        <w:tc>
          <w:tcPr>
            <w:tcW w:w="280" w:type="dxa"/>
            <w:vAlign w:val="bottom"/>
          </w:tcPr>
          <w:p>
            <w:pPr>
              <w:spacing w:after="0"/>
              <w:rPr>
                <w:sz w:val="21"/>
                <w:szCs w:val="21"/>
                <w:color w:val="auto"/>
              </w:rPr>
            </w:pPr>
          </w:p>
        </w:tc>
        <w:tc>
          <w:tcPr>
            <w:tcW w:w="1340" w:type="dxa"/>
            <w:vAlign w:val="bottom"/>
            <w:tcBorders>
              <w:bottom w:val="single" w:sz="8" w:color="0000EE"/>
            </w:tcBorders>
            <w:gridSpan w:val="5"/>
          </w:tcPr>
          <w:p>
            <w:pPr>
              <w:spacing w:after="0"/>
              <w:rPr>
                <w:rFonts w:ascii="Arial" w:cs="Arial" w:eastAsia="Arial" w:hAnsi="Arial"/>
                <w:sz w:val="16"/>
                <w:szCs w:val="16"/>
                <w:color w:val="0000EE"/>
                <w:w w:val="99"/>
              </w:rPr>
            </w:pPr>
            <w:hyperlink w:anchor="page23">
              <w:r>
                <w:rPr>
                  <w:rFonts w:ascii="Arial" w:cs="Arial" w:eastAsia="Arial" w:hAnsi="Arial"/>
                  <w:sz w:val="16"/>
                  <w:szCs w:val="16"/>
                  <w:color w:val="0000EE"/>
                  <w:w w:val="99"/>
                </w:rPr>
                <w:t>Legal Proceedings</w:t>
              </w:r>
            </w:hyperlink>
          </w:p>
        </w:tc>
        <w:tc>
          <w:tcPr>
            <w:tcW w:w="5600" w:type="dxa"/>
            <w:vAlign w:val="bottom"/>
            <w:gridSpan w:val="25"/>
          </w:tcPr>
          <w:p>
            <w:pPr>
              <w:spacing w:after="0"/>
              <w:rPr>
                <w:sz w:val="21"/>
                <w:szCs w:val="21"/>
                <w:color w:val="auto"/>
              </w:rPr>
            </w:pPr>
          </w:p>
        </w:tc>
      </w:tr>
      <w:tr>
        <w:trPr>
          <w:trHeight w:val="223"/>
        </w:trPr>
        <w:tc>
          <w:tcPr>
            <w:tcW w:w="640" w:type="dxa"/>
            <w:vAlign w:val="bottom"/>
            <w:gridSpan w:val="3"/>
          </w:tcPr>
          <w:p>
            <w:pPr>
              <w:spacing w:after="0"/>
              <w:rPr>
                <w:sz w:val="20"/>
                <w:szCs w:val="20"/>
                <w:color w:val="auto"/>
              </w:rPr>
            </w:pPr>
            <w:r>
              <w:rPr>
                <w:rFonts w:ascii="Arial" w:cs="Arial" w:eastAsia="Arial" w:hAnsi="Arial"/>
                <w:sz w:val="16"/>
                <w:szCs w:val="16"/>
                <w:color w:val="auto"/>
              </w:rPr>
              <w:t>Item 1A</w:t>
            </w:r>
          </w:p>
        </w:tc>
        <w:tc>
          <w:tcPr>
            <w:tcW w:w="280" w:type="dxa"/>
            <w:vAlign w:val="bottom"/>
          </w:tcPr>
          <w:p>
            <w:pPr>
              <w:spacing w:after="0"/>
              <w:rPr>
                <w:sz w:val="19"/>
                <w:szCs w:val="19"/>
                <w:color w:val="auto"/>
              </w:rPr>
            </w:pPr>
          </w:p>
        </w:tc>
        <w:tc>
          <w:tcPr>
            <w:tcW w:w="900" w:type="dxa"/>
            <w:vAlign w:val="bottom"/>
            <w:tcBorders>
              <w:bottom w:val="single" w:sz="8" w:color="0000EE"/>
            </w:tcBorders>
            <w:gridSpan w:val="4"/>
          </w:tcPr>
          <w:p>
            <w:pPr>
              <w:spacing w:after="0"/>
              <w:rPr>
                <w:rFonts w:ascii="Arial" w:cs="Arial" w:eastAsia="Arial" w:hAnsi="Arial"/>
                <w:sz w:val="16"/>
                <w:szCs w:val="16"/>
                <w:color w:val="0000EE"/>
                <w:w w:val="98"/>
              </w:rPr>
            </w:pPr>
            <w:hyperlink w:anchor="page23">
              <w:r>
                <w:rPr>
                  <w:rFonts w:ascii="Arial" w:cs="Arial" w:eastAsia="Arial" w:hAnsi="Arial"/>
                  <w:sz w:val="16"/>
                  <w:szCs w:val="16"/>
                  <w:color w:val="0000EE"/>
                  <w:w w:val="98"/>
                </w:rPr>
                <w:t>Risk Factors</w:t>
              </w:r>
            </w:hyperlink>
          </w:p>
        </w:tc>
        <w:tc>
          <w:tcPr>
            <w:tcW w:w="6040" w:type="dxa"/>
            <w:vAlign w:val="bottom"/>
            <w:gridSpan w:val="26"/>
          </w:tcPr>
          <w:p>
            <w:pPr>
              <w:spacing w:after="0"/>
              <w:rPr>
                <w:sz w:val="19"/>
                <w:szCs w:val="19"/>
                <w:color w:val="auto"/>
              </w:rPr>
            </w:pPr>
          </w:p>
        </w:tc>
      </w:tr>
      <w:tr>
        <w:trPr>
          <w:trHeight w:val="223"/>
        </w:trPr>
        <w:tc>
          <w:tcPr>
            <w:tcW w:w="640" w:type="dxa"/>
            <w:vAlign w:val="bottom"/>
            <w:gridSpan w:val="3"/>
          </w:tcPr>
          <w:p>
            <w:pPr>
              <w:spacing w:after="0"/>
              <w:rPr>
                <w:sz w:val="20"/>
                <w:szCs w:val="20"/>
                <w:color w:val="auto"/>
              </w:rPr>
            </w:pPr>
            <w:r>
              <w:rPr>
                <w:rFonts w:ascii="Arial" w:cs="Arial" w:eastAsia="Arial" w:hAnsi="Arial"/>
                <w:sz w:val="16"/>
                <w:szCs w:val="16"/>
                <w:color w:val="auto"/>
              </w:rPr>
              <w:t>Item 2.</w:t>
            </w:r>
          </w:p>
        </w:tc>
        <w:tc>
          <w:tcPr>
            <w:tcW w:w="280" w:type="dxa"/>
            <w:vAlign w:val="bottom"/>
          </w:tcPr>
          <w:p>
            <w:pPr>
              <w:spacing w:after="0"/>
              <w:rPr>
                <w:sz w:val="19"/>
                <w:szCs w:val="19"/>
                <w:color w:val="auto"/>
              </w:rPr>
            </w:pPr>
          </w:p>
        </w:tc>
        <w:tc>
          <w:tcPr>
            <w:tcW w:w="6940" w:type="dxa"/>
            <w:vAlign w:val="bottom"/>
            <w:gridSpan w:val="30"/>
          </w:tcPr>
          <w:p>
            <w:pPr>
              <w:spacing w:after="0"/>
              <w:rPr>
                <w:rFonts w:ascii="Arial" w:cs="Arial" w:eastAsia="Arial" w:hAnsi="Arial"/>
                <w:sz w:val="16"/>
                <w:szCs w:val="16"/>
                <w:color w:val="0000EE"/>
              </w:rPr>
            </w:pPr>
            <w:hyperlink w:anchor="page23">
              <w:r>
                <w:rPr>
                  <w:rFonts w:ascii="Arial" w:cs="Arial" w:eastAsia="Arial" w:hAnsi="Arial"/>
                  <w:sz w:val="16"/>
                  <w:szCs w:val="16"/>
                  <w:color w:val="0000EE"/>
                </w:rPr>
                <w:t>Unregistered Sales of Equity Securities and Use of Proceeds</w:t>
              </w:r>
            </w:hyperlink>
          </w:p>
        </w:tc>
      </w:tr>
      <w:tr>
        <w:trPr>
          <w:trHeight w:val="223"/>
        </w:trPr>
        <w:tc>
          <w:tcPr>
            <w:tcW w:w="640" w:type="dxa"/>
            <w:vAlign w:val="bottom"/>
            <w:gridSpan w:val="3"/>
          </w:tcPr>
          <w:p>
            <w:pPr>
              <w:spacing w:after="0"/>
              <w:rPr>
                <w:sz w:val="20"/>
                <w:szCs w:val="20"/>
                <w:color w:val="auto"/>
              </w:rPr>
            </w:pPr>
            <w:r>
              <w:rPr>
                <w:rFonts w:ascii="Arial" w:cs="Arial" w:eastAsia="Arial" w:hAnsi="Arial"/>
                <w:sz w:val="16"/>
                <w:szCs w:val="16"/>
                <w:color w:val="auto"/>
              </w:rPr>
              <w:t>Item 6.</w:t>
            </w:r>
          </w:p>
        </w:tc>
        <w:tc>
          <w:tcPr>
            <w:tcW w:w="280" w:type="dxa"/>
            <w:vAlign w:val="bottom"/>
          </w:tcPr>
          <w:p>
            <w:pPr>
              <w:spacing w:after="0"/>
              <w:rPr>
                <w:sz w:val="19"/>
                <w:szCs w:val="19"/>
                <w:color w:val="auto"/>
              </w:rPr>
            </w:pPr>
          </w:p>
        </w:tc>
        <w:tc>
          <w:tcPr>
            <w:tcW w:w="4360" w:type="dxa"/>
            <w:vAlign w:val="bottom"/>
            <w:tcBorders>
              <w:top w:val="single" w:sz="8" w:color="0000EE"/>
            </w:tcBorders>
            <w:gridSpan w:val="27"/>
          </w:tcPr>
          <w:p>
            <w:pPr>
              <w:spacing w:after="0"/>
              <w:rPr>
                <w:rFonts w:ascii="Arial" w:cs="Arial" w:eastAsia="Arial" w:hAnsi="Arial"/>
                <w:sz w:val="16"/>
                <w:szCs w:val="16"/>
                <w:color w:val="0000EE"/>
              </w:rPr>
            </w:pPr>
            <w:hyperlink w:anchor="page24">
              <w:r>
                <w:rPr>
                  <w:rFonts w:ascii="Arial" w:cs="Arial" w:eastAsia="Arial" w:hAnsi="Arial"/>
                  <w:sz w:val="16"/>
                  <w:szCs w:val="16"/>
                  <w:color w:val="0000EE"/>
                </w:rPr>
                <w:t>Exhibits</w:t>
              </w:r>
            </w:hyperlink>
          </w:p>
        </w:tc>
        <w:tc>
          <w:tcPr>
            <w:tcW w:w="2580" w:type="dxa"/>
            <w:vAlign w:val="bottom"/>
            <w:gridSpan w:val="3"/>
          </w:tcPr>
          <w:p>
            <w:pPr>
              <w:spacing w:after="0"/>
              <w:rPr>
                <w:sz w:val="19"/>
                <w:szCs w:val="19"/>
                <w:color w:val="auto"/>
              </w:rPr>
            </w:pP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345" w:lineRule="exact"/>
        <w:rPr>
          <w:sz w:val="20"/>
          <w:szCs w:val="20"/>
          <w:color w:val="auto"/>
        </w:rPr>
      </w:pPr>
    </w:p>
    <w:p>
      <w:pPr>
        <w:spacing w:after="0"/>
        <w:rPr>
          <w:rFonts w:ascii="Arial" w:cs="Arial" w:eastAsia="Arial" w:hAnsi="Arial"/>
          <w:sz w:val="16"/>
          <w:szCs w:val="16"/>
          <w:b w:val="1"/>
          <w:bCs w:val="1"/>
          <w:u w:val="single" w:color="auto"/>
          <w:color w:val="0000EE"/>
        </w:rPr>
      </w:pPr>
      <w:hyperlink w:anchor="page24">
        <w:r>
          <w:rPr>
            <w:rFonts w:ascii="Arial" w:cs="Arial" w:eastAsia="Arial" w:hAnsi="Arial"/>
            <w:sz w:val="16"/>
            <w:szCs w:val="16"/>
            <w:b w:val="1"/>
            <w:bCs w:val="1"/>
            <w:u w:val="single" w:color="auto"/>
            <w:color w:val="0000EE"/>
          </w:rPr>
          <w:t>SIGNATURES</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rFonts w:ascii="Arial" w:cs="Arial" w:eastAsia="Arial" w:hAnsi="Arial"/>
          <w:sz w:val="16"/>
          <w:szCs w:val="16"/>
          <w:color w:val="0000EE"/>
        </w:rPr>
      </w:pPr>
      <w:hyperlink w:anchor="page2">
        <w:r>
          <w:rPr>
            <w:rFonts w:ascii="Arial" w:cs="Arial" w:eastAsia="Arial" w:hAnsi="Arial"/>
            <w:sz w:val="16"/>
            <w:szCs w:val="16"/>
            <w:color w:val="0000EE"/>
          </w:rPr>
          <w:t>1</w:t>
        </w:r>
      </w:hyperlink>
    </w:p>
    <w:p>
      <w:pPr>
        <w:spacing w:after="0" w:line="356" w:lineRule="exact"/>
        <w:rPr>
          <w:sz w:val="20"/>
          <w:szCs w:val="20"/>
          <w:color w:val="auto"/>
        </w:rPr>
      </w:pPr>
    </w:p>
    <w:p>
      <w:pPr>
        <w:jc w:val="right"/>
        <w:spacing w:after="0"/>
        <w:rPr>
          <w:rFonts w:ascii="Arial" w:cs="Arial" w:eastAsia="Arial" w:hAnsi="Arial"/>
          <w:sz w:val="16"/>
          <w:szCs w:val="16"/>
          <w:color w:val="0000EE"/>
        </w:rPr>
      </w:pPr>
      <w:hyperlink w:anchor="page3">
        <w:r>
          <w:rPr>
            <w:rFonts w:ascii="Arial" w:cs="Arial" w:eastAsia="Arial" w:hAnsi="Arial"/>
            <w:sz w:val="16"/>
            <w:szCs w:val="16"/>
            <w:color w:val="0000EE"/>
          </w:rPr>
          <w:t>2</w:t>
        </w:r>
      </w:hyperlink>
    </w:p>
    <w:p>
      <w:pPr>
        <w:spacing w:after="0" w:line="356" w:lineRule="exact"/>
        <w:rPr>
          <w:sz w:val="20"/>
          <w:szCs w:val="20"/>
          <w:color w:val="auto"/>
        </w:rPr>
      </w:pPr>
    </w:p>
    <w:p>
      <w:pPr>
        <w:jc w:val="right"/>
        <w:spacing w:after="0"/>
        <w:rPr>
          <w:rFonts w:ascii="Arial" w:cs="Arial" w:eastAsia="Arial" w:hAnsi="Arial"/>
          <w:sz w:val="16"/>
          <w:szCs w:val="16"/>
          <w:color w:val="0000EE"/>
        </w:rPr>
      </w:pPr>
      <w:hyperlink w:anchor="page4">
        <w:r>
          <w:rPr>
            <w:rFonts w:ascii="Arial" w:cs="Arial" w:eastAsia="Arial" w:hAnsi="Arial"/>
            <w:sz w:val="16"/>
            <w:szCs w:val="16"/>
            <w:color w:val="0000EE"/>
          </w:rPr>
          <w:t>2</w:t>
        </w:r>
      </w:hyperlink>
    </w:p>
    <w:p>
      <w:pPr>
        <w:spacing w:after="0" w:line="86" w:lineRule="exact"/>
        <w:rPr>
          <w:sz w:val="20"/>
          <w:szCs w:val="20"/>
          <w:color w:val="auto"/>
        </w:rPr>
      </w:pPr>
    </w:p>
    <w:p>
      <w:pPr>
        <w:jc w:val="right"/>
        <w:spacing w:after="0"/>
        <w:rPr>
          <w:rFonts w:ascii="Arial" w:cs="Arial" w:eastAsia="Arial" w:hAnsi="Arial"/>
          <w:sz w:val="16"/>
          <w:szCs w:val="16"/>
          <w:color w:val="0000EE"/>
        </w:rPr>
      </w:pPr>
      <w:hyperlink w:anchor="page4">
        <w:r>
          <w:rPr>
            <w:rFonts w:ascii="Arial" w:cs="Arial" w:eastAsia="Arial" w:hAnsi="Arial"/>
            <w:sz w:val="16"/>
            <w:szCs w:val="16"/>
            <w:color w:val="0000EE"/>
          </w:rPr>
          <w:t>3</w:t>
        </w:r>
      </w:hyperlink>
    </w:p>
    <w:p>
      <w:pPr>
        <w:spacing w:after="0" w:line="86" w:lineRule="exact"/>
        <w:rPr>
          <w:sz w:val="20"/>
          <w:szCs w:val="20"/>
          <w:color w:val="auto"/>
        </w:rPr>
      </w:pPr>
    </w:p>
    <w:p>
      <w:pPr>
        <w:jc w:val="right"/>
        <w:spacing w:after="0"/>
        <w:rPr>
          <w:rFonts w:ascii="Arial" w:cs="Arial" w:eastAsia="Arial" w:hAnsi="Arial"/>
          <w:sz w:val="16"/>
          <w:szCs w:val="16"/>
          <w:color w:val="0000EE"/>
        </w:rPr>
      </w:pPr>
      <w:hyperlink w:anchor="page5">
        <w:r>
          <w:rPr>
            <w:rFonts w:ascii="Arial" w:cs="Arial" w:eastAsia="Arial" w:hAnsi="Arial"/>
            <w:sz w:val="16"/>
            <w:szCs w:val="16"/>
            <w:color w:val="0000EE"/>
          </w:rPr>
          <w:t>4</w:t>
        </w:r>
      </w:hyperlink>
    </w:p>
    <w:p>
      <w:pPr>
        <w:spacing w:after="0" w:line="86" w:lineRule="exact"/>
        <w:rPr>
          <w:sz w:val="20"/>
          <w:szCs w:val="20"/>
          <w:color w:val="auto"/>
        </w:rPr>
      </w:pPr>
    </w:p>
    <w:p>
      <w:pPr>
        <w:jc w:val="right"/>
        <w:spacing w:after="0"/>
        <w:rPr>
          <w:rFonts w:ascii="Arial" w:cs="Arial" w:eastAsia="Arial" w:hAnsi="Arial"/>
          <w:sz w:val="16"/>
          <w:szCs w:val="16"/>
          <w:color w:val="0000EE"/>
        </w:rPr>
      </w:pPr>
      <w:hyperlink w:anchor="page6">
        <w:r>
          <w:rPr>
            <w:rFonts w:ascii="Arial" w:cs="Arial" w:eastAsia="Arial" w:hAnsi="Arial"/>
            <w:sz w:val="16"/>
            <w:szCs w:val="16"/>
            <w:color w:val="0000EE"/>
          </w:rPr>
          <w:t>5</w:t>
        </w:r>
      </w:hyperlink>
    </w:p>
    <w:p>
      <w:pPr>
        <w:spacing w:after="0" w:line="86" w:lineRule="exact"/>
        <w:rPr>
          <w:sz w:val="20"/>
          <w:szCs w:val="20"/>
          <w:color w:val="auto"/>
        </w:rPr>
      </w:pPr>
    </w:p>
    <w:p>
      <w:pPr>
        <w:jc w:val="right"/>
        <w:spacing w:after="0"/>
        <w:rPr>
          <w:rFonts w:ascii="Arial" w:cs="Arial" w:eastAsia="Arial" w:hAnsi="Arial"/>
          <w:sz w:val="16"/>
          <w:szCs w:val="16"/>
          <w:color w:val="0000EE"/>
        </w:rPr>
      </w:pPr>
      <w:hyperlink w:anchor="page7">
        <w:r>
          <w:rPr>
            <w:rFonts w:ascii="Arial" w:cs="Arial" w:eastAsia="Arial" w:hAnsi="Arial"/>
            <w:sz w:val="16"/>
            <w:szCs w:val="16"/>
            <w:color w:val="0000EE"/>
          </w:rPr>
          <w:t>5</w:t>
        </w:r>
      </w:hyperlink>
    </w:p>
    <w:p>
      <w:pPr>
        <w:spacing w:after="0" w:line="86" w:lineRule="exact"/>
        <w:rPr>
          <w:sz w:val="20"/>
          <w:szCs w:val="20"/>
          <w:color w:val="auto"/>
        </w:rPr>
      </w:pPr>
    </w:p>
    <w:p>
      <w:pPr>
        <w:jc w:val="right"/>
        <w:spacing w:after="0"/>
        <w:rPr>
          <w:rFonts w:ascii="Arial" w:cs="Arial" w:eastAsia="Arial" w:hAnsi="Arial"/>
          <w:sz w:val="16"/>
          <w:szCs w:val="16"/>
          <w:color w:val="0000EE"/>
        </w:rPr>
      </w:pPr>
      <w:hyperlink w:anchor="page7">
        <w:r>
          <w:rPr>
            <w:rFonts w:ascii="Arial" w:cs="Arial" w:eastAsia="Arial" w:hAnsi="Arial"/>
            <w:sz w:val="16"/>
            <w:szCs w:val="16"/>
            <w:color w:val="0000EE"/>
          </w:rPr>
          <w:t>5</w:t>
        </w:r>
      </w:hyperlink>
    </w:p>
    <w:p>
      <w:pPr>
        <w:spacing w:after="0" w:line="86" w:lineRule="exact"/>
        <w:rPr>
          <w:sz w:val="20"/>
          <w:szCs w:val="20"/>
          <w:color w:val="auto"/>
        </w:rPr>
      </w:pPr>
    </w:p>
    <w:p>
      <w:pPr>
        <w:jc w:val="right"/>
        <w:spacing w:after="0"/>
        <w:rPr>
          <w:rFonts w:ascii="Arial" w:cs="Arial" w:eastAsia="Arial" w:hAnsi="Arial"/>
          <w:sz w:val="16"/>
          <w:szCs w:val="16"/>
          <w:color w:val="0000EE"/>
        </w:rPr>
      </w:pPr>
      <w:hyperlink w:anchor="page7">
        <w:r>
          <w:rPr>
            <w:rFonts w:ascii="Arial" w:cs="Arial" w:eastAsia="Arial" w:hAnsi="Arial"/>
            <w:sz w:val="16"/>
            <w:szCs w:val="16"/>
            <w:color w:val="0000EE"/>
          </w:rPr>
          <w:t>5</w:t>
        </w:r>
      </w:hyperlink>
    </w:p>
    <w:p>
      <w:pPr>
        <w:spacing w:after="0" w:line="86" w:lineRule="exact"/>
        <w:rPr>
          <w:sz w:val="20"/>
          <w:szCs w:val="20"/>
          <w:color w:val="auto"/>
        </w:rPr>
      </w:pPr>
    </w:p>
    <w:p>
      <w:pPr>
        <w:jc w:val="right"/>
        <w:spacing w:after="0"/>
        <w:rPr>
          <w:rFonts w:ascii="Arial" w:cs="Arial" w:eastAsia="Arial" w:hAnsi="Arial"/>
          <w:sz w:val="16"/>
          <w:szCs w:val="16"/>
          <w:color w:val="0000EE"/>
        </w:rPr>
      </w:pPr>
      <w:hyperlink w:anchor="page9">
        <w:r>
          <w:rPr>
            <w:rFonts w:ascii="Arial" w:cs="Arial" w:eastAsia="Arial" w:hAnsi="Arial"/>
            <w:sz w:val="16"/>
            <w:szCs w:val="16"/>
            <w:color w:val="0000EE"/>
          </w:rPr>
          <w:t>7</w:t>
        </w:r>
      </w:hyperlink>
    </w:p>
    <w:p>
      <w:pPr>
        <w:spacing w:after="0" w:line="86" w:lineRule="exact"/>
        <w:rPr>
          <w:sz w:val="20"/>
          <w:szCs w:val="20"/>
          <w:color w:val="auto"/>
        </w:rPr>
      </w:pPr>
    </w:p>
    <w:p>
      <w:pPr>
        <w:jc w:val="right"/>
        <w:spacing w:after="0"/>
        <w:rPr>
          <w:rFonts w:ascii="Arial" w:cs="Arial" w:eastAsia="Arial" w:hAnsi="Arial"/>
          <w:sz w:val="16"/>
          <w:szCs w:val="16"/>
          <w:color w:val="0000EE"/>
        </w:rPr>
      </w:pPr>
      <w:hyperlink w:anchor="page8">
        <w:r>
          <w:rPr>
            <w:rFonts w:ascii="Arial" w:cs="Arial" w:eastAsia="Arial" w:hAnsi="Arial"/>
            <w:sz w:val="16"/>
            <w:szCs w:val="16"/>
            <w:color w:val="0000EE"/>
          </w:rPr>
          <w:t>7</w:t>
        </w:r>
      </w:hyperlink>
    </w:p>
    <w:p>
      <w:pPr>
        <w:spacing w:after="0" w:line="86" w:lineRule="exact"/>
        <w:rPr>
          <w:sz w:val="20"/>
          <w:szCs w:val="20"/>
          <w:color w:val="auto"/>
        </w:rPr>
      </w:pPr>
    </w:p>
    <w:p>
      <w:pPr>
        <w:jc w:val="right"/>
        <w:spacing w:after="0"/>
        <w:rPr>
          <w:rFonts w:ascii="Arial" w:cs="Arial" w:eastAsia="Arial" w:hAnsi="Arial"/>
          <w:sz w:val="16"/>
          <w:szCs w:val="16"/>
          <w:color w:val="0000EE"/>
        </w:rPr>
      </w:pPr>
      <w:hyperlink w:anchor="page9">
        <w:r>
          <w:rPr>
            <w:rFonts w:ascii="Arial" w:cs="Arial" w:eastAsia="Arial" w:hAnsi="Arial"/>
            <w:sz w:val="16"/>
            <w:szCs w:val="16"/>
            <w:color w:val="0000EE"/>
          </w:rPr>
          <w:t>7</w:t>
        </w:r>
      </w:hyperlink>
    </w:p>
    <w:p>
      <w:pPr>
        <w:spacing w:after="0" w:line="86" w:lineRule="exact"/>
        <w:rPr>
          <w:sz w:val="20"/>
          <w:szCs w:val="20"/>
          <w:color w:val="auto"/>
        </w:rPr>
      </w:pPr>
    </w:p>
    <w:p>
      <w:pPr>
        <w:jc w:val="right"/>
        <w:spacing w:after="0"/>
        <w:rPr>
          <w:rFonts w:ascii="Arial" w:cs="Arial" w:eastAsia="Arial" w:hAnsi="Arial"/>
          <w:sz w:val="16"/>
          <w:szCs w:val="16"/>
          <w:color w:val="0000EE"/>
        </w:rPr>
      </w:pPr>
      <w:hyperlink w:anchor="page10">
        <w:r>
          <w:rPr>
            <w:rFonts w:ascii="Arial" w:cs="Arial" w:eastAsia="Arial" w:hAnsi="Arial"/>
            <w:sz w:val="16"/>
            <w:szCs w:val="16"/>
            <w:color w:val="0000EE"/>
          </w:rPr>
          <w:t>8</w:t>
        </w:r>
      </w:hyperlink>
    </w:p>
    <w:p>
      <w:pPr>
        <w:spacing w:after="0" w:line="86" w:lineRule="exact"/>
        <w:rPr>
          <w:sz w:val="20"/>
          <w:szCs w:val="20"/>
          <w:color w:val="auto"/>
        </w:rPr>
      </w:pPr>
    </w:p>
    <w:p>
      <w:pPr>
        <w:jc w:val="right"/>
        <w:spacing w:after="0"/>
        <w:rPr>
          <w:rFonts w:ascii="Arial" w:cs="Arial" w:eastAsia="Arial" w:hAnsi="Arial"/>
          <w:sz w:val="16"/>
          <w:szCs w:val="16"/>
          <w:color w:val="0000EE"/>
        </w:rPr>
      </w:pPr>
      <w:hyperlink w:anchor="page10">
        <w:r>
          <w:rPr>
            <w:rFonts w:ascii="Arial" w:cs="Arial" w:eastAsia="Arial" w:hAnsi="Arial"/>
            <w:sz w:val="16"/>
            <w:szCs w:val="16"/>
            <w:color w:val="0000EE"/>
          </w:rPr>
          <w:t>8</w:t>
        </w:r>
      </w:hyperlink>
    </w:p>
    <w:p>
      <w:pPr>
        <w:spacing w:after="0" w:line="86" w:lineRule="exact"/>
        <w:rPr>
          <w:sz w:val="20"/>
          <w:szCs w:val="20"/>
          <w:color w:val="auto"/>
        </w:rPr>
      </w:pPr>
    </w:p>
    <w:p>
      <w:pPr>
        <w:jc w:val="right"/>
        <w:spacing w:after="0"/>
        <w:rPr>
          <w:rFonts w:ascii="Arial" w:cs="Arial" w:eastAsia="Arial" w:hAnsi="Arial"/>
          <w:sz w:val="16"/>
          <w:szCs w:val="16"/>
          <w:color w:val="0000EE"/>
        </w:rPr>
      </w:pPr>
      <w:hyperlink w:anchor="page10">
        <w:r>
          <w:rPr>
            <w:rFonts w:ascii="Arial" w:cs="Arial" w:eastAsia="Arial" w:hAnsi="Arial"/>
            <w:sz w:val="16"/>
            <w:szCs w:val="16"/>
            <w:color w:val="0000EE"/>
          </w:rPr>
          <w:t>9</w:t>
        </w:r>
      </w:hyperlink>
    </w:p>
    <w:p>
      <w:pPr>
        <w:spacing w:after="0" w:line="86" w:lineRule="exact"/>
        <w:rPr>
          <w:sz w:val="20"/>
          <w:szCs w:val="20"/>
          <w:color w:val="auto"/>
        </w:rPr>
      </w:pPr>
    </w:p>
    <w:p>
      <w:pPr>
        <w:jc w:val="right"/>
        <w:spacing w:after="0"/>
        <w:rPr>
          <w:rFonts w:ascii="Arial" w:cs="Arial" w:eastAsia="Arial" w:hAnsi="Arial"/>
          <w:sz w:val="16"/>
          <w:szCs w:val="16"/>
          <w:color w:val="0000EE"/>
        </w:rPr>
      </w:pPr>
      <w:hyperlink w:anchor="page11">
        <w:r>
          <w:rPr>
            <w:rFonts w:ascii="Arial" w:cs="Arial" w:eastAsia="Arial" w:hAnsi="Arial"/>
            <w:sz w:val="16"/>
            <w:szCs w:val="16"/>
            <w:color w:val="0000EE"/>
          </w:rPr>
          <w:t>9</w:t>
        </w:r>
      </w:hyperlink>
    </w:p>
    <w:p>
      <w:pPr>
        <w:spacing w:after="0" w:line="86" w:lineRule="exact"/>
        <w:rPr>
          <w:sz w:val="20"/>
          <w:szCs w:val="20"/>
          <w:color w:val="auto"/>
        </w:rPr>
      </w:pPr>
    </w:p>
    <w:p>
      <w:pPr>
        <w:spacing w:after="0"/>
        <w:rPr>
          <w:rFonts w:ascii="Arial" w:cs="Arial" w:eastAsia="Arial" w:hAnsi="Arial"/>
          <w:sz w:val="16"/>
          <w:szCs w:val="16"/>
          <w:color w:val="0000EE"/>
        </w:rPr>
      </w:pPr>
      <w:hyperlink w:anchor="page12">
        <w:r>
          <w:rPr>
            <w:rFonts w:ascii="Arial" w:cs="Arial" w:eastAsia="Arial" w:hAnsi="Arial"/>
            <w:sz w:val="16"/>
            <w:szCs w:val="16"/>
            <w:color w:val="0000EE"/>
          </w:rPr>
          <w:t>10</w:t>
        </w:r>
      </w:hyperlink>
    </w:p>
    <w:p>
      <w:pPr>
        <w:spacing w:after="0" w:line="86" w:lineRule="exact"/>
        <w:rPr>
          <w:sz w:val="20"/>
          <w:szCs w:val="20"/>
          <w:color w:val="auto"/>
        </w:rPr>
      </w:pPr>
    </w:p>
    <w:p>
      <w:pPr>
        <w:spacing w:after="0"/>
        <w:rPr>
          <w:rFonts w:ascii="Arial" w:cs="Arial" w:eastAsia="Arial" w:hAnsi="Arial"/>
          <w:sz w:val="16"/>
          <w:szCs w:val="16"/>
          <w:color w:val="0000EE"/>
        </w:rPr>
      </w:pPr>
      <w:hyperlink w:anchor="page13">
        <w:r>
          <w:rPr>
            <w:rFonts w:ascii="Arial" w:cs="Arial" w:eastAsia="Arial" w:hAnsi="Arial"/>
            <w:sz w:val="16"/>
            <w:szCs w:val="16"/>
            <w:color w:val="0000EE"/>
          </w:rPr>
          <w:t>11</w:t>
        </w:r>
      </w:hyperlink>
    </w:p>
    <w:p>
      <w:pPr>
        <w:spacing w:after="0" w:line="86" w:lineRule="exact"/>
        <w:rPr>
          <w:sz w:val="20"/>
          <w:szCs w:val="20"/>
          <w:color w:val="auto"/>
        </w:rPr>
      </w:pPr>
    </w:p>
    <w:p>
      <w:pPr>
        <w:spacing w:after="0"/>
        <w:rPr>
          <w:rFonts w:ascii="Arial" w:cs="Arial" w:eastAsia="Arial" w:hAnsi="Arial"/>
          <w:sz w:val="16"/>
          <w:szCs w:val="16"/>
          <w:color w:val="0000EE"/>
        </w:rPr>
      </w:pPr>
      <w:hyperlink w:anchor="page13">
        <w:r>
          <w:rPr>
            <w:rFonts w:ascii="Arial" w:cs="Arial" w:eastAsia="Arial" w:hAnsi="Arial"/>
            <w:sz w:val="16"/>
            <w:szCs w:val="16"/>
            <w:color w:val="0000EE"/>
          </w:rPr>
          <w:t>11</w:t>
        </w:r>
      </w:hyperlink>
    </w:p>
    <w:p>
      <w:pPr>
        <w:spacing w:after="0" w:line="86" w:lineRule="exact"/>
        <w:rPr>
          <w:sz w:val="20"/>
          <w:szCs w:val="20"/>
          <w:color w:val="auto"/>
        </w:rPr>
      </w:pPr>
    </w:p>
    <w:p>
      <w:pPr>
        <w:spacing w:after="0"/>
        <w:rPr>
          <w:rFonts w:ascii="Arial" w:cs="Arial" w:eastAsia="Arial" w:hAnsi="Arial"/>
          <w:sz w:val="16"/>
          <w:szCs w:val="16"/>
          <w:color w:val="0000EE"/>
        </w:rPr>
      </w:pPr>
      <w:hyperlink w:anchor="page13">
        <w:r>
          <w:rPr>
            <w:rFonts w:ascii="Arial" w:cs="Arial" w:eastAsia="Arial" w:hAnsi="Arial"/>
            <w:sz w:val="16"/>
            <w:szCs w:val="16"/>
            <w:color w:val="0000EE"/>
          </w:rPr>
          <w:t>12</w:t>
        </w:r>
      </w:hyperlink>
    </w:p>
    <w:p>
      <w:pPr>
        <w:spacing w:after="0" w:line="86" w:lineRule="exact"/>
        <w:rPr>
          <w:sz w:val="20"/>
          <w:szCs w:val="20"/>
          <w:color w:val="auto"/>
        </w:rPr>
      </w:pPr>
    </w:p>
    <w:p>
      <w:pPr>
        <w:spacing w:after="0"/>
        <w:rPr>
          <w:rFonts w:ascii="Arial" w:cs="Arial" w:eastAsia="Arial" w:hAnsi="Arial"/>
          <w:sz w:val="16"/>
          <w:szCs w:val="16"/>
          <w:color w:val="0000EE"/>
        </w:rPr>
      </w:pPr>
      <w:hyperlink w:anchor="page14">
        <w:r>
          <w:rPr>
            <w:rFonts w:ascii="Arial" w:cs="Arial" w:eastAsia="Arial" w:hAnsi="Arial"/>
            <w:sz w:val="16"/>
            <w:szCs w:val="16"/>
            <w:color w:val="0000EE"/>
          </w:rPr>
          <w:t>12</w:t>
        </w:r>
      </w:hyperlink>
    </w:p>
    <w:p>
      <w:pPr>
        <w:spacing w:after="0" w:line="59" w:lineRule="exact"/>
        <w:rPr>
          <w:sz w:val="20"/>
          <w:szCs w:val="20"/>
          <w:color w:val="auto"/>
        </w:rPr>
      </w:pPr>
    </w:p>
    <w:p>
      <w:pPr>
        <w:spacing w:after="0"/>
        <w:rPr>
          <w:rFonts w:ascii="Arial" w:cs="Arial" w:eastAsia="Arial" w:hAnsi="Arial"/>
          <w:sz w:val="16"/>
          <w:szCs w:val="16"/>
          <w:color w:val="0000EE"/>
        </w:rPr>
      </w:pPr>
      <w:hyperlink w:anchor="page14">
        <w:r>
          <w:rPr>
            <w:rFonts w:ascii="Arial" w:cs="Arial" w:eastAsia="Arial" w:hAnsi="Arial"/>
            <w:sz w:val="16"/>
            <w:szCs w:val="16"/>
            <w:color w:val="0000EE"/>
          </w:rPr>
          <w:t>12</w:t>
        </w:r>
      </w:hyperlink>
    </w:p>
    <w:p>
      <w:pPr>
        <w:spacing w:after="0" w:line="59" w:lineRule="exact"/>
        <w:rPr>
          <w:sz w:val="20"/>
          <w:szCs w:val="20"/>
          <w:color w:val="auto"/>
        </w:rPr>
      </w:pPr>
    </w:p>
    <w:p>
      <w:pPr>
        <w:spacing w:after="0"/>
        <w:rPr>
          <w:rFonts w:ascii="Arial" w:cs="Arial" w:eastAsia="Arial" w:hAnsi="Arial"/>
          <w:sz w:val="16"/>
          <w:szCs w:val="16"/>
          <w:color w:val="0000EE"/>
        </w:rPr>
      </w:pPr>
      <w:hyperlink w:anchor="page23">
        <w:r>
          <w:rPr>
            <w:rFonts w:ascii="Arial" w:cs="Arial" w:eastAsia="Arial" w:hAnsi="Arial"/>
            <w:sz w:val="16"/>
            <w:szCs w:val="16"/>
            <w:color w:val="0000EE"/>
          </w:rPr>
          <w:t>21</w:t>
        </w:r>
      </w:hyperlink>
    </w:p>
    <w:p>
      <w:pPr>
        <w:spacing w:after="0" w:line="59" w:lineRule="exact"/>
        <w:rPr>
          <w:sz w:val="20"/>
          <w:szCs w:val="20"/>
          <w:color w:val="auto"/>
        </w:rPr>
      </w:pPr>
    </w:p>
    <w:p>
      <w:pPr>
        <w:spacing w:after="0"/>
        <w:rPr>
          <w:rFonts w:ascii="Arial" w:cs="Arial" w:eastAsia="Arial" w:hAnsi="Arial"/>
          <w:sz w:val="16"/>
          <w:szCs w:val="16"/>
          <w:color w:val="0000EE"/>
        </w:rPr>
      </w:pPr>
      <w:hyperlink w:anchor="page23">
        <w:r>
          <w:rPr>
            <w:rFonts w:ascii="Arial" w:cs="Arial" w:eastAsia="Arial" w:hAnsi="Arial"/>
            <w:sz w:val="16"/>
            <w:szCs w:val="16"/>
            <w:color w:val="0000EE"/>
          </w:rPr>
          <w:t>21</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rFonts w:ascii="Arial" w:cs="Arial" w:eastAsia="Arial" w:hAnsi="Arial"/>
          <w:sz w:val="16"/>
          <w:szCs w:val="16"/>
          <w:color w:val="0000EE"/>
        </w:rPr>
      </w:pPr>
      <w:hyperlink w:anchor="page23">
        <w:r>
          <w:rPr>
            <w:rFonts w:ascii="Arial" w:cs="Arial" w:eastAsia="Arial" w:hAnsi="Arial"/>
            <w:sz w:val="16"/>
            <w:szCs w:val="16"/>
            <w:color w:val="0000EE"/>
          </w:rPr>
          <w:t>21</w:t>
        </w:r>
      </w:hyperlink>
    </w:p>
    <w:p>
      <w:pPr>
        <w:spacing w:after="0" w:line="59" w:lineRule="exact"/>
        <w:rPr>
          <w:sz w:val="20"/>
          <w:szCs w:val="20"/>
          <w:color w:val="auto"/>
        </w:rPr>
      </w:pPr>
    </w:p>
    <w:p>
      <w:pPr>
        <w:spacing w:after="0"/>
        <w:rPr>
          <w:rFonts w:ascii="Arial" w:cs="Arial" w:eastAsia="Arial" w:hAnsi="Arial"/>
          <w:sz w:val="16"/>
          <w:szCs w:val="16"/>
          <w:color w:val="0000EE"/>
        </w:rPr>
      </w:pPr>
      <w:hyperlink w:anchor="page23">
        <w:r>
          <w:rPr>
            <w:rFonts w:ascii="Arial" w:cs="Arial" w:eastAsia="Arial" w:hAnsi="Arial"/>
            <w:sz w:val="16"/>
            <w:szCs w:val="16"/>
            <w:color w:val="0000EE"/>
          </w:rPr>
          <w:t>21</w:t>
        </w:r>
      </w:hyperlink>
    </w:p>
    <w:p>
      <w:pPr>
        <w:spacing w:after="0" w:line="59" w:lineRule="exact"/>
        <w:rPr>
          <w:sz w:val="20"/>
          <w:szCs w:val="20"/>
          <w:color w:val="auto"/>
        </w:rPr>
      </w:pPr>
    </w:p>
    <w:p>
      <w:pPr>
        <w:spacing w:after="0"/>
        <w:rPr>
          <w:rFonts w:ascii="Arial" w:cs="Arial" w:eastAsia="Arial" w:hAnsi="Arial"/>
          <w:sz w:val="16"/>
          <w:szCs w:val="16"/>
          <w:color w:val="0000EE"/>
        </w:rPr>
      </w:pPr>
      <w:hyperlink w:anchor="page23">
        <w:r>
          <w:rPr>
            <w:rFonts w:ascii="Arial" w:cs="Arial" w:eastAsia="Arial" w:hAnsi="Arial"/>
            <w:sz w:val="16"/>
            <w:szCs w:val="16"/>
            <w:color w:val="0000EE"/>
          </w:rPr>
          <w:t>22</w:t>
        </w:r>
      </w:hyperlink>
    </w:p>
    <w:p>
      <w:pPr>
        <w:spacing w:after="0" w:line="59" w:lineRule="exact"/>
        <w:rPr>
          <w:sz w:val="20"/>
          <w:szCs w:val="20"/>
          <w:color w:val="auto"/>
        </w:rPr>
      </w:pPr>
    </w:p>
    <w:p>
      <w:pPr>
        <w:spacing w:after="0"/>
        <w:rPr>
          <w:rFonts w:ascii="Arial" w:cs="Arial" w:eastAsia="Arial" w:hAnsi="Arial"/>
          <w:sz w:val="16"/>
          <w:szCs w:val="16"/>
          <w:color w:val="0000EE"/>
        </w:rPr>
      </w:pPr>
      <w:hyperlink w:anchor="page24">
        <w:r>
          <w:rPr>
            <w:rFonts w:ascii="Arial" w:cs="Arial" w:eastAsia="Arial" w:hAnsi="Arial"/>
            <w:sz w:val="16"/>
            <w:szCs w:val="16"/>
            <w:color w:val="0000EE"/>
          </w:rPr>
          <w:t>22</w:t>
        </w:r>
      </w:hyperlink>
    </w:p>
    <w:p>
      <w:pPr>
        <w:spacing w:after="0" w:line="356" w:lineRule="exact"/>
        <w:rPr>
          <w:sz w:val="20"/>
          <w:szCs w:val="20"/>
          <w:color w:val="auto"/>
        </w:rPr>
      </w:pPr>
    </w:p>
    <w:p>
      <w:pPr>
        <w:spacing w:after="0"/>
        <w:rPr>
          <w:rFonts w:ascii="Arial" w:cs="Arial" w:eastAsia="Arial" w:hAnsi="Arial"/>
          <w:sz w:val="16"/>
          <w:szCs w:val="16"/>
          <w:color w:val="0000EE"/>
        </w:rPr>
      </w:pPr>
      <w:hyperlink w:anchor="page24">
        <w:r>
          <w:rPr>
            <w:rFonts w:ascii="Arial" w:cs="Arial" w:eastAsia="Arial" w:hAnsi="Arial"/>
            <w:sz w:val="16"/>
            <w:szCs w:val="16"/>
            <w:color w:val="0000EE"/>
          </w:rPr>
          <w:t>23</w:t>
        </w:r>
      </w:hyperlink>
    </w:p>
    <w:p>
      <w:pPr>
        <w:sectPr>
          <w:pgSz w:w="11900" w:h="16838" w:orient="portrait"/>
          <w:cols w:equalWidth="0" w:num="2">
            <w:col w:w="10460" w:space="720"/>
            <w:col w:w="180"/>
          </w:cols>
          <w:pgMar w:left="280" w:top="360" w:right="25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Glossary</w:t>
      </w:r>
    </w:p>
    <w:p>
      <w:pPr>
        <w:spacing w:after="0" w:line="38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terms and abbreviations appear in the text of this report and are defined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AOCI</w:t>
            </w:r>
          </w:p>
        </w:tc>
        <w:tc>
          <w:tcPr>
            <w:tcW w:w="9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Accumulated Other Comprehensive Income (Loss)</w:t>
            </w:r>
          </w:p>
        </w:tc>
      </w:tr>
      <w:tr>
        <w:trPr>
          <w:trHeight w:val="198"/>
        </w:trPr>
        <w:tc>
          <w:tcPr>
            <w:tcW w:w="2360" w:type="dxa"/>
            <w:vAlign w:val="bottom"/>
          </w:tcPr>
          <w:p>
            <w:pPr>
              <w:ind w:left="40"/>
              <w:spacing w:after="0"/>
              <w:rPr>
                <w:sz w:val="20"/>
                <w:szCs w:val="20"/>
                <w:color w:val="auto"/>
              </w:rPr>
            </w:pPr>
            <w:r>
              <w:rPr>
                <w:rFonts w:ascii="Arial" w:cs="Arial" w:eastAsia="Arial" w:hAnsi="Arial"/>
                <w:sz w:val="16"/>
                <w:szCs w:val="16"/>
                <w:color w:val="auto"/>
              </w:rPr>
              <w:t>Amended Credit Agreement</w:t>
            </w:r>
          </w:p>
        </w:tc>
        <w:tc>
          <w:tcPr>
            <w:tcW w:w="9060" w:type="dxa"/>
            <w:vAlign w:val="bottom"/>
          </w:tcPr>
          <w:p>
            <w:pPr>
              <w:ind w:left="300"/>
              <w:spacing w:after="0"/>
              <w:rPr>
                <w:sz w:val="20"/>
                <w:szCs w:val="20"/>
                <w:color w:val="auto"/>
              </w:rPr>
            </w:pPr>
            <w:r>
              <w:rPr>
                <w:rFonts w:ascii="Arial" w:cs="Arial" w:eastAsia="Arial" w:hAnsi="Arial"/>
                <w:sz w:val="16"/>
                <w:szCs w:val="16"/>
                <w:color w:val="auto"/>
              </w:rPr>
              <w:t>Credit Agreement dated as of May 28, 2014 by and between Winnebago Industries, Inc. and Winnebago of Indiana, LLC,</w:t>
            </w:r>
          </w:p>
        </w:tc>
      </w:tr>
      <w:tr>
        <w:trPr>
          <w:trHeight w:val="219"/>
        </w:trPr>
        <w:tc>
          <w:tcPr>
            <w:tcW w:w="2360" w:type="dxa"/>
            <w:vAlign w:val="bottom"/>
          </w:tcPr>
          <w:p>
            <w:pPr>
              <w:spacing w:after="0"/>
              <w:rPr>
                <w:sz w:val="19"/>
                <w:szCs w:val="19"/>
                <w:color w:val="auto"/>
              </w:rPr>
            </w:pPr>
          </w:p>
        </w:tc>
        <w:tc>
          <w:tcPr>
            <w:tcW w:w="9060" w:type="dxa"/>
            <w:vAlign w:val="bottom"/>
          </w:tcPr>
          <w:p>
            <w:pPr>
              <w:ind w:left="300"/>
              <w:spacing w:after="0"/>
              <w:rPr>
                <w:sz w:val="20"/>
                <w:szCs w:val="20"/>
                <w:color w:val="auto"/>
              </w:rPr>
            </w:pPr>
            <w:r>
              <w:rPr>
                <w:rFonts w:ascii="Arial" w:cs="Arial" w:eastAsia="Arial" w:hAnsi="Arial"/>
                <w:sz w:val="16"/>
                <w:szCs w:val="16"/>
                <w:color w:val="auto"/>
              </w:rPr>
              <w:t>as Borrowers, and General Electric Capital Corporation, as Agent</w:t>
            </w:r>
          </w:p>
        </w:tc>
      </w:tr>
      <w:tr>
        <w:trPr>
          <w:trHeight w:val="70"/>
        </w:trPr>
        <w:tc>
          <w:tcPr>
            <w:tcW w:w="2360" w:type="dxa"/>
            <w:vAlign w:val="bottom"/>
          </w:tcPr>
          <w:p>
            <w:pPr>
              <w:spacing w:after="0"/>
              <w:rPr>
                <w:sz w:val="6"/>
                <w:szCs w:val="6"/>
                <w:color w:val="auto"/>
              </w:rPr>
            </w:pPr>
          </w:p>
        </w:tc>
        <w:tc>
          <w:tcPr>
            <w:tcW w:w="9060" w:type="dxa"/>
            <w:vAlign w:val="bottom"/>
          </w:tcPr>
          <w:p>
            <w:pPr>
              <w:spacing w:after="0"/>
              <w:rPr>
                <w:sz w:val="6"/>
                <w:szCs w:val="6"/>
                <w:color w:val="auto"/>
              </w:rPr>
            </w:pPr>
          </w:p>
        </w:tc>
      </w:tr>
      <w:tr>
        <w:trPr>
          <w:trHeight w:val="297"/>
        </w:trPr>
        <w:tc>
          <w:tcPr>
            <w:tcW w:w="2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Apollo</w:t>
            </w:r>
          </w:p>
        </w:tc>
        <w:tc>
          <w:tcPr>
            <w:tcW w:w="9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Apollo Motorhome Holidays, LLC</w:t>
            </w:r>
          </w:p>
        </w:tc>
      </w:tr>
      <w:tr>
        <w:trPr>
          <w:trHeight w:val="289"/>
        </w:trPr>
        <w:tc>
          <w:tcPr>
            <w:tcW w:w="2360" w:type="dxa"/>
            <w:vAlign w:val="bottom"/>
          </w:tcPr>
          <w:p>
            <w:pPr>
              <w:ind w:left="40"/>
              <w:spacing w:after="0"/>
              <w:rPr>
                <w:sz w:val="20"/>
                <w:szCs w:val="20"/>
                <w:color w:val="auto"/>
              </w:rPr>
            </w:pPr>
            <w:r>
              <w:rPr>
                <w:rFonts w:ascii="Arial" w:cs="Arial" w:eastAsia="Arial" w:hAnsi="Arial"/>
                <w:sz w:val="16"/>
                <w:szCs w:val="16"/>
                <w:color w:val="auto"/>
              </w:rPr>
              <w:t>ASC</w:t>
            </w:r>
          </w:p>
        </w:tc>
        <w:tc>
          <w:tcPr>
            <w:tcW w:w="9060" w:type="dxa"/>
            <w:vAlign w:val="bottom"/>
          </w:tcPr>
          <w:p>
            <w:pPr>
              <w:ind w:left="300"/>
              <w:spacing w:after="0"/>
              <w:rPr>
                <w:sz w:val="20"/>
                <w:szCs w:val="20"/>
                <w:color w:val="auto"/>
              </w:rPr>
            </w:pPr>
            <w:r>
              <w:rPr>
                <w:rFonts w:ascii="Arial" w:cs="Arial" w:eastAsia="Arial" w:hAnsi="Arial"/>
                <w:sz w:val="16"/>
                <w:szCs w:val="16"/>
                <w:color w:val="auto"/>
              </w:rPr>
              <w:t>Accounting Standards Codification</w:t>
            </w:r>
          </w:p>
        </w:tc>
      </w:tr>
      <w:tr>
        <w:trPr>
          <w:trHeight w:val="305"/>
        </w:trPr>
        <w:tc>
          <w:tcPr>
            <w:tcW w:w="2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ASP</w:t>
            </w:r>
          </w:p>
        </w:tc>
        <w:tc>
          <w:tcPr>
            <w:tcW w:w="9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Average Sales Price</w:t>
            </w:r>
          </w:p>
        </w:tc>
      </w:tr>
      <w:tr>
        <w:trPr>
          <w:trHeight w:val="289"/>
        </w:trPr>
        <w:tc>
          <w:tcPr>
            <w:tcW w:w="2360" w:type="dxa"/>
            <w:vAlign w:val="bottom"/>
          </w:tcPr>
          <w:p>
            <w:pPr>
              <w:ind w:left="40"/>
              <w:spacing w:after="0"/>
              <w:rPr>
                <w:sz w:val="20"/>
                <w:szCs w:val="20"/>
                <w:color w:val="auto"/>
              </w:rPr>
            </w:pPr>
            <w:r>
              <w:rPr>
                <w:rFonts w:ascii="Arial" w:cs="Arial" w:eastAsia="Arial" w:hAnsi="Arial"/>
                <w:sz w:val="16"/>
                <w:szCs w:val="16"/>
                <w:color w:val="auto"/>
              </w:rPr>
              <w:t>ASU</w:t>
            </w:r>
          </w:p>
        </w:tc>
        <w:tc>
          <w:tcPr>
            <w:tcW w:w="9060" w:type="dxa"/>
            <w:vAlign w:val="bottom"/>
          </w:tcPr>
          <w:p>
            <w:pPr>
              <w:ind w:left="300"/>
              <w:spacing w:after="0"/>
              <w:rPr>
                <w:sz w:val="20"/>
                <w:szCs w:val="20"/>
                <w:color w:val="auto"/>
              </w:rPr>
            </w:pPr>
            <w:r>
              <w:rPr>
                <w:rFonts w:ascii="Arial" w:cs="Arial" w:eastAsia="Arial" w:hAnsi="Arial"/>
                <w:sz w:val="16"/>
                <w:szCs w:val="16"/>
                <w:color w:val="auto"/>
              </w:rPr>
              <w:t>Accounting Standards Update</w:t>
            </w:r>
          </w:p>
        </w:tc>
      </w:tr>
      <w:tr>
        <w:trPr>
          <w:trHeight w:val="206"/>
        </w:trPr>
        <w:tc>
          <w:tcPr>
            <w:tcW w:w="2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Credit Agreement</w:t>
            </w:r>
          </w:p>
        </w:tc>
        <w:tc>
          <w:tcPr>
            <w:tcW w:w="9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Credit Agreement dated as of October 31, 2012 by and between Winnebago Industries, Inc. and Winnebago of Indiana,</w:t>
            </w:r>
          </w:p>
        </w:tc>
      </w:tr>
      <w:tr>
        <w:trPr>
          <w:trHeight w:val="219"/>
        </w:trPr>
        <w:tc>
          <w:tcPr>
            <w:tcW w:w="2360" w:type="dxa"/>
            <w:vAlign w:val="bottom"/>
            <w:shd w:val="clear" w:color="auto" w:fill="CCEEFF"/>
          </w:tcPr>
          <w:p>
            <w:pPr>
              <w:spacing w:after="0"/>
              <w:rPr>
                <w:sz w:val="19"/>
                <w:szCs w:val="19"/>
                <w:color w:val="auto"/>
              </w:rPr>
            </w:pPr>
          </w:p>
        </w:tc>
        <w:tc>
          <w:tcPr>
            <w:tcW w:w="9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LLC, as Borrowers, and General Electric Capital Corporation, as Agent (as amended May 28, 2014)</w:t>
            </w:r>
          </w:p>
        </w:tc>
      </w:tr>
      <w:tr>
        <w:trPr>
          <w:trHeight w:val="70"/>
        </w:trPr>
        <w:tc>
          <w:tcPr>
            <w:tcW w:w="2360" w:type="dxa"/>
            <w:vAlign w:val="bottom"/>
            <w:shd w:val="clear" w:color="auto" w:fill="CCEEFF"/>
          </w:tcPr>
          <w:p>
            <w:pPr>
              <w:spacing w:after="0"/>
              <w:rPr>
                <w:sz w:val="6"/>
                <w:szCs w:val="6"/>
                <w:color w:val="auto"/>
              </w:rPr>
            </w:pPr>
          </w:p>
        </w:tc>
        <w:tc>
          <w:tcPr>
            <w:tcW w:w="9060" w:type="dxa"/>
            <w:vAlign w:val="bottom"/>
            <w:shd w:val="clear" w:color="auto" w:fill="CCEEFF"/>
          </w:tcPr>
          <w:p>
            <w:pPr>
              <w:spacing w:after="0"/>
              <w:rPr>
                <w:sz w:val="6"/>
                <w:szCs w:val="6"/>
                <w:color w:val="auto"/>
              </w:rPr>
            </w:pPr>
          </w:p>
        </w:tc>
      </w:tr>
      <w:tr>
        <w:trPr>
          <w:trHeight w:val="289"/>
        </w:trPr>
        <w:tc>
          <w:tcPr>
            <w:tcW w:w="2360" w:type="dxa"/>
            <w:vAlign w:val="bottom"/>
          </w:tcPr>
          <w:p>
            <w:pPr>
              <w:ind w:left="40"/>
              <w:spacing w:after="0"/>
              <w:rPr>
                <w:sz w:val="20"/>
                <w:szCs w:val="20"/>
                <w:color w:val="auto"/>
              </w:rPr>
            </w:pPr>
            <w:r>
              <w:rPr>
                <w:rFonts w:ascii="Arial" w:cs="Arial" w:eastAsia="Arial" w:hAnsi="Arial"/>
                <w:sz w:val="16"/>
                <w:szCs w:val="16"/>
                <w:color w:val="auto"/>
              </w:rPr>
              <w:t>ERP</w:t>
            </w:r>
          </w:p>
        </w:tc>
        <w:tc>
          <w:tcPr>
            <w:tcW w:w="9060" w:type="dxa"/>
            <w:vAlign w:val="bottom"/>
          </w:tcPr>
          <w:p>
            <w:pPr>
              <w:ind w:left="300"/>
              <w:spacing w:after="0"/>
              <w:rPr>
                <w:sz w:val="20"/>
                <w:szCs w:val="20"/>
                <w:color w:val="auto"/>
              </w:rPr>
            </w:pPr>
            <w:r>
              <w:rPr>
                <w:rFonts w:ascii="Arial" w:cs="Arial" w:eastAsia="Arial" w:hAnsi="Arial"/>
                <w:sz w:val="16"/>
                <w:szCs w:val="16"/>
                <w:color w:val="auto"/>
              </w:rPr>
              <w:t>Enterprise Resource Planning</w:t>
            </w:r>
          </w:p>
        </w:tc>
      </w:tr>
      <w:tr>
        <w:trPr>
          <w:trHeight w:val="305"/>
        </w:trPr>
        <w:tc>
          <w:tcPr>
            <w:tcW w:w="2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FASB</w:t>
            </w:r>
          </w:p>
        </w:tc>
        <w:tc>
          <w:tcPr>
            <w:tcW w:w="9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Financial Accounting Standards Board</w:t>
            </w:r>
          </w:p>
        </w:tc>
      </w:tr>
      <w:tr>
        <w:trPr>
          <w:trHeight w:val="289"/>
        </w:trPr>
        <w:tc>
          <w:tcPr>
            <w:tcW w:w="2360" w:type="dxa"/>
            <w:vAlign w:val="bottom"/>
          </w:tcPr>
          <w:p>
            <w:pPr>
              <w:ind w:left="40"/>
              <w:spacing w:after="0"/>
              <w:rPr>
                <w:sz w:val="20"/>
                <w:szCs w:val="20"/>
                <w:color w:val="auto"/>
              </w:rPr>
            </w:pPr>
            <w:r>
              <w:rPr>
                <w:rFonts w:ascii="Arial" w:cs="Arial" w:eastAsia="Arial" w:hAnsi="Arial"/>
                <w:sz w:val="16"/>
                <w:szCs w:val="16"/>
                <w:color w:val="auto"/>
              </w:rPr>
              <w:t>FIFO</w:t>
            </w:r>
          </w:p>
        </w:tc>
        <w:tc>
          <w:tcPr>
            <w:tcW w:w="9060" w:type="dxa"/>
            <w:vAlign w:val="bottom"/>
          </w:tcPr>
          <w:p>
            <w:pPr>
              <w:ind w:left="300"/>
              <w:spacing w:after="0"/>
              <w:rPr>
                <w:sz w:val="20"/>
                <w:szCs w:val="20"/>
                <w:color w:val="auto"/>
              </w:rPr>
            </w:pPr>
            <w:r>
              <w:rPr>
                <w:rFonts w:ascii="Arial" w:cs="Arial" w:eastAsia="Arial" w:hAnsi="Arial"/>
                <w:sz w:val="16"/>
                <w:szCs w:val="16"/>
                <w:color w:val="auto"/>
              </w:rPr>
              <w:t>First In, First Out</w:t>
            </w:r>
          </w:p>
        </w:tc>
      </w:tr>
      <w:tr>
        <w:trPr>
          <w:trHeight w:val="305"/>
        </w:trPr>
        <w:tc>
          <w:tcPr>
            <w:tcW w:w="2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GAAP</w:t>
            </w:r>
          </w:p>
        </w:tc>
        <w:tc>
          <w:tcPr>
            <w:tcW w:w="9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Generally Accepted Accounting Principles</w:t>
            </w:r>
          </w:p>
        </w:tc>
      </w:tr>
      <w:tr>
        <w:trPr>
          <w:trHeight w:val="289"/>
        </w:trPr>
        <w:tc>
          <w:tcPr>
            <w:tcW w:w="2360" w:type="dxa"/>
            <w:vAlign w:val="bottom"/>
          </w:tcPr>
          <w:p>
            <w:pPr>
              <w:ind w:left="40"/>
              <w:spacing w:after="0"/>
              <w:rPr>
                <w:sz w:val="20"/>
                <w:szCs w:val="20"/>
                <w:color w:val="auto"/>
              </w:rPr>
            </w:pPr>
            <w:r>
              <w:rPr>
                <w:rFonts w:ascii="Arial" w:cs="Arial" w:eastAsia="Arial" w:hAnsi="Arial"/>
                <w:sz w:val="16"/>
                <w:szCs w:val="16"/>
                <w:color w:val="auto"/>
              </w:rPr>
              <w:t>GECC</w:t>
            </w:r>
          </w:p>
        </w:tc>
        <w:tc>
          <w:tcPr>
            <w:tcW w:w="9060" w:type="dxa"/>
            <w:vAlign w:val="bottom"/>
          </w:tcPr>
          <w:p>
            <w:pPr>
              <w:ind w:left="300"/>
              <w:spacing w:after="0"/>
              <w:rPr>
                <w:sz w:val="20"/>
                <w:szCs w:val="20"/>
                <w:color w:val="auto"/>
              </w:rPr>
            </w:pPr>
            <w:r>
              <w:rPr>
                <w:rFonts w:ascii="Arial" w:cs="Arial" w:eastAsia="Arial" w:hAnsi="Arial"/>
                <w:sz w:val="16"/>
                <w:szCs w:val="16"/>
                <w:color w:val="auto"/>
              </w:rPr>
              <w:t>General Electric Capital Corporation</w:t>
            </w:r>
          </w:p>
        </w:tc>
      </w:tr>
      <w:tr>
        <w:trPr>
          <w:trHeight w:val="305"/>
        </w:trPr>
        <w:tc>
          <w:tcPr>
            <w:tcW w:w="2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IRS</w:t>
            </w:r>
          </w:p>
        </w:tc>
        <w:tc>
          <w:tcPr>
            <w:tcW w:w="9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Internal Revenue Service</w:t>
            </w:r>
          </w:p>
        </w:tc>
      </w:tr>
      <w:tr>
        <w:trPr>
          <w:trHeight w:val="289"/>
        </w:trPr>
        <w:tc>
          <w:tcPr>
            <w:tcW w:w="2360" w:type="dxa"/>
            <w:vAlign w:val="bottom"/>
          </w:tcPr>
          <w:p>
            <w:pPr>
              <w:ind w:left="40"/>
              <w:spacing w:after="0"/>
              <w:rPr>
                <w:sz w:val="20"/>
                <w:szCs w:val="20"/>
                <w:color w:val="auto"/>
              </w:rPr>
            </w:pPr>
            <w:r>
              <w:rPr>
                <w:rFonts w:ascii="Arial" w:cs="Arial" w:eastAsia="Arial" w:hAnsi="Arial"/>
                <w:sz w:val="16"/>
                <w:szCs w:val="16"/>
                <w:color w:val="auto"/>
              </w:rPr>
              <w:t>IT</w:t>
            </w:r>
          </w:p>
        </w:tc>
        <w:tc>
          <w:tcPr>
            <w:tcW w:w="9060" w:type="dxa"/>
            <w:vAlign w:val="bottom"/>
          </w:tcPr>
          <w:p>
            <w:pPr>
              <w:ind w:left="300"/>
              <w:spacing w:after="0"/>
              <w:rPr>
                <w:sz w:val="20"/>
                <w:szCs w:val="20"/>
                <w:color w:val="auto"/>
              </w:rPr>
            </w:pPr>
            <w:r>
              <w:rPr>
                <w:rFonts w:ascii="Arial" w:cs="Arial" w:eastAsia="Arial" w:hAnsi="Arial"/>
                <w:sz w:val="16"/>
                <w:szCs w:val="16"/>
                <w:color w:val="auto"/>
              </w:rPr>
              <w:t>Information Technology</w:t>
            </w:r>
          </w:p>
        </w:tc>
      </w:tr>
      <w:tr>
        <w:trPr>
          <w:trHeight w:val="305"/>
        </w:trPr>
        <w:tc>
          <w:tcPr>
            <w:tcW w:w="2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LIBOR</w:t>
            </w:r>
          </w:p>
        </w:tc>
        <w:tc>
          <w:tcPr>
            <w:tcW w:w="9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London Interbank Offered Rate</w:t>
            </w:r>
          </w:p>
        </w:tc>
      </w:tr>
      <w:tr>
        <w:trPr>
          <w:trHeight w:val="228"/>
        </w:trPr>
        <w:tc>
          <w:tcPr>
            <w:tcW w:w="2360" w:type="dxa"/>
            <w:vAlign w:val="bottom"/>
          </w:tcPr>
          <w:p>
            <w:pPr>
              <w:ind w:left="40"/>
              <w:spacing w:after="0"/>
              <w:rPr>
                <w:sz w:val="20"/>
                <w:szCs w:val="20"/>
                <w:color w:val="auto"/>
              </w:rPr>
            </w:pPr>
            <w:r>
              <w:rPr>
                <w:rFonts w:ascii="Arial" w:cs="Arial" w:eastAsia="Arial" w:hAnsi="Arial"/>
                <w:sz w:val="16"/>
                <w:szCs w:val="16"/>
                <w:color w:val="auto"/>
              </w:rPr>
              <w:t>LIFO</w:t>
            </w:r>
          </w:p>
        </w:tc>
        <w:tc>
          <w:tcPr>
            <w:tcW w:w="9060" w:type="dxa"/>
            <w:vAlign w:val="bottom"/>
          </w:tcPr>
          <w:p>
            <w:pPr>
              <w:ind w:left="300"/>
              <w:spacing w:after="0"/>
              <w:rPr>
                <w:sz w:val="20"/>
                <w:szCs w:val="20"/>
                <w:color w:val="auto"/>
              </w:rPr>
            </w:pPr>
            <w:r>
              <w:rPr>
                <w:rFonts w:ascii="Arial" w:cs="Arial" w:eastAsia="Arial" w:hAnsi="Arial"/>
                <w:sz w:val="16"/>
                <w:szCs w:val="16"/>
                <w:color w:val="auto"/>
              </w:rPr>
              <w:t>Last In, First Out</w:t>
            </w:r>
          </w:p>
        </w:tc>
      </w:tr>
      <w:tr>
        <w:trPr>
          <w:trHeight w:val="70"/>
        </w:trPr>
        <w:tc>
          <w:tcPr>
            <w:tcW w:w="2360" w:type="dxa"/>
            <w:vAlign w:val="bottom"/>
          </w:tcPr>
          <w:p>
            <w:pPr>
              <w:spacing w:after="0"/>
              <w:rPr>
                <w:sz w:val="6"/>
                <w:szCs w:val="6"/>
                <w:color w:val="auto"/>
              </w:rPr>
            </w:pPr>
          </w:p>
        </w:tc>
        <w:tc>
          <w:tcPr>
            <w:tcW w:w="9060" w:type="dxa"/>
            <w:vAlign w:val="bottom"/>
          </w:tcPr>
          <w:p>
            <w:pPr>
              <w:spacing w:after="0"/>
              <w:rPr>
                <w:sz w:val="6"/>
                <w:szCs w:val="6"/>
                <w:color w:val="auto"/>
              </w:rPr>
            </w:pPr>
          </w:p>
        </w:tc>
      </w:tr>
      <w:tr>
        <w:trPr>
          <w:trHeight w:val="297"/>
        </w:trPr>
        <w:tc>
          <w:tcPr>
            <w:tcW w:w="2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NMF</w:t>
            </w:r>
          </w:p>
        </w:tc>
        <w:tc>
          <w:tcPr>
            <w:tcW w:w="9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Non-Meaningful Figure</w:t>
            </w:r>
          </w:p>
        </w:tc>
      </w:tr>
      <w:tr>
        <w:trPr>
          <w:trHeight w:val="289"/>
        </w:trPr>
        <w:tc>
          <w:tcPr>
            <w:tcW w:w="2360" w:type="dxa"/>
            <w:vAlign w:val="bottom"/>
          </w:tcPr>
          <w:p>
            <w:pPr>
              <w:ind w:left="40"/>
              <w:spacing w:after="0"/>
              <w:rPr>
                <w:sz w:val="20"/>
                <w:szCs w:val="20"/>
                <w:color w:val="auto"/>
              </w:rPr>
            </w:pPr>
            <w:r>
              <w:rPr>
                <w:rFonts w:ascii="Arial" w:cs="Arial" w:eastAsia="Arial" w:hAnsi="Arial"/>
                <w:sz w:val="16"/>
                <w:szCs w:val="16"/>
                <w:color w:val="auto"/>
              </w:rPr>
              <w:t>NYSE</w:t>
            </w:r>
          </w:p>
        </w:tc>
        <w:tc>
          <w:tcPr>
            <w:tcW w:w="9060" w:type="dxa"/>
            <w:vAlign w:val="bottom"/>
          </w:tcPr>
          <w:p>
            <w:pPr>
              <w:ind w:left="300"/>
              <w:spacing w:after="0"/>
              <w:rPr>
                <w:sz w:val="20"/>
                <w:szCs w:val="20"/>
                <w:color w:val="auto"/>
              </w:rPr>
            </w:pPr>
            <w:r>
              <w:rPr>
                <w:rFonts w:ascii="Arial" w:cs="Arial" w:eastAsia="Arial" w:hAnsi="Arial"/>
                <w:sz w:val="16"/>
                <w:szCs w:val="16"/>
                <w:color w:val="auto"/>
              </w:rPr>
              <w:t>New York Stock Exchange</w:t>
            </w:r>
          </w:p>
        </w:tc>
      </w:tr>
      <w:tr>
        <w:trPr>
          <w:trHeight w:val="305"/>
        </w:trPr>
        <w:tc>
          <w:tcPr>
            <w:tcW w:w="2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OCI</w:t>
            </w:r>
          </w:p>
        </w:tc>
        <w:tc>
          <w:tcPr>
            <w:tcW w:w="9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Other Comprehensive Income</w:t>
            </w:r>
          </w:p>
        </w:tc>
      </w:tr>
      <w:tr>
        <w:trPr>
          <w:trHeight w:val="289"/>
        </w:trPr>
        <w:tc>
          <w:tcPr>
            <w:tcW w:w="2360" w:type="dxa"/>
            <w:vAlign w:val="bottom"/>
          </w:tcPr>
          <w:p>
            <w:pPr>
              <w:ind w:left="40"/>
              <w:spacing w:after="0"/>
              <w:rPr>
                <w:sz w:val="20"/>
                <w:szCs w:val="20"/>
                <w:color w:val="auto"/>
              </w:rPr>
            </w:pPr>
            <w:r>
              <w:rPr>
                <w:rFonts w:ascii="Arial" w:cs="Arial" w:eastAsia="Arial" w:hAnsi="Arial"/>
                <w:sz w:val="16"/>
                <w:szCs w:val="16"/>
                <w:color w:val="auto"/>
              </w:rPr>
              <w:t>RV</w:t>
            </w:r>
          </w:p>
        </w:tc>
        <w:tc>
          <w:tcPr>
            <w:tcW w:w="9060" w:type="dxa"/>
            <w:vAlign w:val="bottom"/>
          </w:tcPr>
          <w:p>
            <w:pPr>
              <w:ind w:left="300"/>
              <w:spacing w:after="0"/>
              <w:rPr>
                <w:sz w:val="20"/>
                <w:szCs w:val="20"/>
                <w:color w:val="auto"/>
              </w:rPr>
            </w:pPr>
            <w:r>
              <w:rPr>
                <w:rFonts w:ascii="Arial" w:cs="Arial" w:eastAsia="Arial" w:hAnsi="Arial"/>
                <w:sz w:val="16"/>
                <w:szCs w:val="16"/>
                <w:color w:val="auto"/>
              </w:rPr>
              <w:t>Recreation Vehicle</w:t>
            </w:r>
          </w:p>
        </w:tc>
      </w:tr>
      <w:tr>
        <w:trPr>
          <w:trHeight w:val="305"/>
        </w:trPr>
        <w:tc>
          <w:tcPr>
            <w:tcW w:w="2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RVIA</w:t>
            </w:r>
          </w:p>
        </w:tc>
        <w:tc>
          <w:tcPr>
            <w:tcW w:w="9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Recreation Vehicle Industry Association</w:t>
            </w:r>
          </w:p>
        </w:tc>
      </w:tr>
      <w:tr>
        <w:trPr>
          <w:trHeight w:val="289"/>
        </w:trPr>
        <w:tc>
          <w:tcPr>
            <w:tcW w:w="2360" w:type="dxa"/>
            <w:vAlign w:val="bottom"/>
          </w:tcPr>
          <w:p>
            <w:pPr>
              <w:ind w:left="40"/>
              <w:spacing w:after="0"/>
              <w:rPr>
                <w:sz w:val="20"/>
                <w:szCs w:val="20"/>
                <w:color w:val="auto"/>
              </w:rPr>
            </w:pPr>
            <w:r>
              <w:rPr>
                <w:rFonts w:ascii="Arial" w:cs="Arial" w:eastAsia="Arial" w:hAnsi="Arial"/>
                <w:sz w:val="16"/>
                <w:szCs w:val="16"/>
                <w:color w:val="auto"/>
              </w:rPr>
              <w:t>SEC</w:t>
            </w:r>
          </w:p>
        </w:tc>
        <w:tc>
          <w:tcPr>
            <w:tcW w:w="9060" w:type="dxa"/>
            <w:vAlign w:val="bottom"/>
          </w:tcPr>
          <w:p>
            <w:pPr>
              <w:ind w:left="300"/>
              <w:spacing w:after="0"/>
              <w:rPr>
                <w:sz w:val="20"/>
                <w:szCs w:val="20"/>
                <w:color w:val="auto"/>
              </w:rPr>
            </w:pPr>
            <w:r>
              <w:rPr>
                <w:rFonts w:ascii="Arial" w:cs="Arial" w:eastAsia="Arial" w:hAnsi="Arial"/>
                <w:sz w:val="16"/>
                <w:szCs w:val="16"/>
                <w:color w:val="auto"/>
              </w:rPr>
              <w:t>U.S. Securities and Exchange Commission</w:t>
            </w:r>
          </w:p>
        </w:tc>
      </w:tr>
      <w:tr>
        <w:trPr>
          <w:trHeight w:val="305"/>
        </w:trPr>
        <w:tc>
          <w:tcPr>
            <w:tcW w:w="2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SERP</w:t>
            </w:r>
          </w:p>
        </w:tc>
        <w:tc>
          <w:tcPr>
            <w:tcW w:w="9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Supplemental Executive Retirement Plan</w:t>
            </w:r>
          </w:p>
        </w:tc>
      </w:tr>
      <w:tr>
        <w:trPr>
          <w:trHeight w:val="228"/>
        </w:trPr>
        <w:tc>
          <w:tcPr>
            <w:tcW w:w="2360" w:type="dxa"/>
            <w:vAlign w:val="bottom"/>
          </w:tcPr>
          <w:p>
            <w:pPr>
              <w:ind w:left="40"/>
              <w:spacing w:after="0"/>
              <w:rPr>
                <w:sz w:val="20"/>
                <w:szCs w:val="20"/>
                <w:color w:val="auto"/>
              </w:rPr>
            </w:pPr>
            <w:r>
              <w:rPr>
                <w:rFonts w:ascii="Arial" w:cs="Arial" w:eastAsia="Arial" w:hAnsi="Arial"/>
                <w:sz w:val="16"/>
                <w:szCs w:val="16"/>
                <w:color w:val="auto"/>
              </w:rPr>
              <w:t>Stat Surveys</w:t>
            </w:r>
          </w:p>
        </w:tc>
        <w:tc>
          <w:tcPr>
            <w:tcW w:w="9060" w:type="dxa"/>
            <w:vAlign w:val="bottom"/>
          </w:tcPr>
          <w:p>
            <w:pPr>
              <w:ind w:left="300"/>
              <w:spacing w:after="0"/>
              <w:rPr>
                <w:sz w:val="20"/>
                <w:szCs w:val="20"/>
                <w:color w:val="auto"/>
              </w:rPr>
            </w:pPr>
            <w:r>
              <w:rPr>
                <w:rFonts w:ascii="Arial" w:cs="Arial" w:eastAsia="Arial" w:hAnsi="Arial"/>
                <w:sz w:val="16"/>
                <w:szCs w:val="16"/>
                <w:color w:val="auto"/>
              </w:rPr>
              <w:t>Statistical Surveys, Inc.</w:t>
            </w:r>
          </w:p>
        </w:tc>
      </w:tr>
      <w:tr>
        <w:trPr>
          <w:trHeight w:val="70"/>
        </w:trPr>
        <w:tc>
          <w:tcPr>
            <w:tcW w:w="2360" w:type="dxa"/>
            <w:vAlign w:val="bottom"/>
          </w:tcPr>
          <w:p>
            <w:pPr>
              <w:spacing w:after="0"/>
              <w:rPr>
                <w:sz w:val="6"/>
                <w:szCs w:val="6"/>
                <w:color w:val="auto"/>
              </w:rPr>
            </w:pPr>
          </w:p>
        </w:tc>
        <w:tc>
          <w:tcPr>
            <w:tcW w:w="9060" w:type="dxa"/>
            <w:vAlign w:val="bottom"/>
          </w:tcPr>
          <w:p>
            <w:pPr>
              <w:spacing w:after="0"/>
              <w:rPr>
                <w:sz w:val="6"/>
                <w:szCs w:val="6"/>
                <w:color w:val="auto"/>
              </w:rPr>
            </w:pPr>
          </w:p>
        </w:tc>
      </w:tr>
      <w:tr>
        <w:trPr>
          <w:trHeight w:val="228"/>
        </w:trPr>
        <w:tc>
          <w:tcPr>
            <w:tcW w:w="2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Towables</w:t>
            </w:r>
          </w:p>
        </w:tc>
        <w:tc>
          <w:tcPr>
            <w:tcW w:w="9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Winnebago of Indiana, LLC, a wholly-owned subsidiary of Winnebago Industries, Inc.</w:t>
            </w:r>
          </w:p>
        </w:tc>
      </w:tr>
      <w:tr>
        <w:trPr>
          <w:trHeight w:val="70"/>
        </w:trPr>
        <w:tc>
          <w:tcPr>
            <w:tcW w:w="2360" w:type="dxa"/>
            <w:vAlign w:val="bottom"/>
            <w:shd w:val="clear" w:color="auto" w:fill="CCEEFF"/>
          </w:tcPr>
          <w:p>
            <w:pPr>
              <w:spacing w:after="0"/>
              <w:rPr>
                <w:sz w:val="6"/>
                <w:szCs w:val="6"/>
                <w:color w:val="auto"/>
              </w:rPr>
            </w:pPr>
          </w:p>
        </w:tc>
        <w:tc>
          <w:tcPr>
            <w:tcW w:w="9060" w:type="dxa"/>
            <w:vAlign w:val="bottom"/>
            <w:shd w:val="clear" w:color="auto" w:fill="CCEEFF"/>
          </w:tcPr>
          <w:p>
            <w:pPr>
              <w:spacing w:after="0"/>
              <w:rPr>
                <w:sz w:val="6"/>
                <w:szCs w:val="6"/>
                <w:color w:val="auto"/>
              </w:rPr>
            </w:pPr>
          </w:p>
        </w:tc>
      </w:tr>
      <w:tr>
        <w:trPr>
          <w:trHeight w:val="228"/>
        </w:trPr>
        <w:tc>
          <w:tcPr>
            <w:tcW w:w="2360" w:type="dxa"/>
            <w:vAlign w:val="bottom"/>
          </w:tcPr>
          <w:p>
            <w:pPr>
              <w:ind w:left="40"/>
              <w:spacing w:after="0"/>
              <w:rPr>
                <w:sz w:val="20"/>
                <w:szCs w:val="20"/>
                <w:color w:val="auto"/>
              </w:rPr>
            </w:pPr>
            <w:r>
              <w:rPr>
                <w:rFonts w:ascii="Arial" w:cs="Arial" w:eastAsia="Arial" w:hAnsi="Arial"/>
                <w:sz w:val="16"/>
                <w:szCs w:val="16"/>
                <w:color w:val="auto"/>
              </w:rPr>
              <w:t>US</w:t>
            </w:r>
          </w:p>
        </w:tc>
        <w:tc>
          <w:tcPr>
            <w:tcW w:w="9060" w:type="dxa"/>
            <w:vAlign w:val="bottom"/>
          </w:tcPr>
          <w:p>
            <w:pPr>
              <w:ind w:left="300"/>
              <w:spacing w:after="0"/>
              <w:rPr>
                <w:sz w:val="20"/>
                <w:szCs w:val="20"/>
                <w:color w:val="auto"/>
              </w:rPr>
            </w:pPr>
            <w:r>
              <w:rPr>
                <w:rFonts w:ascii="Arial" w:cs="Arial" w:eastAsia="Arial" w:hAnsi="Arial"/>
                <w:sz w:val="16"/>
                <w:szCs w:val="16"/>
                <w:color w:val="auto"/>
              </w:rPr>
              <w:t>United States of America</w:t>
            </w:r>
          </w:p>
        </w:tc>
      </w:tr>
      <w:tr>
        <w:trPr>
          <w:trHeight w:val="70"/>
        </w:trPr>
        <w:tc>
          <w:tcPr>
            <w:tcW w:w="2360" w:type="dxa"/>
            <w:vAlign w:val="bottom"/>
          </w:tcPr>
          <w:p>
            <w:pPr>
              <w:spacing w:after="0"/>
              <w:rPr>
                <w:sz w:val="6"/>
                <w:szCs w:val="6"/>
                <w:color w:val="auto"/>
              </w:rPr>
            </w:pPr>
          </w:p>
        </w:tc>
        <w:tc>
          <w:tcPr>
            <w:tcW w:w="9060" w:type="dxa"/>
            <w:vAlign w:val="bottom"/>
          </w:tcPr>
          <w:p>
            <w:pPr>
              <w:spacing w:after="0"/>
              <w:rPr>
                <w:sz w:val="6"/>
                <w:szCs w:val="6"/>
                <w:color w:val="auto"/>
              </w:rPr>
            </w:pPr>
          </w:p>
        </w:tc>
      </w:tr>
      <w:tr>
        <w:trPr>
          <w:trHeight w:val="228"/>
        </w:trPr>
        <w:tc>
          <w:tcPr>
            <w:tcW w:w="2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XBRL</w:t>
            </w:r>
          </w:p>
        </w:tc>
        <w:tc>
          <w:tcPr>
            <w:tcW w:w="9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eXtensible Business Reporting Language</w:t>
            </w:r>
          </w:p>
        </w:tc>
      </w:tr>
      <w:tr>
        <w:trPr>
          <w:trHeight w:val="70"/>
        </w:trPr>
        <w:tc>
          <w:tcPr>
            <w:tcW w:w="2360" w:type="dxa"/>
            <w:vAlign w:val="bottom"/>
            <w:shd w:val="clear" w:color="auto" w:fill="CCEEFF"/>
          </w:tcPr>
          <w:p>
            <w:pPr>
              <w:spacing w:after="0"/>
              <w:rPr>
                <w:sz w:val="6"/>
                <w:szCs w:val="6"/>
                <w:color w:val="auto"/>
              </w:rPr>
            </w:pPr>
          </w:p>
        </w:tc>
        <w:tc>
          <w:tcPr>
            <w:tcW w:w="9060" w:type="dxa"/>
            <w:vAlign w:val="bottom"/>
            <w:shd w:val="clear" w:color="auto" w:fill="CCEEFF"/>
          </w:tcPr>
          <w:p>
            <w:pPr>
              <w:spacing w:after="0"/>
              <w:rPr>
                <w:sz w:val="6"/>
                <w:szCs w:val="6"/>
                <w:color w:val="auto"/>
              </w:rPr>
            </w:pPr>
          </w:p>
        </w:tc>
      </w:tr>
      <w:tr>
        <w:trPr>
          <w:trHeight w:val="228"/>
        </w:trPr>
        <w:tc>
          <w:tcPr>
            <w:tcW w:w="2360" w:type="dxa"/>
            <w:vAlign w:val="bottom"/>
          </w:tcPr>
          <w:p>
            <w:pPr>
              <w:ind w:left="40"/>
              <w:spacing w:after="0"/>
              <w:rPr>
                <w:sz w:val="20"/>
                <w:szCs w:val="20"/>
                <w:color w:val="auto"/>
              </w:rPr>
            </w:pPr>
            <w:r>
              <w:rPr>
                <w:rFonts w:ascii="Arial" w:cs="Arial" w:eastAsia="Arial" w:hAnsi="Arial"/>
                <w:sz w:val="16"/>
                <w:szCs w:val="16"/>
                <w:color w:val="auto"/>
              </w:rPr>
              <w:t>YTD</w:t>
            </w:r>
          </w:p>
        </w:tc>
        <w:tc>
          <w:tcPr>
            <w:tcW w:w="9060" w:type="dxa"/>
            <w:vAlign w:val="bottom"/>
          </w:tcPr>
          <w:p>
            <w:pPr>
              <w:ind w:left="300"/>
              <w:spacing w:after="0"/>
              <w:rPr>
                <w:sz w:val="20"/>
                <w:szCs w:val="20"/>
                <w:color w:val="auto"/>
              </w:rPr>
            </w:pPr>
            <w:r>
              <w:rPr>
                <w:rFonts w:ascii="Arial" w:cs="Arial" w:eastAsia="Arial" w:hAnsi="Arial"/>
                <w:sz w:val="16"/>
                <w:szCs w:val="16"/>
                <w:color w:val="auto"/>
              </w:rPr>
              <w:t>Year To Date</w:t>
            </w:r>
          </w:p>
        </w:tc>
      </w:tr>
      <w:tr>
        <w:trPr>
          <w:trHeight w:val="918"/>
        </w:trPr>
        <w:tc>
          <w:tcPr>
            <w:tcW w:w="2360" w:type="dxa"/>
            <w:vAlign w:val="bottom"/>
          </w:tcPr>
          <w:p>
            <w:pPr>
              <w:spacing w:after="0"/>
              <w:rPr>
                <w:sz w:val="24"/>
                <w:szCs w:val="24"/>
                <w:color w:val="auto"/>
              </w:rPr>
            </w:pPr>
          </w:p>
        </w:tc>
        <w:tc>
          <w:tcPr>
            <w:tcW w:w="9060" w:type="dxa"/>
            <w:vAlign w:val="bottom"/>
          </w:tcPr>
          <w:p>
            <w:pPr>
              <w:ind w:left="3300"/>
              <w:spacing w:after="0"/>
              <w:rPr>
                <w:sz w:val="20"/>
                <w:szCs w:val="20"/>
                <w:color w:val="auto"/>
              </w:rPr>
            </w:pPr>
            <w:r>
              <w:rPr>
                <w:rFonts w:ascii="Arial" w:cs="Arial" w:eastAsia="Arial" w:hAnsi="Arial"/>
                <w:sz w:val="16"/>
                <w:szCs w:val="16"/>
                <w:color w:val="auto"/>
              </w:rPr>
              <w:t>1</w:t>
            </w:r>
          </w:p>
        </w:tc>
      </w:tr>
    </w:tbl>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 FINANCIAL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Condensed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Winnebago Industries, Inc.</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Statements of Income and Comprehensive Income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4"/>
          </w:tcPr>
          <w:p>
            <w:pPr>
              <w:jc w:val="right"/>
              <w:ind w:right="87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jc w:val="right"/>
              <w:ind w:right="719"/>
              <w:spacing w:after="0"/>
              <w:rPr>
                <w:sz w:val="20"/>
                <w:szCs w:val="20"/>
                <w:color w:val="auto"/>
              </w:rPr>
            </w:pPr>
            <w:r>
              <w:rPr>
                <w:rFonts w:ascii="Arial" w:cs="Arial" w:eastAsia="Arial" w:hAnsi="Arial"/>
                <w:sz w:val="16"/>
                <w:szCs w:val="16"/>
                <w:b w:val="1"/>
                <w:bCs w:val="1"/>
                <w:color w:val="auto"/>
              </w:rPr>
              <w:t>Nine Months Ended</w:t>
            </w:r>
          </w:p>
        </w:tc>
      </w:tr>
      <w:tr>
        <w:trPr>
          <w:trHeight w:val="193"/>
        </w:trPr>
        <w:tc>
          <w:tcPr>
            <w:tcW w:w="4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80" w:type="dxa"/>
            <w:vAlign w:val="bottom"/>
            <w:gridSpan w:val="2"/>
          </w:tcPr>
          <w:p>
            <w:pPr>
              <w:ind w:left="200"/>
              <w:spacing w:after="0"/>
              <w:rPr>
                <w:sz w:val="20"/>
                <w:szCs w:val="20"/>
                <w:color w:val="auto"/>
              </w:rPr>
            </w:pPr>
            <w:r>
              <w:rPr>
                <w:rFonts w:ascii="Arial" w:cs="Arial" w:eastAsia="Arial" w:hAnsi="Arial"/>
                <w:sz w:val="16"/>
                <w:szCs w:val="16"/>
                <w:b w:val="1"/>
                <w:bCs w:val="1"/>
                <w:color w:val="auto"/>
              </w:rPr>
              <w:t>May 30,</w:t>
            </w:r>
          </w:p>
        </w:tc>
        <w:tc>
          <w:tcPr>
            <w:tcW w:w="340" w:type="dxa"/>
            <w:vAlign w:val="bottom"/>
          </w:tcPr>
          <w:p>
            <w:pPr>
              <w:spacing w:after="0"/>
              <w:rPr>
                <w:sz w:val="16"/>
                <w:szCs w:val="16"/>
                <w:color w:val="auto"/>
              </w:rPr>
            </w:pPr>
          </w:p>
        </w:tc>
        <w:tc>
          <w:tcPr>
            <w:tcW w:w="1480" w:type="dxa"/>
            <w:vAlign w:val="bottom"/>
            <w:gridSpan w:val="2"/>
          </w:tcPr>
          <w:p>
            <w:pPr>
              <w:ind w:left="200"/>
              <w:spacing w:after="0"/>
              <w:rPr>
                <w:sz w:val="20"/>
                <w:szCs w:val="20"/>
                <w:color w:val="auto"/>
              </w:rPr>
            </w:pPr>
            <w:r>
              <w:rPr>
                <w:rFonts w:ascii="Arial" w:cs="Arial" w:eastAsia="Arial" w:hAnsi="Arial"/>
                <w:sz w:val="16"/>
                <w:szCs w:val="16"/>
                <w:b w:val="1"/>
                <w:bCs w:val="1"/>
                <w:color w:val="auto"/>
              </w:rPr>
              <w:t>May 31,</w:t>
            </w:r>
          </w:p>
        </w:tc>
        <w:tc>
          <w:tcPr>
            <w:tcW w:w="280" w:type="dxa"/>
            <w:vAlign w:val="bottom"/>
          </w:tcPr>
          <w:p>
            <w:pPr>
              <w:spacing w:after="0"/>
              <w:rPr>
                <w:sz w:val="16"/>
                <w:szCs w:val="16"/>
                <w:color w:val="auto"/>
              </w:rPr>
            </w:pPr>
          </w:p>
        </w:tc>
        <w:tc>
          <w:tcPr>
            <w:tcW w:w="1340" w:type="dxa"/>
            <w:vAlign w:val="bottom"/>
            <w:gridSpan w:val="2"/>
          </w:tcPr>
          <w:p>
            <w:pPr>
              <w:ind w:left="160"/>
              <w:spacing w:after="0"/>
              <w:rPr>
                <w:sz w:val="20"/>
                <w:szCs w:val="20"/>
                <w:color w:val="auto"/>
              </w:rPr>
            </w:pPr>
            <w:r>
              <w:rPr>
                <w:rFonts w:ascii="Arial" w:cs="Arial" w:eastAsia="Arial" w:hAnsi="Arial"/>
                <w:sz w:val="16"/>
                <w:szCs w:val="16"/>
                <w:b w:val="1"/>
                <w:bCs w:val="1"/>
                <w:color w:val="auto"/>
              </w:rPr>
              <w:t>May 30,</w:t>
            </w:r>
          </w:p>
        </w:tc>
        <w:tc>
          <w:tcPr>
            <w:tcW w:w="280" w:type="dxa"/>
            <w:vAlign w:val="bottom"/>
          </w:tcPr>
          <w:p>
            <w:pPr>
              <w:spacing w:after="0"/>
              <w:rPr>
                <w:sz w:val="16"/>
                <w:szCs w:val="16"/>
                <w:color w:val="auto"/>
              </w:rPr>
            </w:pPr>
          </w:p>
        </w:tc>
        <w:tc>
          <w:tcPr>
            <w:tcW w:w="1240" w:type="dxa"/>
            <w:vAlign w:val="bottom"/>
          </w:tcPr>
          <w:p>
            <w:pPr>
              <w:jc w:val="right"/>
              <w:ind w:right="399"/>
              <w:spacing w:after="0"/>
              <w:rPr>
                <w:sz w:val="20"/>
                <w:szCs w:val="20"/>
                <w:color w:val="auto"/>
              </w:rPr>
            </w:pPr>
            <w:r>
              <w:rPr>
                <w:rFonts w:ascii="Arial" w:cs="Arial" w:eastAsia="Arial" w:hAnsi="Arial"/>
                <w:sz w:val="16"/>
                <w:szCs w:val="16"/>
                <w:b w:val="1"/>
                <w:bCs w:val="1"/>
                <w:color w:val="auto"/>
              </w:rPr>
              <w:t>May 31,</w:t>
            </w:r>
          </w:p>
        </w:tc>
      </w:tr>
      <w:tr>
        <w:trPr>
          <w:trHeight w:val="232"/>
        </w:trPr>
        <w:tc>
          <w:tcPr>
            <w:tcW w:w="45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2014</w:t>
            </w:r>
          </w:p>
        </w:tc>
      </w:tr>
      <w:tr>
        <w:trPr>
          <w:trHeight w:val="254"/>
        </w:trPr>
        <w:tc>
          <w:tcPr>
            <w:tcW w:w="4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266,510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247,747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725,456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699,228</w:t>
            </w:r>
          </w:p>
        </w:tc>
      </w:tr>
      <w:tr>
        <w:trPr>
          <w:trHeight w:val="264"/>
        </w:trPr>
        <w:tc>
          <w:tcPr>
            <w:tcW w:w="46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Cost of goods sold</w:t>
            </w:r>
          </w:p>
        </w:tc>
        <w:tc>
          <w:tcPr>
            <w:tcW w:w="3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238,327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221,266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648,629</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623,940</w:t>
            </w:r>
          </w:p>
        </w:tc>
      </w:tr>
      <w:tr>
        <w:trPr>
          <w:trHeight w:val="257"/>
        </w:trPr>
        <w:tc>
          <w:tcPr>
            <w:tcW w:w="4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34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28,183</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26,481</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76,827</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75,288</w:t>
            </w:r>
          </w:p>
        </w:tc>
      </w:tr>
      <w:tr>
        <w:trPr>
          <w:trHeight w:val="256"/>
        </w:trPr>
        <w:tc>
          <w:tcPr>
            <w:tcW w:w="4640" w:type="dxa"/>
            <w:vAlign w:val="bottom"/>
            <w:gridSpan w:val="2"/>
          </w:tcPr>
          <w:p>
            <w:pPr>
              <w:ind w:left="40"/>
              <w:spacing w:after="0"/>
              <w:rPr>
                <w:sz w:val="20"/>
                <w:szCs w:val="20"/>
                <w:color w:val="auto"/>
              </w:rPr>
            </w:pPr>
            <w:r>
              <w:rPr>
                <w:rFonts w:ascii="Arial" w:cs="Arial" w:eastAsia="Arial" w:hAnsi="Arial"/>
                <w:sz w:val="16"/>
                <w:szCs w:val="16"/>
                <w:color w:val="auto"/>
              </w:rPr>
              <w:t>Operating expenses:</w:t>
            </w:r>
          </w:p>
        </w:tc>
        <w:tc>
          <w:tcPr>
            <w:tcW w:w="3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8"/>
        </w:trPr>
        <w:tc>
          <w:tcPr>
            <w:tcW w:w="46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Selling</w:t>
            </w:r>
          </w:p>
        </w:tc>
        <w:tc>
          <w:tcPr>
            <w:tcW w:w="34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5,150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4,887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14,703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13,709</w:t>
            </w:r>
          </w:p>
        </w:tc>
      </w:tr>
      <w:tr>
        <w:trPr>
          <w:trHeight w:val="262"/>
        </w:trPr>
        <w:tc>
          <w:tcPr>
            <w:tcW w:w="4640" w:type="dxa"/>
            <w:vAlign w:val="bottom"/>
            <w:gridSpan w:val="2"/>
          </w:tcPr>
          <w:p>
            <w:pPr>
              <w:ind w:left="280"/>
              <w:spacing w:after="0"/>
              <w:rPr>
                <w:sz w:val="20"/>
                <w:szCs w:val="20"/>
                <w:color w:val="auto"/>
              </w:rPr>
            </w:pPr>
            <w:r>
              <w:rPr>
                <w:rFonts w:ascii="Arial" w:cs="Arial" w:eastAsia="Arial" w:hAnsi="Arial"/>
                <w:sz w:val="16"/>
                <w:szCs w:val="16"/>
                <w:color w:val="auto"/>
              </w:rPr>
              <w:t>General and administrative</w:t>
            </w:r>
          </w:p>
        </w:tc>
        <w:tc>
          <w:tcPr>
            <w:tcW w:w="340" w:type="dxa"/>
            <w:vAlign w:val="bottom"/>
          </w:tcPr>
          <w:p>
            <w:pPr>
              <w:spacing w:after="0"/>
              <w:rPr>
                <w:sz w:val="22"/>
                <w:szCs w:val="22"/>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6,453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6,005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19,154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16,577</w:t>
            </w:r>
          </w:p>
        </w:tc>
      </w:tr>
      <w:tr>
        <w:trPr>
          <w:trHeight w:val="271"/>
        </w:trPr>
        <w:tc>
          <w:tcPr>
            <w:tcW w:w="46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Impairment (gain) on fixed assets</w:t>
            </w:r>
          </w:p>
        </w:tc>
        <w:tc>
          <w:tcPr>
            <w:tcW w:w="34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462</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462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(629)</w:t>
            </w:r>
          </w:p>
        </w:tc>
      </w:tr>
      <w:tr>
        <w:trPr>
          <w:trHeight w:val="250"/>
        </w:trPr>
        <w:tc>
          <w:tcPr>
            <w:tcW w:w="464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rPr>
              <w:t>12,065</w:t>
            </w:r>
          </w:p>
        </w:tc>
        <w:tc>
          <w:tcPr>
            <w:tcW w:w="1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rPr>
              <w:t>10,892</w:t>
            </w:r>
          </w:p>
        </w:tc>
        <w:tc>
          <w:tcPr>
            <w:tcW w:w="1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rPr>
              <w:t>34,319</w:t>
            </w:r>
          </w:p>
        </w:tc>
        <w:tc>
          <w:tcPr>
            <w:tcW w:w="1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rPr>
              <w:t>29,657</w:t>
            </w:r>
          </w:p>
        </w:tc>
      </w:tr>
      <w:tr>
        <w:trPr>
          <w:trHeight w:val="257"/>
        </w:trPr>
        <w:tc>
          <w:tcPr>
            <w:tcW w:w="4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34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16,118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15,589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42,508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45,631</w:t>
            </w:r>
          </w:p>
        </w:tc>
      </w:tr>
      <w:tr>
        <w:trPr>
          <w:trHeight w:val="264"/>
        </w:trPr>
        <w:tc>
          <w:tcPr>
            <w:tcW w:w="4640" w:type="dxa"/>
            <w:vAlign w:val="bottom"/>
            <w:gridSpan w:val="2"/>
          </w:tcPr>
          <w:p>
            <w:pPr>
              <w:ind w:left="40"/>
              <w:spacing w:after="0"/>
              <w:rPr>
                <w:sz w:val="20"/>
                <w:szCs w:val="20"/>
                <w:color w:val="auto"/>
              </w:rPr>
            </w:pPr>
            <w:r>
              <w:rPr>
                <w:rFonts w:ascii="Arial" w:cs="Arial" w:eastAsia="Arial" w:hAnsi="Arial"/>
                <w:sz w:val="16"/>
                <w:szCs w:val="16"/>
                <w:color w:val="auto"/>
              </w:rPr>
              <w:t>Non-operating income</w:t>
            </w:r>
          </w:p>
        </w:tc>
        <w:tc>
          <w:tcPr>
            <w:tcW w:w="340" w:type="dxa"/>
            <w:vAlign w:val="bottom"/>
          </w:tcPr>
          <w:p>
            <w:pPr>
              <w:spacing w:after="0"/>
              <w:rPr>
                <w:sz w:val="22"/>
                <w:szCs w:val="22"/>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735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752</w:t>
            </w:r>
          </w:p>
        </w:tc>
      </w:tr>
      <w:tr>
        <w:trPr>
          <w:trHeight w:val="257"/>
        </w:trPr>
        <w:tc>
          <w:tcPr>
            <w:tcW w:w="464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340" w:type="dxa"/>
            <w:vAlign w:val="bottom"/>
            <w:tcBorders>
              <w:top w:val="single" w:sz="8" w:color="auto"/>
            </w:tcBorders>
            <w:shd w:val="clear" w:color="auto" w:fill="CCEEFF"/>
          </w:tcPr>
          <w:p>
            <w:pPr>
              <w:spacing w:after="0"/>
              <w:rPr>
                <w:sz w:val="22"/>
                <w:szCs w:val="22"/>
                <w:color w:val="auto"/>
              </w:rPr>
            </w:pPr>
          </w:p>
        </w:tc>
        <w:tc>
          <w:tcPr>
            <w:tcW w:w="138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16,118</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38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16,324</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42,543</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46,383</w:t>
            </w:r>
          </w:p>
        </w:tc>
      </w:tr>
      <w:tr>
        <w:trPr>
          <w:trHeight w:val="264"/>
        </w:trPr>
        <w:tc>
          <w:tcPr>
            <w:tcW w:w="46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Provision for taxes</w:t>
            </w:r>
          </w:p>
        </w:tc>
        <w:tc>
          <w:tcPr>
            <w:tcW w:w="3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4,616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4,939</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13,050</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14,259</w:t>
            </w:r>
          </w:p>
        </w:tc>
      </w:tr>
      <w:tr>
        <w:trPr>
          <w:trHeight w:val="242"/>
        </w:trPr>
        <w:tc>
          <w:tcPr>
            <w:tcW w:w="4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11,502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11,385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29,493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32,124</w:t>
            </w:r>
          </w:p>
        </w:tc>
      </w:tr>
      <w:tr>
        <w:trPr>
          <w:trHeight w:val="20"/>
        </w:trPr>
        <w:tc>
          <w:tcPr>
            <w:tcW w:w="4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65"/>
        </w:trPr>
        <w:tc>
          <w:tcPr>
            <w:tcW w:w="4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4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per common share:</w:t>
            </w:r>
          </w:p>
        </w:tc>
        <w:tc>
          <w:tcPr>
            <w:tcW w:w="3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2"/>
        </w:trPr>
        <w:tc>
          <w:tcPr>
            <w:tcW w:w="4640" w:type="dxa"/>
            <w:vAlign w:val="bottom"/>
            <w:gridSpan w:val="2"/>
          </w:tcPr>
          <w:p>
            <w:pPr>
              <w:ind w:left="280"/>
              <w:spacing w:after="0"/>
              <w:rPr>
                <w:sz w:val="20"/>
                <w:szCs w:val="20"/>
                <w:color w:val="auto"/>
              </w:rPr>
            </w:pPr>
            <w:r>
              <w:rPr>
                <w:rFonts w:ascii="Arial" w:cs="Arial" w:eastAsia="Arial" w:hAnsi="Arial"/>
                <w:sz w:val="16"/>
                <w:szCs w:val="16"/>
                <w:color w:val="auto"/>
              </w:rPr>
              <w:t>Basic</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0.43</w:t>
            </w:r>
          </w:p>
        </w:tc>
        <w:tc>
          <w:tcPr>
            <w:tcW w:w="10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0.42</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1.17</w:t>
            </w:r>
          </w:p>
        </w:tc>
      </w:tr>
      <w:tr>
        <w:trPr>
          <w:trHeight w:val="278"/>
        </w:trPr>
        <w:tc>
          <w:tcPr>
            <w:tcW w:w="46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0.43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0.42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1.09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1.16</w:t>
            </w:r>
          </w:p>
        </w:tc>
      </w:tr>
      <w:tr>
        <w:trPr>
          <w:trHeight w:val="284"/>
        </w:trPr>
        <w:tc>
          <w:tcPr>
            <w:tcW w:w="4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0"/>
        </w:trPr>
        <w:tc>
          <w:tcPr>
            <w:tcW w:w="4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3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2"/>
        </w:trPr>
        <w:tc>
          <w:tcPr>
            <w:tcW w:w="4640" w:type="dxa"/>
            <w:vAlign w:val="bottom"/>
            <w:gridSpan w:val="2"/>
          </w:tcPr>
          <w:p>
            <w:pPr>
              <w:ind w:left="280"/>
              <w:spacing w:after="0"/>
              <w:rPr>
                <w:sz w:val="20"/>
                <w:szCs w:val="20"/>
                <w:color w:val="auto"/>
              </w:rPr>
            </w:pPr>
            <w:r>
              <w:rPr>
                <w:rFonts w:ascii="Arial" w:cs="Arial" w:eastAsia="Arial" w:hAnsi="Arial"/>
                <w:sz w:val="16"/>
                <w:szCs w:val="16"/>
                <w:color w:val="auto"/>
              </w:rPr>
              <w:t>Basic</w:t>
            </w:r>
          </w:p>
        </w:tc>
        <w:tc>
          <w:tcPr>
            <w:tcW w:w="340" w:type="dxa"/>
            <w:vAlign w:val="bottom"/>
          </w:tcPr>
          <w:p>
            <w:pPr>
              <w:spacing w:after="0"/>
              <w:rPr>
                <w:sz w:val="22"/>
                <w:szCs w:val="22"/>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26,932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27,209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26,942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27,552</w:t>
            </w:r>
          </w:p>
        </w:tc>
      </w:tr>
      <w:tr>
        <w:trPr>
          <w:trHeight w:val="278"/>
        </w:trPr>
        <w:tc>
          <w:tcPr>
            <w:tcW w:w="46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34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27,030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27,319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27,042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27,666</w:t>
            </w:r>
          </w:p>
        </w:tc>
      </w:tr>
      <w:tr>
        <w:trPr>
          <w:trHeight w:val="284"/>
        </w:trPr>
        <w:tc>
          <w:tcPr>
            <w:tcW w:w="4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0"/>
        </w:trPr>
        <w:tc>
          <w:tcPr>
            <w:tcW w:w="4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11,502</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11,385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29,493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32,124</w:t>
            </w:r>
          </w:p>
        </w:tc>
      </w:tr>
      <w:tr>
        <w:trPr>
          <w:trHeight w:val="262"/>
        </w:trPr>
        <w:tc>
          <w:tcPr>
            <w:tcW w:w="4640" w:type="dxa"/>
            <w:vAlign w:val="bottom"/>
            <w:gridSpan w:val="2"/>
          </w:tcPr>
          <w:p>
            <w:pPr>
              <w:ind w:left="40"/>
              <w:spacing w:after="0"/>
              <w:rPr>
                <w:sz w:val="20"/>
                <w:szCs w:val="20"/>
                <w:color w:val="auto"/>
              </w:rPr>
            </w:pPr>
            <w:r>
              <w:rPr>
                <w:rFonts w:ascii="Arial" w:cs="Arial" w:eastAsia="Arial" w:hAnsi="Arial"/>
                <w:sz w:val="16"/>
                <w:szCs w:val="16"/>
                <w:color w:val="auto"/>
              </w:rPr>
              <w:t>Other comprehensive income (loss):</w:t>
            </w:r>
          </w:p>
        </w:tc>
        <w:tc>
          <w:tcPr>
            <w:tcW w:w="3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06"/>
        </w:trPr>
        <w:tc>
          <w:tcPr>
            <w:tcW w:w="46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Amortization of prior service credit</w:t>
            </w:r>
          </w:p>
        </w:tc>
        <w:tc>
          <w:tcPr>
            <w:tcW w:w="3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34"/>
        </w:trPr>
        <w:tc>
          <w:tcPr>
            <w:tcW w:w="464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(net of tax of $556, $557, $1,554 and $1,567)</w:t>
            </w:r>
          </w:p>
        </w:tc>
        <w:tc>
          <w:tcPr>
            <w:tcW w:w="34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(903)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(925)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(2,525)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(2,601)</w:t>
            </w:r>
          </w:p>
        </w:tc>
      </w:tr>
      <w:tr>
        <w:trPr>
          <w:trHeight w:val="198"/>
        </w:trPr>
        <w:tc>
          <w:tcPr>
            <w:tcW w:w="4640" w:type="dxa"/>
            <w:vAlign w:val="bottom"/>
            <w:gridSpan w:val="2"/>
          </w:tcPr>
          <w:p>
            <w:pPr>
              <w:ind w:left="280"/>
              <w:spacing w:after="0"/>
              <w:rPr>
                <w:sz w:val="20"/>
                <w:szCs w:val="20"/>
                <w:color w:val="auto"/>
              </w:rPr>
            </w:pPr>
            <w:r>
              <w:rPr>
                <w:rFonts w:ascii="Arial" w:cs="Arial" w:eastAsia="Arial" w:hAnsi="Arial"/>
                <w:sz w:val="16"/>
                <w:szCs w:val="16"/>
                <w:color w:val="auto"/>
              </w:rPr>
              <w:t>Amortization of net actuarial loss</w:t>
            </w:r>
          </w:p>
        </w:tc>
        <w:tc>
          <w:tcPr>
            <w:tcW w:w="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26"/>
        </w:trPr>
        <w:tc>
          <w:tcPr>
            <w:tcW w:w="4640" w:type="dxa"/>
            <w:vAlign w:val="bottom"/>
            <w:gridSpan w:val="2"/>
          </w:tcPr>
          <w:p>
            <w:pPr>
              <w:ind w:left="360"/>
              <w:spacing w:after="0"/>
              <w:rPr>
                <w:sz w:val="20"/>
                <w:szCs w:val="20"/>
                <w:color w:val="auto"/>
              </w:rPr>
            </w:pPr>
            <w:r>
              <w:rPr>
                <w:rFonts w:ascii="Arial" w:cs="Arial" w:eastAsia="Arial" w:hAnsi="Arial"/>
                <w:sz w:val="16"/>
                <w:szCs w:val="16"/>
                <w:color w:val="auto"/>
              </w:rPr>
              <w:t>(net of tax of $154, $103, $412 and $304)</w:t>
            </w:r>
          </w:p>
        </w:tc>
        <w:tc>
          <w:tcPr>
            <w:tcW w:w="340" w:type="dxa"/>
            <w:vAlign w:val="bottom"/>
          </w:tcPr>
          <w:p>
            <w:pPr>
              <w:spacing w:after="0"/>
              <w:rPr>
                <w:sz w:val="19"/>
                <w:szCs w:val="19"/>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249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173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668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505</w:t>
            </w:r>
          </w:p>
        </w:tc>
      </w:tr>
      <w:tr>
        <w:trPr>
          <w:trHeight w:val="206"/>
        </w:trPr>
        <w:tc>
          <w:tcPr>
            <w:tcW w:w="46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Plan amendment</w:t>
            </w:r>
          </w:p>
        </w:tc>
        <w:tc>
          <w:tcPr>
            <w:tcW w:w="3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34"/>
        </w:trPr>
        <w:tc>
          <w:tcPr>
            <w:tcW w:w="464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(net of tax of $0, $0, $581 and $1,346)</w:t>
            </w:r>
          </w:p>
        </w:tc>
        <w:tc>
          <w:tcPr>
            <w:tcW w:w="34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944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2,234</w:t>
            </w:r>
          </w:p>
        </w:tc>
      </w:tr>
      <w:tr>
        <w:trPr>
          <w:trHeight w:val="198"/>
        </w:trPr>
        <w:tc>
          <w:tcPr>
            <w:tcW w:w="4640" w:type="dxa"/>
            <w:vAlign w:val="bottom"/>
            <w:gridSpan w:val="2"/>
          </w:tcPr>
          <w:p>
            <w:pPr>
              <w:ind w:left="280"/>
              <w:spacing w:after="0"/>
              <w:rPr>
                <w:sz w:val="20"/>
                <w:szCs w:val="20"/>
                <w:color w:val="auto"/>
              </w:rPr>
            </w:pPr>
            <w:r>
              <w:rPr>
                <w:rFonts w:ascii="Arial" w:cs="Arial" w:eastAsia="Arial" w:hAnsi="Arial"/>
                <w:sz w:val="16"/>
                <w:szCs w:val="16"/>
                <w:color w:val="auto"/>
              </w:rPr>
              <w:t>Unrealized appreciation of investments</w:t>
            </w:r>
          </w:p>
        </w:tc>
        <w:tc>
          <w:tcPr>
            <w:tcW w:w="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28"/>
        </w:trPr>
        <w:tc>
          <w:tcPr>
            <w:tcW w:w="4640" w:type="dxa"/>
            <w:vAlign w:val="bottom"/>
            <w:gridSpan w:val="2"/>
          </w:tcPr>
          <w:p>
            <w:pPr>
              <w:ind w:left="360"/>
              <w:spacing w:after="0"/>
              <w:rPr>
                <w:sz w:val="20"/>
                <w:szCs w:val="20"/>
                <w:color w:val="auto"/>
              </w:rPr>
            </w:pPr>
            <w:r>
              <w:rPr>
                <w:rFonts w:ascii="Arial" w:cs="Arial" w:eastAsia="Arial" w:hAnsi="Arial"/>
                <w:sz w:val="16"/>
                <w:szCs w:val="16"/>
                <w:color w:val="auto"/>
              </w:rPr>
              <w:t>(net of tax of $0, $0, $0 and $91)</w:t>
            </w:r>
          </w:p>
        </w:tc>
        <w:tc>
          <w:tcPr>
            <w:tcW w:w="340" w:type="dxa"/>
            <w:vAlign w:val="bottom"/>
          </w:tcPr>
          <w:p>
            <w:pPr>
              <w:spacing w:after="0"/>
              <w:rPr>
                <w:sz w:val="19"/>
                <w:szCs w:val="19"/>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151</w:t>
            </w:r>
          </w:p>
        </w:tc>
      </w:tr>
      <w:tr>
        <w:trPr>
          <w:trHeight w:val="250"/>
        </w:trPr>
        <w:tc>
          <w:tcPr>
            <w:tcW w:w="4640" w:type="dxa"/>
            <w:vAlign w:val="bottom"/>
            <w:tcBorders>
              <w:top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Total other comprehensive (loss) income</w:t>
            </w: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(654)</w:t>
            </w: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(752)</w:t>
            </w: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(913)</w:t>
            </w: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289</w:t>
            </w:r>
          </w:p>
        </w:tc>
      </w:tr>
      <w:tr>
        <w:trPr>
          <w:trHeight w:val="242"/>
        </w:trPr>
        <w:tc>
          <w:tcPr>
            <w:tcW w:w="4640" w:type="dxa"/>
            <w:vAlign w:val="bottom"/>
            <w:gridSpan w:val="2"/>
          </w:tcPr>
          <w:p>
            <w:pPr>
              <w:ind w:left="40"/>
              <w:spacing w:after="0"/>
              <w:rPr>
                <w:sz w:val="20"/>
                <w:szCs w:val="20"/>
                <w:color w:val="auto"/>
              </w:rPr>
            </w:pPr>
            <w:r>
              <w:rPr>
                <w:rFonts w:ascii="Arial" w:cs="Arial" w:eastAsia="Arial" w:hAnsi="Arial"/>
                <w:sz w:val="16"/>
                <w:szCs w:val="16"/>
                <w:color w:val="auto"/>
              </w:rPr>
              <w:t>Comprehensive income</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10,848</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10,633</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28,580</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32,413</w:t>
            </w:r>
          </w:p>
        </w:tc>
      </w:tr>
      <w:tr>
        <w:trPr>
          <w:trHeight w:val="20"/>
        </w:trPr>
        <w:tc>
          <w:tcPr>
            <w:tcW w:w="4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121"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4"/>
        </w:trPr>
        <w:tc>
          <w:tcPr>
            <w:tcW w:w="7280" w:type="dxa"/>
            <w:vAlign w:val="bottom"/>
            <w:gridSpan w:val="2"/>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Table of Contents</w:t>
              </w:r>
            </w:hyperlink>
          </w:p>
        </w:tc>
        <w:tc>
          <w:tcPr>
            <w:tcW w:w="3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9"/>
        </w:trPr>
        <w:tc>
          <w:tcPr>
            <w:tcW w:w="7280" w:type="dxa"/>
            <w:vAlign w:val="bottom"/>
            <w:gridSpan w:val="2"/>
          </w:tcPr>
          <w:p>
            <w:pPr>
              <w:spacing w:after="0"/>
              <w:rPr>
                <w:sz w:val="20"/>
                <w:szCs w:val="20"/>
                <w:color w:val="auto"/>
              </w:rPr>
            </w:pPr>
            <w:r>
              <w:rPr>
                <w:rFonts w:ascii="Arial" w:cs="Arial" w:eastAsia="Arial" w:hAnsi="Arial"/>
                <w:sz w:val="16"/>
                <w:szCs w:val="16"/>
                <w:b w:val="1"/>
                <w:bCs w:val="1"/>
                <w:color w:val="auto"/>
              </w:rPr>
              <w:t>Winnebago Industries, Inc.</w:t>
            </w:r>
          </w:p>
        </w:tc>
        <w:tc>
          <w:tcPr>
            <w:tcW w:w="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89"/>
        </w:trPr>
        <w:tc>
          <w:tcPr>
            <w:tcW w:w="7280" w:type="dxa"/>
            <w:vAlign w:val="bottom"/>
            <w:gridSpan w:val="2"/>
          </w:tcPr>
          <w:p>
            <w:pPr>
              <w:spacing w:after="0"/>
              <w:rPr>
                <w:sz w:val="20"/>
                <w:szCs w:val="20"/>
                <w:color w:val="auto"/>
              </w:rPr>
            </w:pPr>
            <w:r>
              <w:rPr>
                <w:rFonts w:ascii="Arial" w:cs="Arial" w:eastAsia="Arial" w:hAnsi="Arial"/>
                <w:sz w:val="16"/>
                <w:szCs w:val="16"/>
                <w:b w:val="1"/>
                <w:bCs w:val="1"/>
                <w:color w:val="auto"/>
              </w:rPr>
              <w:t>Consolidated Balance Sheets</w:t>
            </w:r>
          </w:p>
        </w:tc>
        <w:tc>
          <w:tcPr>
            <w:tcW w:w="3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29"/>
        </w:trPr>
        <w:tc>
          <w:tcPr>
            <w:tcW w:w="7280" w:type="dxa"/>
            <w:vAlign w:val="bottom"/>
            <w:gridSpan w:val="2"/>
          </w:tcPr>
          <w:p>
            <w:pPr>
              <w:spacing w:after="0"/>
              <w:rPr>
                <w:sz w:val="20"/>
                <w:szCs w:val="20"/>
                <w:color w:val="auto"/>
              </w:rPr>
            </w:pPr>
            <w:r>
              <w:rPr>
                <w:rFonts w:ascii="Arial" w:cs="Arial" w:eastAsia="Arial" w:hAnsi="Arial"/>
                <w:sz w:val="16"/>
                <w:szCs w:val="16"/>
                <w:b w:val="1"/>
                <w:bCs w:val="1"/>
                <w:color w:val="auto"/>
              </w:rPr>
              <w:t>(Unaudited)</w:t>
            </w:r>
          </w:p>
        </w:tc>
        <w:tc>
          <w:tcPr>
            <w:tcW w:w="3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312"/>
        </w:trPr>
        <w:tc>
          <w:tcPr>
            <w:tcW w:w="126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80" w:type="dxa"/>
            <w:vAlign w:val="bottom"/>
            <w:gridSpan w:val="2"/>
          </w:tcPr>
          <w:p>
            <w:pPr>
              <w:ind w:left="280"/>
              <w:spacing w:after="0"/>
              <w:rPr>
                <w:sz w:val="20"/>
                <w:szCs w:val="20"/>
                <w:color w:val="auto"/>
              </w:rPr>
            </w:pPr>
            <w:r>
              <w:rPr>
                <w:rFonts w:ascii="Arial" w:cs="Arial" w:eastAsia="Arial" w:hAnsi="Arial"/>
                <w:sz w:val="16"/>
                <w:szCs w:val="16"/>
                <w:b w:val="1"/>
                <w:bCs w:val="1"/>
                <w:color w:val="auto"/>
              </w:rPr>
              <w:t>May 30,</w:t>
            </w:r>
          </w:p>
        </w:tc>
        <w:tc>
          <w:tcPr>
            <w:tcW w:w="360" w:type="dxa"/>
            <w:vAlign w:val="bottom"/>
          </w:tcPr>
          <w:p>
            <w:pPr>
              <w:spacing w:after="0"/>
              <w:rPr>
                <w:sz w:val="24"/>
                <w:szCs w:val="24"/>
                <w:color w:val="auto"/>
              </w:rPr>
            </w:pPr>
          </w:p>
        </w:tc>
        <w:tc>
          <w:tcPr>
            <w:tcW w:w="1720" w:type="dxa"/>
            <w:vAlign w:val="bottom"/>
          </w:tcPr>
          <w:p>
            <w:pPr>
              <w:jc w:val="right"/>
              <w:ind w:right="559"/>
              <w:spacing w:after="0"/>
              <w:rPr>
                <w:sz w:val="20"/>
                <w:szCs w:val="20"/>
                <w:color w:val="auto"/>
              </w:rPr>
            </w:pPr>
            <w:r>
              <w:rPr>
                <w:rFonts w:ascii="Arial" w:cs="Arial" w:eastAsia="Arial" w:hAnsi="Arial"/>
                <w:sz w:val="16"/>
                <w:szCs w:val="16"/>
                <w:b w:val="1"/>
                <w:bCs w:val="1"/>
                <w:color w:val="auto"/>
              </w:rPr>
              <w:t>August 30,</w:t>
            </w:r>
          </w:p>
        </w:tc>
      </w:tr>
      <w:tr>
        <w:trPr>
          <w:trHeight w:val="232"/>
        </w:trPr>
        <w:tc>
          <w:tcPr>
            <w:tcW w:w="72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3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2014</w:t>
            </w:r>
          </w:p>
        </w:tc>
      </w:tr>
      <w:tr>
        <w:trPr>
          <w:trHeight w:val="267"/>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38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r>
      <w:tr>
        <w:trPr>
          <w:trHeight w:val="262"/>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Current assets:</w:t>
            </w:r>
          </w:p>
        </w:tc>
        <w:tc>
          <w:tcPr>
            <w:tcW w:w="3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78"/>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49,215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57,804</w:t>
            </w:r>
          </w:p>
        </w:tc>
      </w:tr>
      <w:tr>
        <w:trPr>
          <w:trHeight w:val="262"/>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Receivables, less allowance for doubtful accounts ($120 and $127)</w:t>
            </w:r>
          </w:p>
        </w:tc>
        <w:tc>
          <w:tcPr>
            <w:tcW w:w="380" w:type="dxa"/>
            <w:vAlign w:val="bottom"/>
          </w:tcPr>
          <w:p>
            <w:pPr>
              <w:spacing w:after="0"/>
              <w:rPr>
                <w:sz w:val="22"/>
                <w:szCs w:val="22"/>
                <w:color w:val="auto"/>
              </w:rPr>
            </w:pPr>
          </w:p>
        </w:tc>
        <w:tc>
          <w:tcPr>
            <w:tcW w:w="1580" w:type="dxa"/>
            <w:vAlign w:val="bottom"/>
          </w:tcPr>
          <w:p>
            <w:pPr>
              <w:jc w:val="right"/>
              <w:ind w:right="359"/>
              <w:spacing w:after="0"/>
              <w:rPr>
                <w:sz w:val="20"/>
                <w:szCs w:val="20"/>
                <w:color w:val="auto"/>
              </w:rPr>
            </w:pPr>
            <w:r>
              <w:rPr>
                <w:rFonts w:ascii="Arial" w:cs="Arial" w:eastAsia="Arial" w:hAnsi="Arial"/>
                <w:sz w:val="16"/>
                <w:szCs w:val="16"/>
                <w:color w:val="auto"/>
              </w:rPr>
              <w:t>65,198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69,699</w:t>
            </w:r>
          </w:p>
        </w:tc>
      </w:tr>
      <w:tr>
        <w:trPr>
          <w:trHeight w:val="278"/>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Inventories</w:t>
            </w:r>
          </w:p>
        </w:tc>
        <w:tc>
          <w:tcPr>
            <w:tcW w:w="38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122,575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112,848</w:t>
            </w:r>
          </w:p>
        </w:tc>
      </w:tr>
      <w:tr>
        <w:trPr>
          <w:trHeight w:val="262"/>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Net investment in operating leases</w:t>
            </w:r>
          </w:p>
        </w:tc>
        <w:tc>
          <w:tcPr>
            <w:tcW w:w="380" w:type="dxa"/>
            <w:vAlign w:val="bottom"/>
          </w:tcPr>
          <w:p>
            <w:pPr>
              <w:spacing w:after="0"/>
              <w:rPr>
                <w:sz w:val="22"/>
                <w:szCs w:val="22"/>
                <w:color w:val="auto"/>
              </w:rPr>
            </w:pPr>
          </w:p>
        </w:tc>
        <w:tc>
          <w:tcPr>
            <w:tcW w:w="168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15,978</w:t>
            </w:r>
          </w:p>
        </w:tc>
      </w:tr>
      <w:tr>
        <w:trPr>
          <w:trHeight w:val="278"/>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Prepaid expenses and other assets</w:t>
            </w:r>
          </w:p>
        </w:tc>
        <w:tc>
          <w:tcPr>
            <w:tcW w:w="38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8,450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5,718</w:t>
            </w:r>
          </w:p>
        </w:tc>
      </w:tr>
      <w:tr>
        <w:trPr>
          <w:trHeight w:val="262"/>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Income taxes receivable and prepaid</w:t>
            </w:r>
          </w:p>
        </w:tc>
        <w:tc>
          <w:tcPr>
            <w:tcW w:w="380" w:type="dxa"/>
            <w:vAlign w:val="bottom"/>
          </w:tcPr>
          <w:p>
            <w:pPr>
              <w:spacing w:after="0"/>
              <w:rPr>
                <w:sz w:val="22"/>
                <w:szCs w:val="22"/>
                <w:color w:val="auto"/>
              </w:rPr>
            </w:pPr>
          </w:p>
        </w:tc>
        <w:tc>
          <w:tcPr>
            <w:tcW w:w="1580" w:type="dxa"/>
            <w:vAlign w:val="bottom"/>
          </w:tcPr>
          <w:p>
            <w:pPr>
              <w:jc w:val="right"/>
              <w:ind w:right="359"/>
              <w:spacing w:after="0"/>
              <w:rPr>
                <w:sz w:val="20"/>
                <w:szCs w:val="20"/>
                <w:color w:val="auto"/>
              </w:rPr>
            </w:pPr>
            <w:r>
              <w:rPr>
                <w:rFonts w:ascii="Arial" w:cs="Arial" w:eastAsia="Arial" w:hAnsi="Arial"/>
                <w:sz w:val="16"/>
                <w:szCs w:val="16"/>
                <w:color w:val="auto"/>
              </w:rPr>
              <w:t>190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5</w:t>
            </w:r>
          </w:p>
        </w:tc>
      </w:tr>
      <w:tr>
        <w:trPr>
          <w:trHeight w:val="271"/>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Deferred income taxes</w:t>
            </w:r>
          </w:p>
        </w:tc>
        <w:tc>
          <w:tcPr>
            <w:tcW w:w="38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5,907</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9,641</w:t>
            </w:r>
          </w:p>
        </w:tc>
      </w:tr>
      <w:tr>
        <w:trPr>
          <w:trHeight w:val="250"/>
        </w:trPr>
        <w:tc>
          <w:tcPr>
            <w:tcW w:w="7280" w:type="dxa"/>
            <w:vAlign w:val="bottom"/>
            <w:tcBorders>
              <w:bottom w:val="single" w:sz="8" w:color="CCEEFF"/>
            </w:tcBorders>
            <w:gridSpan w:val="2"/>
          </w:tcPr>
          <w:p>
            <w:pPr>
              <w:ind w:left="500"/>
              <w:spacing w:after="0"/>
              <w:rPr>
                <w:sz w:val="20"/>
                <w:szCs w:val="20"/>
                <w:color w:val="auto"/>
              </w:rPr>
            </w:pPr>
            <w:r>
              <w:rPr>
                <w:rFonts w:ascii="Arial" w:cs="Arial" w:eastAsia="Arial" w:hAnsi="Arial"/>
                <w:sz w:val="16"/>
                <w:szCs w:val="16"/>
                <w:color w:val="auto"/>
              </w:rPr>
              <w:t>Total current assets</w:t>
            </w:r>
          </w:p>
        </w:tc>
        <w:tc>
          <w:tcPr>
            <w:tcW w:w="3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251,535</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271,693</w:t>
            </w:r>
          </w:p>
        </w:tc>
      </w:tr>
      <w:tr>
        <w:trPr>
          <w:trHeight w:val="257"/>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w:t>
            </w:r>
          </w:p>
        </w:tc>
        <w:tc>
          <w:tcPr>
            <w:tcW w:w="38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34,646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25,135</w:t>
            </w:r>
          </w:p>
        </w:tc>
      </w:tr>
      <w:tr>
        <w:trPr>
          <w:trHeight w:val="262"/>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Investment in life insurance</w:t>
            </w:r>
          </w:p>
        </w:tc>
        <w:tc>
          <w:tcPr>
            <w:tcW w:w="380" w:type="dxa"/>
            <w:vAlign w:val="bottom"/>
          </w:tcPr>
          <w:p>
            <w:pPr>
              <w:spacing w:after="0"/>
              <w:rPr>
                <w:sz w:val="22"/>
                <w:szCs w:val="22"/>
                <w:color w:val="auto"/>
              </w:rPr>
            </w:pPr>
          </w:p>
        </w:tc>
        <w:tc>
          <w:tcPr>
            <w:tcW w:w="1580" w:type="dxa"/>
            <w:vAlign w:val="bottom"/>
          </w:tcPr>
          <w:p>
            <w:pPr>
              <w:jc w:val="right"/>
              <w:ind w:right="359"/>
              <w:spacing w:after="0"/>
              <w:rPr>
                <w:sz w:val="20"/>
                <w:szCs w:val="20"/>
                <w:color w:val="auto"/>
              </w:rPr>
            </w:pPr>
            <w:r>
              <w:rPr>
                <w:rFonts w:ascii="Arial" w:cs="Arial" w:eastAsia="Arial" w:hAnsi="Arial"/>
                <w:sz w:val="16"/>
                <w:szCs w:val="16"/>
                <w:color w:val="auto"/>
              </w:rPr>
              <w:t>25,843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25,126</w:t>
            </w:r>
          </w:p>
        </w:tc>
      </w:tr>
      <w:tr>
        <w:trPr>
          <w:trHeight w:val="278"/>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Deferred income taxes</w:t>
            </w:r>
          </w:p>
        </w:tc>
        <w:tc>
          <w:tcPr>
            <w:tcW w:w="38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24,164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24,029</w:t>
            </w:r>
          </w:p>
        </w:tc>
      </w:tr>
      <w:tr>
        <w:trPr>
          <w:trHeight w:val="262"/>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Goodwill</w:t>
            </w:r>
          </w:p>
        </w:tc>
        <w:tc>
          <w:tcPr>
            <w:tcW w:w="380" w:type="dxa"/>
            <w:vAlign w:val="bottom"/>
          </w:tcPr>
          <w:p>
            <w:pPr>
              <w:spacing w:after="0"/>
              <w:rPr>
                <w:sz w:val="22"/>
                <w:szCs w:val="22"/>
                <w:color w:val="auto"/>
              </w:rPr>
            </w:pPr>
          </w:p>
        </w:tc>
        <w:tc>
          <w:tcPr>
            <w:tcW w:w="1580" w:type="dxa"/>
            <w:vAlign w:val="bottom"/>
          </w:tcPr>
          <w:p>
            <w:pPr>
              <w:jc w:val="right"/>
              <w:ind w:right="359"/>
              <w:spacing w:after="0"/>
              <w:rPr>
                <w:sz w:val="20"/>
                <w:szCs w:val="20"/>
                <w:color w:val="auto"/>
              </w:rPr>
            </w:pPr>
            <w:r>
              <w:rPr>
                <w:rFonts w:ascii="Arial" w:cs="Arial" w:eastAsia="Arial" w:hAnsi="Arial"/>
                <w:sz w:val="16"/>
                <w:szCs w:val="16"/>
                <w:color w:val="auto"/>
              </w:rPr>
              <w:t>1,228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1,228</w:t>
            </w:r>
          </w:p>
        </w:tc>
      </w:tr>
      <w:tr>
        <w:trPr>
          <w:trHeight w:val="271"/>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38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9,329</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11,091</w:t>
            </w:r>
          </w:p>
        </w:tc>
      </w:tr>
      <w:tr>
        <w:trPr>
          <w:trHeight w:val="282"/>
        </w:trPr>
        <w:tc>
          <w:tcPr>
            <w:tcW w:w="7280" w:type="dxa"/>
            <w:vAlign w:val="bottom"/>
            <w:tcBorders>
              <w:bottom w:val="single" w:sz="8" w:color="CCEEFF"/>
            </w:tcBorders>
            <w:gridSpan w:val="2"/>
          </w:tcPr>
          <w:p>
            <w:pPr>
              <w:ind w:left="500"/>
              <w:spacing w:after="0"/>
              <w:rPr>
                <w:sz w:val="20"/>
                <w:szCs w:val="20"/>
                <w:color w:val="auto"/>
              </w:rPr>
            </w:pPr>
            <w:r>
              <w:rPr>
                <w:rFonts w:ascii="Arial" w:cs="Arial" w:eastAsia="Arial" w:hAnsi="Arial"/>
                <w:sz w:val="16"/>
                <w:szCs w:val="16"/>
                <w:color w:val="auto"/>
              </w:rPr>
              <w:t>Total assets</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346,745</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358,302</w:t>
            </w:r>
          </w:p>
        </w:tc>
      </w:tr>
      <w:tr>
        <w:trPr>
          <w:trHeight w:val="265"/>
        </w:trPr>
        <w:tc>
          <w:tcPr>
            <w:tcW w:w="1260" w:type="dxa"/>
            <w:vAlign w:val="bottom"/>
            <w:shd w:val="clear" w:color="auto" w:fill="CCEEFF"/>
          </w:tcPr>
          <w:p>
            <w:pPr>
              <w:spacing w:after="0"/>
              <w:rPr>
                <w:sz w:val="23"/>
                <w:szCs w:val="23"/>
                <w:color w:val="auto"/>
              </w:rPr>
            </w:pPr>
          </w:p>
        </w:tc>
        <w:tc>
          <w:tcPr>
            <w:tcW w:w="60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r>
      <w:tr>
        <w:trPr>
          <w:trHeight w:val="266"/>
        </w:trPr>
        <w:tc>
          <w:tcPr>
            <w:tcW w:w="7280" w:type="dxa"/>
            <w:vAlign w:val="bottom"/>
            <w:gridSpan w:val="2"/>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3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74"/>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38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r>
      <w:tr>
        <w:trPr>
          <w:trHeight w:val="262"/>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Accounts payable</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359"/>
              <w:spacing w:after="0"/>
              <w:rPr>
                <w:sz w:val="20"/>
                <w:szCs w:val="20"/>
                <w:color w:val="auto"/>
              </w:rPr>
            </w:pPr>
            <w:r>
              <w:rPr>
                <w:rFonts w:ascii="Arial" w:cs="Arial" w:eastAsia="Arial" w:hAnsi="Arial"/>
                <w:sz w:val="16"/>
                <w:szCs w:val="16"/>
                <w:color w:val="auto"/>
              </w:rPr>
              <w:t>29,547</w:t>
            </w:r>
          </w:p>
        </w:tc>
        <w:tc>
          <w:tcPr>
            <w:tcW w:w="10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33,111</w:t>
            </w:r>
          </w:p>
        </w:tc>
      </w:tr>
      <w:tr>
        <w:trPr>
          <w:trHeight w:val="278"/>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Income taxes payable</w:t>
            </w:r>
          </w:p>
        </w:tc>
        <w:tc>
          <w:tcPr>
            <w:tcW w:w="380" w:type="dxa"/>
            <w:vAlign w:val="bottom"/>
            <w:shd w:val="clear" w:color="auto" w:fill="CCEEFF"/>
          </w:tcPr>
          <w:p>
            <w:pPr>
              <w:spacing w:after="0"/>
              <w:rPr>
                <w:sz w:val="24"/>
                <w:szCs w:val="24"/>
                <w:color w:val="auto"/>
              </w:rPr>
            </w:pPr>
          </w:p>
        </w:tc>
        <w:tc>
          <w:tcPr>
            <w:tcW w:w="168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2,927</w:t>
            </w:r>
          </w:p>
        </w:tc>
      </w:tr>
      <w:tr>
        <w:trPr>
          <w:trHeight w:val="262"/>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Accrued expenses:</w:t>
            </w:r>
          </w:p>
        </w:tc>
        <w:tc>
          <w:tcPr>
            <w:tcW w:w="3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78"/>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Accrued compensation</w:t>
            </w:r>
          </w:p>
        </w:tc>
        <w:tc>
          <w:tcPr>
            <w:tcW w:w="38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17,405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20,763</w:t>
            </w:r>
          </w:p>
        </w:tc>
      </w:tr>
      <w:tr>
        <w:trPr>
          <w:trHeight w:val="262"/>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Operating lease repurchase obligations</w:t>
            </w:r>
          </w:p>
        </w:tc>
        <w:tc>
          <w:tcPr>
            <w:tcW w:w="380" w:type="dxa"/>
            <w:vAlign w:val="bottom"/>
          </w:tcPr>
          <w:p>
            <w:pPr>
              <w:spacing w:after="0"/>
              <w:rPr>
                <w:sz w:val="22"/>
                <w:szCs w:val="22"/>
                <w:color w:val="auto"/>
              </w:rPr>
            </w:pPr>
          </w:p>
        </w:tc>
        <w:tc>
          <w:tcPr>
            <w:tcW w:w="168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16,050</w:t>
            </w:r>
          </w:p>
        </w:tc>
      </w:tr>
      <w:tr>
        <w:trPr>
          <w:trHeight w:val="278"/>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Product warranties</w:t>
            </w:r>
          </w:p>
        </w:tc>
        <w:tc>
          <w:tcPr>
            <w:tcW w:w="38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9,805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9,501</w:t>
            </w:r>
          </w:p>
        </w:tc>
      </w:tr>
      <w:tr>
        <w:trPr>
          <w:trHeight w:val="262"/>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Self-insurance</w:t>
            </w:r>
          </w:p>
        </w:tc>
        <w:tc>
          <w:tcPr>
            <w:tcW w:w="380" w:type="dxa"/>
            <w:vAlign w:val="bottom"/>
          </w:tcPr>
          <w:p>
            <w:pPr>
              <w:spacing w:after="0"/>
              <w:rPr>
                <w:sz w:val="22"/>
                <w:szCs w:val="22"/>
                <w:color w:val="auto"/>
              </w:rPr>
            </w:pPr>
          </w:p>
        </w:tc>
        <w:tc>
          <w:tcPr>
            <w:tcW w:w="1580" w:type="dxa"/>
            <w:vAlign w:val="bottom"/>
          </w:tcPr>
          <w:p>
            <w:pPr>
              <w:jc w:val="right"/>
              <w:ind w:right="359"/>
              <w:spacing w:after="0"/>
              <w:rPr>
                <w:sz w:val="20"/>
                <w:szCs w:val="20"/>
                <w:color w:val="auto"/>
              </w:rPr>
            </w:pPr>
            <w:r>
              <w:rPr>
                <w:rFonts w:ascii="Arial" w:cs="Arial" w:eastAsia="Arial" w:hAnsi="Arial"/>
                <w:sz w:val="16"/>
                <w:szCs w:val="16"/>
                <w:color w:val="auto"/>
              </w:rPr>
              <w:t>5,902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4,941</w:t>
            </w:r>
          </w:p>
        </w:tc>
      </w:tr>
      <w:tr>
        <w:trPr>
          <w:trHeight w:val="278"/>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Accrued loss on repurchases</w:t>
            </w:r>
          </w:p>
        </w:tc>
        <w:tc>
          <w:tcPr>
            <w:tcW w:w="38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1,749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2,212</w:t>
            </w:r>
          </w:p>
        </w:tc>
      </w:tr>
      <w:tr>
        <w:trPr>
          <w:trHeight w:val="262"/>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Promotional</w:t>
            </w:r>
          </w:p>
        </w:tc>
        <w:tc>
          <w:tcPr>
            <w:tcW w:w="380" w:type="dxa"/>
            <w:vAlign w:val="bottom"/>
          </w:tcPr>
          <w:p>
            <w:pPr>
              <w:spacing w:after="0"/>
              <w:rPr>
                <w:sz w:val="22"/>
                <w:szCs w:val="22"/>
                <w:color w:val="auto"/>
              </w:rPr>
            </w:pPr>
          </w:p>
        </w:tc>
        <w:tc>
          <w:tcPr>
            <w:tcW w:w="1580" w:type="dxa"/>
            <w:vAlign w:val="bottom"/>
          </w:tcPr>
          <w:p>
            <w:pPr>
              <w:jc w:val="right"/>
              <w:ind w:right="359"/>
              <w:spacing w:after="0"/>
              <w:rPr>
                <w:sz w:val="20"/>
                <w:szCs w:val="20"/>
                <w:color w:val="auto"/>
              </w:rPr>
            </w:pPr>
            <w:r>
              <w:rPr>
                <w:rFonts w:ascii="Arial" w:cs="Arial" w:eastAsia="Arial" w:hAnsi="Arial"/>
                <w:sz w:val="16"/>
                <w:szCs w:val="16"/>
                <w:color w:val="auto"/>
              </w:rPr>
              <w:t>3,877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3,205</w:t>
            </w:r>
          </w:p>
        </w:tc>
      </w:tr>
      <w:tr>
        <w:trPr>
          <w:trHeight w:val="271"/>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38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5,868</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7,009</w:t>
            </w:r>
          </w:p>
        </w:tc>
      </w:tr>
      <w:tr>
        <w:trPr>
          <w:trHeight w:val="250"/>
        </w:trPr>
        <w:tc>
          <w:tcPr>
            <w:tcW w:w="7280" w:type="dxa"/>
            <w:vAlign w:val="bottom"/>
            <w:tcBorders>
              <w:bottom w:val="single" w:sz="8" w:color="CCEEFF"/>
            </w:tcBorders>
            <w:gridSpan w:val="2"/>
          </w:tcPr>
          <w:p>
            <w:pPr>
              <w:ind w:left="500"/>
              <w:spacing w:after="0"/>
              <w:rPr>
                <w:sz w:val="20"/>
                <w:szCs w:val="20"/>
                <w:color w:val="auto"/>
              </w:rPr>
            </w:pPr>
            <w:r>
              <w:rPr>
                <w:rFonts w:ascii="Arial" w:cs="Arial" w:eastAsia="Arial" w:hAnsi="Arial"/>
                <w:sz w:val="16"/>
                <w:szCs w:val="16"/>
                <w:color w:val="auto"/>
              </w:rPr>
              <w:t>Total current liabilities</w:t>
            </w:r>
          </w:p>
        </w:tc>
        <w:tc>
          <w:tcPr>
            <w:tcW w:w="3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74,153</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99,719</w:t>
            </w:r>
          </w:p>
        </w:tc>
      </w:tr>
      <w:tr>
        <w:trPr>
          <w:trHeight w:val="270"/>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Non-current liabilities:</w:t>
            </w:r>
          </w:p>
        </w:tc>
        <w:tc>
          <w:tcPr>
            <w:tcW w:w="38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r>
      <w:tr>
        <w:trPr>
          <w:trHeight w:val="262"/>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Unrecognized tax benefits</w:t>
            </w:r>
          </w:p>
        </w:tc>
        <w:tc>
          <w:tcPr>
            <w:tcW w:w="380" w:type="dxa"/>
            <w:vAlign w:val="bottom"/>
          </w:tcPr>
          <w:p>
            <w:pPr>
              <w:spacing w:after="0"/>
              <w:rPr>
                <w:sz w:val="22"/>
                <w:szCs w:val="22"/>
                <w:color w:val="auto"/>
              </w:rPr>
            </w:pPr>
          </w:p>
        </w:tc>
        <w:tc>
          <w:tcPr>
            <w:tcW w:w="1580" w:type="dxa"/>
            <w:vAlign w:val="bottom"/>
          </w:tcPr>
          <w:p>
            <w:pPr>
              <w:jc w:val="right"/>
              <w:ind w:right="359"/>
              <w:spacing w:after="0"/>
              <w:rPr>
                <w:sz w:val="20"/>
                <w:szCs w:val="20"/>
                <w:color w:val="auto"/>
              </w:rPr>
            </w:pPr>
            <w:r>
              <w:rPr>
                <w:rFonts w:ascii="Arial" w:cs="Arial" w:eastAsia="Arial" w:hAnsi="Arial"/>
                <w:sz w:val="16"/>
                <w:szCs w:val="16"/>
                <w:color w:val="auto"/>
              </w:rPr>
              <w:t>2,619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3,024</w:t>
            </w:r>
          </w:p>
        </w:tc>
      </w:tr>
      <w:tr>
        <w:trPr>
          <w:trHeight w:val="271"/>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Postretirement health care and deferred compensation benefits</w:t>
            </w:r>
          </w:p>
        </w:tc>
        <w:tc>
          <w:tcPr>
            <w:tcW w:w="38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59,211</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62,811</w:t>
            </w:r>
          </w:p>
        </w:tc>
      </w:tr>
      <w:tr>
        <w:trPr>
          <w:trHeight w:val="250"/>
        </w:trPr>
        <w:tc>
          <w:tcPr>
            <w:tcW w:w="7280" w:type="dxa"/>
            <w:vAlign w:val="bottom"/>
            <w:tcBorders>
              <w:bottom w:val="single" w:sz="8" w:color="CCEEFF"/>
            </w:tcBorders>
            <w:gridSpan w:val="2"/>
          </w:tcPr>
          <w:p>
            <w:pPr>
              <w:ind w:left="500"/>
              <w:spacing w:after="0"/>
              <w:rPr>
                <w:sz w:val="20"/>
                <w:szCs w:val="20"/>
                <w:color w:val="auto"/>
              </w:rPr>
            </w:pPr>
            <w:r>
              <w:rPr>
                <w:rFonts w:ascii="Arial" w:cs="Arial" w:eastAsia="Arial" w:hAnsi="Arial"/>
                <w:sz w:val="16"/>
                <w:szCs w:val="16"/>
                <w:color w:val="auto"/>
              </w:rPr>
              <w:t>Total non-current liabilities</w:t>
            </w:r>
          </w:p>
        </w:tc>
        <w:tc>
          <w:tcPr>
            <w:tcW w:w="3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61,830</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65,835</w:t>
            </w:r>
          </w:p>
        </w:tc>
      </w:tr>
      <w:tr>
        <w:trPr>
          <w:trHeight w:val="257"/>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Contingent liabilities and commitments</w:t>
            </w:r>
          </w:p>
        </w:tc>
        <w:tc>
          <w:tcPr>
            <w:tcW w:w="38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720" w:type="dxa"/>
            <w:vAlign w:val="bottom"/>
            <w:shd w:val="clear" w:color="auto" w:fill="CCEEFF"/>
          </w:tcPr>
          <w:p>
            <w:pPr>
              <w:spacing w:after="0"/>
              <w:rPr>
                <w:sz w:val="22"/>
                <w:szCs w:val="22"/>
                <w:color w:val="auto"/>
              </w:rPr>
            </w:pPr>
          </w:p>
        </w:tc>
      </w:tr>
      <w:tr>
        <w:trPr>
          <w:trHeight w:val="262"/>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Stockholders' equity:</w:t>
            </w:r>
          </w:p>
        </w:tc>
        <w:tc>
          <w:tcPr>
            <w:tcW w:w="3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06"/>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Capital stock common, par value $0.50;</w:t>
            </w:r>
          </w:p>
        </w:tc>
        <w:tc>
          <w:tcPr>
            <w:tcW w:w="3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r>
      <w:tr>
        <w:trPr>
          <w:trHeight w:val="234"/>
        </w:trPr>
        <w:tc>
          <w:tcPr>
            <w:tcW w:w="728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authorized 60,000 shares, issued 51,776 shares</w:t>
            </w:r>
          </w:p>
        </w:tc>
        <w:tc>
          <w:tcPr>
            <w:tcW w:w="380" w:type="dxa"/>
            <w:vAlign w:val="bottom"/>
            <w:shd w:val="clear" w:color="auto" w:fill="CCEEFF"/>
          </w:tcPr>
          <w:p>
            <w:pPr>
              <w:spacing w:after="0"/>
              <w:rPr>
                <w:sz w:val="20"/>
                <w:szCs w:val="20"/>
                <w:color w:val="auto"/>
              </w:rPr>
            </w:pPr>
          </w:p>
        </w:tc>
        <w:tc>
          <w:tcPr>
            <w:tcW w:w="15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25,888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25,888</w:t>
            </w:r>
          </w:p>
        </w:tc>
      </w:tr>
      <w:tr>
        <w:trPr>
          <w:trHeight w:val="262"/>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Additional paid-in capital</w:t>
            </w:r>
          </w:p>
        </w:tc>
        <w:tc>
          <w:tcPr>
            <w:tcW w:w="380" w:type="dxa"/>
            <w:vAlign w:val="bottom"/>
          </w:tcPr>
          <w:p>
            <w:pPr>
              <w:spacing w:after="0"/>
              <w:rPr>
                <w:sz w:val="22"/>
                <w:szCs w:val="22"/>
                <w:color w:val="auto"/>
              </w:rPr>
            </w:pPr>
          </w:p>
        </w:tc>
        <w:tc>
          <w:tcPr>
            <w:tcW w:w="1580" w:type="dxa"/>
            <w:vAlign w:val="bottom"/>
          </w:tcPr>
          <w:p>
            <w:pPr>
              <w:jc w:val="right"/>
              <w:ind w:right="359"/>
              <w:spacing w:after="0"/>
              <w:rPr>
                <w:sz w:val="20"/>
                <w:szCs w:val="20"/>
                <w:color w:val="auto"/>
              </w:rPr>
            </w:pPr>
            <w:r>
              <w:rPr>
                <w:rFonts w:ascii="Arial" w:cs="Arial" w:eastAsia="Arial" w:hAnsi="Arial"/>
                <w:sz w:val="16"/>
                <w:szCs w:val="16"/>
                <w:color w:val="auto"/>
              </w:rPr>
              <w:t>31,765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31,672</w:t>
            </w:r>
          </w:p>
        </w:tc>
      </w:tr>
      <w:tr>
        <w:trPr>
          <w:trHeight w:val="278"/>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Retained earnings</w:t>
            </w:r>
          </w:p>
        </w:tc>
        <w:tc>
          <w:tcPr>
            <w:tcW w:w="38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576,665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554,496</w:t>
            </w:r>
          </w:p>
        </w:tc>
      </w:tr>
      <w:tr>
        <w:trPr>
          <w:trHeight w:val="262"/>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Accumulated other comprehensive loss</w:t>
            </w:r>
          </w:p>
        </w:tc>
        <w:tc>
          <w:tcPr>
            <w:tcW w:w="380" w:type="dxa"/>
            <w:vAlign w:val="bottom"/>
          </w:tcPr>
          <w:p>
            <w:pPr>
              <w:spacing w:after="0"/>
              <w:rPr>
                <w:sz w:val="22"/>
                <w:szCs w:val="22"/>
                <w:color w:val="auto"/>
              </w:rPr>
            </w:pPr>
          </w:p>
        </w:tc>
        <w:tc>
          <w:tcPr>
            <w:tcW w:w="1580" w:type="dxa"/>
            <w:vAlign w:val="bottom"/>
          </w:tcPr>
          <w:p>
            <w:pPr>
              <w:jc w:val="right"/>
              <w:ind w:right="299"/>
              <w:spacing w:after="0"/>
              <w:rPr>
                <w:sz w:val="20"/>
                <w:szCs w:val="20"/>
                <w:color w:val="auto"/>
              </w:rPr>
            </w:pPr>
            <w:r>
              <w:rPr>
                <w:rFonts w:ascii="Arial" w:cs="Arial" w:eastAsia="Arial" w:hAnsi="Arial"/>
                <w:sz w:val="16"/>
                <w:szCs w:val="16"/>
                <w:color w:val="auto"/>
              </w:rPr>
              <w:t>(2,721)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299"/>
              <w:spacing w:after="0"/>
              <w:rPr>
                <w:sz w:val="20"/>
                <w:szCs w:val="20"/>
                <w:color w:val="auto"/>
              </w:rPr>
            </w:pPr>
            <w:r>
              <w:rPr>
                <w:rFonts w:ascii="Arial" w:cs="Arial" w:eastAsia="Arial" w:hAnsi="Arial"/>
                <w:sz w:val="16"/>
                <w:szCs w:val="16"/>
                <w:color w:val="auto"/>
              </w:rPr>
              <w:t>(1,808)</w:t>
            </w:r>
          </w:p>
        </w:tc>
      </w:tr>
      <w:tr>
        <w:trPr>
          <w:trHeight w:val="271"/>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Treasury stock, at cost (24,842 and 24,727 shares)</w:t>
            </w:r>
          </w:p>
        </w:tc>
        <w:tc>
          <w:tcPr>
            <w:tcW w:w="38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(420,835)</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(417,500)</w:t>
            </w:r>
          </w:p>
        </w:tc>
      </w:tr>
      <w:tr>
        <w:trPr>
          <w:trHeight w:val="250"/>
        </w:trPr>
        <w:tc>
          <w:tcPr>
            <w:tcW w:w="7280" w:type="dxa"/>
            <w:vAlign w:val="bottom"/>
            <w:tcBorders>
              <w:bottom w:val="single" w:sz="8" w:color="CCEEFF"/>
            </w:tcBorders>
            <w:gridSpan w:val="2"/>
          </w:tcPr>
          <w:p>
            <w:pPr>
              <w:ind w:left="500"/>
              <w:spacing w:after="0"/>
              <w:rPr>
                <w:sz w:val="20"/>
                <w:szCs w:val="20"/>
                <w:color w:val="auto"/>
              </w:rPr>
            </w:pPr>
            <w:r>
              <w:rPr>
                <w:rFonts w:ascii="Arial" w:cs="Arial" w:eastAsia="Arial" w:hAnsi="Arial"/>
                <w:sz w:val="16"/>
                <w:szCs w:val="16"/>
                <w:color w:val="auto"/>
              </w:rPr>
              <w:t>Total stockholders' equity</w:t>
            </w:r>
          </w:p>
        </w:tc>
        <w:tc>
          <w:tcPr>
            <w:tcW w:w="3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210,762</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192,748</w:t>
            </w:r>
          </w:p>
        </w:tc>
      </w:tr>
      <w:tr>
        <w:trPr>
          <w:trHeight w:val="242"/>
        </w:trPr>
        <w:tc>
          <w:tcPr>
            <w:tcW w:w="72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Total liabilities and stockholders' equity</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346,745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358,302</w:t>
            </w:r>
          </w:p>
        </w:tc>
      </w:tr>
      <w:tr>
        <w:trPr>
          <w:trHeight w:val="20"/>
        </w:trPr>
        <w:tc>
          <w:tcPr>
            <w:tcW w:w="126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w:t>
      </w:r>
    </w:p>
    <w:p>
      <w:pPr>
        <w:sectPr>
          <w:pgSz w:w="11900" w:h="16838" w:orient="portrait"/>
          <w:cols w:equalWidth="0" w:num="1">
            <w:col w:w="11420"/>
          </w:cols>
          <w:pgMar w:left="240" w:top="118" w:right="239" w:bottom="1440" w:gutter="0" w:footer="0" w:header="0"/>
        </w:sect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118" w:right="2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184"/>
        </w:trPr>
        <w:tc>
          <w:tcPr>
            <w:tcW w:w="7780" w:type="dxa"/>
            <w:vAlign w:val="bottom"/>
            <w:gridSpan w:val="2"/>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Table of Contents</w:t>
              </w:r>
            </w:hyperlink>
          </w:p>
        </w:tc>
        <w:tc>
          <w:tcPr>
            <w:tcW w:w="3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419"/>
        </w:trPr>
        <w:tc>
          <w:tcPr>
            <w:tcW w:w="7780" w:type="dxa"/>
            <w:vAlign w:val="bottom"/>
            <w:gridSpan w:val="2"/>
          </w:tcPr>
          <w:p>
            <w:pPr>
              <w:spacing w:after="0"/>
              <w:rPr>
                <w:sz w:val="20"/>
                <w:szCs w:val="20"/>
                <w:color w:val="auto"/>
              </w:rPr>
            </w:pPr>
            <w:r>
              <w:rPr>
                <w:rFonts w:ascii="Arial" w:cs="Arial" w:eastAsia="Arial" w:hAnsi="Arial"/>
                <w:sz w:val="16"/>
                <w:szCs w:val="16"/>
                <w:b w:val="1"/>
                <w:bCs w:val="1"/>
                <w:color w:val="auto"/>
              </w:rPr>
              <w:t>Winnebago Industries, Inc.</w:t>
            </w: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89"/>
        </w:trPr>
        <w:tc>
          <w:tcPr>
            <w:tcW w:w="7780" w:type="dxa"/>
            <w:vAlign w:val="bottom"/>
            <w:gridSpan w:val="2"/>
          </w:tcPr>
          <w:p>
            <w:pPr>
              <w:spacing w:after="0"/>
              <w:rPr>
                <w:sz w:val="20"/>
                <w:szCs w:val="20"/>
                <w:color w:val="auto"/>
              </w:rPr>
            </w:pPr>
            <w:r>
              <w:rPr>
                <w:rFonts w:ascii="Arial" w:cs="Arial" w:eastAsia="Arial" w:hAnsi="Arial"/>
                <w:sz w:val="16"/>
                <w:szCs w:val="16"/>
                <w:b w:val="1"/>
                <w:bCs w:val="1"/>
                <w:color w:val="auto"/>
              </w:rPr>
              <w:t>Consolidated Statements of Cash Flows</w:t>
            </w:r>
          </w:p>
        </w:tc>
        <w:tc>
          <w:tcPr>
            <w:tcW w:w="3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29"/>
        </w:trPr>
        <w:tc>
          <w:tcPr>
            <w:tcW w:w="7780" w:type="dxa"/>
            <w:vAlign w:val="bottom"/>
            <w:gridSpan w:val="2"/>
          </w:tcPr>
          <w:p>
            <w:pPr>
              <w:spacing w:after="0"/>
              <w:rPr>
                <w:sz w:val="20"/>
                <w:szCs w:val="20"/>
                <w:color w:val="auto"/>
              </w:rPr>
            </w:pPr>
            <w:r>
              <w:rPr>
                <w:rFonts w:ascii="Arial" w:cs="Arial" w:eastAsia="Arial" w:hAnsi="Arial"/>
                <w:sz w:val="16"/>
                <w:szCs w:val="16"/>
                <w:b w:val="1"/>
                <w:bCs w:val="1"/>
                <w:color w:val="auto"/>
              </w:rPr>
              <w:t>(Unaudited)</w:t>
            </w:r>
          </w:p>
        </w:tc>
        <w:tc>
          <w:tcPr>
            <w:tcW w:w="3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382"/>
        </w:trPr>
        <w:tc>
          <w:tcPr>
            <w:tcW w:w="126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4"/>
          </w:tcPr>
          <w:p>
            <w:pPr>
              <w:jc w:val="right"/>
              <w:ind w:right="979"/>
              <w:spacing w:after="0"/>
              <w:rPr>
                <w:sz w:val="20"/>
                <w:szCs w:val="20"/>
                <w:color w:val="auto"/>
              </w:rPr>
            </w:pPr>
            <w:r>
              <w:rPr>
                <w:rFonts w:ascii="Arial" w:cs="Arial" w:eastAsia="Arial" w:hAnsi="Arial"/>
                <w:sz w:val="16"/>
                <w:szCs w:val="16"/>
                <w:b w:val="1"/>
                <w:bCs w:val="1"/>
                <w:color w:val="auto"/>
              </w:rPr>
              <w:t>Nine Months Ended</w:t>
            </w:r>
          </w:p>
        </w:tc>
      </w:tr>
      <w:tr>
        <w:trPr>
          <w:trHeight w:val="193"/>
        </w:trPr>
        <w:tc>
          <w:tcPr>
            <w:tcW w:w="1260" w:type="dxa"/>
            <w:vAlign w:val="bottom"/>
          </w:tcPr>
          <w:p>
            <w:pPr>
              <w:spacing w:after="0"/>
              <w:rPr>
                <w:sz w:val="16"/>
                <w:szCs w:val="16"/>
                <w:color w:val="auto"/>
              </w:rPr>
            </w:pPr>
          </w:p>
        </w:tc>
        <w:tc>
          <w:tcPr>
            <w:tcW w:w="6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40" w:type="dxa"/>
            <w:vAlign w:val="bottom"/>
            <w:gridSpan w:val="2"/>
          </w:tcPr>
          <w:p>
            <w:pPr>
              <w:ind w:left="220"/>
              <w:spacing w:after="0"/>
              <w:rPr>
                <w:sz w:val="20"/>
                <w:szCs w:val="20"/>
                <w:color w:val="auto"/>
              </w:rPr>
            </w:pPr>
            <w:r>
              <w:rPr>
                <w:rFonts w:ascii="Arial" w:cs="Arial" w:eastAsia="Arial" w:hAnsi="Arial"/>
                <w:sz w:val="16"/>
                <w:szCs w:val="16"/>
                <w:b w:val="1"/>
                <w:bCs w:val="1"/>
                <w:color w:val="auto"/>
              </w:rPr>
              <w:t>May 30,</w:t>
            </w:r>
          </w:p>
        </w:tc>
        <w:tc>
          <w:tcPr>
            <w:tcW w:w="340" w:type="dxa"/>
            <w:vAlign w:val="bottom"/>
          </w:tcPr>
          <w:p>
            <w:pPr>
              <w:spacing w:after="0"/>
              <w:rPr>
                <w:sz w:val="16"/>
                <w:szCs w:val="16"/>
                <w:color w:val="auto"/>
              </w:rPr>
            </w:pPr>
          </w:p>
        </w:tc>
        <w:tc>
          <w:tcPr>
            <w:tcW w:w="1420" w:type="dxa"/>
            <w:vAlign w:val="bottom"/>
          </w:tcPr>
          <w:p>
            <w:pPr>
              <w:jc w:val="right"/>
              <w:ind w:right="539"/>
              <w:spacing w:after="0"/>
              <w:rPr>
                <w:sz w:val="20"/>
                <w:szCs w:val="20"/>
                <w:color w:val="auto"/>
              </w:rPr>
            </w:pPr>
            <w:r>
              <w:rPr>
                <w:rFonts w:ascii="Arial" w:cs="Arial" w:eastAsia="Arial" w:hAnsi="Arial"/>
                <w:sz w:val="16"/>
                <w:szCs w:val="16"/>
                <w:b w:val="1"/>
                <w:bCs w:val="1"/>
                <w:color w:val="auto"/>
              </w:rPr>
              <w:t>May 31,</w:t>
            </w:r>
          </w:p>
        </w:tc>
      </w:tr>
      <w:tr>
        <w:trPr>
          <w:trHeight w:val="232"/>
        </w:trPr>
        <w:tc>
          <w:tcPr>
            <w:tcW w:w="77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2014</w:t>
            </w:r>
          </w:p>
        </w:tc>
      </w:tr>
      <w:tr>
        <w:trPr>
          <w:trHeight w:val="267"/>
        </w:trPr>
        <w:tc>
          <w:tcPr>
            <w:tcW w:w="7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3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62"/>
        </w:trPr>
        <w:tc>
          <w:tcPr>
            <w:tcW w:w="7780" w:type="dxa"/>
            <w:vAlign w:val="bottom"/>
            <w:gridSpan w:val="2"/>
          </w:tcPr>
          <w:p>
            <w:pPr>
              <w:ind w:left="180"/>
              <w:spacing w:after="0"/>
              <w:rPr>
                <w:sz w:val="20"/>
                <w:szCs w:val="20"/>
                <w:color w:val="auto"/>
              </w:rPr>
            </w:pPr>
            <w:r>
              <w:rPr>
                <w:rFonts w:ascii="Arial" w:cs="Arial" w:eastAsia="Arial" w:hAnsi="Arial"/>
                <w:sz w:val="16"/>
                <w:szCs w:val="16"/>
                <w:color w:val="auto"/>
              </w:rPr>
              <w:t>Net income</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29,493</w:t>
            </w:r>
          </w:p>
        </w:tc>
        <w:tc>
          <w:tcPr>
            <w:tcW w:w="120" w:type="dxa"/>
            <w:vAlign w:val="bottom"/>
          </w:tcPr>
          <w:p>
            <w:pPr>
              <w:spacing w:after="0"/>
              <w:rPr>
                <w:sz w:val="22"/>
                <w:szCs w:val="22"/>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32,124</w:t>
            </w:r>
          </w:p>
        </w:tc>
      </w:tr>
      <w:tr>
        <w:trPr>
          <w:trHeight w:val="278"/>
        </w:trPr>
        <w:tc>
          <w:tcPr>
            <w:tcW w:w="7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used in operating activities:</w:t>
            </w: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2"/>
        </w:trPr>
        <w:tc>
          <w:tcPr>
            <w:tcW w:w="7780" w:type="dxa"/>
            <w:vAlign w:val="bottom"/>
            <w:gridSpan w:val="2"/>
          </w:tcPr>
          <w:p>
            <w:pPr>
              <w:ind w:left="18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3,284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2,962</w:t>
            </w:r>
          </w:p>
        </w:tc>
      </w:tr>
      <w:tr>
        <w:trPr>
          <w:trHeight w:val="278"/>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LIFO expense</w:t>
            </w: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1,041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934</w:t>
            </w:r>
          </w:p>
        </w:tc>
      </w:tr>
      <w:tr>
        <w:trPr>
          <w:trHeight w:val="262"/>
        </w:trPr>
        <w:tc>
          <w:tcPr>
            <w:tcW w:w="7780" w:type="dxa"/>
            <w:vAlign w:val="bottom"/>
            <w:gridSpan w:val="2"/>
          </w:tcPr>
          <w:p>
            <w:pPr>
              <w:ind w:left="180"/>
              <w:spacing w:after="0"/>
              <w:rPr>
                <w:sz w:val="20"/>
                <w:szCs w:val="20"/>
                <w:color w:val="auto"/>
              </w:rPr>
            </w:pPr>
            <w:r>
              <w:rPr>
                <w:rFonts w:ascii="Arial" w:cs="Arial" w:eastAsia="Arial" w:hAnsi="Arial"/>
                <w:sz w:val="16"/>
                <w:szCs w:val="16"/>
                <w:color w:val="auto"/>
              </w:rPr>
              <w:t>Asset impairment</w:t>
            </w:r>
          </w:p>
        </w:tc>
        <w:tc>
          <w:tcPr>
            <w:tcW w:w="34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462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78"/>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Stock-based compensation</w:t>
            </w: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1,739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1,694</w:t>
            </w:r>
          </w:p>
        </w:tc>
      </w:tr>
      <w:tr>
        <w:trPr>
          <w:trHeight w:val="262"/>
        </w:trPr>
        <w:tc>
          <w:tcPr>
            <w:tcW w:w="7780" w:type="dxa"/>
            <w:vAlign w:val="bottom"/>
            <w:gridSpan w:val="2"/>
          </w:tcPr>
          <w:p>
            <w:pPr>
              <w:ind w:left="180"/>
              <w:spacing w:after="0"/>
              <w:rPr>
                <w:sz w:val="20"/>
                <w:szCs w:val="20"/>
                <w:color w:val="auto"/>
              </w:rPr>
            </w:pPr>
            <w:r>
              <w:rPr>
                <w:rFonts w:ascii="Arial" w:cs="Arial" w:eastAsia="Arial" w:hAnsi="Arial"/>
                <w:sz w:val="16"/>
                <w:szCs w:val="16"/>
                <w:color w:val="auto"/>
              </w:rPr>
              <w:t>Deferred income taxes</w:t>
            </w:r>
          </w:p>
        </w:tc>
        <w:tc>
          <w:tcPr>
            <w:tcW w:w="34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2,793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464</w:t>
            </w:r>
          </w:p>
        </w:tc>
      </w:tr>
      <w:tr>
        <w:trPr>
          <w:trHeight w:val="278"/>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Postretirement benefit income and deferred compensation expense</w:t>
            </w: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(587)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(752)</w:t>
            </w:r>
          </w:p>
        </w:tc>
      </w:tr>
      <w:tr>
        <w:trPr>
          <w:trHeight w:val="262"/>
        </w:trPr>
        <w:tc>
          <w:tcPr>
            <w:tcW w:w="7780" w:type="dxa"/>
            <w:vAlign w:val="bottom"/>
            <w:gridSpan w:val="2"/>
          </w:tcPr>
          <w:p>
            <w:pPr>
              <w:ind w:left="180"/>
              <w:spacing w:after="0"/>
              <w:rPr>
                <w:sz w:val="20"/>
                <w:szCs w:val="20"/>
                <w:color w:val="auto"/>
              </w:rPr>
            </w:pPr>
            <w:r>
              <w:rPr>
                <w:rFonts w:ascii="Arial" w:cs="Arial" w:eastAsia="Arial" w:hAnsi="Arial"/>
                <w:sz w:val="16"/>
                <w:szCs w:val="16"/>
                <w:color w:val="auto"/>
              </w:rPr>
              <w:t>Provision for doubtful accounts</w:t>
            </w:r>
          </w:p>
        </w:tc>
        <w:tc>
          <w:tcPr>
            <w:tcW w:w="340" w:type="dxa"/>
            <w:vAlign w:val="bottom"/>
          </w:tcPr>
          <w:p>
            <w:pPr>
              <w:spacing w:after="0"/>
              <w:rPr>
                <w:sz w:val="22"/>
                <w:szCs w:val="22"/>
                <w:color w:val="auto"/>
              </w:rPr>
            </w:pPr>
          </w:p>
        </w:tc>
        <w:tc>
          <w:tcPr>
            <w:tcW w:w="154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1</w:t>
            </w:r>
          </w:p>
        </w:tc>
      </w:tr>
      <w:tr>
        <w:trPr>
          <w:trHeight w:val="278"/>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Gain on disposal of property</w:t>
            </w: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(712)</w:t>
            </w:r>
          </w:p>
        </w:tc>
      </w:tr>
      <w:tr>
        <w:trPr>
          <w:trHeight w:val="262"/>
        </w:trPr>
        <w:tc>
          <w:tcPr>
            <w:tcW w:w="7780" w:type="dxa"/>
            <w:vAlign w:val="bottom"/>
            <w:gridSpan w:val="2"/>
          </w:tcPr>
          <w:p>
            <w:pPr>
              <w:ind w:left="180"/>
              <w:spacing w:after="0"/>
              <w:rPr>
                <w:sz w:val="20"/>
                <w:szCs w:val="20"/>
                <w:color w:val="auto"/>
              </w:rPr>
            </w:pPr>
            <w:r>
              <w:rPr>
                <w:rFonts w:ascii="Arial" w:cs="Arial" w:eastAsia="Arial" w:hAnsi="Arial"/>
                <w:sz w:val="16"/>
                <w:szCs w:val="16"/>
                <w:color w:val="auto"/>
              </w:rPr>
              <w:t>Gain on life insurance</w:t>
            </w:r>
          </w:p>
        </w:tc>
        <w:tc>
          <w:tcPr>
            <w:tcW w:w="340" w:type="dxa"/>
            <w:vAlign w:val="bottom"/>
          </w:tcPr>
          <w:p>
            <w:pPr>
              <w:spacing w:after="0"/>
              <w:rPr>
                <w:sz w:val="22"/>
                <w:szCs w:val="22"/>
                <w:color w:val="auto"/>
              </w:rPr>
            </w:pPr>
          </w:p>
        </w:tc>
        <w:tc>
          <w:tcPr>
            <w:tcW w:w="154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1420" w:type="dxa"/>
            <w:vAlign w:val="bottom"/>
          </w:tcPr>
          <w:p>
            <w:pPr>
              <w:jc w:val="right"/>
              <w:ind w:right="199"/>
              <w:spacing w:after="0"/>
              <w:rPr>
                <w:sz w:val="20"/>
                <w:szCs w:val="20"/>
                <w:color w:val="auto"/>
              </w:rPr>
            </w:pPr>
            <w:r>
              <w:rPr>
                <w:rFonts w:ascii="Arial" w:cs="Arial" w:eastAsia="Arial" w:hAnsi="Arial"/>
                <w:sz w:val="16"/>
                <w:szCs w:val="16"/>
                <w:color w:val="auto"/>
              </w:rPr>
              <w:t>(726)</w:t>
            </w:r>
          </w:p>
        </w:tc>
      </w:tr>
      <w:tr>
        <w:trPr>
          <w:trHeight w:val="278"/>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Increase in cash surrender value of life insurance policies</w:t>
            </w: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(657)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(651)</w:t>
            </w:r>
          </w:p>
        </w:tc>
      </w:tr>
      <w:tr>
        <w:trPr>
          <w:trHeight w:val="262"/>
        </w:trPr>
        <w:tc>
          <w:tcPr>
            <w:tcW w:w="7780" w:type="dxa"/>
            <w:vAlign w:val="bottom"/>
            <w:gridSpan w:val="2"/>
          </w:tcPr>
          <w:p>
            <w:pPr>
              <w:ind w:left="40"/>
              <w:spacing w:after="0"/>
              <w:rPr>
                <w:sz w:val="20"/>
                <w:szCs w:val="20"/>
                <w:color w:val="auto"/>
              </w:rPr>
            </w:pPr>
            <w:r>
              <w:rPr>
                <w:rFonts w:ascii="Arial" w:cs="Arial" w:eastAsia="Arial" w:hAnsi="Arial"/>
                <w:sz w:val="16"/>
                <w:szCs w:val="16"/>
                <w:color w:val="auto"/>
              </w:rPr>
              <w:t>Change in assets and liabilities:</w:t>
            </w:r>
          </w:p>
        </w:tc>
        <w:tc>
          <w:tcPr>
            <w:tcW w:w="3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78"/>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Inventories</w:t>
            </w: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(10,768)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(6,128)</w:t>
            </w:r>
          </w:p>
        </w:tc>
      </w:tr>
      <w:tr>
        <w:trPr>
          <w:trHeight w:val="262"/>
        </w:trPr>
        <w:tc>
          <w:tcPr>
            <w:tcW w:w="7780" w:type="dxa"/>
            <w:vAlign w:val="bottom"/>
            <w:gridSpan w:val="2"/>
          </w:tcPr>
          <w:p>
            <w:pPr>
              <w:ind w:left="180"/>
              <w:spacing w:after="0"/>
              <w:rPr>
                <w:sz w:val="20"/>
                <w:szCs w:val="20"/>
                <w:color w:val="auto"/>
              </w:rPr>
            </w:pPr>
            <w:r>
              <w:rPr>
                <w:rFonts w:ascii="Arial" w:cs="Arial" w:eastAsia="Arial" w:hAnsi="Arial"/>
                <w:sz w:val="16"/>
                <w:szCs w:val="16"/>
                <w:color w:val="auto"/>
              </w:rPr>
              <w:t>Receivables, prepaid and other assets</w:t>
            </w:r>
          </w:p>
        </w:tc>
        <w:tc>
          <w:tcPr>
            <w:tcW w:w="34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3,581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jc w:val="right"/>
              <w:ind w:right="199"/>
              <w:spacing w:after="0"/>
              <w:rPr>
                <w:sz w:val="20"/>
                <w:szCs w:val="20"/>
                <w:color w:val="auto"/>
              </w:rPr>
            </w:pPr>
            <w:r>
              <w:rPr>
                <w:rFonts w:ascii="Arial" w:cs="Arial" w:eastAsia="Arial" w:hAnsi="Arial"/>
                <w:sz w:val="16"/>
                <w:szCs w:val="16"/>
                <w:color w:val="auto"/>
              </w:rPr>
              <w:t>(26,349)</w:t>
            </w:r>
          </w:p>
        </w:tc>
      </w:tr>
      <w:tr>
        <w:trPr>
          <w:trHeight w:val="278"/>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Investment in operating leases, net of repurchase obligations</w:t>
            </w: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(72)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(429)</w:t>
            </w:r>
          </w:p>
        </w:tc>
      </w:tr>
      <w:tr>
        <w:trPr>
          <w:trHeight w:val="262"/>
        </w:trPr>
        <w:tc>
          <w:tcPr>
            <w:tcW w:w="7780" w:type="dxa"/>
            <w:vAlign w:val="bottom"/>
            <w:gridSpan w:val="2"/>
          </w:tcPr>
          <w:p>
            <w:pPr>
              <w:ind w:left="180"/>
              <w:spacing w:after="0"/>
              <w:rPr>
                <w:sz w:val="20"/>
                <w:szCs w:val="20"/>
                <w:color w:val="auto"/>
              </w:rPr>
            </w:pPr>
            <w:r>
              <w:rPr>
                <w:rFonts w:ascii="Arial" w:cs="Arial" w:eastAsia="Arial" w:hAnsi="Arial"/>
                <w:sz w:val="16"/>
                <w:szCs w:val="16"/>
                <w:color w:val="auto"/>
              </w:rPr>
              <w:t>Income taxes and unrecognized tax benefits</w:t>
            </w:r>
          </w:p>
        </w:tc>
        <w:tc>
          <w:tcPr>
            <w:tcW w:w="340" w:type="dxa"/>
            <w:vAlign w:val="bottom"/>
          </w:tcPr>
          <w:p>
            <w:pPr>
              <w:spacing w:after="0"/>
              <w:rPr>
                <w:sz w:val="22"/>
                <w:szCs w:val="22"/>
                <w:color w:val="auto"/>
              </w:rPr>
            </w:pPr>
          </w:p>
        </w:tc>
        <w:tc>
          <w:tcPr>
            <w:tcW w:w="1420" w:type="dxa"/>
            <w:vAlign w:val="bottom"/>
          </w:tcPr>
          <w:p>
            <w:pPr>
              <w:jc w:val="right"/>
              <w:ind w:right="179"/>
              <w:spacing w:after="0"/>
              <w:rPr>
                <w:sz w:val="20"/>
                <w:szCs w:val="20"/>
                <w:color w:val="auto"/>
              </w:rPr>
            </w:pPr>
            <w:r>
              <w:rPr>
                <w:rFonts w:ascii="Arial" w:cs="Arial" w:eastAsia="Arial" w:hAnsi="Arial"/>
                <w:sz w:val="16"/>
                <w:szCs w:val="16"/>
                <w:color w:val="auto"/>
              </w:rPr>
              <w:t>(2,375)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1,986</w:t>
            </w:r>
          </w:p>
        </w:tc>
      </w:tr>
      <w:tr>
        <w:trPr>
          <w:trHeight w:val="278"/>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Accounts payable and accrued expenses</w:t>
            </w: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(6,308)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8,851</w:t>
            </w:r>
          </w:p>
        </w:tc>
      </w:tr>
      <w:tr>
        <w:trPr>
          <w:trHeight w:val="264"/>
        </w:trPr>
        <w:tc>
          <w:tcPr>
            <w:tcW w:w="778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Postretirement and deferred compensation benefits</w:t>
            </w:r>
          </w:p>
        </w:tc>
        <w:tc>
          <w:tcPr>
            <w:tcW w:w="3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(3,049)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(3,080)</w:t>
            </w:r>
          </w:p>
        </w:tc>
      </w:tr>
      <w:tr>
        <w:trPr>
          <w:trHeight w:val="250"/>
        </w:trPr>
        <w:tc>
          <w:tcPr>
            <w:tcW w:w="7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3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18,557</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10,189</w:t>
            </w:r>
          </w:p>
        </w:tc>
      </w:tr>
      <w:tr>
        <w:trPr>
          <w:trHeight w:val="284"/>
        </w:trPr>
        <w:tc>
          <w:tcPr>
            <w:tcW w:w="126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70"/>
        </w:trPr>
        <w:tc>
          <w:tcPr>
            <w:tcW w:w="7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Investing activities:</w:t>
            </w:r>
          </w:p>
        </w:tc>
        <w:tc>
          <w:tcPr>
            <w:tcW w:w="3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62"/>
        </w:trPr>
        <w:tc>
          <w:tcPr>
            <w:tcW w:w="7780" w:type="dxa"/>
            <w:vAlign w:val="bottom"/>
            <w:gridSpan w:val="2"/>
          </w:tcPr>
          <w:p>
            <w:pPr>
              <w:ind w:left="180"/>
              <w:spacing w:after="0"/>
              <w:rPr>
                <w:sz w:val="20"/>
                <w:szCs w:val="20"/>
                <w:color w:val="auto"/>
              </w:rPr>
            </w:pPr>
            <w:r>
              <w:rPr>
                <w:rFonts w:ascii="Arial" w:cs="Arial" w:eastAsia="Arial" w:hAnsi="Arial"/>
                <w:sz w:val="16"/>
                <w:szCs w:val="16"/>
                <w:color w:val="auto"/>
              </w:rPr>
              <w:t>Proceeds from the sale of investments, at par</w:t>
            </w:r>
          </w:p>
        </w:tc>
        <w:tc>
          <w:tcPr>
            <w:tcW w:w="340" w:type="dxa"/>
            <w:vAlign w:val="bottom"/>
          </w:tcPr>
          <w:p>
            <w:pPr>
              <w:spacing w:after="0"/>
              <w:rPr>
                <w:sz w:val="22"/>
                <w:szCs w:val="22"/>
                <w:color w:val="auto"/>
              </w:rPr>
            </w:pPr>
          </w:p>
        </w:tc>
        <w:tc>
          <w:tcPr>
            <w:tcW w:w="154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2,350</w:t>
            </w:r>
          </w:p>
        </w:tc>
      </w:tr>
      <w:tr>
        <w:trPr>
          <w:trHeight w:val="278"/>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Proceeds from life insurance</w:t>
            </w:r>
          </w:p>
        </w:tc>
        <w:tc>
          <w:tcPr>
            <w:tcW w:w="34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1,737</w:t>
            </w:r>
          </w:p>
        </w:tc>
      </w:tr>
      <w:tr>
        <w:trPr>
          <w:trHeight w:val="262"/>
        </w:trPr>
        <w:tc>
          <w:tcPr>
            <w:tcW w:w="7780" w:type="dxa"/>
            <w:vAlign w:val="bottom"/>
            <w:gridSpan w:val="2"/>
          </w:tcPr>
          <w:p>
            <w:pPr>
              <w:ind w:left="180"/>
              <w:spacing w:after="0"/>
              <w:rPr>
                <w:sz w:val="20"/>
                <w:szCs w:val="20"/>
                <w:color w:val="auto"/>
              </w:rPr>
            </w:pPr>
            <w:r>
              <w:rPr>
                <w:rFonts w:ascii="Arial" w:cs="Arial" w:eastAsia="Arial" w:hAnsi="Arial"/>
                <w:sz w:val="16"/>
                <w:szCs w:val="16"/>
                <w:color w:val="auto"/>
              </w:rPr>
              <w:t>Purchases of property and equipment</w:t>
            </w:r>
          </w:p>
        </w:tc>
        <w:tc>
          <w:tcPr>
            <w:tcW w:w="340" w:type="dxa"/>
            <w:vAlign w:val="bottom"/>
          </w:tcPr>
          <w:p>
            <w:pPr>
              <w:spacing w:after="0"/>
              <w:rPr>
                <w:sz w:val="22"/>
                <w:szCs w:val="22"/>
                <w:color w:val="auto"/>
              </w:rPr>
            </w:pPr>
          </w:p>
        </w:tc>
        <w:tc>
          <w:tcPr>
            <w:tcW w:w="1420" w:type="dxa"/>
            <w:vAlign w:val="bottom"/>
          </w:tcPr>
          <w:p>
            <w:pPr>
              <w:jc w:val="right"/>
              <w:ind w:right="179"/>
              <w:spacing w:after="0"/>
              <w:rPr>
                <w:sz w:val="20"/>
                <w:szCs w:val="20"/>
                <w:color w:val="auto"/>
              </w:rPr>
            </w:pPr>
            <w:r>
              <w:rPr>
                <w:rFonts w:ascii="Arial" w:cs="Arial" w:eastAsia="Arial" w:hAnsi="Arial"/>
                <w:sz w:val="16"/>
                <w:szCs w:val="16"/>
                <w:color w:val="auto"/>
              </w:rPr>
              <w:t>(14,174)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jc w:val="right"/>
              <w:ind w:right="199"/>
              <w:spacing w:after="0"/>
              <w:rPr>
                <w:sz w:val="20"/>
                <w:szCs w:val="20"/>
                <w:color w:val="auto"/>
              </w:rPr>
            </w:pPr>
            <w:r>
              <w:rPr>
                <w:rFonts w:ascii="Arial" w:cs="Arial" w:eastAsia="Arial" w:hAnsi="Arial"/>
                <w:sz w:val="16"/>
                <w:szCs w:val="16"/>
                <w:color w:val="auto"/>
              </w:rPr>
              <w:t>(7,005)</w:t>
            </w:r>
          </w:p>
        </w:tc>
      </w:tr>
      <w:tr>
        <w:trPr>
          <w:trHeight w:val="278"/>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Proceeds from the sale of property</w:t>
            </w: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2,403</w:t>
            </w:r>
          </w:p>
        </w:tc>
      </w:tr>
      <w:tr>
        <w:trPr>
          <w:trHeight w:val="264"/>
        </w:trPr>
        <w:tc>
          <w:tcPr>
            <w:tcW w:w="778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435</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(1,123)</w:t>
            </w:r>
          </w:p>
        </w:tc>
      </w:tr>
      <w:tr>
        <w:trPr>
          <w:trHeight w:val="250"/>
        </w:trPr>
        <w:tc>
          <w:tcPr>
            <w:tcW w:w="7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cash used in investing activities</w:t>
            </w:r>
          </w:p>
        </w:tc>
        <w:tc>
          <w:tcPr>
            <w:tcW w:w="3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(13,696)</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(1,638)</w:t>
            </w:r>
          </w:p>
        </w:tc>
      </w:tr>
      <w:tr>
        <w:trPr>
          <w:trHeight w:val="284"/>
        </w:trPr>
        <w:tc>
          <w:tcPr>
            <w:tcW w:w="126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70"/>
        </w:trPr>
        <w:tc>
          <w:tcPr>
            <w:tcW w:w="7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Financing activities:</w:t>
            </w:r>
          </w:p>
        </w:tc>
        <w:tc>
          <w:tcPr>
            <w:tcW w:w="3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62"/>
        </w:trPr>
        <w:tc>
          <w:tcPr>
            <w:tcW w:w="7780" w:type="dxa"/>
            <w:vAlign w:val="bottom"/>
            <w:gridSpan w:val="2"/>
          </w:tcPr>
          <w:p>
            <w:pPr>
              <w:ind w:left="180"/>
              <w:spacing w:after="0"/>
              <w:rPr>
                <w:sz w:val="20"/>
                <w:szCs w:val="20"/>
                <w:color w:val="auto"/>
              </w:rPr>
            </w:pPr>
            <w:r>
              <w:rPr>
                <w:rFonts w:ascii="Arial" w:cs="Arial" w:eastAsia="Arial" w:hAnsi="Arial"/>
                <w:sz w:val="16"/>
                <w:szCs w:val="16"/>
                <w:color w:val="auto"/>
              </w:rPr>
              <w:t>Payments for purchases of common stock</w:t>
            </w:r>
          </w:p>
        </w:tc>
        <w:tc>
          <w:tcPr>
            <w:tcW w:w="340" w:type="dxa"/>
            <w:vAlign w:val="bottom"/>
          </w:tcPr>
          <w:p>
            <w:pPr>
              <w:spacing w:after="0"/>
              <w:rPr>
                <w:sz w:val="22"/>
                <w:szCs w:val="22"/>
                <w:color w:val="auto"/>
              </w:rPr>
            </w:pPr>
          </w:p>
        </w:tc>
        <w:tc>
          <w:tcPr>
            <w:tcW w:w="1420" w:type="dxa"/>
            <w:vAlign w:val="bottom"/>
          </w:tcPr>
          <w:p>
            <w:pPr>
              <w:jc w:val="right"/>
              <w:ind w:right="179"/>
              <w:spacing w:after="0"/>
              <w:rPr>
                <w:sz w:val="20"/>
                <w:szCs w:val="20"/>
                <w:color w:val="auto"/>
              </w:rPr>
            </w:pPr>
            <w:r>
              <w:rPr>
                <w:rFonts w:ascii="Arial" w:cs="Arial" w:eastAsia="Arial" w:hAnsi="Arial"/>
                <w:sz w:val="16"/>
                <w:szCs w:val="16"/>
                <w:color w:val="auto"/>
              </w:rPr>
              <w:t>(6,166)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jc w:val="right"/>
              <w:ind w:right="199"/>
              <w:spacing w:after="0"/>
              <w:rPr>
                <w:sz w:val="20"/>
                <w:szCs w:val="20"/>
                <w:color w:val="auto"/>
              </w:rPr>
            </w:pPr>
            <w:r>
              <w:rPr>
                <w:rFonts w:ascii="Arial" w:cs="Arial" w:eastAsia="Arial" w:hAnsi="Arial"/>
                <w:sz w:val="16"/>
                <w:szCs w:val="16"/>
                <w:color w:val="auto"/>
              </w:rPr>
              <w:t>(24,324)</w:t>
            </w:r>
          </w:p>
        </w:tc>
      </w:tr>
      <w:tr>
        <w:trPr>
          <w:trHeight w:val="278"/>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Payments of cash dividends</w:t>
            </w: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(7,324)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62"/>
        </w:trPr>
        <w:tc>
          <w:tcPr>
            <w:tcW w:w="7780" w:type="dxa"/>
            <w:vAlign w:val="bottom"/>
            <w:gridSpan w:val="2"/>
          </w:tcPr>
          <w:p>
            <w:pPr>
              <w:ind w:left="180"/>
              <w:spacing w:after="0"/>
              <w:rPr>
                <w:sz w:val="20"/>
                <w:szCs w:val="20"/>
                <w:color w:val="auto"/>
              </w:rPr>
            </w:pPr>
            <w:r>
              <w:rPr>
                <w:rFonts w:ascii="Arial" w:cs="Arial" w:eastAsia="Arial" w:hAnsi="Arial"/>
                <w:sz w:val="16"/>
                <w:szCs w:val="16"/>
                <w:color w:val="auto"/>
              </w:rPr>
              <w:t>Proceeds from exercise of stock options</w:t>
            </w:r>
          </w:p>
        </w:tc>
        <w:tc>
          <w:tcPr>
            <w:tcW w:w="340" w:type="dxa"/>
            <w:vAlign w:val="bottom"/>
          </w:tcPr>
          <w:p>
            <w:pPr>
              <w:spacing w:after="0"/>
              <w:rPr>
                <w:sz w:val="22"/>
                <w:szCs w:val="22"/>
                <w:color w:val="auto"/>
              </w:rPr>
            </w:pPr>
          </w:p>
        </w:tc>
        <w:tc>
          <w:tcPr>
            <w:tcW w:w="154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2,080</w:t>
            </w:r>
          </w:p>
        </w:tc>
      </w:tr>
      <w:tr>
        <w:trPr>
          <w:trHeight w:val="278"/>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Borrowings on loans</w:t>
            </w: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22,000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62"/>
        </w:trPr>
        <w:tc>
          <w:tcPr>
            <w:tcW w:w="7780" w:type="dxa"/>
            <w:vAlign w:val="bottom"/>
            <w:gridSpan w:val="2"/>
          </w:tcPr>
          <w:p>
            <w:pPr>
              <w:ind w:left="180"/>
              <w:spacing w:after="0"/>
              <w:rPr>
                <w:sz w:val="20"/>
                <w:szCs w:val="20"/>
                <w:color w:val="auto"/>
              </w:rPr>
            </w:pPr>
            <w:r>
              <w:rPr>
                <w:rFonts w:ascii="Arial" w:cs="Arial" w:eastAsia="Arial" w:hAnsi="Arial"/>
                <w:sz w:val="16"/>
                <w:szCs w:val="16"/>
                <w:color w:val="auto"/>
              </w:rPr>
              <w:t>Repayments of loans</w:t>
            </w:r>
          </w:p>
        </w:tc>
        <w:tc>
          <w:tcPr>
            <w:tcW w:w="340" w:type="dxa"/>
            <w:vAlign w:val="bottom"/>
          </w:tcPr>
          <w:p>
            <w:pPr>
              <w:spacing w:after="0"/>
              <w:rPr>
                <w:sz w:val="22"/>
                <w:szCs w:val="22"/>
                <w:color w:val="auto"/>
              </w:rPr>
            </w:pPr>
          </w:p>
        </w:tc>
        <w:tc>
          <w:tcPr>
            <w:tcW w:w="1420" w:type="dxa"/>
            <w:vAlign w:val="bottom"/>
          </w:tcPr>
          <w:p>
            <w:pPr>
              <w:jc w:val="right"/>
              <w:ind w:right="179"/>
              <w:spacing w:after="0"/>
              <w:rPr>
                <w:sz w:val="20"/>
                <w:szCs w:val="20"/>
                <w:color w:val="auto"/>
              </w:rPr>
            </w:pPr>
            <w:r>
              <w:rPr>
                <w:rFonts w:ascii="Arial" w:cs="Arial" w:eastAsia="Arial" w:hAnsi="Arial"/>
                <w:sz w:val="16"/>
                <w:szCs w:val="16"/>
                <w:color w:val="auto"/>
              </w:rPr>
              <w:t>(22,000)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71"/>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(94)</w:t>
            </w:r>
          </w:p>
        </w:tc>
      </w:tr>
      <w:tr>
        <w:trPr>
          <w:trHeight w:val="250"/>
        </w:trPr>
        <w:tc>
          <w:tcPr>
            <w:tcW w:w="77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cash used in financing activities</w:t>
            </w:r>
          </w:p>
        </w:tc>
        <w:tc>
          <w:tcPr>
            <w:tcW w:w="3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(13,450)</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(22,338)</w:t>
            </w:r>
          </w:p>
        </w:tc>
      </w:tr>
      <w:tr>
        <w:trPr>
          <w:trHeight w:val="284"/>
        </w:trPr>
        <w:tc>
          <w:tcPr>
            <w:tcW w:w="1260" w:type="dxa"/>
            <w:vAlign w:val="bottom"/>
            <w:shd w:val="clear" w:color="auto" w:fill="CCEEFF"/>
          </w:tcPr>
          <w:p>
            <w:pPr>
              <w:spacing w:after="0"/>
              <w:rPr>
                <w:sz w:val="24"/>
                <w:szCs w:val="24"/>
                <w:color w:val="auto"/>
              </w:rPr>
            </w:pPr>
          </w:p>
        </w:tc>
        <w:tc>
          <w:tcPr>
            <w:tcW w:w="65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2"/>
        </w:trPr>
        <w:tc>
          <w:tcPr>
            <w:tcW w:w="7780" w:type="dxa"/>
            <w:vAlign w:val="bottom"/>
            <w:gridSpan w:val="2"/>
          </w:tcPr>
          <w:p>
            <w:pPr>
              <w:ind w:left="40"/>
              <w:spacing w:after="0"/>
              <w:rPr>
                <w:sz w:val="20"/>
                <w:szCs w:val="20"/>
                <w:color w:val="auto"/>
              </w:rPr>
            </w:pPr>
            <w:r>
              <w:rPr>
                <w:rFonts w:ascii="Arial" w:cs="Arial" w:eastAsia="Arial" w:hAnsi="Arial"/>
                <w:sz w:val="16"/>
                <w:szCs w:val="16"/>
                <w:color w:val="auto"/>
              </w:rPr>
              <w:t>Net decrease in cash and cash equivalents</w:t>
            </w:r>
          </w:p>
        </w:tc>
        <w:tc>
          <w:tcPr>
            <w:tcW w:w="340" w:type="dxa"/>
            <w:vAlign w:val="bottom"/>
          </w:tcPr>
          <w:p>
            <w:pPr>
              <w:spacing w:after="0"/>
              <w:rPr>
                <w:sz w:val="22"/>
                <w:szCs w:val="22"/>
                <w:color w:val="auto"/>
              </w:rPr>
            </w:pPr>
          </w:p>
        </w:tc>
        <w:tc>
          <w:tcPr>
            <w:tcW w:w="1420" w:type="dxa"/>
            <w:vAlign w:val="bottom"/>
          </w:tcPr>
          <w:p>
            <w:pPr>
              <w:jc w:val="right"/>
              <w:ind w:right="179"/>
              <w:spacing w:after="0"/>
              <w:rPr>
                <w:sz w:val="20"/>
                <w:szCs w:val="20"/>
                <w:color w:val="auto"/>
              </w:rPr>
            </w:pPr>
            <w:r>
              <w:rPr>
                <w:rFonts w:ascii="Arial" w:cs="Arial" w:eastAsia="Arial" w:hAnsi="Arial"/>
                <w:sz w:val="16"/>
                <w:szCs w:val="16"/>
                <w:color w:val="auto"/>
              </w:rPr>
              <w:t>(8,589)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jc w:val="right"/>
              <w:ind w:right="199"/>
              <w:spacing w:after="0"/>
              <w:rPr>
                <w:sz w:val="20"/>
                <w:szCs w:val="20"/>
                <w:color w:val="auto"/>
              </w:rPr>
            </w:pPr>
            <w:r>
              <w:rPr>
                <w:rFonts w:ascii="Arial" w:cs="Arial" w:eastAsia="Arial" w:hAnsi="Arial"/>
                <w:sz w:val="16"/>
                <w:szCs w:val="16"/>
                <w:color w:val="auto"/>
              </w:rPr>
              <w:t>(13,787)</w:t>
            </w:r>
          </w:p>
        </w:tc>
      </w:tr>
      <w:tr>
        <w:trPr>
          <w:trHeight w:val="271"/>
        </w:trPr>
        <w:tc>
          <w:tcPr>
            <w:tcW w:w="7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34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57,804</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64,277</w:t>
            </w:r>
          </w:p>
        </w:tc>
      </w:tr>
      <w:tr>
        <w:trPr>
          <w:trHeight w:val="282"/>
        </w:trPr>
        <w:tc>
          <w:tcPr>
            <w:tcW w:w="77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49,215</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50,490</w:t>
            </w:r>
          </w:p>
        </w:tc>
      </w:tr>
      <w:tr>
        <w:trPr>
          <w:trHeight w:val="265"/>
        </w:trPr>
        <w:tc>
          <w:tcPr>
            <w:tcW w:w="1260" w:type="dxa"/>
            <w:vAlign w:val="bottom"/>
            <w:shd w:val="clear" w:color="auto" w:fill="CCEEFF"/>
          </w:tcPr>
          <w:p>
            <w:pPr>
              <w:spacing w:after="0"/>
              <w:rPr>
                <w:sz w:val="23"/>
                <w:szCs w:val="23"/>
                <w:color w:val="auto"/>
              </w:rPr>
            </w:pPr>
          </w:p>
        </w:tc>
        <w:tc>
          <w:tcPr>
            <w:tcW w:w="65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62"/>
        </w:trPr>
        <w:tc>
          <w:tcPr>
            <w:tcW w:w="7780" w:type="dxa"/>
            <w:vAlign w:val="bottom"/>
            <w:gridSpan w:val="2"/>
          </w:tcPr>
          <w:p>
            <w:pPr>
              <w:ind w:left="40"/>
              <w:spacing w:after="0"/>
              <w:rPr>
                <w:sz w:val="20"/>
                <w:szCs w:val="20"/>
                <w:color w:val="auto"/>
              </w:rPr>
            </w:pPr>
            <w:r>
              <w:rPr>
                <w:rFonts w:ascii="Arial" w:cs="Arial" w:eastAsia="Arial" w:hAnsi="Arial"/>
                <w:sz w:val="16"/>
                <w:szCs w:val="16"/>
                <w:color w:val="auto"/>
              </w:rPr>
              <w:t>Supplement cash flow disclosure:</w:t>
            </w:r>
          </w:p>
        </w:tc>
        <w:tc>
          <w:tcPr>
            <w:tcW w:w="3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78"/>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Income taxes paid, net of refunds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12,631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11,814</w:t>
            </w:r>
          </w:p>
        </w:tc>
      </w:tr>
      <w:tr>
        <w:trPr>
          <w:trHeight w:val="255"/>
        </w:trPr>
        <w:tc>
          <w:tcPr>
            <w:tcW w:w="7780" w:type="dxa"/>
            <w:vAlign w:val="bottom"/>
            <w:gridSpan w:val="2"/>
          </w:tcPr>
          <w:p>
            <w:pPr>
              <w:ind w:left="180"/>
              <w:spacing w:after="0"/>
              <w:rPr>
                <w:sz w:val="20"/>
                <w:szCs w:val="20"/>
                <w:color w:val="auto"/>
              </w:rPr>
            </w:pPr>
            <w:r>
              <w:rPr>
                <w:rFonts w:ascii="Arial" w:cs="Arial" w:eastAsia="Arial" w:hAnsi="Arial"/>
                <w:sz w:val="16"/>
                <w:szCs w:val="16"/>
                <w:color w:val="auto"/>
              </w:rPr>
              <w:t>Interest paid</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2"/>
                <w:szCs w:val="22"/>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w:t>
            </w:r>
          </w:p>
        </w:tc>
      </w:tr>
    </w:tbl>
    <w:p>
      <w:pPr>
        <w:spacing w:after="0" w:line="56"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w:t>
      </w:r>
    </w:p>
    <w:p>
      <w:pPr>
        <w:sectPr>
          <w:pgSz w:w="11900" w:h="16838" w:orient="portrait"/>
          <w:cols w:equalWidth="0" w:num="1">
            <w:col w:w="11420"/>
          </w:cols>
          <w:pgMar w:left="240" w:top="118" w:right="239" w:bottom="1099" w:gutter="0" w:footer="0" w:header="0"/>
        </w:sect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118" w:right="239" w:bottom="1099" w:gutter="0" w:footer="0" w:header="0"/>
          <w:type w:val="continuous"/>
        </w:sectPr>
      </w:pPr>
    </w:p>
    <w:bookmarkStart w:id="6" w:name="page7"/>
    <w:bookmarkEnd w:id="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Winnebago Industries,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(Unaudited)</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Basis of Presentation</w:t>
      </w:r>
    </w:p>
    <w:p>
      <w:pPr>
        <w:spacing w:after="0" w:line="169"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The "Company," "we," "our" and "us" are used interchangeably to refer to Winnebago Industries, Inc. and its wholly-owned subsidiary, Winnebago of Indiana, LLC, as appropriate in the context.</w:t>
      </w:r>
    </w:p>
    <w:p>
      <w:pPr>
        <w:spacing w:after="0" w:line="121" w:lineRule="exact"/>
        <w:rPr>
          <w:sz w:val="20"/>
          <w:szCs w:val="20"/>
          <w:color w:val="auto"/>
        </w:rPr>
      </w:pPr>
    </w:p>
    <w:p>
      <w:pPr>
        <w:ind w:right="220"/>
        <w:spacing w:after="0" w:line="269" w:lineRule="auto"/>
        <w:rPr>
          <w:sz w:val="20"/>
          <w:szCs w:val="20"/>
          <w:color w:val="auto"/>
        </w:rPr>
      </w:pPr>
      <w:r>
        <w:rPr>
          <w:rFonts w:ascii="Arial" w:cs="Arial" w:eastAsia="Arial" w:hAnsi="Arial"/>
          <w:sz w:val="16"/>
          <w:szCs w:val="16"/>
          <w:color w:val="auto"/>
        </w:rPr>
        <w:t>We were incorporated under the laws of the state of Iowa on February 12, 1958 and adopted our present name on February 28, 1961. Our executive offices are located at 605 West Crystal Lake Road in Forest City, Iowa. Our telephone number is (641) 585-3535; our website is www.winnebagoind.com. Our common stock trades on the NYSE under the symbol “WGO.”</w:t>
      </w:r>
    </w:p>
    <w:p>
      <w:pPr>
        <w:spacing w:after="0" w:line="138"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In our opinion, the accompanying unaudited consolidated financial statements contain all adjustments, consisting of normal recurring accruals, necessary to present fairly our consolidated financial position as of May 30, 2015 and the consolidated results of income and comprehensive income and consolidated cash flows for the first nine months of Fiscal 2015 and 2014. The consolidated statement of income and comprehensive income for the first nine months of Fiscal 2015 is not necessarily indicative of the results to be expected for the full year. The consolidated balance sheet data as of August 30, 2014 was derived from audited financial statements, but does not include all of the information and footnotes required by GAAP for complete financial statements. These interim financial statements should be read in conjunction with the audited consolidated financial statements and notes thereto appearing in our Annual Report on Form 10-K for the fiscal year ended August 30, 2014.</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Period</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We follow a 52-/53-week fiscal year, ending the last Saturday in August. Both Fiscal 2015 and Fiscal 2014 are 52-week years.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Accounting Pronouncements</w:t>
      </w:r>
    </w:p>
    <w:p>
      <w:pPr>
        <w:spacing w:after="0" w:line="27"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which specifies how and when to recognize revenue as well as providing informative, relevant disclosures. ASU 2014-09 will become effective for fiscal years beginning after December 15, 2016 (our Fiscal 2018). In April 2015, the FASB proposed a one year deferral of the effective date which is still under consideration. We are currently evaluating the impact on our consolidated financial statements.</w:t>
      </w:r>
    </w:p>
    <w:p>
      <w:pPr>
        <w:spacing w:after="0" w:line="150" w:lineRule="exact"/>
        <w:rPr>
          <w:sz w:val="20"/>
          <w:szCs w:val="20"/>
          <w:color w:val="auto"/>
        </w:rPr>
      </w:pPr>
    </w:p>
    <w:p>
      <w:pPr>
        <w:ind w:right="320"/>
        <w:spacing w:after="0" w:line="261" w:lineRule="auto"/>
        <w:rPr>
          <w:sz w:val="20"/>
          <w:szCs w:val="20"/>
          <w:color w:val="auto"/>
        </w:rPr>
      </w:pPr>
      <w:r>
        <w:rPr>
          <w:rFonts w:ascii="Arial" w:cs="Arial" w:eastAsia="Arial" w:hAnsi="Arial"/>
          <w:sz w:val="16"/>
          <w:szCs w:val="16"/>
          <w:color w:val="auto"/>
        </w:rPr>
        <w:t xml:space="preserve">In August 2014, the FASB issued ASU 2014-15, </w:t>
      </w:r>
      <w:r>
        <w:rPr>
          <w:rFonts w:ascii="Arial" w:cs="Arial" w:eastAsia="Arial" w:hAnsi="Arial"/>
          <w:sz w:val="16"/>
          <w:szCs w:val="16"/>
          <w:i w:val="1"/>
          <w:iCs w:val="1"/>
          <w:color w:val="auto"/>
        </w:rPr>
        <w:t>Going Concern</w:t>
      </w:r>
      <w:r>
        <w:rPr>
          <w:rFonts w:ascii="Arial" w:cs="Arial" w:eastAsia="Arial" w:hAnsi="Arial"/>
          <w:sz w:val="16"/>
          <w:szCs w:val="16"/>
          <w:color w:val="auto"/>
        </w:rPr>
        <w:t xml:space="preserve"> (Subtopic 205-40), which provides guidance on management's responsibility in evaluating whether there is substantial doubt about a company's ability to continue as a going concern and related footnote disclosures. ASU 2014-15 will become effective for years ending after December 15, 2016 (our Fiscal 2017). We are currently evaluating the impact of ASU 2014-15 on our consolidated financial statements.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w:t>
      </w:r>
      <w:r>
        <w:rPr>
          <w:rFonts w:ascii="Times New Roman" w:cs="Times New Roman" w:eastAsia="Times New Roman" w:hAnsi="Times New Roman"/>
          <w:sz w:val="18"/>
          <w:szCs w:val="18"/>
          <w:b w:val="1"/>
          <w:bCs w:val="1"/>
          <w:color w:val="auto"/>
        </w:rPr>
        <w:t>:</w:t>
      </w:r>
      <w:r>
        <w:rPr>
          <w:rFonts w:ascii="Arial" w:cs="Arial" w:eastAsia="Arial" w:hAnsi="Arial"/>
          <w:sz w:val="16"/>
          <w:szCs w:val="16"/>
          <w:b w:val="1"/>
          <w:bCs w:val="1"/>
          <w:color w:val="auto"/>
        </w:rPr>
        <w:t xml:space="preserve"> Concentration Risk</w:t>
      </w:r>
    </w:p>
    <w:p>
      <w:pPr>
        <w:spacing w:after="0" w:line="202"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One of our dealer organizations accounted for 18.1% and 12.6% of our consolidated net revenues for the first nine months of Fiscal 2015 and Fiscal 2014, respectively. A second dealer organization accounted for 17.0% and 19.4% of our consolidated net revenues for the first nine months of Fiscal 2015 and Fiscal 2014, respectively. The loss of either or both of these dealer organizations could have a significant adverse effect on our business. In addition, deterioration in the liquidity or creditworthiness of these dealers could negatively impact our sales and could trigger repurchase obligations under our repurchase agreements.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Investments and Fair Value Measurements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and Liabilities that are Measured at Fair Value on a Recurring Basis</w:t>
      </w:r>
    </w:p>
    <w:p>
      <w:pPr>
        <w:spacing w:after="0" w:line="27"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 xml:space="preserve">We account for fair value measurements in accordance with ASC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which defines fair value, establishes a framework for measurement and expands disclosure about fair value measurement. The fair value hierarchy requires the use of observable market data when available. In instances in which the inputs used to measure fair value fall into different levels of the fair value hierarchy, the fair value measurement has been determined based on the lowest level input that is significant to the fair value measurement in its entirety. Our assessment of the significance of a particular item to the fair value measurement in its entirety requires judgment, including the consideration of inputs specific to the asset or liability.</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Equivalents</w:t>
      </w:r>
    </w:p>
    <w:p>
      <w:pPr>
        <w:spacing w:after="0" w:line="27"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The carrying value of cash equivalents approximates fair value as original maturities are less than three months. Our cash equivalents are comprised of money market funds traded in an active market with no restrictions.</w:t>
      </w: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380"/>
          </w:cols>
          <w:pgMar w:left="240" w:top="121" w:right="27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62" w:lineRule="exact"/>
        <w:rPr>
          <w:sz w:val="20"/>
          <w:szCs w:val="20"/>
          <w:color w:val="auto"/>
        </w:rPr>
      </w:pPr>
    </w:p>
    <w:p>
      <w:pPr>
        <w:ind w:right="280"/>
        <w:spacing w:after="0" w:line="327" w:lineRule="auto"/>
        <w:rPr>
          <w:sz w:val="20"/>
          <w:szCs w:val="20"/>
          <w:color w:val="auto"/>
        </w:rPr>
      </w:pPr>
      <w:r>
        <w:rPr>
          <w:rFonts w:ascii="Arial" w:cs="Arial" w:eastAsia="Arial" w:hAnsi="Arial"/>
          <w:sz w:val="16"/>
          <w:szCs w:val="16"/>
          <w:color w:val="auto"/>
        </w:rPr>
        <w:t>The following tables set forth by level within the fair value hierarchy our financial assets that were accounted for at fair value on a recurring basis at May 30, 2015 and August 30, 2014 according to the valuation techniques we used to determine their fair values: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20" w:type="dxa"/>
            <w:vAlign w:val="bottom"/>
            <w:gridSpan w:val="6"/>
          </w:tcPr>
          <w:p>
            <w:pPr>
              <w:jc w:val="center"/>
              <w:ind w:left="1139"/>
              <w:spacing w:after="0"/>
              <w:rPr>
                <w:sz w:val="20"/>
                <w:szCs w:val="20"/>
                <w:color w:val="auto"/>
              </w:rPr>
            </w:pPr>
            <w:r>
              <w:rPr>
                <w:rFonts w:ascii="Arial" w:cs="Arial" w:eastAsia="Arial" w:hAnsi="Arial"/>
                <w:sz w:val="16"/>
                <w:szCs w:val="16"/>
                <w:b w:val="1"/>
                <w:bCs w:val="1"/>
                <w:color w:val="auto"/>
              </w:rPr>
              <w:t>Fair Value Measurements</w:t>
            </w:r>
          </w:p>
        </w:tc>
        <w:tc>
          <w:tcPr>
            <w:tcW w:w="1300" w:type="dxa"/>
            <w:vAlign w:val="bottom"/>
          </w:tcPr>
          <w:p>
            <w:pPr>
              <w:spacing w:after="0"/>
              <w:rPr>
                <w:sz w:val="16"/>
                <w:szCs w:val="16"/>
                <w:color w:val="auto"/>
              </w:rPr>
            </w:pPr>
          </w:p>
        </w:tc>
      </w:tr>
      <w:tr>
        <w:trPr>
          <w:trHeight w:val="232"/>
        </w:trPr>
        <w:tc>
          <w:tcPr>
            <w:tcW w:w="5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520" w:type="dxa"/>
            <w:vAlign w:val="bottom"/>
            <w:tcBorders>
              <w:bottom w:val="single" w:sz="8" w:color="auto"/>
            </w:tcBorders>
            <w:gridSpan w:val="7"/>
          </w:tcPr>
          <w:p>
            <w:pPr>
              <w:jc w:val="center"/>
              <w:spacing w:after="0"/>
              <w:rPr>
                <w:sz w:val="20"/>
                <w:szCs w:val="20"/>
                <w:color w:val="auto"/>
              </w:rPr>
            </w:pPr>
            <w:r>
              <w:rPr>
                <w:rFonts w:ascii="Arial" w:cs="Arial" w:eastAsia="Arial" w:hAnsi="Arial"/>
                <w:sz w:val="16"/>
                <w:szCs w:val="16"/>
                <w:b w:val="1"/>
                <w:bCs w:val="1"/>
                <w:color w:val="auto"/>
              </w:rPr>
              <w:t>Using Inputs Considered As</w:t>
            </w:r>
          </w:p>
        </w:tc>
      </w:tr>
      <w:tr>
        <w:trPr>
          <w:trHeight w:val="193"/>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Level 1 Quoted</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Level 3</w:t>
            </w:r>
          </w:p>
        </w:tc>
      </w:tr>
      <w:tr>
        <w:trPr>
          <w:trHeight w:val="189"/>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8"/>
              </w:rPr>
              <w:t>Fair Value at</w:t>
            </w: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Prices in Active</w:t>
            </w:r>
          </w:p>
        </w:tc>
        <w:tc>
          <w:tcPr>
            <w:tcW w:w="300" w:type="dxa"/>
            <w:vAlign w:val="bottom"/>
          </w:tcPr>
          <w:p>
            <w:pPr>
              <w:spacing w:after="0"/>
              <w:rPr>
                <w:sz w:val="16"/>
                <w:szCs w:val="16"/>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rPr>
              <w:t>Level 2</w:t>
            </w:r>
          </w:p>
        </w:tc>
        <w:tc>
          <w:tcPr>
            <w:tcW w:w="180" w:type="dxa"/>
            <w:vAlign w:val="bottom"/>
          </w:tcPr>
          <w:p>
            <w:pPr>
              <w:spacing w:after="0"/>
              <w:rPr>
                <w:sz w:val="16"/>
                <w:szCs w:val="16"/>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Significant</w:t>
            </w:r>
          </w:p>
        </w:tc>
      </w:tr>
      <w:tr>
        <w:trPr>
          <w:trHeight w:val="189"/>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May 30,</w:t>
            </w: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Markets for</w:t>
            </w:r>
          </w:p>
        </w:tc>
        <w:tc>
          <w:tcPr>
            <w:tcW w:w="15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rPr>
              <w:t>Significant Other</w:t>
            </w:r>
          </w:p>
        </w:tc>
        <w:tc>
          <w:tcPr>
            <w:tcW w:w="180" w:type="dxa"/>
            <w:vAlign w:val="bottom"/>
          </w:tcPr>
          <w:p>
            <w:pPr>
              <w:spacing w:after="0"/>
              <w:rPr>
                <w:sz w:val="16"/>
                <w:szCs w:val="16"/>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Unobservable</w:t>
            </w:r>
          </w:p>
        </w:tc>
      </w:tr>
      <w:tr>
        <w:trPr>
          <w:trHeight w:val="232"/>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Identical Assets</w:t>
            </w:r>
          </w:p>
        </w:tc>
        <w:tc>
          <w:tcPr>
            <w:tcW w:w="1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Observable Inputs</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9"/>
              </w:rPr>
              <w:t>Inputs</w:t>
            </w:r>
          </w:p>
        </w:tc>
      </w:tr>
      <w:tr>
        <w:trPr>
          <w:trHeight w:val="267"/>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Assets that fund deferred compensation:</w:t>
            </w: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62"/>
        </w:trPr>
        <w:tc>
          <w:tcPr>
            <w:tcW w:w="5160" w:type="dxa"/>
            <w:vAlign w:val="bottom"/>
            <w:gridSpan w:val="2"/>
          </w:tcPr>
          <w:p>
            <w:pPr>
              <w:ind w:left="120"/>
              <w:spacing w:after="0"/>
              <w:rPr>
                <w:sz w:val="20"/>
                <w:szCs w:val="20"/>
                <w:color w:val="auto"/>
              </w:rPr>
            </w:pPr>
            <w:r>
              <w:rPr>
                <w:rFonts w:ascii="Arial" w:cs="Arial" w:eastAsia="Arial" w:hAnsi="Arial"/>
                <w:sz w:val="16"/>
                <w:szCs w:val="16"/>
                <w:color w:val="auto"/>
              </w:rPr>
              <w:t>Domestic equity funds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5,061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5,061</w:t>
            </w:r>
          </w:p>
        </w:tc>
        <w:tc>
          <w:tcPr>
            <w:tcW w:w="10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ind w:left="1020"/>
              <w:spacing w:after="0"/>
              <w:rPr>
                <w:sz w:val="20"/>
                <w:szCs w:val="20"/>
                <w:color w:val="auto"/>
              </w:rPr>
            </w:pPr>
            <w:r>
              <w:rPr>
                <w:rFonts w:ascii="Arial" w:cs="Arial" w:eastAsia="Arial" w:hAnsi="Arial"/>
                <w:sz w:val="16"/>
                <w:szCs w:val="16"/>
                <w:color w:val="auto"/>
              </w:rPr>
              <w:t>—</w:t>
            </w:r>
          </w:p>
        </w:tc>
      </w:tr>
      <w:tr>
        <w:trPr>
          <w:trHeight w:val="278"/>
        </w:trPr>
        <w:tc>
          <w:tcPr>
            <w:tcW w:w="51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International equity funds</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w:t>
            </w:r>
          </w:p>
        </w:tc>
      </w:tr>
      <w:tr>
        <w:trPr>
          <w:trHeight w:val="264"/>
        </w:trPr>
        <w:tc>
          <w:tcPr>
            <w:tcW w:w="516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Fixed income funds</w:t>
            </w: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245</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ind w:left="9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ind w:left="1020"/>
              <w:spacing w:after="0"/>
              <w:rPr>
                <w:sz w:val="20"/>
                <w:szCs w:val="20"/>
                <w:color w:val="auto"/>
              </w:rPr>
            </w:pPr>
            <w:r>
              <w:rPr>
                <w:rFonts w:ascii="Arial" w:cs="Arial" w:eastAsia="Arial" w:hAnsi="Arial"/>
                <w:sz w:val="16"/>
                <w:szCs w:val="16"/>
                <w:color w:val="auto"/>
              </w:rPr>
              <w:t>—</w:t>
            </w:r>
          </w:p>
        </w:tc>
      </w:tr>
      <w:tr>
        <w:trPr>
          <w:trHeight w:val="242"/>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assets at fair value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5,794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5,794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6"/>
                <w:szCs w:val="16"/>
                <w:color w:val="auto"/>
              </w:rPr>
              <w:t>—</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313"/>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20" w:type="dxa"/>
            <w:vAlign w:val="bottom"/>
            <w:gridSpan w:val="6"/>
          </w:tcPr>
          <w:p>
            <w:pPr>
              <w:jc w:val="center"/>
              <w:ind w:left="1139"/>
              <w:spacing w:after="0"/>
              <w:rPr>
                <w:sz w:val="20"/>
                <w:szCs w:val="20"/>
                <w:color w:val="auto"/>
              </w:rPr>
            </w:pPr>
            <w:r>
              <w:rPr>
                <w:rFonts w:ascii="Arial" w:cs="Arial" w:eastAsia="Arial" w:hAnsi="Arial"/>
                <w:sz w:val="16"/>
                <w:szCs w:val="16"/>
                <w:b w:val="1"/>
                <w:bCs w:val="1"/>
                <w:color w:val="auto"/>
              </w:rPr>
              <w:t>Fair Value Measurements</w:t>
            </w:r>
          </w:p>
        </w:tc>
        <w:tc>
          <w:tcPr>
            <w:tcW w:w="1300" w:type="dxa"/>
            <w:vAlign w:val="bottom"/>
          </w:tcPr>
          <w:p>
            <w:pPr>
              <w:spacing w:after="0"/>
              <w:rPr>
                <w:sz w:val="24"/>
                <w:szCs w:val="24"/>
                <w:color w:val="auto"/>
              </w:rPr>
            </w:pPr>
          </w:p>
        </w:tc>
      </w:tr>
      <w:tr>
        <w:trPr>
          <w:trHeight w:val="232"/>
        </w:trPr>
        <w:tc>
          <w:tcPr>
            <w:tcW w:w="5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520" w:type="dxa"/>
            <w:vAlign w:val="bottom"/>
            <w:tcBorders>
              <w:bottom w:val="single" w:sz="8" w:color="auto"/>
            </w:tcBorders>
            <w:gridSpan w:val="7"/>
          </w:tcPr>
          <w:p>
            <w:pPr>
              <w:jc w:val="center"/>
              <w:spacing w:after="0"/>
              <w:rPr>
                <w:sz w:val="20"/>
                <w:szCs w:val="20"/>
                <w:color w:val="auto"/>
              </w:rPr>
            </w:pPr>
            <w:r>
              <w:rPr>
                <w:rFonts w:ascii="Arial" w:cs="Arial" w:eastAsia="Arial" w:hAnsi="Arial"/>
                <w:sz w:val="16"/>
                <w:szCs w:val="16"/>
                <w:b w:val="1"/>
                <w:bCs w:val="1"/>
                <w:color w:val="auto"/>
              </w:rPr>
              <w:t>Using Inputs Considered As</w:t>
            </w:r>
          </w:p>
        </w:tc>
      </w:tr>
      <w:tr>
        <w:trPr>
          <w:trHeight w:val="193"/>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Level 1 Quoted</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Level 3</w:t>
            </w:r>
          </w:p>
        </w:tc>
      </w:tr>
      <w:tr>
        <w:trPr>
          <w:trHeight w:val="189"/>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8"/>
              </w:rPr>
              <w:t>Fair Value at</w:t>
            </w: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Prices in Active</w:t>
            </w:r>
          </w:p>
        </w:tc>
        <w:tc>
          <w:tcPr>
            <w:tcW w:w="300" w:type="dxa"/>
            <w:vAlign w:val="bottom"/>
          </w:tcPr>
          <w:p>
            <w:pPr>
              <w:spacing w:after="0"/>
              <w:rPr>
                <w:sz w:val="16"/>
                <w:szCs w:val="16"/>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rPr>
              <w:t>Level 2</w:t>
            </w:r>
          </w:p>
        </w:tc>
        <w:tc>
          <w:tcPr>
            <w:tcW w:w="180" w:type="dxa"/>
            <w:vAlign w:val="bottom"/>
          </w:tcPr>
          <w:p>
            <w:pPr>
              <w:spacing w:after="0"/>
              <w:rPr>
                <w:sz w:val="16"/>
                <w:szCs w:val="16"/>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Significant</w:t>
            </w:r>
          </w:p>
        </w:tc>
      </w:tr>
      <w:tr>
        <w:trPr>
          <w:trHeight w:val="189"/>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August 30,</w:t>
            </w: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Markets for</w:t>
            </w:r>
          </w:p>
        </w:tc>
        <w:tc>
          <w:tcPr>
            <w:tcW w:w="15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rPr>
              <w:t>Significant Other</w:t>
            </w:r>
          </w:p>
        </w:tc>
        <w:tc>
          <w:tcPr>
            <w:tcW w:w="180" w:type="dxa"/>
            <w:vAlign w:val="bottom"/>
          </w:tcPr>
          <w:p>
            <w:pPr>
              <w:spacing w:after="0"/>
              <w:rPr>
                <w:sz w:val="16"/>
                <w:szCs w:val="16"/>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Unobservable</w:t>
            </w:r>
          </w:p>
        </w:tc>
      </w:tr>
      <w:tr>
        <w:trPr>
          <w:trHeight w:val="232"/>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Identical Assets</w:t>
            </w:r>
          </w:p>
        </w:tc>
        <w:tc>
          <w:tcPr>
            <w:tcW w:w="1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Observable Inputs</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9"/>
              </w:rPr>
              <w:t>Inputs</w:t>
            </w:r>
          </w:p>
        </w:tc>
      </w:tr>
      <w:tr>
        <w:trPr>
          <w:trHeight w:val="267"/>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Assets that fund deferred compensation:</w:t>
            </w: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62"/>
        </w:trPr>
        <w:tc>
          <w:tcPr>
            <w:tcW w:w="5160" w:type="dxa"/>
            <w:vAlign w:val="bottom"/>
            <w:gridSpan w:val="2"/>
          </w:tcPr>
          <w:p>
            <w:pPr>
              <w:ind w:left="120"/>
              <w:spacing w:after="0"/>
              <w:rPr>
                <w:sz w:val="20"/>
                <w:szCs w:val="20"/>
                <w:color w:val="auto"/>
              </w:rPr>
            </w:pPr>
            <w:r>
              <w:rPr>
                <w:rFonts w:ascii="Arial" w:cs="Arial" w:eastAsia="Arial" w:hAnsi="Arial"/>
                <w:sz w:val="16"/>
                <w:szCs w:val="16"/>
                <w:color w:val="auto"/>
              </w:rPr>
              <w:t>Domestic equity funds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5,465</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5,465</w:t>
            </w:r>
          </w:p>
        </w:tc>
        <w:tc>
          <w:tcPr>
            <w:tcW w:w="10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ind w:left="1020"/>
              <w:spacing w:after="0"/>
              <w:rPr>
                <w:sz w:val="20"/>
                <w:szCs w:val="20"/>
                <w:color w:val="auto"/>
              </w:rPr>
            </w:pPr>
            <w:r>
              <w:rPr>
                <w:rFonts w:ascii="Arial" w:cs="Arial" w:eastAsia="Arial" w:hAnsi="Arial"/>
                <w:sz w:val="16"/>
                <w:szCs w:val="16"/>
                <w:color w:val="auto"/>
              </w:rPr>
              <w:t>—</w:t>
            </w:r>
          </w:p>
        </w:tc>
      </w:tr>
      <w:tr>
        <w:trPr>
          <w:trHeight w:val="278"/>
        </w:trPr>
        <w:tc>
          <w:tcPr>
            <w:tcW w:w="51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International equity funds</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716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w:t>
            </w:r>
          </w:p>
        </w:tc>
      </w:tr>
      <w:tr>
        <w:trPr>
          <w:trHeight w:val="264"/>
        </w:trPr>
        <w:tc>
          <w:tcPr>
            <w:tcW w:w="516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Fixed income funds</w:t>
            </w: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242</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242</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ind w:left="9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ind w:left="1020"/>
              <w:spacing w:after="0"/>
              <w:rPr>
                <w:sz w:val="20"/>
                <w:szCs w:val="20"/>
                <w:color w:val="auto"/>
              </w:rPr>
            </w:pPr>
            <w:r>
              <w:rPr>
                <w:rFonts w:ascii="Arial" w:cs="Arial" w:eastAsia="Arial" w:hAnsi="Arial"/>
                <w:sz w:val="16"/>
                <w:szCs w:val="16"/>
                <w:color w:val="auto"/>
              </w:rPr>
              <w:t>—</w:t>
            </w:r>
          </w:p>
        </w:tc>
      </w:tr>
      <w:tr>
        <w:trPr>
          <w:trHeight w:val="242"/>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 assets at fair value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6,423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6,423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following table provides a reconciliation between the beginning and ending balances of items measured at fair value on a recurring basis in the table above that used significant unobservable inputs (Level 3):</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6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4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rPr>
              <w:t>Nine Months Ended</w:t>
            </w:r>
          </w:p>
        </w:tc>
      </w:tr>
      <w:tr>
        <w:trPr>
          <w:trHeight w:val="193"/>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b w:val="1"/>
                <w:bCs w:val="1"/>
                <w:color w:val="auto"/>
              </w:rPr>
              <w:t>May 30,</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May 31,</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b w:val="1"/>
                <w:bCs w:val="1"/>
                <w:color w:val="auto"/>
              </w:rPr>
              <w:t>May 30,</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jc w:val="right"/>
              <w:ind w:right="479"/>
              <w:spacing w:after="0"/>
              <w:rPr>
                <w:sz w:val="20"/>
                <w:szCs w:val="20"/>
                <w:color w:val="auto"/>
              </w:rPr>
            </w:pPr>
            <w:r>
              <w:rPr>
                <w:rFonts w:ascii="Arial" w:cs="Arial" w:eastAsia="Arial" w:hAnsi="Arial"/>
                <w:sz w:val="16"/>
                <w:szCs w:val="16"/>
                <w:b w:val="1"/>
                <w:bCs w:val="1"/>
                <w:color w:val="auto"/>
              </w:rPr>
              <w:t>May 31,</w:t>
            </w:r>
          </w:p>
        </w:tc>
      </w:tr>
      <w:tr>
        <w:trPr>
          <w:trHeight w:val="232"/>
        </w:trPr>
        <w:tc>
          <w:tcPr>
            <w:tcW w:w="49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2015</w:t>
            </w:r>
          </w:p>
        </w:tc>
        <w:tc>
          <w:tcPr>
            <w:tcW w:w="3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2014</w:t>
            </w:r>
          </w:p>
        </w:tc>
        <w:tc>
          <w:tcPr>
            <w:tcW w:w="3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2015</w:t>
            </w: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2014</w:t>
            </w:r>
          </w:p>
        </w:tc>
      </w:tr>
      <w:tr>
        <w:trPr>
          <w:trHeight w:val="254"/>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Balance at beginning of period</w:t>
            </w:r>
          </w:p>
        </w:tc>
        <w:tc>
          <w:tcPr>
            <w:tcW w:w="110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center"/>
              <w:ind w:right="7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2,108</w:t>
            </w:r>
          </w:p>
        </w:tc>
      </w:tr>
      <w:tr>
        <w:trPr>
          <w:trHeight w:val="262"/>
        </w:trPr>
        <w:tc>
          <w:tcPr>
            <w:tcW w:w="5040" w:type="dxa"/>
            <w:vAlign w:val="bottom"/>
            <w:gridSpan w:val="2"/>
          </w:tcPr>
          <w:p>
            <w:pPr>
              <w:ind w:left="40"/>
              <w:spacing w:after="0"/>
              <w:rPr>
                <w:sz w:val="20"/>
                <w:szCs w:val="20"/>
                <w:color w:val="auto"/>
              </w:rPr>
            </w:pPr>
            <w:r>
              <w:rPr>
                <w:rFonts w:ascii="Arial" w:cs="Arial" w:eastAsia="Arial" w:hAnsi="Arial"/>
                <w:sz w:val="16"/>
                <w:szCs w:val="16"/>
                <w:color w:val="auto"/>
              </w:rPr>
              <w:t>Net change included in other comprehensive income</w:t>
            </w:r>
          </w:p>
        </w:tc>
        <w:tc>
          <w:tcPr>
            <w:tcW w:w="1100" w:type="dxa"/>
            <w:vAlign w:val="bottom"/>
          </w:tcPr>
          <w:p>
            <w:pPr>
              <w:spacing w:after="0"/>
              <w:rPr>
                <w:sz w:val="22"/>
                <w:szCs w:val="22"/>
                <w:color w:val="auto"/>
              </w:rPr>
            </w:pPr>
          </w:p>
        </w:tc>
        <w:tc>
          <w:tcPr>
            <w:tcW w:w="48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22"/>
                <w:szCs w:val="22"/>
                <w:color w:val="auto"/>
              </w:rPr>
            </w:pPr>
          </w:p>
        </w:tc>
        <w:tc>
          <w:tcPr>
            <w:tcW w:w="48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22"/>
                <w:szCs w:val="22"/>
                <w:color w:val="auto"/>
              </w:rPr>
            </w:pPr>
          </w:p>
        </w:tc>
        <w:tc>
          <w:tcPr>
            <w:tcW w:w="46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360" w:type="dxa"/>
            <w:vAlign w:val="bottom"/>
          </w:tcPr>
          <w:p>
            <w:pPr>
              <w:jc w:val="right"/>
              <w:ind w:right="239"/>
              <w:spacing w:after="0"/>
              <w:rPr>
                <w:sz w:val="20"/>
                <w:szCs w:val="20"/>
                <w:color w:val="auto"/>
              </w:rPr>
            </w:pPr>
            <w:r>
              <w:rPr>
                <w:rFonts w:ascii="Arial" w:cs="Arial" w:eastAsia="Arial" w:hAnsi="Arial"/>
                <w:sz w:val="16"/>
                <w:szCs w:val="16"/>
                <w:color w:val="auto"/>
              </w:rPr>
              <w:t>242</w:t>
            </w:r>
          </w:p>
        </w:tc>
      </w:tr>
      <w:tr>
        <w:trPr>
          <w:trHeight w:val="271"/>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Sales</w:t>
            </w:r>
          </w:p>
        </w:tc>
        <w:tc>
          <w:tcPr>
            <w:tcW w:w="110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(2,350)</w:t>
            </w:r>
          </w:p>
        </w:tc>
      </w:tr>
      <w:tr>
        <w:trPr>
          <w:trHeight w:val="242"/>
        </w:trPr>
        <w:tc>
          <w:tcPr>
            <w:tcW w:w="5040" w:type="dxa"/>
            <w:vAlign w:val="bottom"/>
            <w:gridSpan w:val="2"/>
          </w:tcPr>
          <w:p>
            <w:pPr>
              <w:ind w:left="40"/>
              <w:spacing w:after="0"/>
              <w:rPr>
                <w:sz w:val="20"/>
                <w:szCs w:val="20"/>
                <w:color w:val="auto"/>
              </w:rPr>
            </w:pPr>
            <w:r>
              <w:rPr>
                <w:rFonts w:ascii="Arial" w:cs="Arial" w:eastAsia="Arial" w:hAnsi="Arial"/>
                <w:sz w:val="16"/>
                <w:szCs w:val="16"/>
                <w:color w:val="auto"/>
              </w:rPr>
              <w:t>Balance at end of period</w:t>
            </w:r>
          </w:p>
        </w:tc>
        <w:tc>
          <w:tcPr>
            <w:tcW w:w="1100" w:type="dxa"/>
            <w:vAlign w:val="bottom"/>
          </w:tcPr>
          <w:p>
            <w:pPr>
              <w:jc w:val="right"/>
              <w:ind w:right="899"/>
              <w:spacing w:after="0"/>
              <w:rPr>
                <w:sz w:val="20"/>
                <w:szCs w:val="20"/>
                <w:color w:val="auto"/>
              </w:rPr>
            </w:pPr>
            <w:r>
              <w:rPr>
                <w:rFonts w:ascii="Arial" w:cs="Arial" w:eastAsia="Arial" w:hAnsi="Arial"/>
                <w:sz w:val="16"/>
                <w:szCs w:val="16"/>
                <w:color w:val="auto"/>
              </w:rPr>
              <w:t>$</w:t>
            </w:r>
          </w:p>
        </w:tc>
        <w:tc>
          <w:tcPr>
            <w:tcW w:w="48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899"/>
              <w:spacing w:after="0"/>
              <w:rPr>
                <w:sz w:val="20"/>
                <w:szCs w:val="20"/>
                <w:color w:val="auto"/>
              </w:rPr>
            </w:pPr>
            <w:r>
              <w:rPr>
                <w:rFonts w:ascii="Arial" w:cs="Arial" w:eastAsia="Arial" w:hAnsi="Arial"/>
                <w:sz w:val="16"/>
                <w:szCs w:val="16"/>
                <w:color w:val="auto"/>
                <w:w w:val="89"/>
              </w:rPr>
              <w:t>$</w:t>
            </w:r>
          </w:p>
        </w:tc>
        <w:tc>
          <w:tcPr>
            <w:tcW w:w="48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899"/>
              <w:spacing w:after="0"/>
              <w:rPr>
                <w:sz w:val="20"/>
                <w:szCs w:val="20"/>
                <w:color w:val="auto"/>
              </w:rPr>
            </w:pPr>
            <w:r>
              <w:rPr>
                <w:rFonts w:ascii="Arial" w:cs="Arial" w:eastAsia="Arial" w:hAnsi="Arial"/>
                <w:sz w:val="16"/>
                <w:szCs w:val="16"/>
                <w:color w:val="auto"/>
              </w:rPr>
              <w:t>$</w:t>
            </w:r>
          </w:p>
        </w:tc>
        <w:tc>
          <w:tcPr>
            <w:tcW w:w="46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320" w:type="dxa"/>
            <w:vAlign w:val="bottom"/>
          </w:tcPr>
          <w:p>
            <w:pPr>
              <w:jc w:val="center"/>
              <w:ind w:right="7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0"/>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methods and assumptions were used to estimate the fair value of each class of financial instrument:</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that Fund Deferred Compensation</w:t>
      </w:r>
    </w:p>
    <w:p>
      <w:pPr>
        <w:spacing w:after="0" w:line="27"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Our assets that fund deferred compensation are marketable equity securities measured at fair value using quoted market prices and primarily consist of equity-based mutual funds. They are classified as Level 1 as they are traded in an active market for which closing stock prices are readily available. These securities fund the Executive Share Option Plan (see Note 9), a deferred compensation program, and are presented as other assets in the consolidated balance sheets.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and Liabilities that are Measured at Fair Value on a Nonrecurring Basis</w:t>
      </w:r>
    </w:p>
    <w:p>
      <w:pPr>
        <w:spacing w:after="0" w:line="27"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Our non-financial assets, which include goodwill and property, plant and equipment, are not required to be measured at fair value on a recurring basis. However, if certain triggering events occur, or if an annual impairment test is required, we must evaluate the non-financial asset for impairment. If an impairment did occur, the asset is required to be recorded at the estimated fair value. In May 2015, we placed our corporate plane for sale due to increased costs associated with ownership. At May 30, 2015, we recorded an impairment of $462,000. The fair value was determined through an aircraft broker report of comparable aircraft sales.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121"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84"/>
        </w:trPr>
        <w:tc>
          <w:tcPr>
            <w:tcW w:w="6780" w:type="dxa"/>
            <w:vAlign w:val="bottom"/>
            <w:gridSpan w:val="3"/>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Table of Contents</w:t>
              </w:r>
            </w:hyperlink>
          </w:p>
        </w:tc>
        <w:tc>
          <w:tcPr>
            <w:tcW w:w="4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55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459"/>
        </w:trPr>
        <w:tc>
          <w:tcPr>
            <w:tcW w:w="6780" w:type="dxa"/>
            <w:vAlign w:val="bottom"/>
            <w:gridSpan w:val="3"/>
          </w:tcPr>
          <w:p>
            <w:pPr>
              <w:spacing w:after="0"/>
              <w:rPr>
                <w:sz w:val="20"/>
                <w:szCs w:val="20"/>
                <w:color w:val="auto"/>
              </w:rPr>
            </w:pPr>
            <w:r>
              <w:rPr>
                <w:rFonts w:ascii="Arial" w:cs="Arial" w:eastAsia="Arial" w:hAnsi="Arial"/>
                <w:sz w:val="16"/>
                <w:szCs w:val="16"/>
                <w:b w:val="1"/>
                <w:bCs w:val="1"/>
                <w:color w:val="auto"/>
              </w:rPr>
              <w:t>Note 4: Inventories</w:t>
            </w:r>
          </w:p>
        </w:tc>
        <w:tc>
          <w:tcPr>
            <w:tcW w:w="4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343"/>
        </w:trPr>
        <w:tc>
          <w:tcPr>
            <w:tcW w:w="6780" w:type="dxa"/>
            <w:vAlign w:val="bottom"/>
            <w:gridSpan w:val="3"/>
          </w:tcPr>
          <w:p>
            <w:pPr>
              <w:spacing w:after="0"/>
              <w:rPr>
                <w:sz w:val="20"/>
                <w:szCs w:val="20"/>
                <w:color w:val="auto"/>
              </w:rPr>
            </w:pPr>
            <w:r>
              <w:rPr>
                <w:rFonts w:ascii="Arial" w:cs="Arial" w:eastAsia="Arial" w:hAnsi="Arial"/>
                <w:sz w:val="16"/>
                <w:szCs w:val="16"/>
                <w:color w:val="auto"/>
              </w:rPr>
              <w:t>Inventories consist of the following:</w:t>
            </w:r>
          </w:p>
        </w:tc>
        <w:tc>
          <w:tcPr>
            <w:tcW w:w="4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320"/>
        </w:trPr>
        <w:tc>
          <w:tcPr>
            <w:tcW w:w="126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00" w:type="dxa"/>
            <w:vAlign w:val="bottom"/>
            <w:gridSpan w:val="2"/>
          </w:tcPr>
          <w:p>
            <w:pPr>
              <w:ind w:left="340"/>
              <w:spacing w:after="0"/>
              <w:rPr>
                <w:sz w:val="20"/>
                <w:szCs w:val="20"/>
                <w:color w:val="auto"/>
              </w:rPr>
            </w:pPr>
            <w:r>
              <w:rPr>
                <w:rFonts w:ascii="Arial" w:cs="Arial" w:eastAsia="Arial" w:hAnsi="Arial"/>
                <w:sz w:val="16"/>
                <w:szCs w:val="16"/>
                <w:b w:val="1"/>
                <w:bCs w:val="1"/>
                <w:color w:val="auto"/>
              </w:rPr>
              <w:t>May 30,</w:t>
            </w:r>
          </w:p>
        </w:tc>
        <w:tc>
          <w:tcPr>
            <w:tcW w:w="400" w:type="dxa"/>
            <w:vAlign w:val="bottom"/>
          </w:tcPr>
          <w:p>
            <w:pPr>
              <w:spacing w:after="0"/>
              <w:rPr>
                <w:sz w:val="24"/>
                <w:szCs w:val="24"/>
                <w:color w:val="auto"/>
              </w:rPr>
            </w:pPr>
          </w:p>
        </w:tc>
        <w:tc>
          <w:tcPr>
            <w:tcW w:w="1860" w:type="dxa"/>
            <w:vAlign w:val="bottom"/>
          </w:tcPr>
          <w:p>
            <w:pPr>
              <w:jc w:val="right"/>
              <w:ind w:right="659"/>
              <w:spacing w:after="0"/>
              <w:rPr>
                <w:sz w:val="20"/>
                <w:szCs w:val="20"/>
                <w:color w:val="auto"/>
              </w:rPr>
            </w:pPr>
            <w:r>
              <w:rPr>
                <w:rFonts w:ascii="Arial" w:cs="Arial" w:eastAsia="Arial" w:hAnsi="Arial"/>
                <w:sz w:val="16"/>
                <w:szCs w:val="16"/>
                <w:b w:val="1"/>
                <w:bCs w:val="1"/>
                <w:color w:val="auto"/>
              </w:rPr>
              <w:t>August 30,</w:t>
            </w:r>
          </w:p>
        </w:tc>
      </w:tr>
      <w:tr>
        <w:trPr>
          <w:trHeight w:val="232"/>
        </w:trPr>
        <w:tc>
          <w:tcPr>
            <w:tcW w:w="66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b w:val="1"/>
                <w:bCs w:val="1"/>
                <w:color w:val="auto"/>
              </w:rPr>
              <w:t>2014</w:t>
            </w:r>
          </w:p>
        </w:tc>
      </w:tr>
      <w:tr>
        <w:trPr>
          <w:trHeight w:val="254"/>
        </w:trPr>
        <w:tc>
          <w:tcPr>
            <w:tcW w:w="67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Finished goods</w:t>
            </w: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28,379</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86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28,029</w:t>
            </w:r>
          </w:p>
        </w:tc>
      </w:tr>
      <w:tr>
        <w:trPr>
          <w:trHeight w:val="262"/>
        </w:trPr>
        <w:tc>
          <w:tcPr>
            <w:tcW w:w="6780" w:type="dxa"/>
            <w:vAlign w:val="bottom"/>
            <w:gridSpan w:val="3"/>
          </w:tcPr>
          <w:p>
            <w:pPr>
              <w:ind w:left="40"/>
              <w:spacing w:after="0"/>
              <w:rPr>
                <w:sz w:val="20"/>
                <w:szCs w:val="20"/>
                <w:color w:val="auto"/>
              </w:rPr>
            </w:pPr>
            <w:r>
              <w:rPr>
                <w:rFonts w:ascii="Arial" w:cs="Arial" w:eastAsia="Arial" w:hAnsi="Arial"/>
                <w:sz w:val="16"/>
                <w:szCs w:val="16"/>
                <w:color w:val="auto"/>
              </w:rPr>
              <w:t>Work-in-process</w:t>
            </w:r>
          </w:p>
        </w:tc>
        <w:tc>
          <w:tcPr>
            <w:tcW w:w="480" w:type="dxa"/>
            <w:vAlign w:val="bottom"/>
          </w:tcPr>
          <w:p>
            <w:pPr>
              <w:spacing w:after="0"/>
              <w:rPr>
                <w:sz w:val="22"/>
                <w:szCs w:val="22"/>
                <w:color w:val="auto"/>
              </w:rPr>
            </w:pPr>
          </w:p>
        </w:tc>
        <w:tc>
          <w:tcPr>
            <w:tcW w:w="1780" w:type="dxa"/>
            <w:vAlign w:val="bottom"/>
          </w:tcPr>
          <w:p>
            <w:pPr>
              <w:jc w:val="right"/>
              <w:ind w:right="459"/>
              <w:spacing w:after="0"/>
              <w:rPr>
                <w:sz w:val="20"/>
                <w:szCs w:val="20"/>
                <w:color w:val="auto"/>
              </w:rPr>
            </w:pPr>
            <w:r>
              <w:rPr>
                <w:rFonts w:ascii="Arial" w:cs="Arial" w:eastAsia="Arial" w:hAnsi="Arial"/>
                <w:sz w:val="16"/>
                <w:szCs w:val="16"/>
                <w:color w:val="auto"/>
              </w:rPr>
              <w:t>59,641</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60" w:type="dxa"/>
            <w:vAlign w:val="bottom"/>
          </w:tcPr>
          <w:p>
            <w:pPr>
              <w:jc w:val="right"/>
              <w:ind w:right="459"/>
              <w:spacing w:after="0"/>
              <w:rPr>
                <w:sz w:val="20"/>
                <w:szCs w:val="20"/>
                <w:color w:val="auto"/>
              </w:rPr>
            </w:pPr>
            <w:r>
              <w:rPr>
                <w:rFonts w:ascii="Arial" w:cs="Arial" w:eastAsia="Arial" w:hAnsi="Arial"/>
                <w:sz w:val="16"/>
                <w:szCs w:val="16"/>
                <w:color w:val="auto"/>
              </w:rPr>
              <w:t>49,919</w:t>
            </w:r>
          </w:p>
        </w:tc>
      </w:tr>
      <w:tr>
        <w:trPr>
          <w:trHeight w:val="271"/>
        </w:trPr>
        <w:tc>
          <w:tcPr>
            <w:tcW w:w="67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Raw materials</w:t>
            </w:r>
          </w:p>
        </w:tc>
        <w:tc>
          <w:tcPr>
            <w:tcW w:w="48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66,896</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66,200</w:t>
            </w:r>
          </w:p>
        </w:tc>
      </w:tr>
      <w:tr>
        <w:trPr>
          <w:trHeight w:val="249"/>
        </w:trPr>
        <w:tc>
          <w:tcPr>
            <w:tcW w:w="6780" w:type="dxa"/>
            <w:vAlign w:val="bottom"/>
            <w:gridSpan w:val="3"/>
          </w:tcPr>
          <w:p>
            <w:pPr>
              <w:ind w:left="40"/>
              <w:spacing w:after="0"/>
              <w:rPr>
                <w:sz w:val="20"/>
                <w:szCs w:val="20"/>
                <w:color w:val="auto"/>
              </w:rPr>
            </w:pPr>
            <w:r>
              <w:rPr>
                <w:rFonts w:ascii="Arial" w:cs="Arial" w:eastAsia="Arial" w:hAnsi="Arial"/>
                <w:sz w:val="16"/>
                <w:szCs w:val="16"/>
                <w:color w:val="auto"/>
              </w:rPr>
              <w:t>Total</w:t>
            </w:r>
          </w:p>
        </w:tc>
        <w:tc>
          <w:tcPr>
            <w:tcW w:w="480" w:type="dxa"/>
            <w:vAlign w:val="bottom"/>
          </w:tcPr>
          <w:p>
            <w:pPr>
              <w:spacing w:after="0"/>
              <w:rPr>
                <w:sz w:val="21"/>
                <w:szCs w:val="21"/>
                <w:color w:val="auto"/>
              </w:rPr>
            </w:pPr>
          </w:p>
        </w:tc>
        <w:tc>
          <w:tcPr>
            <w:tcW w:w="1780" w:type="dxa"/>
            <w:vAlign w:val="bottom"/>
          </w:tcPr>
          <w:p>
            <w:pPr>
              <w:jc w:val="right"/>
              <w:ind w:right="459"/>
              <w:spacing w:after="0"/>
              <w:rPr>
                <w:sz w:val="20"/>
                <w:szCs w:val="20"/>
                <w:color w:val="auto"/>
              </w:rPr>
            </w:pPr>
            <w:r>
              <w:rPr>
                <w:rFonts w:ascii="Arial" w:cs="Arial" w:eastAsia="Arial" w:hAnsi="Arial"/>
                <w:sz w:val="16"/>
                <w:szCs w:val="16"/>
                <w:color w:val="auto"/>
              </w:rPr>
              <w:t>154,916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60" w:type="dxa"/>
            <w:vAlign w:val="bottom"/>
          </w:tcPr>
          <w:p>
            <w:pPr>
              <w:jc w:val="right"/>
              <w:ind w:right="459"/>
              <w:spacing w:after="0"/>
              <w:rPr>
                <w:sz w:val="20"/>
                <w:szCs w:val="20"/>
                <w:color w:val="auto"/>
              </w:rPr>
            </w:pPr>
            <w:r>
              <w:rPr>
                <w:rFonts w:ascii="Arial" w:cs="Arial" w:eastAsia="Arial" w:hAnsi="Arial"/>
                <w:sz w:val="16"/>
                <w:szCs w:val="16"/>
                <w:color w:val="auto"/>
              </w:rPr>
              <w:t>144,148</w:t>
            </w:r>
          </w:p>
        </w:tc>
      </w:tr>
      <w:tr>
        <w:trPr>
          <w:trHeight w:val="271"/>
        </w:trPr>
        <w:tc>
          <w:tcPr>
            <w:tcW w:w="67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LIFO reserve</w:t>
            </w:r>
          </w:p>
        </w:tc>
        <w:tc>
          <w:tcPr>
            <w:tcW w:w="48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(32,341)</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(31,300)</w:t>
            </w:r>
          </w:p>
        </w:tc>
      </w:tr>
      <w:tr>
        <w:trPr>
          <w:trHeight w:val="242"/>
        </w:trPr>
        <w:tc>
          <w:tcPr>
            <w:tcW w:w="6780" w:type="dxa"/>
            <w:vAlign w:val="bottom"/>
            <w:gridSpan w:val="3"/>
          </w:tcPr>
          <w:p>
            <w:pPr>
              <w:ind w:left="40"/>
              <w:spacing w:after="0"/>
              <w:rPr>
                <w:sz w:val="20"/>
                <w:szCs w:val="20"/>
                <w:color w:val="auto"/>
              </w:rPr>
            </w:pPr>
            <w:r>
              <w:rPr>
                <w:rFonts w:ascii="Arial" w:cs="Arial" w:eastAsia="Arial" w:hAnsi="Arial"/>
                <w:sz w:val="16"/>
                <w:szCs w:val="16"/>
                <w:color w:val="auto"/>
              </w:rPr>
              <w:t>Total inventories</w:t>
            </w: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122,575</w:t>
            </w:r>
          </w:p>
        </w:tc>
        <w:tc>
          <w:tcPr>
            <w:tcW w:w="120" w:type="dxa"/>
            <w:vAlign w:val="bottom"/>
          </w:tcPr>
          <w:p>
            <w:pPr>
              <w:spacing w:after="0"/>
              <w:rPr>
                <w:sz w:val="21"/>
                <w:szCs w:val="21"/>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112,848</w:t>
            </w:r>
          </w:p>
        </w:tc>
      </w:tr>
      <w:tr>
        <w:trPr>
          <w:trHeight w:val="20"/>
        </w:trPr>
        <w:tc>
          <w:tcPr>
            <w:tcW w:w="126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right="280"/>
        <w:spacing w:after="0" w:line="269" w:lineRule="auto"/>
        <w:rPr>
          <w:sz w:val="20"/>
          <w:szCs w:val="20"/>
          <w:color w:val="auto"/>
        </w:rPr>
      </w:pPr>
      <w:r>
        <w:rPr>
          <w:rFonts w:ascii="Arial" w:cs="Arial" w:eastAsia="Arial" w:hAnsi="Arial"/>
          <w:sz w:val="16"/>
          <w:szCs w:val="16"/>
          <w:color w:val="auto"/>
        </w:rPr>
        <w:t>The above value of inventories, before reduction for the LIFO reserve, approximates replacement cost. Of the $154.9 million and $144.1 million inventory at May 30, 2015 and August 30, 2014, respectively, $141.9 million and $137.7 million is valued on a LIFO basis. Towables inventory of $13.0 million and $6.4 million at May 30, 2015 and August 30, 2014, respectively, is valued on a FIFO basis.</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Net Investment in Operating Leases and Operating Lease Repurchase Obligations</w:t>
      </w:r>
    </w:p>
    <w:p>
      <w:pPr>
        <w:spacing w:after="0" w:line="196"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During the third quarter of Fiscal 2014 we delivered 520 RV rental units to Apollo, a US RV rental company. Under the terms of a sales agreement with Apollo, all units were paid for upon delivery. To secure an order of this magnitude, we contractually agreed to repurchase up to 343 of the units at specified prices after one season of rental use (by no later than December 31, 2014) provided certain conditions are met. On December 29, 2014 the repurchase timing was extended from December 31, 2014 to February 28, 2015. The original cost of these units was depreciated down to the estimated net realizable value of the rental units during the time frame that the units were in rental use. During the first quarter of Fiscal 2015, we were released of repurchase obligation for 124 units as Apollo sold the units in the market place. As units subject to repurchase were sold, we removed the remaining net investment in operating lease as well as the operating lease repurchase obligation. In the second quarter of Fiscal 2015, we were released of the remaining repurchase obligations and as a result, there were no associated assets or liabilities on the balance sheet at February 28, 2015 or thereafter.</w:t>
      </w:r>
    </w:p>
    <w:p>
      <w:pPr>
        <w:spacing w:after="0" w:line="150"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Net lease revenue was recorded ratably over the rental period that Apollo held the units based upon the difference between the proceeds received and the estimated repurchase obligation less the estimated depreciation expense of the unit. We were not required to repurchase any units from Apollo, thus we did not record a gain or loss for the difference between the estimated residual value of the unit and the actual resale value as a component of net lease revenue. We recorded net lease revenue of $626,000 during Fiscal 2014, $5,000 and $1.3 million during the third quarter and first nine months of Fiscal 2015, respectively.</w:t>
      </w:r>
    </w:p>
    <w:p>
      <w:pPr>
        <w:spacing w:after="0" w:line="226" w:lineRule="exact"/>
        <w:rPr>
          <w:sz w:val="20"/>
          <w:szCs w:val="20"/>
          <w:color w:val="auto"/>
        </w:rPr>
      </w:pPr>
    </w:p>
    <w:p>
      <w:pPr>
        <w:ind w:right="80"/>
        <w:spacing w:after="0" w:line="269" w:lineRule="auto"/>
        <w:rPr>
          <w:sz w:val="20"/>
          <w:szCs w:val="20"/>
          <w:color w:val="auto"/>
        </w:rPr>
      </w:pPr>
      <w:r>
        <w:rPr>
          <w:rFonts w:ascii="Arial" w:cs="Arial" w:eastAsia="Arial" w:hAnsi="Arial"/>
          <w:sz w:val="16"/>
          <w:szCs w:val="16"/>
          <w:color w:val="auto"/>
        </w:rPr>
        <w:t>In March 2015, we received a rental order of similar size from Apollo. Under the terms of the sales agreement, this order did not include any repurchase obligation, thus no units were recorded as operating leases. We shipped approximately two-thirds of these units in the third quarter of Fiscal 2015 and will ship approximately one-third in the fourth quarter of Fiscal 2015.</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Property, Plant and Equipment</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is stated at cost, net of accumulated depreciation and consists of the following: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900" w:type="dxa"/>
            <w:vAlign w:val="bottom"/>
            <w:gridSpan w:val="2"/>
          </w:tcPr>
          <w:p>
            <w:pPr>
              <w:ind w:left="340"/>
              <w:spacing w:after="0"/>
              <w:rPr>
                <w:sz w:val="20"/>
                <w:szCs w:val="20"/>
                <w:color w:val="auto"/>
              </w:rPr>
            </w:pPr>
            <w:r>
              <w:rPr>
                <w:rFonts w:ascii="Arial" w:cs="Arial" w:eastAsia="Arial" w:hAnsi="Arial"/>
                <w:sz w:val="16"/>
                <w:szCs w:val="16"/>
                <w:b w:val="1"/>
                <w:bCs w:val="1"/>
                <w:color w:val="auto"/>
              </w:rPr>
              <w:t>May 30,</w:t>
            </w:r>
          </w:p>
        </w:tc>
        <w:tc>
          <w:tcPr>
            <w:tcW w:w="400" w:type="dxa"/>
            <w:vAlign w:val="bottom"/>
          </w:tcPr>
          <w:p>
            <w:pPr>
              <w:spacing w:after="0"/>
              <w:rPr>
                <w:sz w:val="16"/>
                <w:szCs w:val="16"/>
                <w:color w:val="auto"/>
              </w:rPr>
            </w:pPr>
          </w:p>
        </w:tc>
        <w:tc>
          <w:tcPr>
            <w:tcW w:w="1860" w:type="dxa"/>
            <w:vAlign w:val="bottom"/>
          </w:tcPr>
          <w:p>
            <w:pPr>
              <w:jc w:val="right"/>
              <w:ind w:right="659"/>
              <w:spacing w:after="0"/>
              <w:rPr>
                <w:sz w:val="20"/>
                <w:szCs w:val="20"/>
                <w:color w:val="auto"/>
              </w:rPr>
            </w:pPr>
            <w:r>
              <w:rPr>
                <w:rFonts w:ascii="Arial" w:cs="Arial" w:eastAsia="Arial" w:hAnsi="Arial"/>
                <w:sz w:val="16"/>
                <w:szCs w:val="16"/>
                <w:b w:val="1"/>
                <w:bCs w:val="1"/>
                <w:color w:val="auto"/>
              </w:rPr>
              <w:t>August 30,</w:t>
            </w:r>
          </w:p>
        </w:tc>
      </w:tr>
      <w:tr>
        <w:trPr>
          <w:trHeight w:val="232"/>
        </w:trPr>
        <w:tc>
          <w:tcPr>
            <w:tcW w:w="66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b w:val="1"/>
                <w:bCs w:val="1"/>
                <w:color w:val="auto"/>
              </w:rPr>
              <w:t>2014</w:t>
            </w:r>
          </w:p>
        </w:tc>
      </w:tr>
      <w:tr>
        <w:trPr>
          <w:trHeight w:val="254"/>
        </w:trPr>
        <w:tc>
          <w:tcPr>
            <w:tcW w:w="6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Land</w:t>
            </w: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1,874</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86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738</w:t>
            </w:r>
          </w:p>
        </w:tc>
      </w:tr>
      <w:tr>
        <w:trPr>
          <w:trHeight w:val="262"/>
        </w:trPr>
        <w:tc>
          <w:tcPr>
            <w:tcW w:w="6780" w:type="dxa"/>
            <w:vAlign w:val="bottom"/>
            <w:gridSpan w:val="2"/>
          </w:tcPr>
          <w:p>
            <w:pPr>
              <w:ind w:left="40"/>
              <w:spacing w:after="0"/>
              <w:rPr>
                <w:sz w:val="20"/>
                <w:szCs w:val="20"/>
                <w:color w:val="auto"/>
              </w:rPr>
            </w:pPr>
            <w:r>
              <w:rPr>
                <w:rFonts w:ascii="Arial" w:cs="Arial" w:eastAsia="Arial" w:hAnsi="Arial"/>
                <w:sz w:val="16"/>
                <w:szCs w:val="16"/>
                <w:color w:val="auto"/>
              </w:rPr>
              <w:t>Buildings and building improvements</w:t>
            </w:r>
          </w:p>
        </w:tc>
        <w:tc>
          <w:tcPr>
            <w:tcW w:w="480" w:type="dxa"/>
            <w:vAlign w:val="bottom"/>
          </w:tcPr>
          <w:p>
            <w:pPr>
              <w:spacing w:after="0"/>
              <w:rPr>
                <w:sz w:val="22"/>
                <w:szCs w:val="22"/>
                <w:color w:val="auto"/>
              </w:rPr>
            </w:pPr>
          </w:p>
        </w:tc>
        <w:tc>
          <w:tcPr>
            <w:tcW w:w="1780" w:type="dxa"/>
            <w:vAlign w:val="bottom"/>
          </w:tcPr>
          <w:p>
            <w:pPr>
              <w:jc w:val="right"/>
              <w:ind w:right="459"/>
              <w:spacing w:after="0"/>
              <w:rPr>
                <w:sz w:val="20"/>
                <w:szCs w:val="20"/>
                <w:color w:val="auto"/>
              </w:rPr>
            </w:pPr>
            <w:r>
              <w:rPr>
                <w:rFonts w:ascii="Arial" w:cs="Arial" w:eastAsia="Arial" w:hAnsi="Arial"/>
                <w:sz w:val="16"/>
                <w:szCs w:val="16"/>
                <w:color w:val="auto"/>
              </w:rPr>
              <w:t>53,360</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60" w:type="dxa"/>
            <w:vAlign w:val="bottom"/>
          </w:tcPr>
          <w:p>
            <w:pPr>
              <w:jc w:val="right"/>
              <w:ind w:right="459"/>
              <w:spacing w:after="0"/>
              <w:rPr>
                <w:sz w:val="20"/>
                <w:szCs w:val="20"/>
                <w:color w:val="auto"/>
              </w:rPr>
            </w:pPr>
            <w:r>
              <w:rPr>
                <w:rFonts w:ascii="Arial" w:cs="Arial" w:eastAsia="Arial" w:hAnsi="Arial"/>
                <w:sz w:val="16"/>
                <w:szCs w:val="16"/>
                <w:color w:val="auto"/>
              </w:rPr>
              <w:t>47,273</w:t>
            </w:r>
          </w:p>
        </w:tc>
      </w:tr>
      <w:tr>
        <w:trPr>
          <w:trHeight w:val="278"/>
        </w:trPr>
        <w:tc>
          <w:tcPr>
            <w:tcW w:w="6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Machinery and equipment</w:t>
            </w:r>
          </w:p>
        </w:tc>
        <w:tc>
          <w:tcPr>
            <w:tcW w:w="480" w:type="dxa"/>
            <w:vAlign w:val="bottom"/>
            <w:shd w:val="clear" w:color="auto" w:fill="CCEEFF"/>
          </w:tcPr>
          <w:p>
            <w:pPr>
              <w:spacing w:after="0"/>
              <w:rPr>
                <w:sz w:val="24"/>
                <w:szCs w:val="24"/>
                <w:color w:val="auto"/>
              </w:rPr>
            </w:pPr>
          </w:p>
        </w:tc>
        <w:tc>
          <w:tcPr>
            <w:tcW w:w="178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93,586</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86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90,101</w:t>
            </w:r>
          </w:p>
        </w:tc>
      </w:tr>
      <w:tr>
        <w:trPr>
          <w:trHeight w:val="262"/>
        </w:trPr>
        <w:tc>
          <w:tcPr>
            <w:tcW w:w="6780" w:type="dxa"/>
            <w:vAlign w:val="bottom"/>
            <w:gridSpan w:val="2"/>
          </w:tcPr>
          <w:p>
            <w:pPr>
              <w:ind w:left="40"/>
              <w:spacing w:after="0"/>
              <w:rPr>
                <w:sz w:val="20"/>
                <w:szCs w:val="20"/>
                <w:color w:val="auto"/>
              </w:rPr>
            </w:pPr>
            <w:r>
              <w:rPr>
                <w:rFonts w:ascii="Arial" w:cs="Arial" w:eastAsia="Arial" w:hAnsi="Arial"/>
                <w:sz w:val="16"/>
                <w:szCs w:val="16"/>
                <w:color w:val="auto"/>
              </w:rPr>
              <w:t>Software</w:t>
            </w:r>
          </w:p>
        </w:tc>
        <w:tc>
          <w:tcPr>
            <w:tcW w:w="480" w:type="dxa"/>
            <w:vAlign w:val="bottom"/>
          </w:tcPr>
          <w:p>
            <w:pPr>
              <w:spacing w:after="0"/>
              <w:rPr>
                <w:sz w:val="22"/>
                <w:szCs w:val="22"/>
                <w:color w:val="auto"/>
              </w:rPr>
            </w:pPr>
          </w:p>
        </w:tc>
        <w:tc>
          <w:tcPr>
            <w:tcW w:w="1780" w:type="dxa"/>
            <w:vAlign w:val="bottom"/>
          </w:tcPr>
          <w:p>
            <w:pPr>
              <w:jc w:val="right"/>
              <w:ind w:right="459"/>
              <w:spacing w:after="0"/>
              <w:rPr>
                <w:sz w:val="20"/>
                <w:szCs w:val="20"/>
                <w:color w:val="auto"/>
              </w:rPr>
            </w:pPr>
            <w:r>
              <w:rPr>
                <w:rFonts w:ascii="Arial" w:cs="Arial" w:eastAsia="Arial" w:hAnsi="Arial"/>
                <w:sz w:val="16"/>
                <w:szCs w:val="16"/>
                <w:color w:val="auto"/>
              </w:rPr>
              <w:t>6,130</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60" w:type="dxa"/>
            <w:vAlign w:val="bottom"/>
          </w:tcPr>
          <w:p>
            <w:pPr>
              <w:jc w:val="right"/>
              <w:ind w:right="459"/>
              <w:spacing w:after="0"/>
              <w:rPr>
                <w:sz w:val="20"/>
                <w:szCs w:val="20"/>
                <w:color w:val="auto"/>
              </w:rPr>
            </w:pPr>
            <w:r>
              <w:rPr>
                <w:rFonts w:ascii="Arial" w:cs="Arial" w:eastAsia="Arial" w:hAnsi="Arial"/>
                <w:sz w:val="16"/>
                <w:szCs w:val="16"/>
                <w:color w:val="auto"/>
              </w:rPr>
              <w:t>4,356</w:t>
            </w:r>
          </w:p>
        </w:tc>
      </w:tr>
      <w:tr>
        <w:trPr>
          <w:trHeight w:val="271"/>
        </w:trPr>
        <w:tc>
          <w:tcPr>
            <w:tcW w:w="6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Transportation</w:t>
            </w:r>
          </w:p>
        </w:tc>
        <w:tc>
          <w:tcPr>
            <w:tcW w:w="48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3,682</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9,098</w:t>
            </w:r>
          </w:p>
        </w:tc>
      </w:tr>
      <w:tr>
        <w:trPr>
          <w:trHeight w:val="249"/>
        </w:trPr>
        <w:tc>
          <w:tcPr>
            <w:tcW w:w="6780" w:type="dxa"/>
            <w:vAlign w:val="bottom"/>
            <w:gridSpan w:val="2"/>
          </w:tcPr>
          <w:p>
            <w:pPr>
              <w:ind w:left="40"/>
              <w:spacing w:after="0"/>
              <w:rPr>
                <w:sz w:val="20"/>
                <w:szCs w:val="20"/>
                <w:color w:val="auto"/>
              </w:rPr>
            </w:pPr>
            <w:r>
              <w:rPr>
                <w:rFonts w:ascii="Arial" w:cs="Arial" w:eastAsia="Arial" w:hAnsi="Arial"/>
                <w:sz w:val="16"/>
                <w:szCs w:val="16"/>
                <w:color w:val="auto"/>
              </w:rPr>
              <w:t>Total property, plant and equipment, gross</w:t>
            </w:r>
          </w:p>
        </w:tc>
        <w:tc>
          <w:tcPr>
            <w:tcW w:w="480" w:type="dxa"/>
            <w:vAlign w:val="bottom"/>
          </w:tcPr>
          <w:p>
            <w:pPr>
              <w:spacing w:after="0"/>
              <w:rPr>
                <w:sz w:val="21"/>
                <w:szCs w:val="21"/>
                <w:color w:val="auto"/>
              </w:rPr>
            </w:pPr>
          </w:p>
        </w:tc>
        <w:tc>
          <w:tcPr>
            <w:tcW w:w="1780" w:type="dxa"/>
            <w:vAlign w:val="bottom"/>
          </w:tcPr>
          <w:p>
            <w:pPr>
              <w:jc w:val="right"/>
              <w:ind w:right="459"/>
              <w:spacing w:after="0"/>
              <w:rPr>
                <w:sz w:val="20"/>
                <w:szCs w:val="20"/>
                <w:color w:val="auto"/>
              </w:rPr>
            </w:pPr>
            <w:r>
              <w:rPr>
                <w:rFonts w:ascii="Arial" w:cs="Arial" w:eastAsia="Arial" w:hAnsi="Arial"/>
                <w:sz w:val="16"/>
                <w:szCs w:val="16"/>
                <w:color w:val="auto"/>
              </w:rPr>
              <w:t>158,632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60" w:type="dxa"/>
            <w:vAlign w:val="bottom"/>
          </w:tcPr>
          <w:p>
            <w:pPr>
              <w:jc w:val="right"/>
              <w:ind w:right="459"/>
              <w:spacing w:after="0"/>
              <w:rPr>
                <w:sz w:val="20"/>
                <w:szCs w:val="20"/>
                <w:color w:val="auto"/>
              </w:rPr>
            </w:pPr>
            <w:r>
              <w:rPr>
                <w:rFonts w:ascii="Arial" w:cs="Arial" w:eastAsia="Arial" w:hAnsi="Arial"/>
                <w:sz w:val="16"/>
                <w:szCs w:val="16"/>
                <w:color w:val="auto"/>
              </w:rPr>
              <w:t>151,566</w:t>
            </w:r>
          </w:p>
        </w:tc>
      </w:tr>
      <w:tr>
        <w:trPr>
          <w:trHeight w:val="271"/>
        </w:trPr>
        <w:tc>
          <w:tcPr>
            <w:tcW w:w="6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Less accumulated depreciation</w:t>
            </w:r>
          </w:p>
        </w:tc>
        <w:tc>
          <w:tcPr>
            <w:tcW w:w="48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(123,986)</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(126,431)</w:t>
            </w:r>
          </w:p>
        </w:tc>
      </w:tr>
      <w:tr>
        <w:trPr>
          <w:trHeight w:val="242"/>
        </w:trPr>
        <w:tc>
          <w:tcPr>
            <w:tcW w:w="6780" w:type="dxa"/>
            <w:vAlign w:val="bottom"/>
            <w:gridSpan w:val="2"/>
          </w:tcPr>
          <w:p>
            <w:pPr>
              <w:ind w:left="40"/>
              <w:spacing w:after="0"/>
              <w:rPr>
                <w:sz w:val="20"/>
                <w:szCs w:val="20"/>
                <w:color w:val="auto"/>
              </w:rPr>
            </w:pPr>
            <w:r>
              <w:rPr>
                <w:rFonts w:ascii="Arial" w:cs="Arial" w:eastAsia="Arial" w:hAnsi="Arial"/>
                <w:sz w:val="16"/>
                <w:szCs w:val="16"/>
                <w:color w:val="auto"/>
              </w:rPr>
              <w:t>Total property, plant and equipment, net</w:t>
            </w: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34,646</w:t>
            </w:r>
          </w:p>
        </w:tc>
        <w:tc>
          <w:tcPr>
            <w:tcW w:w="120" w:type="dxa"/>
            <w:vAlign w:val="bottom"/>
          </w:tcPr>
          <w:p>
            <w:pPr>
              <w:spacing w:after="0"/>
              <w:rPr>
                <w:sz w:val="21"/>
                <w:szCs w:val="21"/>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25,135</w:t>
            </w:r>
          </w:p>
        </w:tc>
      </w:tr>
      <w:tr>
        <w:trPr>
          <w:trHeight w:val="20"/>
        </w:trPr>
        <w:tc>
          <w:tcPr>
            <w:tcW w:w="6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April 17, 2015 we purchased the Towables assembly facilities in Middlebury, Indiana, for $5.4 million and on May 5, 2015 we purchased a facility in Waverly, Iowa, for $850,000 for expansion of our subassembly operations.</w:t>
      </w:r>
    </w:p>
    <w:p>
      <w:pPr>
        <w:spacing w:after="0" w:line="121" w:lineRule="exact"/>
        <w:rPr>
          <w:sz w:val="20"/>
          <w:szCs w:val="20"/>
          <w:color w:val="auto"/>
        </w:rPr>
      </w:pPr>
    </w:p>
    <w:p>
      <w:pPr>
        <w:ind w:right="380"/>
        <w:spacing w:after="0" w:line="291" w:lineRule="auto"/>
        <w:rPr>
          <w:sz w:val="20"/>
          <w:szCs w:val="20"/>
          <w:color w:val="auto"/>
        </w:rPr>
      </w:pPr>
      <w:r>
        <w:rPr>
          <w:rFonts w:ascii="Arial" w:cs="Arial" w:eastAsia="Arial" w:hAnsi="Arial"/>
          <w:sz w:val="16"/>
          <w:szCs w:val="16"/>
          <w:color w:val="auto"/>
        </w:rPr>
        <w:t>As previously disclosed, in the third quarter of Fiscal 2015 we placed our corporate plane for sale. We have reclassified the net book value to current other assets in the consolidated balance sheets.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Credit Facilities</w:t>
      </w:r>
    </w:p>
    <w:p>
      <w:pPr>
        <w:spacing w:after="0" w:line="169" w:lineRule="exact"/>
        <w:rPr>
          <w:sz w:val="20"/>
          <w:szCs w:val="20"/>
          <w:color w:val="auto"/>
        </w:rPr>
      </w:pPr>
    </w:p>
    <w:p>
      <w:pPr>
        <w:ind w:right="460"/>
        <w:spacing w:after="0" w:line="269" w:lineRule="auto"/>
        <w:rPr>
          <w:sz w:val="20"/>
          <w:szCs w:val="20"/>
          <w:color w:val="auto"/>
        </w:rPr>
      </w:pPr>
      <w:r>
        <w:rPr>
          <w:rFonts w:ascii="Arial" w:cs="Arial" w:eastAsia="Arial" w:hAnsi="Arial"/>
          <w:sz w:val="16"/>
          <w:szCs w:val="16"/>
          <w:color w:val="auto"/>
        </w:rPr>
        <w:t>On October 31, 2012, we entered into the Credit Agreement with GECC. The Credit Agreement provides for an initial $35.0 million revolving credit facility based on eligible inventory and was to expire on October 31, 2015, unless terminated earlier in accordance with its terms. There is no termination fee associated with the Credit Agreement.</w:t>
      </w:r>
    </w:p>
    <w:p>
      <w:pPr>
        <w:spacing w:after="0" w:line="138"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The Credit Agreement contains no financial covenant restrictions for borrowings where we have excess borrowing availability under the facility of greater than $5.0 million. The Credit Agreement requires us to comply with a fixed charge ratio if excess borrowing availability under the facility is less than $5.0 million. In addition the Credit Agreement also includes a framework to expand the size of the facility up to $50.0 million, based on mutually agreeable terms at the time of the expansion. The initial unused line fee associated with the Credit Agreement is 0.5% per annum and has the ability to be lowered based upon facility usage.</w:t>
      </w:r>
    </w:p>
    <w:p>
      <w:pPr>
        <w:spacing w:after="0" w:line="145" w:lineRule="exact"/>
        <w:rPr>
          <w:sz w:val="20"/>
          <w:szCs w:val="20"/>
          <w:color w:val="auto"/>
        </w:rPr>
      </w:pPr>
    </w:p>
    <w:p>
      <w:pPr>
        <w:ind w:right="300"/>
        <w:spacing w:after="0" w:line="257" w:lineRule="auto"/>
        <w:rPr>
          <w:sz w:val="20"/>
          <w:szCs w:val="20"/>
          <w:color w:val="auto"/>
        </w:rPr>
      </w:pPr>
      <w:r>
        <w:rPr>
          <w:rFonts w:ascii="Arial" w:cs="Arial" w:eastAsia="Arial" w:hAnsi="Arial"/>
          <w:sz w:val="16"/>
          <w:szCs w:val="16"/>
          <w:color w:val="auto"/>
        </w:rPr>
        <w:t>The Credit Agreement contains typical affirmative representations and covenants for a credit agreement of this size and nature. Additionally, the Credit Agreement contains negative covenants limiting our ability, among other things, to incur debt, grant liens, make acquisitions, make certain investments, pay certain dividends and distributions, engage in mergers, consolidations or acquisitions and sell certain assets. Obligations under the Credit Agreement are secured by a security interest in all of our accounts and other receivables, chattel paper, documents, deposit accounts, instruments, equipment, inventory, investment property, leasehold interest, cash and cash equivalents, letter-of-credit rights, most real property and fixtures and certain other business assets.</w:t>
      </w:r>
    </w:p>
    <w:p>
      <w:pPr>
        <w:spacing w:after="0" w:line="149"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On May 28, 2014, we amended this Credit Agreement (the "Amended Credit Agreement"). The Amended Credit Agreement extends the term of the credit facility from October 31, 2015 to May 28, 2019. In addition, interest on loans made under the Amended Credit Facility will be based on LIBOR plus a margin of 2.0%. The amendment also revised and added definitions of several terms including an expanded Restricted Payment Basket that now permits up to $15.0 million purchases of company stock and cash dividends to be excluded from the Fixed Charge ratio annually. In addition, the definition of Eligible Accounts was expanded to permit certain receivables to be included in the Borrowing Base. The Amended Credit Agreement also permits us to engage in certain sale lease buyback transactions in the ordinary course of business subject to certain restrictions and increases our ability to incur capital lease obligations.</w:t>
      </w:r>
    </w:p>
    <w:p>
      <w:pPr>
        <w:spacing w:after="0" w:line="151"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During the second quarter we utilized the credit facility from time to time to meet working capital needs. As of the date of this report, we are in compliance with all material terms of the Amended Credit Agreement, and no borrowings are outstanding.</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Warranty</w:t>
      </w:r>
    </w:p>
    <w:p>
      <w:pPr>
        <w:spacing w:after="0" w:line="196"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We provide our motorhome customers a comprehensive 12-month/15,000-mile warranty on our Class A, B and C motorhomes, and a 3-year/36,000-mile structural warranty on Class A and C sidewalls and floors. We provide a comprehensive 12-month warranty on all towable products. We have also incurred costs for certain warranty-type expenses which occurred after the normal warranty period. We have voluntarily agreed to pay such costs to help protect the reputation of our products and the goodwill of our customers. Estimated costs related to product warranty are accrued at the time of sale and are based upon past warranty claims and unit sales history and adjusted as required to reflect actual costs incurred, as information becomes available. A significant increase in dealership labor rates, the cost of parts or the frequency of claims could have a material adverse impact on our operating results for the period or periods in which such claims or additional costs materialize.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460" w:type="dxa"/>
            <w:vAlign w:val="bottom"/>
            <w:gridSpan w:val="2"/>
          </w:tcPr>
          <w:p>
            <w:pPr>
              <w:spacing w:after="0"/>
              <w:rPr>
                <w:sz w:val="20"/>
                <w:szCs w:val="20"/>
                <w:color w:val="auto"/>
              </w:rPr>
            </w:pPr>
            <w:r>
              <w:rPr>
                <w:rFonts w:ascii="Arial" w:cs="Arial" w:eastAsia="Arial" w:hAnsi="Arial"/>
                <w:sz w:val="16"/>
                <w:szCs w:val="16"/>
                <w:color w:val="auto"/>
              </w:rPr>
              <w:t>Changes in our product warranty liability are as follows:</w:t>
            </w: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03"/>
        </w:trPr>
        <w:tc>
          <w:tcPr>
            <w:tcW w:w="4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4"/>
          </w:tcPr>
          <w:p>
            <w:pPr>
              <w:jc w:val="right"/>
              <w:ind w:right="81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4"/>
          </w:tcPr>
          <w:p>
            <w:pPr>
              <w:jc w:val="right"/>
              <w:ind w:right="859"/>
              <w:spacing w:after="0"/>
              <w:rPr>
                <w:sz w:val="20"/>
                <w:szCs w:val="20"/>
                <w:color w:val="auto"/>
              </w:rPr>
            </w:pPr>
            <w:r>
              <w:rPr>
                <w:rFonts w:ascii="Arial" w:cs="Arial" w:eastAsia="Arial" w:hAnsi="Arial"/>
                <w:sz w:val="16"/>
                <w:szCs w:val="16"/>
                <w:b w:val="1"/>
                <w:bCs w:val="1"/>
                <w:color w:val="auto"/>
              </w:rPr>
              <w:t>Nine Months Ended</w:t>
            </w:r>
          </w:p>
        </w:tc>
      </w:tr>
      <w:tr>
        <w:trPr>
          <w:trHeight w:val="193"/>
        </w:trPr>
        <w:tc>
          <w:tcPr>
            <w:tcW w:w="4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2"/>
          </w:tcPr>
          <w:p>
            <w:pPr>
              <w:ind w:left="200"/>
              <w:spacing w:after="0"/>
              <w:rPr>
                <w:sz w:val="20"/>
                <w:szCs w:val="20"/>
                <w:color w:val="auto"/>
              </w:rPr>
            </w:pPr>
            <w:r>
              <w:rPr>
                <w:rFonts w:ascii="Arial" w:cs="Arial" w:eastAsia="Arial" w:hAnsi="Arial"/>
                <w:sz w:val="16"/>
                <w:szCs w:val="16"/>
                <w:b w:val="1"/>
                <w:bCs w:val="1"/>
                <w:color w:val="auto"/>
              </w:rPr>
              <w:t>May 30,</w:t>
            </w:r>
          </w:p>
        </w:tc>
        <w:tc>
          <w:tcPr>
            <w:tcW w:w="320" w:type="dxa"/>
            <w:vAlign w:val="bottom"/>
          </w:tcPr>
          <w:p>
            <w:pPr>
              <w:spacing w:after="0"/>
              <w:rPr>
                <w:sz w:val="16"/>
                <w:szCs w:val="16"/>
                <w:color w:val="auto"/>
              </w:rPr>
            </w:pPr>
          </w:p>
        </w:tc>
        <w:tc>
          <w:tcPr>
            <w:tcW w:w="1440" w:type="dxa"/>
            <w:vAlign w:val="bottom"/>
            <w:gridSpan w:val="2"/>
          </w:tcPr>
          <w:p>
            <w:pPr>
              <w:ind w:left="200"/>
              <w:spacing w:after="0"/>
              <w:rPr>
                <w:sz w:val="20"/>
                <w:szCs w:val="20"/>
                <w:color w:val="auto"/>
              </w:rPr>
            </w:pPr>
            <w:r>
              <w:rPr>
                <w:rFonts w:ascii="Arial" w:cs="Arial" w:eastAsia="Arial" w:hAnsi="Arial"/>
                <w:sz w:val="16"/>
                <w:szCs w:val="16"/>
                <w:b w:val="1"/>
                <w:bCs w:val="1"/>
                <w:color w:val="auto"/>
              </w:rPr>
              <w:t>May 31,</w:t>
            </w:r>
          </w:p>
        </w:tc>
        <w:tc>
          <w:tcPr>
            <w:tcW w:w="320" w:type="dxa"/>
            <w:vAlign w:val="bottom"/>
          </w:tcPr>
          <w:p>
            <w:pPr>
              <w:spacing w:after="0"/>
              <w:rPr>
                <w:sz w:val="16"/>
                <w:szCs w:val="16"/>
                <w:color w:val="auto"/>
              </w:rPr>
            </w:pPr>
          </w:p>
        </w:tc>
        <w:tc>
          <w:tcPr>
            <w:tcW w:w="1460" w:type="dxa"/>
            <w:vAlign w:val="bottom"/>
            <w:gridSpan w:val="2"/>
          </w:tcPr>
          <w:p>
            <w:pPr>
              <w:ind w:left="200"/>
              <w:spacing w:after="0"/>
              <w:rPr>
                <w:sz w:val="20"/>
                <w:szCs w:val="20"/>
                <w:color w:val="auto"/>
              </w:rPr>
            </w:pPr>
            <w:r>
              <w:rPr>
                <w:rFonts w:ascii="Arial" w:cs="Arial" w:eastAsia="Arial" w:hAnsi="Arial"/>
                <w:sz w:val="16"/>
                <w:szCs w:val="16"/>
                <w:b w:val="1"/>
                <w:bCs w:val="1"/>
                <w:color w:val="auto"/>
              </w:rPr>
              <w:t>May 30,</w:t>
            </w:r>
          </w:p>
        </w:tc>
        <w:tc>
          <w:tcPr>
            <w:tcW w:w="320" w:type="dxa"/>
            <w:vAlign w:val="bottom"/>
          </w:tcPr>
          <w:p>
            <w:pPr>
              <w:spacing w:after="0"/>
              <w:rPr>
                <w:sz w:val="16"/>
                <w:szCs w:val="16"/>
                <w:color w:val="auto"/>
              </w:rPr>
            </w:pPr>
          </w:p>
        </w:tc>
        <w:tc>
          <w:tcPr>
            <w:tcW w:w="1340" w:type="dxa"/>
            <w:vAlign w:val="bottom"/>
          </w:tcPr>
          <w:p>
            <w:pPr>
              <w:jc w:val="right"/>
              <w:ind w:right="479"/>
              <w:spacing w:after="0"/>
              <w:rPr>
                <w:sz w:val="20"/>
                <w:szCs w:val="20"/>
                <w:color w:val="auto"/>
              </w:rPr>
            </w:pPr>
            <w:r>
              <w:rPr>
                <w:rFonts w:ascii="Arial" w:cs="Arial" w:eastAsia="Arial" w:hAnsi="Arial"/>
                <w:sz w:val="16"/>
                <w:szCs w:val="16"/>
                <w:b w:val="1"/>
                <w:bCs w:val="1"/>
                <w:color w:val="auto"/>
              </w:rPr>
              <w:t>May 31,</w:t>
            </w:r>
          </w:p>
        </w:tc>
      </w:tr>
      <w:tr>
        <w:trPr>
          <w:trHeight w:val="232"/>
        </w:trPr>
        <w:tc>
          <w:tcPr>
            <w:tcW w:w="43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2014</w:t>
            </w:r>
          </w:p>
        </w:tc>
      </w:tr>
      <w:tr>
        <w:trPr>
          <w:trHeight w:val="254"/>
        </w:trPr>
        <w:tc>
          <w:tcPr>
            <w:tcW w:w="44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Balance at beginning of period</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9,856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8,781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9,501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8,443</w:t>
            </w:r>
          </w:p>
        </w:tc>
      </w:tr>
      <w:tr>
        <w:trPr>
          <w:trHeight w:val="262"/>
        </w:trPr>
        <w:tc>
          <w:tcPr>
            <w:tcW w:w="4460" w:type="dxa"/>
            <w:vAlign w:val="bottom"/>
            <w:gridSpan w:val="2"/>
          </w:tcPr>
          <w:p>
            <w:pPr>
              <w:ind w:left="40"/>
              <w:spacing w:after="0"/>
              <w:rPr>
                <w:sz w:val="20"/>
                <w:szCs w:val="20"/>
                <w:color w:val="auto"/>
              </w:rPr>
            </w:pPr>
            <w:r>
              <w:rPr>
                <w:rFonts w:ascii="Arial" w:cs="Arial" w:eastAsia="Arial" w:hAnsi="Arial"/>
                <w:sz w:val="16"/>
                <w:szCs w:val="16"/>
                <w:color w:val="auto"/>
              </w:rPr>
              <w:t>Provision</w:t>
            </w:r>
          </w:p>
        </w:tc>
        <w:tc>
          <w:tcPr>
            <w:tcW w:w="300" w:type="dxa"/>
            <w:vAlign w:val="bottom"/>
          </w:tcPr>
          <w:p>
            <w:pPr>
              <w:spacing w:after="0"/>
              <w:rPr>
                <w:sz w:val="22"/>
                <w:szCs w:val="22"/>
                <w:color w:val="auto"/>
              </w:rPr>
            </w:pPr>
          </w:p>
        </w:tc>
        <w:tc>
          <w:tcPr>
            <w:tcW w:w="1360" w:type="dxa"/>
            <w:vAlign w:val="bottom"/>
          </w:tcPr>
          <w:p>
            <w:pPr>
              <w:jc w:val="right"/>
              <w:ind w:right="359"/>
              <w:spacing w:after="0"/>
              <w:rPr>
                <w:sz w:val="20"/>
                <w:szCs w:val="20"/>
                <w:color w:val="auto"/>
              </w:rPr>
            </w:pPr>
            <w:r>
              <w:rPr>
                <w:rFonts w:ascii="Arial" w:cs="Arial" w:eastAsia="Arial" w:hAnsi="Arial"/>
                <w:sz w:val="16"/>
                <w:szCs w:val="16"/>
                <w:color w:val="auto"/>
              </w:rPr>
              <w:t>3,233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40" w:type="dxa"/>
            <w:vAlign w:val="bottom"/>
          </w:tcPr>
          <w:p>
            <w:pPr>
              <w:jc w:val="right"/>
              <w:ind w:right="359"/>
              <w:spacing w:after="0"/>
              <w:rPr>
                <w:sz w:val="20"/>
                <w:szCs w:val="20"/>
                <w:color w:val="auto"/>
              </w:rPr>
            </w:pPr>
            <w:r>
              <w:rPr>
                <w:rFonts w:ascii="Arial" w:cs="Arial" w:eastAsia="Arial" w:hAnsi="Arial"/>
                <w:sz w:val="16"/>
                <w:szCs w:val="16"/>
                <w:color w:val="auto"/>
              </w:rPr>
              <w:t>2,736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Pr>
          <w:p>
            <w:pPr>
              <w:jc w:val="right"/>
              <w:ind w:right="359"/>
              <w:spacing w:after="0"/>
              <w:rPr>
                <w:sz w:val="20"/>
                <w:szCs w:val="20"/>
                <w:color w:val="auto"/>
              </w:rPr>
            </w:pPr>
            <w:r>
              <w:rPr>
                <w:rFonts w:ascii="Arial" w:cs="Arial" w:eastAsia="Arial" w:hAnsi="Arial"/>
                <w:sz w:val="16"/>
                <w:szCs w:val="16"/>
                <w:color w:val="auto"/>
              </w:rPr>
              <w:t>8,079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40" w:type="dxa"/>
            <w:vAlign w:val="bottom"/>
          </w:tcPr>
          <w:p>
            <w:pPr>
              <w:jc w:val="right"/>
              <w:ind w:right="359"/>
              <w:spacing w:after="0"/>
              <w:rPr>
                <w:sz w:val="20"/>
                <w:szCs w:val="20"/>
                <w:color w:val="auto"/>
              </w:rPr>
            </w:pPr>
            <w:r>
              <w:rPr>
                <w:rFonts w:ascii="Arial" w:cs="Arial" w:eastAsia="Arial" w:hAnsi="Arial"/>
                <w:sz w:val="16"/>
                <w:szCs w:val="16"/>
                <w:color w:val="auto"/>
              </w:rPr>
              <w:t>7,874</w:t>
            </w:r>
          </w:p>
        </w:tc>
      </w:tr>
      <w:tr>
        <w:trPr>
          <w:trHeight w:val="271"/>
        </w:trPr>
        <w:tc>
          <w:tcPr>
            <w:tcW w:w="44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Claims paid</w:t>
            </w:r>
          </w:p>
        </w:tc>
        <w:tc>
          <w:tcPr>
            <w:tcW w:w="30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(3,284)</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(2,599)</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(7,775)</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(7,399)</w:t>
            </w:r>
          </w:p>
        </w:tc>
      </w:tr>
      <w:tr>
        <w:trPr>
          <w:trHeight w:val="242"/>
        </w:trPr>
        <w:tc>
          <w:tcPr>
            <w:tcW w:w="4460" w:type="dxa"/>
            <w:vAlign w:val="bottom"/>
            <w:gridSpan w:val="2"/>
          </w:tcPr>
          <w:p>
            <w:pPr>
              <w:ind w:left="40"/>
              <w:spacing w:after="0"/>
              <w:rPr>
                <w:sz w:val="20"/>
                <w:szCs w:val="20"/>
                <w:color w:val="auto"/>
              </w:rPr>
            </w:pPr>
            <w:r>
              <w:rPr>
                <w:rFonts w:ascii="Arial" w:cs="Arial" w:eastAsia="Arial" w:hAnsi="Arial"/>
                <w:sz w:val="16"/>
                <w:szCs w:val="16"/>
                <w:color w:val="auto"/>
              </w:rPr>
              <w:t>Balance at end of period</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9,805</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8,918</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9,805</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8,918</w:t>
            </w:r>
          </w:p>
        </w:tc>
      </w:tr>
      <w:tr>
        <w:trPr>
          <w:trHeight w:val="20"/>
        </w:trPr>
        <w:tc>
          <w:tcPr>
            <w:tcW w:w="4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614"/>
        </w:trPr>
        <w:tc>
          <w:tcPr>
            <w:tcW w:w="4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jc w:val="right"/>
              <w:ind w:right="27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00" w:type="dxa"/>
            <w:vAlign w:val="bottom"/>
            <w:gridSpan w:val="3"/>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Table of Contents</w:t>
              </w:r>
            </w:hyperlink>
          </w:p>
        </w:tc>
        <w:tc>
          <w:tcPr>
            <w:tcW w:w="3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61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459"/>
        </w:trPr>
        <w:tc>
          <w:tcPr>
            <w:tcW w:w="7400" w:type="dxa"/>
            <w:vAlign w:val="bottom"/>
            <w:gridSpan w:val="3"/>
          </w:tcPr>
          <w:p>
            <w:pPr>
              <w:spacing w:after="0"/>
              <w:rPr>
                <w:sz w:val="20"/>
                <w:szCs w:val="20"/>
                <w:color w:val="auto"/>
              </w:rPr>
            </w:pPr>
            <w:r>
              <w:rPr>
                <w:rFonts w:ascii="Arial" w:cs="Arial" w:eastAsia="Arial" w:hAnsi="Arial"/>
                <w:sz w:val="16"/>
                <w:szCs w:val="16"/>
                <w:b w:val="1"/>
                <w:bCs w:val="1"/>
                <w:color w:val="auto"/>
              </w:rPr>
              <w:t>Note 9: Employee and Retiree Benefits</w:t>
            </w:r>
          </w:p>
        </w:tc>
        <w:tc>
          <w:tcPr>
            <w:tcW w:w="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43"/>
        </w:trPr>
        <w:tc>
          <w:tcPr>
            <w:tcW w:w="7400" w:type="dxa"/>
            <w:vAlign w:val="bottom"/>
            <w:gridSpan w:val="3"/>
          </w:tcPr>
          <w:p>
            <w:pPr>
              <w:spacing w:after="0"/>
              <w:rPr>
                <w:sz w:val="20"/>
                <w:szCs w:val="20"/>
                <w:color w:val="auto"/>
              </w:rPr>
            </w:pPr>
            <w:r>
              <w:rPr>
                <w:rFonts w:ascii="Arial" w:cs="Arial" w:eastAsia="Arial" w:hAnsi="Arial"/>
                <w:sz w:val="16"/>
                <w:szCs w:val="16"/>
                <w:color w:val="auto"/>
              </w:rPr>
              <w:t>Postretirement health care and deferred compensation benefits are as follows:</w:t>
            </w:r>
          </w:p>
        </w:tc>
        <w:tc>
          <w:tcPr>
            <w:tcW w:w="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20"/>
        </w:trPr>
        <w:tc>
          <w:tcPr>
            <w:tcW w:w="126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80" w:type="dxa"/>
            <w:vAlign w:val="bottom"/>
            <w:gridSpan w:val="2"/>
          </w:tcPr>
          <w:p>
            <w:pPr>
              <w:ind w:left="280"/>
              <w:spacing w:after="0"/>
              <w:rPr>
                <w:sz w:val="20"/>
                <w:szCs w:val="20"/>
                <w:color w:val="auto"/>
              </w:rPr>
            </w:pPr>
            <w:r>
              <w:rPr>
                <w:rFonts w:ascii="Arial" w:cs="Arial" w:eastAsia="Arial" w:hAnsi="Arial"/>
                <w:sz w:val="16"/>
                <w:szCs w:val="16"/>
                <w:b w:val="1"/>
                <w:bCs w:val="1"/>
                <w:color w:val="auto"/>
              </w:rPr>
              <w:t>May 30,</w:t>
            </w:r>
          </w:p>
        </w:tc>
        <w:tc>
          <w:tcPr>
            <w:tcW w:w="340" w:type="dxa"/>
            <w:vAlign w:val="bottom"/>
          </w:tcPr>
          <w:p>
            <w:pPr>
              <w:spacing w:after="0"/>
              <w:rPr>
                <w:sz w:val="24"/>
                <w:szCs w:val="24"/>
                <w:color w:val="auto"/>
              </w:rPr>
            </w:pPr>
          </w:p>
        </w:tc>
        <w:tc>
          <w:tcPr>
            <w:tcW w:w="1620" w:type="dxa"/>
            <w:vAlign w:val="bottom"/>
          </w:tcPr>
          <w:p>
            <w:pPr>
              <w:jc w:val="right"/>
              <w:ind w:right="499"/>
              <w:spacing w:after="0"/>
              <w:rPr>
                <w:sz w:val="20"/>
                <w:szCs w:val="20"/>
                <w:color w:val="auto"/>
              </w:rPr>
            </w:pPr>
            <w:r>
              <w:rPr>
                <w:rFonts w:ascii="Arial" w:cs="Arial" w:eastAsia="Arial" w:hAnsi="Arial"/>
                <w:sz w:val="16"/>
                <w:szCs w:val="16"/>
                <w:b w:val="1"/>
                <w:bCs w:val="1"/>
                <w:color w:val="auto"/>
              </w:rPr>
              <w:t>August 30,</w:t>
            </w:r>
          </w:p>
        </w:tc>
      </w:tr>
      <w:tr>
        <w:trPr>
          <w:trHeight w:val="232"/>
        </w:trPr>
        <w:tc>
          <w:tcPr>
            <w:tcW w:w="72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2014</w:t>
            </w:r>
          </w:p>
        </w:tc>
      </w:tr>
      <w:tr>
        <w:trPr>
          <w:trHeight w:val="254"/>
        </w:trPr>
        <w:tc>
          <w:tcPr>
            <w:tcW w:w="74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Postretirement health care benefit cost</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36,052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36,930</w:t>
            </w:r>
          </w:p>
        </w:tc>
      </w:tr>
      <w:tr>
        <w:trPr>
          <w:trHeight w:val="262"/>
        </w:trPr>
        <w:tc>
          <w:tcPr>
            <w:tcW w:w="7400" w:type="dxa"/>
            <w:vAlign w:val="bottom"/>
            <w:gridSpan w:val="3"/>
          </w:tcPr>
          <w:p>
            <w:pPr>
              <w:ind w:left="40"/>
              <w:spacing w:after="0"/>
              <w:rPr>
                <w:sz w:val="20"/>
                <w:szCs w:val="20"/>
                <w:color w:val="auto"/>
              </w:rPr>
            </w:pPr>
            <w:r>
              <w:rPr>
                <w:rFonts w:ascii="Arial" w:cs="Arial" w:eastAsia="Arial" w:hAnsi="Arial"/>
                <w:sz w:val="16"/>
                <w:szCs w:val="16"/>
                <w:color w:val="auto"/>
              </w:rPr>
              <w:t>Non-qualified deferred compensation</w:t>
            </w:r>
          </w:p>
        </w:tc>
        <w:tc>
          <w:tcPr>
            <w:tcW w:w="380" w:type="dxa"/>
            <w:vAlign w:val="bottom"/>
          </w:tcPr>
          <w:p>
            <w:pPr>
              <w:spacing w:after="0"/>
              <w:rPr>
                <w:sz w:val="22"/>
                <w:szCs w:val="22"/>
                <w:color w:val="auto"/>
              </w:rPr>
            </w:pPr>
          </w:p>
        </w:tc>
        <w:tc>
          <w:tcPr>
            <w:tcW w:w="1580" w:type="dxa"/>
            <w:vAlign w:val="bottom"/>
          </w:tcPr>
          <w:p>
            <w:pPr>
              <w:jc w:val="right"/>
              <w:ind w:right="359"/>
              <w:spacing w:after="0"/>
              <w:rPr>
                <w:sz w:val="20"/>
                <w:szCs w:val="20"/>
                <w:color w:val="auto"/>
              </w:rPr>
            </w:pPr>
            <w:r>
              <w:rPr>
                <w:rFonts w:ascii="Arial" w:cs="Arial" w:eastAsia="Arial" w:hAnsi="Arial"/>
                <w:sz w:val="16"/>
                <w:szCs w:val="16"/>
                <w:color w:val="auto"/>
              </w:rPr>
              <w:t>19,920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20" w:type="dxa"/>
            <w:vAlign w:val="bottom"/>
          </w:tcPr>
          <w:p>
            <w:pPr>
              <w:jc w:val="right"/>
              <w:ind w:right="359"/>
              <w:spacing w:after="0"/>
              <w:rPr>
                <w:sz w:val="20"/>
                <w:szCs w:val="20"/>
                <w:color w:val="auto"/>
              </w:rPr>
            </w:pPr>
            <w:r>
              <w:rPr>
                <w:rFonts w:ascii="Arial" w:cs="Arial" w:eastAsia="Arial" w:hAnsi="Arial"/>
                <w:sz w:val="16"/>
                <w:szCs w:val="16"/>
                <w:color w:val="auto"/>
              </w:rPr>
              <w:t>21,014</w:t>
            </w:r>
          </w:p>
        </w:tc>
      </w:tr>
      <w:tr>
        <w:trPr>
          <w:trHeight w:val="278"/>
        </w:trPr>
        <w:tc>
          <w:tcPr>
            <w:tcW w:w="74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Executive share option plan liability</w:t>
            </w:r>
          </w:p>
        </w:tc>
        <w:tc>
          <w:tcPr>
            <w:tcW w:w="38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5,139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5,628</w:t>
            </w:r>
          </w:p>
        </w:tc>
      </w:tr>
      <w:tr>
        <w:trPr>
          <w:trHeight w:val="262"/>
        </w:trPr>
        <w:tc>
          <w:tcPr>
            <w:tcW w:w="7400" w:type="dxa"/>
            <w:vAlign w:val="bottom"/>
            <w:gridSpan w:val="3"/>
          </w:tcPr>
          <w:p>
            <w:pPr>
              <w:ind w:left="40"/>
              <w:spacing w:after="0"/>
              <w:rPr>
                <w:sz w:val="20"/>
                <w:szCs w:val="20"/>
                <w:color w:val="auto"/>
              </w:rPr>
            </w:pPr>
            <w:r>
              <w:rPr>
                <w:rFonts w:ascii="Arial" w:cs="Arial" w:eastAsia="Arial" w:hAnsi="Arial"/>
                <w:sz w:val="16"/>
                <w:szCs w:val="16"/>
                <w:color w:val="auto"/>
              </w:rPr>
              <w:t>SERP benefit liability</w:t>
            </w:r>
          </w:p>
        </w:tc>
        <w:tc>
          <w:tcPr>
            <w:tcW w:w="380" w:type="dxa"/>
            <w:vAlign w:val="bottom"/>
          </w:tcPr>
          <w:p>
            <w:pPr>
              <w:spacing w:after="0"/>
              <w:rPr>
                <w:sz w:val="22"/>
                <w:szCs w:val="22"/>
                <w:color w:val="auto"/>
              </w:rPr>
            </w:pPr>
          </w:p>
        </w:tc>
        <w:tc>
          <w:tcPr>
            <w:tcW w:w="1580" w:type="dxa"/>
            <w:vAlign w:val="bottom"/>
          </w:tcPr>
          <w:p>
            <w:pPr>
              <w:jc w:val="right"/>
              <w:ind w:right="359"/>
              <w:spacing w:after="0"/>
              <w:rPr>
                <w:sz w:val="20"/>
                <w:szCs w:val="20"/>
                <w:color w:val="auto"/>
              </w:rPr>
            </w:pPr>
            <w:r>
              <w:rPr>
                <w:rFonts w:ascii="Arial" w:cs="Arial" w:eastAsia="Arial" w:hAnsi="Arial"/>
                <w:sz w:val="16"/>
                <w:szCs w:val="16"/>
                <w:color w:val="auto"/>
              </w:rPr>
              <w:t>2,806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20" w:type="dxa"/>
            <w:vAlign w:val="bottom"/>
          </w:tcPr>
          <w:p>
            <w:pPr>
              <w:jc w:val="right"/>
              <w:ind w:right="359"/>
              <w:spacing w:after="0"/>
              <w:rPr>
                <w:sz w:val="20"/>
                <w:szCs w:val="20"/>
                <w:color w:val="auto"/>
              </w:rPr>
            </w:pPr>
            <w:r>
              <w:rPr>
                <w:rFonts w:ascii="Arial" w:cs="Arial" w:eastAsia="Arial" w:hAnsi="Arial"/>
                <w:sz w:val="16"/>
                <w:szCs w:val="16"/>
                <w:color w:val="auto"/>
              </w:rPr>
              <w:t>2,974</w:t>
            </w:r>
          </w:p>
        </w:tc>
      </w:tr>
      <w:tr>
        <w:trPr>
          <w:trHeight w:val="278"/>
        </w:trPr>
        <w:tc>
          <w:tcPr>
            <w:tcW w:w="74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Executive deferred compensation</w:t>
            </w:r>
          </w:p>
        </w:tc>
        <w:tc>
          <w:tcPr>
            <w:tcW w:w="38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305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213</w:t>
            </w:r>
          </w:p>
        </w:tc>
      </w:tr>
      <w:tr>
        <w:trPr>
          <w:trHeight w:val="264"/>
        </w:trPr>
        <w:tc>
          <w:tcPr>
            <w:tcW w:w="740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Officer stock-based compensation</w:t>
            </w:r>
          </w:p>
        </w:tc>
        <w:tc>
          <w:tcPr>
            <w:tcW w:w="3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411</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627</w:t>
            </w:r>
          </w:p>
        </w:tc>
      </w:tr>
      <w:tr>
        <w:trPr>
          <w:trHeight w:val="257"/>
        </w:trPr>
        <w:tc>
          <w:tcPr>
            <w:tcW w:w="74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Total postretirement health care and deferred compensation benefits</w:t>
            </w:r>
          </w:p>
        </w:tc>
        <w:tc>
          <w:tcPr>
            <w:tcW w:w="38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64,633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6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67,386</w:t>
            </w:r>
          </w:p>
        </w:tc>
      </w:tr>
      <w:tr>
        <w:trPr>
          <w:trHeight w:val="270"/>
        </w:trPr>
        <w:tc>
          <w:tcPr>
            <w:tcW w:w="740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 xml:space="preserve">Less current portion </w:t>
            </w:r>
            <w:r>
              <w:rPr>
                <w:rFonts w:ascii="Arial" w:cs="Arial" w:eastAsia="Arial" w:hAnsi="Arial"/>
                <w:sz w:val="21"/>
                <w:szCs w:val="21"/>
                <w:color w:val="auto"/>
                <w:vertAlign w:val="superscript"/>
              </w:rPr>
              <w:t>(1)</w:t>
            </w:r>
          </w:p>
        </w:tc>
        <w:tc>
          <w:tcPr>
            <w:tcW w:w="38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(5,422)</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(4,575)</w:t>
            </w:r>
          </w:p>
        </w:tc>
      </w:tr>
      <w:tr>
        <w:trPr>
          <w:trHeight w:val="236"/>
        </w:trPr>
        <w:tc>
          <w:tcPr>
            <w:tcW w:w="7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Long-term postretirement health care and deferred compensation benefits</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59,211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62,811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8890</wp:posOffset>
            </wp:positionV>
            <wp:extent cx="25558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ind w:right="400" w:firstLine="8"/>
        <w:spacing w:after="0" w:line="239" w:lineRule="auto"/>
        <w:tabs>
          <w:tab w:leader="none" w:pos="150" w:val="left"/>
        </w:tabs>
        <w:numPr>
          <w:ilvl w:val="0"/>
          <w:numId w:val="3"/>
        </w:numPr>
        <w:rPr>
          <w:rFonts w:ascii="Arial" w:cs="Arial" w:eastAsia="Arial" w:hAnsi="Arial"/>
          <w:sz w:val="17"/>
          <w:szCs w:val="17"/>
          <w:color w:val="auto"/>
          <w:vertAlign w:val="superscript"/>
        </w:rPr>
      </w:pPr>
      <w:r>
        <w:rPr>
          <w:rFonts w:ascii="Arial" w:cs="Arial" w:eastAsia="Arial" w:hAnsi="Arial"/>
          <w:sz w:val="14"/>
          <w:szCs w:val="14"/>
          <w:color w:val="auto"/>
        </w:rPr>
        <w:t>The current portions of these benefits are presented on the consolidated balance sheets in accrued compensation with the exception of postretirement health care which is included in other accrued expenses.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Postretirement Health Care Benefits</w:t>
      </w:r>
    </w:p>
    <w:p>
      <w:pPr>
        <w:spacing w:after="0" w:line="27" w:lineRule="exact"/>
        <w:rPr>
          <w:sz w:val="20"/>
          <w:szCs w:val="20"/>
          <w:color w:val="auto"/>
        </w:rPr>
      </w:pPr>
    </w:p>
    <w:p>
      <w:pPr>
        <w:ind w:right="180"/>
        <w:spacing w:after="0" w:line="265" w:lineRule="auto"/>
        <w:rPr>
          <w:sz w:val="20"/>
          <w:szCs w:val="20"/>
          <w:color w:val="auto"/>
        </w:rPr>
      </w:pPr>
      <w:r>
        <w:rPr>
          <w:rFonts w:ascii="Arial" w:cs="Arial" w:eastAsia="Arial" w:hAnsi="Arial"/>
          <w:sz w:val="16"/>
          <w:szCs w:val="16"/>
          <w:color w:val="auto"/>
        </w:rPr>
        <w:t>We provide certain health care and other benefits for retired employees hired before April 1, 2001, who have fulfilled eligibility requirements at age 55 with 15 years of continuous service. We use a September 1 measurement date for this plan and our postretirement health care plan currently is not funded.</w:t>
      </w:r>
    </w:p>
    <w:p>
      <w:pPr>
        <w:spacing w:after="0" w:line="141" w:lineRule="exact"/>
        <w:rPr>
          <w:sz w:val="20"/>
          <w:szCs w:val="20"/>
          <w:color w:val="auto"/>
        </w:rPr>
      </w:pPr>
    </w:p>
    <w:p>
      <w:pPr>
        <w:ind w:right="260"/>
        <w:spacing w:after="0" w:line="269" w:lineRule="auto"/>
        <w:rPr>
          <w:sz w:val="20"/>
          <w:szCs w:val="20"/>
          <w:color w:val="auto"/>
        </w:rPr>
      </w:pPr>
      <w:r>
        <w:rPr>
          <w:rFonts w:ascii="Arial" w:cs="Arial" w:eastAsia="Arial" w:hAnsi="Arial"/>
          <w:sz w:val="16"/>
          <w:szCs w:val="16"/>
          <w:color w:val="auto"/>
        </w:rPr>
        <w:t>We established dollar caps on the amount that we will pay for postretirement health care benefits per retiree on an annual basis to reduce our exposure to medical inflation. Retirees are required to pay a monthly premium in excess of the employer dollar caps for medical coverage based on years of service and age at retirement. Changes in the postretirement benefit plan include:</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56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tcPr>
          <w:p>
            <w:pPr>
              <w:jc w:val="center"/>
              <w:ind w:right="139"/>
              <w:spacing w:after="0"/>
              <w:rPr>
                <w:sz w:val="20"/>
                <w:szCs w:val="20"/>
                <w:color w:val="auto"/>
              </w:rPr>
            </w:pPr>
            <w:r>
              <w:rPr>
                <w:rFonts w:ascii="Arial" w:cs="Arial" w:eastAsia="Arial" w:hAnsi="Arial"/>
                <w:sz w:val="16"/>
                <w:szCs w:val="16"/>
                <w:b w:val="1"/>
                <w:bCs w:val="1"/>
                <w:color w:val="auto"/>
              </w:rPr>
              <w:t>Liability</w:t>
            </w:r>
          </w:p>
        </w:tc>
        <w:tc>
          <w:tcPr>
            <w:tcW w:w="1400" w:type="dxa"/>
            <w:vAlign w:val="bottom"/>
          </w:tcPr>
          <w:p>
            <w:pPr>
              <w:spacing w:after="0"/>
              <w:rPr>
                <w:sz w:val="16"/>
                <w:szCs w:val="16"/>
                <w:color w:val="auto"/>
              </w:rPr>
            </w:pPr>
          </w:p>
        </w:tc>
      </w:tr>
      <w:tr>
        <w:trPr>
          <w:trHeight w:val="189"/>
        </w:trPr>
        <w:tc>
          <w:tcPr>
            <w:tcW w:w="156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center"/>
              <w:ind w:left="59"/>
              <w:spacing w:after="0"/>
              <w:rPr>
                <w:sz w:val="20"/>
                <w:szCs w:val="20"/>
                <w:color w:val="auto"/>
              </w:rPr>
            </w:pPr>
            <w:r>
              <w:rPr>
                <w:rFonts w:ascii="Arial" w:cs="Arial" w:eastAsia="Arial" w:hAnsi="Arial"/>
                <w:sz w:val="16"/>
                <w:szCs w:val="16"/>
                <w:b w:val="1"/>
                <w:bCs w:val="1"/>
                <w:color w:val="auto"/>
              </w:rPr>
              <w:t>Dollar Cap</w:t>
            </w:r>
          </w:p>
        </w:tc>
        <w:tc>
          <w:tcPr>
            <w:tcW w:w="300" w:type="dxa"/>
            <w:vAlign w:val="bottom"/>
          </w:tcPr>
          <w:p>
            <w:pPr>
              <w:spacing w:after="0"/>
              <w:rPr>
                <w:sz w:val="16"/>
                <w:szCs w:val="16"/>
                <w:color w:val="auto"/>
              </w:rPr>
            </w:pPr>
          </w:p>
        </w:tc>
        <w:tc>
          <w:tcPr>
            <w:tcW w:w="1400" w:type="dxa"/>
            <w:vAlign w:val="bottom"/>
          </w:tcPr>
          <w:p>
            <w:pPr>
              <w:jc w:val="center"/>
              <w:ind w:right="139"/>
              <w:spacing w:after="0"/>
              <w:rPr>
                <w:sz w:val="20"/>
                <w:szCs w:val="20"/>
                <w:color w:val="auto"/>
              </w:rPr>
            </w:pPr>
            <w:r>
              <w:rPr>
                <w:rFonts w:ascii="Arial" w:cs="Arial" w:eastAsia="Arial" w:hAnsi="Arial"/>
                <w:sz w:val="16"/>
                <w:szCs w:val="16"/>
                <w:b w:val="1"/>
                <w:bCs w:val="1"/>
                <w:color w:val="auto"/>
                <w:w w:val="99"/>
              </w:rPr>
              <w:t>Reduction</w:t>
            </w:r>
          </w:p>
        </w:tc>
        <w:tc>
          <w:tcPr>
            <w:tcW w:w="1400" w:type="dxa"/>
            <w:vAlign w:val="bottom"/>
          </w:tcPr>
          <w:p>
            <w:pPr>
              <w:ind w:left="160"/>
              <w:spacing w:after="0"/>
              <w:rPr>
                <w:sz w:val="20"/>
                <w:szCs w:val="20"/>
                <w:color w:val="auto"/>
              </w:rPr>
            </w:pPr>
            <w:r>
              <w:rPr>
                <w:rFonts w:ascii="Arial" w:cs="Arial" w:eastAsia="Arial" w:hAnsi="Arial"/>
                <w:sz w:val="16"/>
                <w:szCs w:val="16"/>
                <w:b w:val="1"/>
                <w:bCs w:val="1"/>
                <w:color w:val="auto"/>
              </w:rPr>
              <w:t>Amortization</w:t>
            </w:r>
          </w:p>
        </w:tc>
      </w:tr>
      <w:tr>
        <w:trPr>
          <w:trHeight w:val="236"/>
        </w:trPr>
        <w:tc>
          <w:tcPr>
            <w:tcW w:w="15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Date</w:t>
            </w:r>
          </w:p>
        </w:tc>
        <w:tc>
          <w:tcPr>
            <w:tcW w:w="5300" w:type="dxa"/>
            <w:vAlign w:val="bottom"/>
            <w:tcBorders>
              <w:bottom w:val="single" w:sz="8" w:color="auto"/>
            </w:tcBorders>
          </w:tcPr>
          <w:p>
            <w:pPr>
              <w:ind w:left="540"/>
              <w:spacing w:after="0"/>
              <w:rPr>
                <w:sz w:val="20"/>
                <w:szCs w:val="20"/>
                <w:color w:val="auto"/>
              </w:rPr>
            </w:pPr>
            <w:r>
              <w:rPr>
                <w:rFonts w:ascii="Arial" w:cs="Arial" w:eastAsia="Arial" w:hAnsi="Arial"/>
                <w:sz w:val="16"/>
                <w:szCs w:val="16"/>
                <w:b w:val="1"/>
                <w:bCs w:val="1"/>
                <w:color w:val="auto"/>
              </w:rPr>
              <w:t>Event</w:t>
            </w:r>
          </w:p>
        </w:tc>
        <w:tc>
          <w:tcPr>
            <w:tcW w:w="14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center"/>
              <w:ind w:left="59"/>
              <w:spacing w:after="0"/>
              <w:rPr>
                <w:sz w:val="20"/>
                <w:szCs w:val="20"/>
                <w:color w:val="auto"/>
              </w:rPr>
            </w:pPr>
            <w:r>
              <w:rPr>
                <w:rFonts w:ascii="Arial" w:cs="Arial" w:eastAsia="Arial" w:hAnsi="Arial"/>
                <w:sz w:val="16"/>
                <w:szCs w:val="16"/>
                <w:b w:val="1"/>
                <w:bCs w:val="1"/>
                <w:color w:val="auto"/>
                <w:w w:val="99"/>
              </w:rPr>
              <w:t>Reduction</w:t>
            </w:r>
          </w:p>
        </w:tc>
        <w:tc>
          <w:tcPr>
            <w:tcW w:w="3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(In thousands)</w:t>
            </w:r>
          </w:p>
        </w:tc>
        <w:tc>
          <w:tcPr>
            <w:tcW w:w="1400" w:type="dxa"/>
            <w:vAlign w:val="bottom"/>
            <w:tcBorders>
              <w:bottom w:val="single" w:sz="8" w:color="auto"/>
            </w:tcBorders>
          </w:tcPr>
          <w:p>
            <w:pPr>
              <w:ind w:left="340"/>
              <w:spacing w:after="0" w:line="236" w:lineRule="exact"/>
              <w:rPr>
                <w:sz w:val="20"/>
                <w:szCs w:val="20"/>
                <w:color w:val="auto"/>
              </w:rPr>
            </w:pPr>
            <w:r>
              <w:rPr>
                <w:rFonts w:ascii="Arial" w:cs="Arial" w:eastAsia="Arial" w:hAnsi="Arial"/>
                <w:sz w:val="16"/>
                <w:szCs w:val="16"/>
                <w:b w:val="1"/>
                <w:bCs w:val="1"/>
                <w:color w:val="auto"/>
              </w:rPr>
              <w:t>Period</w:t>
            </w:r>
            <w:r>
              <w:rPr>
                <w:rFonts w:ascii="Arial" w:cs="Arial" w:eastAsia="Arial" w:hAnsi="Arial"/>
                <w:sz w:val="21"/>
                <w:szCs w:val="21"/>
                <w:b w:val="1"/>
                <w:bCs w:val="1"/>
                <w:color w:val="auto"/>
                <w:vertAlign w:val="superscript"/>
              </w:rPr>
              <w:t>(1)</w:t>
            </w:r>
          </w:p>
        </w:tc>
      </w:tr>
      <w:tr>
        <w:trPr>
          <w:trHeight w:val="264"/>
        </w:trPr>
        <w:tc>
          <w:tcPr>
            <w:tcW w:w="1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Fiscal 2005</w:t>
            </w:r>
          </w:p>
        </w:tc>
        <w:tc>
          <w:tcPr>
            <w:tcW w:w="544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Established employer dollar caps</w:t>
            </w:r>
          </w:p>
        </w:tc>
        <w:tc>
          <w:tcPr>
            <w:tcW w:w="13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r>
      <w:tr>
        <w:trPr>
          <w:trHeight w:val="262"/>
        </w:trPr>
        <w:tc>
          <w:tcPr>
            <w:tcW w:w="1560" w:type="dxa"/>
            <w:vAlign w:val="bottom"/>
          </w:tcPr>
          <w:p>
            <w:pPr>
              <w:ind w:left="40"/>
              <w:spacing w:after="0"/>
              <w:rPr>
                <w:sz w:val="20"/>
                <w:szCs w:val="20"/>
                <w:color w:val="auto"/>
              </w:rPr>
            </w:pPr>
            <w:r>
              <w:rPr>
                <w:rFonts w:ascii="Arial" w:cs="Arial" w:eastAsia="Arial" w:hAnsi="Arial"/>
                <w:sz w:val="16"/>
                <w:szCs w:val="16"/>
                <w:color w:val="auto"/>
              </w:rPr>
              <w:t>January 2012</w:t>
            </w:r>
          </w:p>
        </w:tc>
        <w:tc>
          <w:tcPr>
            <w:tcW w:w="5440" w:type="dxa"/>
            <w:vAlign w:val="bottom"/>
            <w:gridSpan w:val="2"/>
          </w:tcPr>
          <w:p>
            <w:pPr>
              <w:ind w:left="540"/>
              <w:spacing w:after="0"/>
              <w:rPr>
                <w:sz w:val="20"/>
                <w:szCs w:val="20"/>
                <w:color w:val="auto"/>
              </w:rPr>
            </w:pPr>
            <w:r>
              <w:rPr>
                <w:rFonts w:ascii="Arial" w:cs="Arial" w:eastAsia="Arial" w:hAnsi="Arial"/>
                <w:sz w:val="16"/>
                <w:szCs w:val="16"/>
                <w:color w:val="auto"/>
              </w:rPr>
              <w:t>Reduced employer dollar caps</w:t>
            </w:r>
          </w:p>
        </w:tc>
        <w:tc>
          <w:tcPr>
            <w:tcW w:w="1320" w:type="dxa"/>
            <w:vAlign w:val="bottom"/>
          </w:tcPr>
          <w:p>
            <w:pPr>
              <w:jc w:val="center"/>
              <w:ind w:left="79"/>
              <w:spacing w:after="0"/>
              <w:rPr>
                <w:sz w:val="20"/>
                <w:szCs w:val="20"/>
                <w:color w:val="auto"/>
              </w:rPr>
            </w:pPr>
            <w:r>
              <w:rPr>
                <w:rFonts w:ascii="Arial" w:cs="Arial" w:eastAsia="Arial" w:hAnsi="Arial"/>
                <w:sz w:val="16"/>
                <w:szCs w:val="16"/>
                <w:color w:val="auto"/>
                <w:w w:val="99"/>
              </w:rPr>
              <w:t>10%</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99"/>
              <w:spacing w:after="0"/>
              <w:rPr>
                <w:sz w:val="20"/>
                <w:szCs w:val="20"/>
                <w:color w:val="auto"/>
              </w:rPr>
            </w:pPr>
            <w:r>
              <w:rPr>
                <w:rFonts w:ascii="Arial" w:cs="Arial" w:eastAsia="Arial" w:hAnsi="Arial"/>
                <w:sz w:val="16"/>
                <w:szCs w:val="16"/>
                <w:color w:val="auto"/>
              </w:rPr>
              <w:t>4,598</w:t>
            </w:r>
          </w:p>
        </w:tc>
        <w:tc>
          <w:tcPr>
            <w:tcW w:w="1400" w:type="dxa"/>
            <w:vAlign w:val="bottom"/>
          </w:tcPr>
          <w:p>
            <w:pPr>
              <w:ind w:left="360"/>
              <w:spacing w:after="0"/>
              <w:rPr>
                <w:sz w:val="20"/>
                <w:szCs w:val="20"/>
                <w:color w:val="auto"/>
              </w:rPr>
            </w:pPr>
            <w:r>
              <w:rPr>
                <w:rFonts w:ascii="Arial" w:cs="Arial" w:eastAsia="Arial" w:hAnsi="Arial"/>
                <w:sz w:val="16"/>
                <w:szCs w:val="16"/>
                <w:color w:val="auto"/>
              </w:rPr>
              <w:t>7.8 years</w:t>
            </w:r>
          </w:p>
        </w:tc>
      </w:tr>
      <w:tr>
        <w:trPr>
          <w:trHeight w:val="278"/>
        </w:trPr>
        <w:tc>
          <w:tcPr>
            <w:tcW w:w="1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January 2013</w:t>
            </w:r>
          </w:p>
        </w:tc>
        <w:tc>
          <w:tcPr>
            <w:tcW w:w="544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Reduced employer dollar caps</w:t>
            </w:r>
          </w:p>
        </w:tc>
        <w:tc>
          <w:tcPr>
            <w:tcW w:w="1320" w:type="dxa"/>
            <w:vAlign w:val="bottom"/>
            <w:shd w:val="clear" w:color="auto" w:fill="CCEEFF"/>
          </w:tcPr>
          <w:p>
            <w:pPr>
              <w:jc w:val="center"/>
              <w:ind w:left="79"/>
              <w:spacing w:after="0"/>
              <w:rPr>
                <w:sz w:val="20"/>
                <w:szCs w:val="20"/>
                <w:color w:val="auto"/>
              </w:rPr>
            </w:pPr>
            <w:r>
              <w:rPr>
                <w:rFonts w:ascii="Arial" w:cs="Arial" w:eastAsia="Arial" w:hAnsi="Arial"/>
                <w:sz w:val="16"/>
                <w:szCs w:val="16"/>
                <w:color w:val="auto"/>
                <w:w w:val="99"/>
              </w:rPr>
              <w:t>10%</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4,289</w:t>
            </w:r>
          </w:p>
        </w:tc>
        <w:tc>
          <w:tcPr>
            <w:tcW w:w="1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7.5 years</w:t>
            </w:r>
          </w:p>
        </w:tc>
      </w:tr>
      <w:tr>
        <w:trPr>
          <w:trHeight w:val="255"/>
        </w:trPr>
        <w:tc>
          <w:tcPr>
            <w:tcW w:w="1560" w:type="dxa"/>
            <w:vAlign w:val="bottom"/>
          </w:tcPr>
          <w:p>
            <w:pPr>
              <w:ind w:left="40"/>
              <w:spacing w:after="0"/>
              <w:rPr>
                <w:sz w:val="20"/>
                <w:szCs w:val="20"/>
                <w:color w:val="auto"/>
              </w:rPr>
            </w:pPr>
            <w:r>
              <w:rPr>
                <w:rFonts w:ascii="Arial" w:cs="Arial" w:eastAsia="Arial" w:hAnsi="Arial"/>
                <w:sz w:val="16"/>
                <w:szCs w:val="16"/>
                <w:color w:val="auto"/>
              </w:rPr>
              <w:t>January 2014</w:t>
            </w:r>
          </w:p>
        </w:tc>
        <w:tc>
          <w:tcPr>
            <w:tcW w:w="5440" w:type="dxa"/>
            <w:vAlign w:val="bottom"/>
            <w:gridSpan w:val="2"/>
          </w:tcPr>
          <w:p>
            <w:pPr>
              <w:ind w:left="540"/>
              <w:spacing w:after="0"/>
              <w:rPr>
                <w:sz w:val="20"/>
                <w:szCs w:val="20"/>
                <w:color w:val="auto"/>
              </w:rPr>
            </w:pPr>
            <w:r>
              <w:rPr>
                <w:rFonts w:ascii="Arial" w:cs="Arial" w:eastAsia="Arial" w:hAnsi="Arial"/>
                <w:sz w:val="16"/>
                <w:szCs w:val="16"/>
                <w:color w:val="auto"/>
              </w:rPr>
              <w:t>Reduced employer dollar caps</w:t>
            </w:r>
          </w:p>
        </w:tc>
        <w:tc>
          <w:tcPr>
            <w:tcW w:w="1320" w:type="dxa"/>
            <w:vAlign w:val="bottom"/>
          </w:tcPr>
          <w:p>
            <w:pPr>
              <w:jc w:val="center"/>
              <w:ind w:left="79"/>
              <w:spacing w:after="0"/>
              <w:rPr>
                <w:sz w:val="20"/>
                <w:szCs w:val="20"/>
                <w:color w:val="auto"/>
              </w:rPr>
            </w:pPr>
            <w:r>
              <w:rPr>
                <w:rFonts w:ascii="Arial" w:cs="Arial" w:eastAsia="Arial" w:hAnsi="Arial"/>
                <w:sz w:val="16"/>
                <w:szCs w:val="16"/>
                <w:color w:val="auto"/>
                <w:w w:val="99"/>
              </w:rPr>
              <w:t>10%</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99"/>
              <w:spacing w:after="0"/>
              <w:rPr>
                <w:sz w:val="20"/>
                <w:szCs w:val="20"/>
                <w:color w:val="auto"/>
              </w:rPr>
            </w:pPr>
            <w:r>
              <w:rPr>
                <w:rFonts w:ascii="Arial" w:cs="Arial" w:eastAsia="Arial" w:hAnsi="Arial"/>
                <w:sz w:val="16"/>
                <w:szCs w:val="16"/>
                <w:color w:val="auto"/>
              </w:rPr>
              <w:t>3,580</w:t>
            </w:r>
          </w:p>
        </w:tc>
        <w:tc>
          <w:tcPr>
            <w:tcW w:w="1400" w:type="dxa"/>
            <w:vAlign w:val="bottom"/>
          </w:tcPr>
          <w:p>
            <w:pPr>
              <w:ind w:left="360"/>
              <w:spacing w:after="0"/>
              <w:rPr>
                <w:sz w:val="20"/>
                <w:szCs w:val="20"/>
                <w:color w:val="auto"/>
              </w:rPr>
            </w:pPr>
            <w:r>
              <w:rPr>
                <w:rFonts w:ascii="Arial" w:cs="Arial" w:eastAsia="Arial" w:hAnsi="Arial"/>
                <w:sz w:val="16"/>
                <w:szCs w:val="16"/>
                <w:color w:val="auto"/>
              </w:rPr>
              <w:t>7.3 years</w:t>
            </w:r>
          </w:p>
        </w:tc>
      </w:tr>
      <w:tr>
        <w:trPr>
          <w:trHeight w:val="270"/>
        </w:trPr>
        <w:tc>
          <w:tcPr>
            <w:tcW w:w="1560" w:type="dxa"/>
            <w:vAlign w:val="bottom"/>
          </w:tcPr>
          <w:p>
            <w:pPr>
              <w:ind w:left="40"/>
              <w:spacing w:after="0"/>
              <w:rPr>
                <w:sz w:val="20"/>
                <w:szCs w:val="20"/>
                <w:color w:val="auto"/>
              </w:rPr>
            </w:pPr>
            <w:r>
              <w:rPr>
                <w:rFonts w:ascii="Arial" w:cs="Arial" w:eastAsia="Arial" w:hAnsi="Arial"/>
                <w:sz w:val="16"/>
                <w:szCs w:val="16"/>
                <w:color w:val="auto"/>
              </w:rPr>
              <w:t>January 2015</w:t>
            </w:r>
          </w:p>
        </w:tc>
        <w:tc>
          <w:tcPr>
            <w:tcW w:w="5440" w:type="dxa"/>
            <w:vAlign w:val="bottom"/>
            <w:gridSpan w:val="2"/>
          </w:tcPr>
          <w:p>
            <w:pPr>
              <w:ind w:left="540"/>
              <w:spacing w:after="0"/>
              <w:rPr>
                <w:sz w:val="20"/>
                <w:szCs w:val="20"/>
                <w:color w:val="auto"/>
              </w:rPr>
            </w:pPr>
            <w:r>
              <w:rPr>
                <w:rFonts w:ascii="Arial" w:cs="Arial" w:eastAsia="Arial" w:hAnsi="Arial"/>
                <w:sz w:val="16"/>
                <w:szCs w:val="16"/>
                <w:color w:val="auto"/>
              </w:rPr>
              <w:t>Reduced employer dollar caps</w:t>
            </w:r>
          </w:p>
        </w:tc>
        <w:tc>
          <w:tcPr>
            <w:tcW w:w="1320" w:type="dxa"/>
            <w:vAlign w:val="bottom"/>
          </w:tcPr>
          <w:p>
            <w:pPr>
              <w:jc w:val="center"/>
              <w:ind w:left="79"/>
              <w:spacing w:after="0"/>
              <w:rPr>
                <w:sz w:val="20"/>
                <w:szCs w:val="20"/>
                <w:color w:val="auto"/>
              </w:rPr>
            </w:pPr>
            <w:r>
              <w:rPr>
                <w:rFonts w:ascii="Arial" w:cs="Arial" w:eastAsia="Arial" w:hAnsi="Arial"/>
                <w:sz w:val="16"/>
                <w:szCs w:val="16"/>
                <w:color w:val="auto"/>
                <w:w w:val="99"/>
              </w:rPr>
              <w:t>10%</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99"/>
              <w:spacing w:after="0"/>
              <w:rPr>
                <w:sz w:val="20"/>
                <w:szCs w:val="20"/>
                <w:color w:val="auto"/>
              </w:rPr>
            </w:pPr>
            <w:r>
              <w:rPr>
                <w:rFonts w:ascii="Arial" w:cs="Arial" w:eastAsia="Arial" w:hAnsi="Arial"/>
                <w:sz w:val="16"/>
                <w:szCs w:val="16"/>
                <w:color w:val="auto"/>
              </w:rPr>
              <w:t>1,524</w:t>
            </w:r>
          </w:p>
        </w:tc>
        <w:tc>
          <w:tcPr>
            <w:tcW w:w="1400" w:type="dxa"/>
            <w:vAlign w:val="bottom"/>
          </w:tcPr>
          <w:p>
            <w:pPr>
              <w:ind w:left="360"/>
              <w:spacing w:after="0"/>
              <w:rPr>
                <w:sz w:val="20"/>
                <w:szCs w:val="20"/>
                <w:color w:val="auto"/>
              </w:rPr>
            </w:pPr>
            <w:r>
              <w:rPr>
                <w:rFonts w:ascii="Arial" w:cs="Arial" w:eastAsia="Arial" w:hAnsi="Arial"/>
                <w:sz w:val="16"/>
                <w:szCs w:val="16"/>
                <w:color w:val="auto"/>
              </w:rPr>
              <w:t>7.1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140" w:hanging="132"/>
        <w:spacing w:after="0"/>
        <w:tabs>
          <w:tab w:leader="none" w:pos="140" w:val="left"/>
        </w:tabs>
        <w:numPr>
          <w:ilvl w:val="0"/>
          <w:numId w:val="4"/>
        </w:numPr>
        <w:rPr>
          <w:rFonts w:ascii="Arial" w:cs="Arial" w:eastAsia="Arial" w:hAnsi="Arial"/>
          <w:sz w:val="16"/>
          <w:szCs w:val="16"/>
          <w:color w:val="auto"/>
          <w:vertAlign w:val="superscript"/>
        </w:rPr>
      </w:pPr>
      <w:r>
        <w:rPr>
          <w:rFonts w:ascii="Arial" w:cs="Arial" w:eastAsia="Arial" w:hAnsi="Arial"/>
          <w:sz w:val="13"/>
          <w:szCs w:val="13"/>
          <w:color w:val="auto"/>
        </w:rPr>
        <w:t>Actuarial gains and losses are amortized on a straight-line basis over the expected remaining service period of active plan participants.</w:t>
      </w:r>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color w:val="auto"/>
        </w:rPr>
        <w:t>Net periodic postretirement benefit income consisted of the following components: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4"/>
          </w:tcPr>
          <w:p>
            <w:pPr>
              <w:jc w:val="right"/>
              <w:ind w:right="81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4"/>
          </w:tcPr>
          <w:p>
            <w:pPr>
              <w:jc w:val="right"/>
              <w:ind w:right="879"/>
              <w:spacing w:after="0"/>
              <w:rPr>
                <w:sz w:val="20"/>
                <w:szCs w:val="20"/>
                <w:color w:val="auto"/>
              </w:rPr>
            </w:pPr>
            <w:r>
              <w:rPr>
                <w:rFonts w:ascii="Arial" w:cs="Arial" w:eastAsia="Arial" w:hAnsi="Arial"/>
                <w:sz w:val="16"/>
                <w:szCs w:val="16"/>
                <w:b w:val="1"/>
                <w:bCs w:val="1"/>
                <w:color w:val="auto"/>
              </w:rPr>
              <w:t>Nine Months Ended</w:t>
            </w:r>
          </w:p>
        </w:tc>
      </w:tr>
      <w:tr>
        <w:trPr>
          <w:trHeight w:val="193"/>
        </w:trPr>
        <w:tc>
          <w:tcPr>
            <w:tcW w:w="4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2"/>
          </w:tcPr>
          <w:p>
            <w:pPr>
              <w:ind w:left="200"/>
              <w:spacing w:after="0"/>
              <w:rPr>
                <w:sz w:val="20"/>
                <w:szCs w:val="20"/>
                <w:color w:val="auto"/>
              </w:rPr>
            </w:pPr>
            <w:r>
              <w:rPr>
                <w:rFonts w:ascii="Arial" w:cs="Arial" w:eastAsia="Arial" w:hAnsi="Arial"/>
                <w:sz w:val="16"/>
                <w:szCs w:val="16"/>
                <w:b w:val="1"/>
                <w:bCs w:val="1"/>
                <w:color w:val="auto"/>
              </w:rPr>
              <w:t>May 30,</w:t>
            </w:r>
          </w:p>
        </w:tc>
        <w:tc>
          <w:tcPr>
            <w:tcW w:w="300" w:type="dxa"/>
            <w:vAlign w:val="bottom"/>
          </w:tcPr>
          <w:p>
            <w:pPr>
              <w:spacing w:after="0"/>
              <w:rPr>
                <w:sz w:val="16"/>
                <w:szCs w:val="16"/>
                <w:color w:val="auto"/>
              </w:rPr>
            </w:pPr>
          </w:p>
        </w:tc>
        <w:tc>
          <w:tcPr>
            <w:tcW w:w="1460" w:type="dxa"/>
            <w:vAlign w:val="bottom"/>
            <w:gridSpan w:val="2"/>
          </w:tcPr>
          <w:p>
            <w:pPr>
              <w:ind w:left="200"/>
              <w:spacing w:after="0"/>
              <w:rPr>
                <w:sz w:val="20"/>
                <w:szCs w:val="20"/>
                <w:color w:val="auto"/>
              </w:rPr>
            </w:pPr>
            <w:r>
              <w:rPr>
                <w:rFonts w:ascii="Arial" w:cs="Arial" w:eastAsia="Arial" w:hAnsi="Arial"/>
                <w:sz w:val="16"/>
                <w:szCs w:val="16"/>
                <w:b w:val="1"/>
                <w:bCs w:val="1"/>
                <w:color w:val="auto"/>
              </w:rPr>
              <w:t>May 31,</w:t>
            </w:r>
          </w:p>
        </w:tc>
        <w:tc>
          <w:tcPr>
            <w:tcW w:w="320" w:type="dxa"/>
            <w:vAlign w:val="bottom"/>
          </w:tcPr>
          <w:p>
            <w:pPr>
              <w:spacing w:after="0"/>
              <w:rPr>
                <w:sz w:val="16"/>
                <w:szCs w:val="16"/>
                <w:color w:val="auto"/>
              </w:rPr>
            </w:pPr>
          </w:p>
        </w:tc>
        <w:tc>
          <w:tcPr>
            <w:tcW w:w="1460" w:type="dxa"/>
            <w:vAlign w:val="bottom"/>
            <w:gridSpan w:val="2"/>
          </w:tcPr>
          <w:p>
            <w:pPr>
              <w:ind w:left="200"/>
              <w:spacing w:after="0"/>
              <w:rPr>
                <w:sz w:val="20"/>
                <w:szCs w:val="20"/>
                <w:color w:val="auto"/>
              </w:rPr>
            </w:pPr>
            <w:r>
              <w:rPr>
                <w:rFonts w:ascii="Arial" w:cs="Arial" w:eastAsia="Arial" w:hAnsi="Arial"/>
                <w:sz w:val="16"/>
                <w:szCs w:val="16"/>
                <w:b w:val="1"/>
                <w:bCs w:val="1"/>
                <w:color w:val="auto"/>
              </w:rPr>
              <w:t>May 30,</w:t>
            </w:r>
          </w:p>
        </w:tc>
        <w:tc>
          <w:tcPr>
            <w:tcW w:w="320" w:type="dxa"/>
            <w:vAlign w:val="bottom"/>
          </w:tcPr>
          <w:p>
            <w:pPr>
              <w:spacing w:after="0"/>
              <w:rPr>
                <w:sz w:val="16"/>
                <w:szCs w:val="16"/>
                <w:color w:val="auto"/>
              </w:rPr>
            </w:pPr>
          </w:p>
        </w:tc>
        <w:tc>
          <w:tcPr>
            <w:tcW w:w="1360" w:type="dxa"/>
            <w:vAlign w:val="bottom"/>
          </w:tcPr>
          <w:p>
            <w:pPr>
              <w:jc w:val="right"/>
              <w:ind w:right="479"/>
              <w:spacing w:after="0"/>
              <w:rPr>
                <w:sz w:val="20"/>
                <w:szCs w:val="20"/>
                <w:color w:val="auto"/>
              </w:rPr>
            </w:pPr>
            <w:r>
              <w:rPr>
                <w:rFonts w:ascii="Arial" w:cs="Arial" w:eastAsia="Arial" w:hAnsi="Arial"/>
                <w:sz w:val="16"/>
                <w:szCs w:val="16"/>
                <w:b w:val="1"/>
                <w:bCs w:val="1"/>
                <w:color w:val="auto"/>
              </w:rPr>
              <w:t>May 31,</w:t>
            </w:r>
          </w:p>
        </w:tc>
      </w:tr>
      <w:tr>
        <w:trPr>
          <w:trHeight w:val="232"/>
        </w:trPr>
        <w:tc>
          <w:tcPr>
            <w:tcW w:w="43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2014</w:t>
            </w:r>
          </w:p>
        </w:tc>
      </w:tr>
      <w:tr>
        <w:trPr>
          <w:trHeight w:val="254"/>
        </w:trPr>
        <w:tc>
          <w:tcPr>
            <w:tcW w:w="44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Interest cost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348</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380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1,034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1,160</w:t>
            </w:r>
          </w:p>
        </w:tc>
      </w:tr>
      <w:tr>
        <w:trPr>
          <w:trHeight w:val="262"/>
        </w:trPr>
        <w:tc>
          <w:tcPr>
            <w:tcW w:w="4420" w:type="dxa"/>
            <w:vAlign w:val="bottom"/>
            <w:gridSpan w:val="2"/>
          </w:tcPr>
          <w:p>
            <w:pPr>
              <w:ind w:left="40"/>
              <w:spacing w:after="0"/>
              <w:rPr>
                <w:sz w:val="20"/>
                <w:szCs w:val="20"/>
                <w:color w:val="auto"/>
              </w:rPr>
            </w:pPr>
            <w:r>
              <w:rPr>
                <w:rFonts w:ascii="Arial" w:cs="Arial" w:eastAsia="Arial" w:hAnsi="Arial"/>
                <w:sz w:val="16"/>
                <w:szCs w:val="16"/>
                <w:color w:val="auto"/>
              </w:rPr>
              <w:t>Service cost</w:t>
            </w:r>
          </w:p>
        </w:tc>
        <w:tc>
          <w:tcPr>
            <w:tcW w:w="320" w:type="dxa"/>
            <w:vAlign w:val="bottom"/>
          </w:tcPr>
          <w:p>
            <w:pPr>
              <w:spacing w:after="0"/>
              <w:rPr>
                <w:sz w:val="22"/>
                <w:szCs w:val="22"/>
                <w:color w:val="auto"/>
              </w:rPr>
            </w:pPr>
          </w:p>
        </w:tc>
        <w:tc>
          <w:tcPr>
            <w:tcW w:w="1340" w:type="dxa"/>
            <w:vAlign w:val="bottom"/>
          </w:tcPr>
          <w:p>
            <w:pPr>
              <w:jc w:val="right"/>
              <w:ind w:right="339"/>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60" w:type="dxa"/>
            <w:vAlign w:val="bottom"/>
          </w:tcPr>
          <w:p>
            <w:pPr>
              <w:jc w:val="right"/>
              <w:ind w:right="359"/>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Pr>
          <w:p>
            <w:pPr>
              <w:jc w:val="right"/>
              <w:ind w:right="359"/>
              <w:spacing w:after="0"/>
              <w:rPr>
                <w:sz w:val="20"/>
                <w:szCs w:val="20"/>
                <w:color w:val="auto"/>
              </w:rPr>
            </w:pPr>
            <w:r>
              <w:rPr>
                <w:rFonts w:ascii="Arial" w:cs="Arial" w:eastAsia="Arial" w:hAnsi="Arial"/>
                <w:sz w:val="16"/>
                <w:szCs w:val="16"/>
                <w:color w:val="auto"/>
              </w:rPr>
              <w:t>320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Pr>
          <w:p>
            <w:pPr>
              <w:jc w:val="right"/>
              <w:ind w:right="359"/>
              <w:spacing w:after="0"/>
              <w:rPr>
                <w:sz w:val="20"/>
                <w:szCs w:val="20"/>
                <w:color w:val="auto"/>
              </w:rPr>
            </w:pPr>
            <w:r>
              <w:rPr>
                <w:rFonts w:ascii="Arial" w:cs="Arial" w:eastAsia="Arial" w:hAnsi="Arial"/>
                <w:sz w:val="16"/>
                <w:szCs w:val="16"/>
                <w:color w:val="auto"/>
              </w:rPr>
              <w:t>296</w:t>
            </w:r>
          </w:p>
        </w:tc>
      </w:tr>
      <w:tr>
        <w:trPr>
          <w:trHeight w:val="278"/>
        </w:trPr>
        <w:tc>
          <w:tcPr>
            <w:tcW w:w="44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Amortization of prior service benefit</w:t>
            </w:r>
          </w:p>
        </w:tc>
        <w:tc>
          <w:tcPr>
            <w:tcW w:w="3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(1,459)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(1,482)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(4,079)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(4,168)</w:t>
            </w:r>
          </w:p>
        </w:tc>
      </w:tr>
      <w:tr>
        <w:trPr>
          <w:trHeight w:val="264"/>
        </w:trPr>
        <w:tc>
          <w:tcPr>
            <w:tcW w:w="44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Amortization of net actuarial loss</w:t>
            </w:r>
          </w:p>
        </w:tc>
        <w:tc>
          <w:tcPr>
            <w:tcW w:w="3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399</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274</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1,066</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803</w:t>
            </w:r>
          </w:p>
        </w:tc>
      </w:tr>
      <w:tr>
        <w:trPr>
          <w:trHeight w:val="242"/>
        </w:trPr>
        <w:tc>
          <w:tcPr>
            <w:tcW w:w="4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periodic postretirement benefit income</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(605)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(732)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(1,659)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(1,909)</w:t>
            </w:r>
          </w:p>
        </w:tc>
      </w:tr>
      <w:tr>
        <w:trPr>
          <w:trHeight w:val="20"/>
        </w:trPr>
        <w:tc>
          <w:tcPr>
            <w:tcW w:w="4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65"/>
        </w:trPr>
        <w:tc>
          <w:tcPr>
            <w:tcW w:w="4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56"/>
        </w:trPr>
        <w:tc>
          <w:tcPr>
            <w:tcW w:w="4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Payments for postretirement health care</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231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247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707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779</w:t>
            </w:r>
          </w:p>
        </w:tc>
      </w:tr>
      <w:tr>
        <w:trPr>
          <w:trHeight w:val="20"/>
        </w:trPr>
        <w:tc>
          <w:tcPr>
            <w:tcW w:w="4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Stockholders' Equity</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Stock-Based Compensation</w:t>
      </w:r>
    </w:p>
    <w:p>
      <w:pPr>
        <w:spacing w:after="0" w:line="27" w:lineRule="exact"/>
        <w:rPr>
          <w:sz w:val="20"/>
          <w:szCs w:val="20"/>
          <w:color w:val="auto"/>
        </w:rPr>
      </w:pPr>
    </w:p>
    <w:p>
      <w:pPr>
        <w:ind w:right="200"/>
        <w:spacing w:after="0" w:line="256" w:lineRule="auto"/>
        <w:rPr>
          <w:sz w:val="20"/>
          <w:szCs w:val="20"/>
          <w:color w:val="auto"/>
        </w:rPr>
      </w:pPr>
      <w:r>
        <w:rPr>
          <w:rFonts w:ascii="Arial" w:cs="Arial" w:eastAsia="Arial" w:hAnsi="Arial"/>
          <w:sz w:val="16"/>
          <w:szCs w:val="16"/>
          <w:color w:val="auto"/>
        </w:rPr>
        <w:t>We have a 2014 Omnibus Equity, Performance Award, and Incentive Compensation Plan (as amended, the "Plan") approved by shareholders in place which allows us to grant or issue non-qualified stock options, incentive stock options, share awards and other equity compensation to key employees and to non-employee directors.</w:t>
      </w:r>
    </w:p>
    <w:p>
      <w:pPr>
        <w:spacing w:after="0" w:line="121"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On October 15, 2014 and October 16, 2013 the Human Resources Committee of the Board of Directors granted an aggregate of 99,600 and 84,200 shares, respectively, of restricted common stock to our key employees and non-employee directors under the</w:t>
      </w:r>
    </w:p>
    <w:p>
      <w:pPr>
        <w:sectPr>
          <w:pgSz w:w="11900" w:h="16838" w:orient="portrait"/>
          <w:cols w:equalWidth="0" w:num="1">
            <w:col w:w="11420"/>
          </w:cols>
          <w:pgMar w:left="240" w:top="118" w:right="239" w:bottom="1440" w:gutter="0" w:footer="0" w:header="0"/>
        </w:sect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20"/>
          </w:cols>
          <w:pgMar w:left="240" w:top="118" w:right="239" w:bottom="1440" w:gutter="0" w:footer="0" w:header="0"/>
          <w:type w:val="continuous"/>
        </w:sectPr>
      </w:pPr>
    </w:p>
    <w:bookmarkStart w:id="11" w:name="page12"/>
    <w:bookmarkEnd w:id="1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Plan. The value of the restricted stock award is determined using the intrinsic value method which, in this case, is based on the number of shares granted and the closing price of our common stock on the date of grant.</w:t>
      </w:r>
    </w:p>
    <w:p>
      <w:pPr>
        <w:spacing w:after="0" w:line="10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Stock-based compensation expense was $391,000 and $306,000 during the third quarters of Fiscal 2015 and 2014, respectively. Stock-based compensation expense was $1.7 million and $1.7 million during the nine months of Fiscal 2015 and 2014, respectively. Of the $1.7 million expense recognized in Fiscal 2015, $996,000 related to the October 15, 2014 grant of 99,600 shares. The remainder is related to the amortization of previously granted restricted stock awards, as well as non-employee director stock units issued in lieu of director fees. Compensation expense is recognized over the requisite service period of the award or over a period ending with the employee's eligible retirement date, if earlier.</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Dividends</w:t>
      </w:r>
    </w:p>
    <w:p>
      <w:pPr>
        <w:spacing w:after="0" w:line="27" w:lineRule="exact"/>
        <w:rPr>
          <w:sz w:val="20"/>
          <w:szCs w:val="20"/>
          <w:color w:val="auto"/>
        </w:rPr>
      </w:pPr>
    </w:p>
    <w:p>
      <w:pPr>
        <w:ind w:right="780"/>
        <w:spacing w:after="0" w:line="265" w:lineRule="auto"/>
        <w:rPr>
          <w:sz w:val="20"/>
          <w:szCs w:val="20"/>
          <w:color w:val="auto"/>
        </w:rPr>
      </w:pPr>
      <w:r>
        <w:rPr>
          <w:rFonts w:ascii="Arial" w:cs="Arial" w:eastAsia="Arial" w:hAnsi="Arial"/>
          <w:sz w:val="16"/>
          <w:szCs w:val="16"/>
          <w:color w:val="auto"/>
        </w:rPr>
        <w:t>On March 18, 2015, the Board of Directors declared a quarterly cash dividend of $.09 per share of common stock, which was paid on May 6, 2015 to shareholders of record at the close of business on April 22, 2015.</w:t>
      </w:r>
    </w:p>
    <w:p>
      <w:pPr>
        <w:spacing w:after="0" w:line="14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On June 17, 2015, the Board of Directors declared a quarterly cash dividend of $.09 per share of common stock, payable on August 5, 2015 to shareholders of record at the close of business on July 22, 2015.</w:t>
      </w:r>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Contingent Liabilities and Commitments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Repurchase Commitments</w:t>
      </w:r>
    </w:p>
    <w:p>
      <w:pPr>
        <w:spacing w:after="0" w:line="27"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Generally, manufacturers in the RV industry enter into repurchase agreements with lending institutions which have provided wholesale floorplan financing to dealers. Most dealers' RVs are financed on a "floorplan" basis under which a bank or finance company lends the dealer all, or substantially all, of the purchase price, collateralized by a security interest in the recreation vehicles purchased.</w:t>
      </w:r>
    </w:p>
    <w:p>
      <w:pPr>
        <w:spacing w:after="0" w:line="121"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color w:val="auto"/>
        </w:rPr>
        <w:t>Our repurchase agreements provide that, in the event of default by the dealer on the agreement to pay the lending institution, we will repurchase the financed merchandise. The terms of these agreements, which generally can last up to 18 months, provide that our liability will be the lesser of remaining principal owed by the dealer or dealer invoice less periodic reductions based on the time since the date of the original invoice. Our contingent liability on these repurchase agreements was approximately $417.7 million and $363.8 million at May 30, 2015 and August 30, 2014, respectively.</w:t>
      </w:r>
    </w:p>
    <w:p>
      <w:pPr>
        <w:spacing w:after="0" w:line="118"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In certain instances, we also repurchase inventory from our dealers due to state law or regulatory requirements that govern voluntary or involuntary relationship terminations. Although laws vary from state to state, some states have laws in place that require manufacturers of recreation vehicles to repurchase current inventory if a dealership exits the business. Incremental repurchase exposure beyond existing repurchase agreements, related to dealer inventory in states that we have had historical experience of repurchasing inventory, totaled $7.0 million and $6.8 million at May 30, 2015 and August 30, 2014, respectively.</w:t>
      </w:r>
    </w:p>
    <w:p>
      <w:pPr>
        <w:spacing w:after="0" w:line="118"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Our risk of loss related to our repurchase commitments is significantly reduced by the potential resale value of any products that are subject to repurchase and is spread over numerous dealers and lenders although two dealer organizations account for approximately 35% of our revenues. The aggregate contingent liability related to our repurchase agreements represents all financed dealer inventory at the period reporting date subject to a repurchase agreement, net of the greater of periodic reductions per the agreement or dealer principal payments. Based on the repurchase exposure as previously described, we established an associated loss reserve. Our accrued losses on repurchases were $1.7 million as of May 30, 2015 and $2.2 million as of August 30, 2014.</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160" w:type="dxa"/>
            <w:vAlign w:val="bottom"/>
            <w:gridSpan w:val="2"/>
          </w:tcPr>
          <w:p>
            <w:pPr>
              <w:spacing w:after="0"/>
              <w:rPr>
                <w:sz w:val="20"/>
                <w:szCs w:val="20"/>
                <w:color w:val="auto"/>
              </w:rPr>
            </w:pPr>
            <w:r>
              <w:rPr>
                <w:rFonts w:ascii="Arial" w:cs="Arial" w:eastAsia="Arial" w:hAnsi="Arial"/>
                <w:sz w:val="16"/>
                <w:szCs w:val="16"/>
                <w:color w:val="auto"/>
              </w:rPr>
              <w:t>A summary of repurchase activity is as follows:</w:t>
            </w: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390"/>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tcBorders>
              <w:bottom w:val="single" w:sz="8" w:color="auto"/>
            </w:tcBorders>
            <w:gridSpan w:val="4"/>
          </w:tcPr>
          <w:p>
            <w:pPr>
              <w:jc w:val="right"/>
              <w:ind w:right="299"/>
              <w:spacing w:after="0"/>
              <w:rPr>
                <w:sz w:val="20"/>
                <w:szCs w:val="20"/>
                <w:color w:val="auto"/>
              </w:rPr>
            </w:pPr>
            <w:r>
              <w:rPr>
                <w:rFonts w:ascii="Arial" w:cs="Arial" w:eastAsia="Arial" w:hAnsi="Arial"/>
                <w:sz w:val="16"/>
                <w:szCs w:val="16"/>
                <w:b w:val="1"/>
                <w:bCs w:val="1"/>
                <w:color w:val="auto"/>
              </w:rPr>
              <w:t>Three Months Ended</w:t>
            </w:r>
          </w:p>
        </w:tc>
        <w:tc>
          <w:tcPr>
            <w:tcW w:w="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4"/>
          </w:tcPr>
          <w:p>
            <w:pPr>
              <w:jc w:val="right"/>
              <w:ind w:right="679"/>
              <w:spacing w:after="0"/>
              <w:rPr>
                <w:sz w:val="20"/>
                <w:szCs w:val="20"/>
                <w:color w:val="auto"/>
              </w:rPr>
            </w:pPr>
            <w:r>
              <w:rPr>
                <w:rFonts w:ascii="Arial" w:cs="Arial" w:eastAsia="Arial" w:hAnsi="Arial"/>
                <w:sz w:val="16"/>
                <w:szCs w:val="16"/>
                <w:b w:val="1"/>
                <w:bCs w:val="1"/>
                <w:color w:val="auto"/>
              </w:rPr>
              <w:t>Nine Months Ended</w:t>
            </w:r>
          </w:p>
        </w:tc>
      </w:tr>
      <w:tr>
        <w:trPr>
          <w:trHeight w:val="193"/>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May 30,</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May 31,</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ind w:left="140"/>
              <w:spacing w:after="0"/>
              <w:rPr>
                <w:sz w:val="20"/>
                <w:szCs w:val="20"/>
                <w:color w:val="auto"/>
              </w:rPr>
            </w:pPr>
            <w:r>
              <w:rPr>
                <w:rFonts w:ascii="Arial" w:cs="Arial" w:eastAsia="Arial" w:hAnsi="Arial"/>
                <w:sz w:val="16"/>
                <w:szCs w:val="16"/>
                <w:b w:val="1"/>
                <w:bCs w:val="1"/>
                <w:color w:val="auto"/>
              </w:rPr>
              <w:t>May 30,</w:t>
            </w:r>
          </w:p>
        </w:tc>
        <w:tc>
          <w:tcPr>
            <w:tcW w:w="280" w:type="dxa"/>
            <w:vAlign w:val="bottom"/>
          </w:tcPr>
          <w:p>
            <w:pPr>
              <w:spacing w:after="0"/>
              <w:rPr>
                <w:sz w:val="16"/>
                <w:szCs w:val="16"/>
                <w:color w:val="auto"/>
              </w:rPr>
            </w:pPr>
          </w:p>
        </w:tc>
        <w:tc>
          <w:tcPr>
            <w:tcW w:w="1200" w:type="dxa"/>
            <w:vAlign w:val="bottom"/>
          </w:tcPr>
          <w:p>
            <w:pPr>
              <w:jc w:val="right"/>
              <w:ind w:right="379"/>
              <w:spacing w:after="0"/>
              <w:rPr>
                <w:sz w:val="20"/>
                <w:szCs w:val="20"/>
                <w:color w:val="auto"/>
              </w:rPr>
            </w:pPr>
            <w:r>
              <w:rPr>
                <w:rFonts w:ascii="Arial" w:cs="Arial" w:eastAsia="Arial" w:hAnsi="Arial"/>
                <w:sz w:val="16"/>
                <w:szCs w:val="16"/>
                <w:b w:val="1"/>
                <w:bCs w:val="1"/>
                <w:color w:val="auto"/>
              </w:rPr>
              <w:t>May 31,</w:t>
            </w:r>
          </w:p>
        </w:tc>
      </w:tr>
      <w:tr>
        <w:trPr>
          <w:trHeight w:val="232"/>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1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2015</w:t>
            </w:r>
          </w:p>
        </w:tc>
        <w:tc>
          <w:tcPr>
            <w:tcW w:w="3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2014</w:t>
            </w: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2014</w:t>
            </w:r>
          </w:p>
        </w:tc>
      </w:tr>
      <w:tr>
        <w:trPr>
          <w:trHeight w:val="267"/>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Inventory repurchased:</w:t>
            </w:r>
          </w:p>
        </w:tc>
        <w:tc>
          <w:tcPr>
            <w:tcW w:w="1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62"/>
        </w:trPr>
        <w:tc>
          <w:tcPr>
            <w:tcW w:w="5160" w:type="dxa"/>
            <w:vAlign w:val="bottom"/>
            <w:gridSpan w:val="2"/>
          </w:tcPr>
          <w:p>
            <w:pPr>
              <w:ind w:left="280"/>
              <w:spacing w:after="0"/>
              <w:rPr>
                <w:sz w:val="20"/>
                <w:szCs w:val="20"/>
                <w:color w:val="auto"/>
              </w:rPr>
            </w:pPr>
            <w:r>
              <w:rPr>
                <w:rFonts w:ascii="Arial" w:cs="Arial" w:eastAsia="Arial" w:hAnsi="Arial"/>
                <w:sz w:val="16"/>
                <w:szCs w:val="16"/>
                <w:color w:val="auto"/>
              </w:rPr>
              <w:t>Units</w:t>
            </w:r>
          </w:p>
        </w:tc>
        <w:tc>
          <w:tcPr>
            <w:tcW w:w="1120" w:type="dxa"/>
            <w:vAlign w:val="bottom"/>
          </w:tcPr>
          <w:p>
            <w:pPr>
              <w:spacing w:after="0"/>
              <w:rPr>
                <w:sz w:val="22"/>
                <w:szCs w:val="22"/>
                <w:color w:val="auto"/>
              </w:rPr>
            </w:pPr>
          </w:p>
        </w:tc>
        <w:tc>
          <w:tcPr>
            <w:tcW w:w="5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22"/>
                <w:szCs w:val="22"/>
                <w:color w:val="auto"/>
              </w:rPr>
            </w:pPr>
          </w:p>
        </w:tc>
        <w:tc>
          <w:tcPr>
            <w:tcW w:w="46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14</w:t>
            </w:r>
          </w:p>
        </w:tc>
      </w:tr>
      <w:tr>
        <w:trPr>
          <w:trHeight w:val="278"/>
        </w:trPr>
        <w:tc>
          <w:tcPr>
            <w:tcW w:w="51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Dollars</w:t>
            </w:r>
          </w:p>
        </w:tc>
        <w:tc>
          <w:tcPr>
            <w:tcW w:w="112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7,325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325</w:t>
            </w:r>
          </w:p>
        </w:tc>
      </w:tr>
      <w:tr>
        <w:trPr>
          <w:trHeight w:val="262"/>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Inventory resold:</w:t>
            </w:r>
          </w:p>
        </w:tc>
        <w:tc>
          <w:tcPr>
            <w:tcW w:w="1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8"/>
        </w:trPr>
        <w:tc>
          <w:tcPr>
            <w:tcW w:w="51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Units</w:t>
            </w:r>
          </w:p>
        </w:tc>
        <w:tc>
          <w:tcPr>
            <w:tcW w:w="1120" w:type="dxa"/>
            <w:vAlign w:val="bottom"/>
            <w:shd w:val="clear" w:color="auto" w:fill="CCEEFF"/>
          </w:tcPr>
          <w:p>
            <w:pPr>
              <w:spacing w:after="0"/>
              <w:rPr>
                <w:sz w:val="24"/>
                <w:szCs w:val="24"/>
                <w:color w:val="auto"/>
              </w:rPr>
            </w:pP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spacing w:after="0"/>
              <w:rPr>
                <w:sz w:val="24"/>
                <w:szCs w:val="24"/>
                <w:color w:val="auto"/>
              </w:rPr>
            </w:pP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r>
      <w:tr>
        <w:trPr>
          <w:trHeight w:val="262"/>
        </w:trPr>
        <w:tc>
          <w:tcPr>
            <w:tcW w:w="5160" w:type="dxa"/>
            <w:vAlign w:val="bottom"/>
            <w:gridSpan w:val="2"/>
          </w:tcPr>
          <w:p>
            <w:pPr>
              <w:ind w:left="280"/>
              <w:spacing w:after="0"/>
              <w:rPr>
                <w:sz w:val="20"/>
                <w:szCs w:val="20"/>
                <w:color w:val="auto"/>
              </w:rPr>
            </w:pPr>
            <w:r>
              <w:rPr>
                <w:rFonts w:ascii="Arial" w:cs="Arial" w:eastAsia="Arial" w:hAnsi="Arial"/>
                <w:sz w:val="16"/>
                <w:szCs w:val="16"/>
                <w:color w:val="auto"/>
              </w:rPr>
              <w:t>Cash collected</w:t>
            </w:r>
          </w:p>
        </w:tc>
        <w:tc>
          <w:tcPr>
            <w:tcW w:w="1120" w:type="dxa"/>
            <w:vAlign w:val="bottom"/>
          </w:tcPr>
          <w:p>
            <w:pPr>
              <w:jc w:val="right"/>
              <w:ind w:right="919"/>
              <w:spacing w:after="0"/>
              <w:rPr>
                <w:sz w:val="20"/>
                <w:szCs w:val="20"/>
                <w:color w:val="auto"/>
              </w:rPr>
            </w:pPr>
            <w:r>
              <w:rPr>
                <w:rFonts w:ascii="Arial" w:cs="Arial" w:eastAsia="Arial" w:hAnsi="Arial"/>
                <w:sz w:val="16"/>
                <w:szCs w:val="16"/>
                <w:color w:val="auto"/>
              </w:rPr>
              <w:t>$</w:t>
            </w:r>
          </w:p>
        </w:tc>
        <w:tc>
          <w:tcPr>
            <w:tcW w:w="5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919"/>
              <w:spacing w:after="0"/>
              <w:rPr>
                <w:sz w:val="20"/>
                <w:szCs w:val="20"/>
                <w:color w:val="auto"/>
              </w:rPr>
            </w:pPr>
            <w:r>
              <w:rPr>
                <w:rFonts w:ascii="Arial" w:cs="Arial" w:eastAsia="Arial" w:hAnsi="Arial"/>
                <w:sz w:val="16"/>
                <w:szCs w:val="16"/>
                <w:color w:val="auto"/>
              </w:rPr>
              <w:t>$</w:t>
            </w:r>
          </w:p>
        </w:tc>
        <w:tc>
          <w:tcPr>
            <w:tcW w:w="46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6,309</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257</w:t>
            </w:r>
          </w:p>
        </w:tc>
      </w:tr>
      <w:tr>
        <w:trPr>
          <w:trHeight w:val="278"/>
        </w:trPr>
        <w:tc>
          <w:tcPr>
            <w:tcW w:w="51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Loss realized</w:t>
            </w:r>
          </w:p>
        </w:tc>
        <w:tc>
          <w:tcPr>
            <w:tcW w:w="112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1,033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68</w:t>
            </w:r>
          </w:p>
        </w:tc>
      </w:tr>
      <w:tr>
        <w:trPr>
          <w:trHeight w:val="255"/>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Units in ending inventory</w:t>
            </w:r>
          </w:p>
        </w:tc>
        <w:tc>
          <w:tcPr>
            <w:tcW w:w="1120" w:type="dxa"/>
            <w:vAlign w:val="bottom"/>
          </w:tcPr>
          <w:p>
            <w:pPr>
              <w:spacing w:after="0"/>
              <w:rPr>
                <w:sz w:val="22"/>
                <w:szCs w:val="22"/>
                <w:color w:val="auto"/>
              </w:rPr>
            </w:pPr>
          </w:p>
        </w:tc>
        <w:tc>
          <w:tcPr>
            <w:tcW w:w="5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22"/>
                <w:szCs w:val="22"/>
                <w:color w:val="auto"/>
              </w:rPr>
            </w:pPr>
          </w:p>
        </w:tc>
        <w:tc>
          <w:tcPr>
            <w:tcW w:w="46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r>
    </w:tbl>
    <w:p>
      <w:pPr>
        <w:spacing w:after="0" w:line="186" w:lineRule="exact"/>
        <w:rPr>
          <w:sz w:val="20"/>
          <w:szCs w:val="20"/>
          <w:color w:val="auto"/>
        </w:rPr>
      </w:pPr>
    </w:p>
    <w:p>
      <w:pPr>
        <w:ind w:right="80"/>
        <w:spacing w:after="0" w:line="269" w:lineRule="auto"/>
        <w:rPr>
          <w:sz w:val="20"/>
          <w:szCs w:val="20"/>
          <w:color w:val="auto"/>
        </w:rPr>
      </w:pPr>
      <w:r>
        <w:rPr>
          <w:rFonts w:ascii="Arial" w:cs="Arial" w:eastAsia="Arial" w:hAnsi="Arial"/>
          <w:sz w:val="16"/>
          <w:szCs w:val="16"/>
          <w:color w:val="auto"/>
        </w:rPr>
        <w:t>We do not believe there is a reasonable likelihood that there will be a material change in the future estimates or assumptions we use to calculate our loss reserve for repurchase commitments. A hypothetical change of a 10% increase or decrease in our significant repurchase commitment assumptions at May 30, 2015 would have affected net income by approximately $296,000.</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Litigation</w:t>
      </w:r>
    </w:p>
    <w:p>
      <w:pPr>
        <w:spacing w:after="0" w:line="27"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We are involved in various legal proceedings which are ordinary litigation incidental to our business, some of which are covered in whole or in part by insurance. We believe while the final resolution of any such litigation may have an impact on our results for a particular reporting period, the ultimate disposition of such litigation will not have any material adverse effect on our financial position, results of operations or liquidity.</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12: Income Taxes</w:t>
      </w:r>
    </w:p>
    <w:p>
      <w:pPr>
        <w:spacing w:after="0" w:line="169" w:lineRule="exact"/>
        <w:rPr>
          <w:sz w:val="20"/>
          <w:szCs w:val="20"/>
          <w:color w:val="auto"/>
        </w:rPr>
      </w:pPr>
    </w:p>
    <w:p>
      <w:pPr>
        <w:ind w:right="220"/>
        <w:spacing w:after="0" w:line="269" w:lineRule="auto"/>
        <w:rPr>
          <w:sz w:val="20"/>
          <w:szCs w:val="20"/>
          <w:color w:val="auto"/>
        </w:rPr>
      </w:pPr>
      <w:r>
        <w:rPr>
          <w:rFonts w:ascii="Arial" w:cs="Arial" w:eastAsia="Arial" w:hAnsi="Arial"/>
          <w:sz w:val="16"/>
          <w:szCs w:val="16"/>
          <w:color w:val="auto"/>
        </w:rPr>
        <w:t xml:space="preserve">We account for income taxes under ASC 740, </w:t>
      </w:r>
      <w:r>
        <w:rPr>
          <w:rFonts w:ascii="Arial" w:cs="Arial" w:eastAsia="Arial" w:hAnsi="Arial"/>
          <w:sz w:val="16"/>
          <w:szCs w:val="16"/>
          <w:i w:val="1"/>
          <w:iCs w:val="1"/>
          <w:color w:val="auto"/>
        </w:rPr>
        <w:t>Income Taxes</w:t>
      </w:r>
      <w:r>
        <w:rPr>
          <w:rFonts w:ascii="Arial" w:cs="Arial" w:eastAsia="Arial" w:hAnsi="Arial"/>
          <w:sz w:val="16"/>
          <w:szCs w:val="16"/>
          <w:color w:val="auto"/>
        </w:rPr>
        <w:t>. The objectives of accounting for income taxes are to recognize the amount of taxes payable or refundable for the current year and deferred tax liabilities and assets for the future tax consequences of events that have been recognized in our financial statements or tax returns.</w:t>
      </w:r>
    </w:p>
    <w:p>
      <w:pPr>
        <w:spacing w:after="0" w:line="138"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We file tax returns in the US federal jurisdiction, as well as various international and state jurisdictions. Although certain years are no longer subject to examinations by the IRS and various state taxing authorities, net operating loss carryforwards generated in those years may still be adjusted upon examination by the IRS or state taxing authorities if they either have been or will be used in a future period. As of May 30, 2015, our federal returns from Fiscal 2011 to present continue to be subject to review by the IRS. With few exceptions, the state returns from Fiscal 2009 to present continue to be subject to review by the taxing jurisdictions. A number of years may elapse before an uncertain tax position is audited and finally resolved, and it is often very difficult to predict the outcome of such audits.</w:t>
      </w:r>
    </w:p>
    <w:p>
      <w:pPr>
        <w:spacing w:after="0" w:line="151"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As of May 30, 2015, our unrecognized tax benefits were $2.6 million including accrued interest and penalties of $1.0 million. If we were to prevail on all unrecognized tax benefits recorded, $1.9 million of the $2.6 million would benefit the overall effective tax rate. It is our policy to recognize interest and penalties accrued relative to unrecognized tax benefits as tax expense. It is reasonably possible that the amount of unrecognized tax benefits with respect to our other unrecognized tax positions will increase or decrease during the next twelve months; however, an estimate of the amount or range of the change cannot be made at this time.</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 Earnings Per Share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reflects the calculation of basic and diluted income per share: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4"/>
          </w:tcPr>
          <w:p>
            <w:pPr>
              <w:jc w:val="right"/>
              <w:ind w:right="65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4"/>
          </w:tcPr>
          <w:p>
            <w:pPr>
              <w:jc w:val="right"/>
              <w:ind w:right="679"/>
              <w:spacing w:after="0"/>
              <w:rPr>
                <w:sz w:val="20"/>
                <w:szCs w:val="20"/>
                <w:color w:val="auto"/>
              </w:rPr>
            </w:pPr>
            <w:r>
              <w:rPr>
                <w:rFonts w:ascii="Arial" w:cs="Arial" w:eastAsia="Arial" w:hAnsi="Arial"/>
                <w:sz w:val="16"/>
                <w:szCs w:val="16"/>
                <w:b w:val="1"/>
                <w:bCs w:val="1"/>
                <w:color w:val="auto"/>
              </w:rPr>
              <w:t>Nine Months Ended</w:t>
            </w:r>
          </w:p>
        </w:tc>
      </w:tr>
      <w:tr>
        <w:trPr>
          <w:trHeight w:val="193"/>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ind w:left="160"/>
              <w:spacing w:after="0"/>
              <w:rPr>
                <w:sz w:val="20"/>
                <w:szCs w:val="20"/>
                <w:color w:val="auto"/>
              </w:rPr>
            </w:pPr>
            <w:r>
              <w:rPr>
                <w:rFonts w:ascii="Arial" w:cs="Arial" w:eastAsia="Arial" w:hAnsi="Arial"/>
                <w:sz w:val="16"/>
                <w:szCs w:val="16"/>
                <w:b w:val="1"/>
                <w:bCs w:val="1"/>
                <w:color w:val="auto"/>
              </w:rPr>
              <w:t>May 30,</w:t>
            </w:r>
          </w:p>
        </w:tc>
        <w:tc>
          <w:tcPr>
            <w:tcW w:w="280" w:type="dxa"/>
            <w:vAlign w:val="bottom"/>
          </w:tcPr>
          <w:p>
            <w:pPr>
              <w:spacing w:after="0"/>
              <w:rPr>
                <w:sz w:val="16"/>
                <w:szCs w:val="16"/>
                <w:color w:val="auto"/>
              </w:rPr>
            </w:pPr>
          </w:p>
        </w:tc>
        <w:tc>
          <w:tcPr>
            <w:tcW w:w="1300" w:type="dxa"/>
            <w:vAlign w:val="bottom"/>
            <w:gridSpan w:val="2"/>
          </w:tcPr>
          <w:p>
            <w:pPr>
              <w:ind w:left="140"/>
              <w:spacing w:after="0"/>
              <w:rPr>
                <w:sz w:val="20"/>
                <w:szCs w:val="20"/>
                <w:color w:val="auto"/>
              </w:rPr>
            </w:pPr>
            <w:r>
              <w:rPr>
                <w:rFonts w:ascii="Arial" w:cs="Arial" w:eastAsia="Arial" w:hAnsi="Arial"/>
                <w:sz w:val="16"/>
                <w:szCs w:val="16"/>
                <w:b w:val="1"/>
                <w:bCs w:val="1"/>
                <w:color w:val="auto"/>
              </w:rPr>
              <w:t>May 31,</w:t>
            </w:r>
          </w:p>
        </w:tc>
        <w:tc>
          <w:tcPr>
            <w:tcW w:w="280" w:type="dxa"/>
            <w:vAlign w:val="bottom"/>
          </w:tcPr>
          <w:p>
            <w:pPr>
              <w:spacing w:after="0"/>
              <w:rPr>
                <w:sz w:val="16"/>
                <w:szCs w:val="16"/>
                <w:color w:val="auto"/>
              </w:rPr>
            </w:pPr>
          </w:p>
        </w:tc>
        <w:tc>
          <w:tcPr>
            <w:tcW w:w="1300" w:type="dxa"/>
            <w:vAlign w:val="bottom"/>
            <w:gridSpan w:val="2"/>
          </w:tcPr>
          <w:p>
            <w:pPr>
              <w:ind w:left="140"/>
              <w:spacing w:after="0"/>
              <w:rPr>
                <w:sz w:val="20"/>
                <w:szCs w:val="20"/>
                <w:color w:val="auto"/>
              </w:rPr>
            </w:pPr>
            <w:r>
              <w:rPr>
                <w:rFonts w:ascii="Arial" w:cs="Arial" w:eastAsia="Arial" w:hAnsi="Arial"/>
                <w:sz w:val="16"/>
                <w:szCs w:val="16"/>
                <w:b w:val="1"/>
                <w:bCs w:val="1"/>
                <w:color w:val="auto"/>
              </w:rPr>
              <w:t>May 30,</w:t>
            </w:r>
          </w:p>
        </w:tc>
        <w:tc>
          <w:tcPr>
            <w:tcW w:w="280" w:type="dxa"/>
            <w:vAlign w:val="bottom"/>
          </w:tcPr>
          <w:p>
            <w:pPr>
              <w:spacing w:after="0"/>
              <w:rPr>
                <w:sz w:val="16"/>
                <w:szCs w:val="16"/>
                <w:color w:val="auto"/>
              </w:rPr>
            </w:pPr>
          </w:p>
        </w:tc>
        <w:tc>
          <w:tcPr>
            <w:tcW w:w="1200" w:type="dxa"/>
            <w:vAlign w:val="bottom"/>
          </w:tcPr>
          <w:p>
            <w:pPr>
              <w:jc w:val="right"/>
              <w:ind w:right="379"/>
              <w:spacing w:after="0"/>
              <w:rPr>
                <w:sz w:val="20"/>
                <w:szCs w:val="20"/>
                <w:color w:val="auto"/>
              </w:rPr>
            </w:pPr>
            <w:r>
              <w:rPr>
                <w:rFonts w:ascii="Arial" w:cs="Arial" w:eastAsia="Arial" w:hAnsi="Arial"/>
                <w:sz w:val="16"/>
                <w:szCs w:val="16"/>
                <w:b w:val="1"/>
                <w:bCs w:val="1"/>
                <w:color w:val="auto"/>
              </w:rPr>
              <w:t>May 31,</w:t>
            </w:r>
          </w:p>
        </w:tc>
      </w:tr>
      <w:tr>
        <w:trPr>
          <w:trHeight w:val="232"/>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2014</w:t>
            </w:r>
          </w:p>
        </w:tc>
      </w:tr>
      <w:tr>
        <w:trPr>
          <w:trHeight w:val="267"/>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per share - basic</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62"/>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Net income</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11,502</w:t>
            </w:r>
          </w:p>
        </w:tc>
        <w:tc>
          <w:tcPr>
            <w:tcW w:w="12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11,385</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29,493</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32,124</w:t>
            </w:r>
          </w:p>
        </w:tc>
      </w:tr>
      <w:tr>
        <w:trPr>
          <w:trHeight w:val="278"/>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26,932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27,209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26,942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27,552</w:t>
            </w:r>
          </w:p>
        </w:tc>
      </w:tr>
      <w:tr>
        <w:trPr>
          <w:trHeight w:val="262"/>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Net income per share - basic</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0.43</w:t>
            </w:r>
          </w:p>
        </w:tc>
        <w:tc>
          <w:tcPr>
            <w:tcW w:w="12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0.42</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1.17</w:t>
            </w:r>
          </w:p>
        </w:tc>
      </w:tr>
      <w:tr>
        <w:trPr>
          <w:trHeight w:val="291"/>
        </w:trPr>
        <w:tc>
          <w:tcPr>
            <w:tcW w:w="5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62"/>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Income per share - assuming dilution</w:t>
            </w: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8"/>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11,502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11,385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29,493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32,124</w:t>
            </w:r>
          </w:p>
        </w:tc>
      </w:tr>
      <w:tr>
        <w:trPr>
          <w:trHeight w:val="262"/>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Weighted average shares outstanding</w:t>
            </w:r>
          </w:p>
        </w:tc>
        <w:tc>
          <w:tcPr>
            <w:tcW w:w="28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26,932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27,209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26,942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27,552</w:t>
            </w:r>
          </w:p>
        </w:tc>
      </w:tr>
      <w:tr>
        <w:trPr>
          <w:trHeight w:val="278"/>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Dilutive impact of awards and options outstanding</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114</w:t>
            </w:r>
          </w:p>
        </w:tc>
      </w:tr>
      <w:tr>
        <w:trPr>
          <w:trHeight w:val="262"/>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Weighted average shares and potential dilutive shares outstanding</w:t>
            </w:r>
          </w:p>
        </w:tc>
        <w:tc>
          <w:tcPr>
            <w:tcW w:w="28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27,030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27,319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27,042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27,666</w:t>
            </w:r>
          </w:p>
        </w:tc>
      </w:tr>
      <w:tr>
        <w:trPr>
          <w:trHeight w:val="278"/>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 per share - assuming dilution</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0.43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1.16</w:t>
            </w:r>
          </w:p>
        </w:tc>
      </w:tr>
    </w:tbl>
    <w:p>
      <w:pPr>
        <w:spacing w:after="0" w:line="171"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color w:val="auto"/>
        </w:rPr>
        <w:t xml:space="preserve">At the end of the third quarter of Fiscal 2015 and Fiscal 2014, there were options outstanding to purchase 170,061 shares and 457,421 shares, respectively, of common stock at an average price of $28.27 and $30.38, respectively, which were not included in the computation of diluted income per share because they are considered anti-dilutive under the treasury stock method per ASC 260, </w:t>
      </w:r>
      <w:r>
        <w:rPr>
          <w:rFonts w:ascii="Arial" w:cs="Arial" w:eastAsia="Arial" w:hAnsi="Arial"/>
          <w:sz w:val="16"/>
          <w:szCs w:val="16"/>
          <w:i w:val="1"/>
          <w:iCs w:val="1"/>
          <w:color w:val="auto"/>
        </w:rPr>
        <w:t>Earnings Per Share</w:t>
      </w:r>
      <w:r>
        <w:rPr>
          <w:rFonts w:ascii="Arial" w:cs="Arial" w:eastAsia="Arial" w:hAnsi="Arial"/>
          <w:sz w:val="16"/>
          <w:szCs w:val="16"/>
          <w:color w:val="auto"/>
        </w:rPr>
        <w: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14: Comprehensive Income (Loss)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Changes in AOCI by component, net of tax, were: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250"/>
        </w:trPr>
        <w:tc>
          <w:tcPr>
            <w:tcW w:w="3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May 30, 2015</w:t>
            </w: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May 31, 2014</w:t>
            </w:r>
          </w:p>
        </w:tc>
        <w:tc>
          <w:tcPr>
            <w:tcW w:w="4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r>
      <w:tr>
        <w:trPr>
          <w:trHeight w:val="193"/>
        </w:trPr>
        <w:tc>
          <w:tcPr>
            <w:tcW w:w="3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rPr>
              <w:t>Unrealized</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Unrealized</w:t>
            </w: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9"/>
        </w:trPr>
        <w:tc>
          <w:tcPr>
            <w:tcW w:w="3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rPr>
              <w:t>Gains and</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Gains and</w:t>
            </w: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9"/>
        </w:trPr>
        <w:tc>
          <w:tcPr>
            <w:tcW w:w="3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center"/>
              <w:ind w:right="39"/>
              <w:spacing w:after="0"/>
              <w:rPr>
                <w:sz w:val="20"/>
                <w:szCs w:val="20"/>
                <w:color w:val="auto"/>
              </w:rPr>
            </w:pPr>
            <w:r>
              <w:rPr>
                <w:rFonts w:ascii="Arial" w:cs="Arial" w:eastAsia="Arial" w:hAnsi="Arial"/>
                <w:sz w:val="16"/>
                <w:szCs w:val="16"/>
                <w:b w:val="1"/>
                <w:bCs w:val="1"/>
                <w:color w:val="auto"/>
              </w:rPr>
              <w:t>Defined</w:t>
            </w:r>
          </w:p>
        </w:tc>
        <w:tc>
          <w:tcPr>
            <w:tcW w:w="240" w:type="dxa"/>
            <w:vAlign w:val="bottom"/>
          </w:tcPr>
          <w:p>
            <w:pPr>
              <w:spacing w:after="0"/>
              <w:rPr>
                <w:sz w:val="16"/>
                <w:szCs w:val="16"/>
                <w:color w:val="auto"/>
              </w:rPr>
            </w:pPr>
          </w:p>
        </w:tc>
        <w:tc>
          <w:tcPr>
            <w:tcW w:w="1060" w:type="dxa"/>
            <w:vAlign w:val="bottom"/>
          </w:tcPr>
          <w:p>
            <w:pPr>
              <w:jc w:val="center"/>
              <w:ind w:right="19"/>
              <w:spacing w:after="0"/>
              <w:rPr>
                <w:sz w:val="20"/>
                <w:szCs w:val="20"/>
                <w:color w:val="auto"/>
              </w:rPr>
            </w:pPr>
            <w:r>
              <w:rPr>
                <w:rFonts w:ascii="Arial" w:cs="Arial" w:eastAsia="Arial" w:hAnsi="Arial"/>
                <w:sz w:val="16"/>
                <w:szCs w:val="16"/>
                <w:b w:val="1"/>
                <w:bCs w:val="1"/>
                <w:color w:val="auto"/>
              </w:rPr>
              <w:t>Losses on</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center"/>
              <w:ind w:right="39"/>
              <w:spacing w:after="0"/>
              <w:rPr>
                <w:sz w:val="20"/>
                <w:szCs w:val="20"/>
                <w:color w:val="auto"/>
              </w:rPr>
            </w:pPr>
            <w:r>
              <w:rPr>
                <w:rFonts w:ascii="Arial" w:cs="Arial" w:eastAsia="Arial" w:hAnsi="Arial"/>
                <w:sz w:val="16"/>
                <w:szCs w:val="16"/>
                <w:b w:val="1"/>
                <w:bCs w:val="1"/>
                <w:color w:val="auto"/>
              </w:rPr>
              <w:t>Defined</w:t>
            </w:r>
          </w:p>
        </w:tc>
        <w:tc>
          <w:tcPr>
            <w:tcW w:w="30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Losses on</w:t>
            </w: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9"/>
        </w:trPr>
        <w:tc>
          <w:tcPr>
            <w:tcW w:w="3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center"/>
              <w:ind w:right="19"/>
              <w:spacing w:after="0"/>
              <w:rPr>
                <w:sz w:val="20"/>
                <w:szCs w:val="20"/>
                <w:color w:val="auto"/>
              </w:rPr>
            </w:pPr>
            <w:r>
              <w:rPr>
                <w:rFonts w:ascii="Arial" w:cs="Arial" w:eastAsia="Arial" w:hAnsi="Arial"/>
                <w:sz w:val="16"/>
                <w:szCs w:val="16"/>
                <w:b w:val="1"/>
                <w:bCs w:val="1"/>
                <w:color w:val="auto"/>
                <w:w w:val="99"/>
              </w:rPr>
              <w:t>Benefit</w:t>
            </w:r>
          </w:p>
        </w:tc>
        <w:tc>
          <w:tcPr>
            <w:tcW w:w="240" w:type="dxa"/>
            <w:vAlign w:val="bottom"/>
          </w:tcPr>
          <w:p>
            <w:pPr>
              <w:spacing w:after="0"/>
              <w:rPr>
                <w:sz w:val="16"/>
                <w:szCs w:val="16"/>
                <w:color w:val="auto"/>
              </w:rPr>
            </w:pPr>
          </w:p>
        </w:tc>
        <w:tc>
          <w:tcPr>
            <w:tcW w:w="1060" w:type="dxa"/>
            <w:vAlign w:val="bottom"/>
          </w:tcPr>
          <w:p>
            <w:pPr>
              <w:jc w:val="center"/>
              <w:ind w:right="19"/>
              <w:spacing w:after="0"/>
              <w:rPr>
                <w:sz w:val="20"/>
                <w:szCs w:val="20"/>
                <w:color w:val="auto"/>
              </w:rPr>
            </w:pPr>
            <w:r>
              <w:rPr>
                <w:rFonts w:ascii="Arial" w:cs="Arial" w:eastAsia="Arial" w:hAnsi="Arial"/>
                <w:sz w:val="16"/>
                <w:szCs w:val="16"/>
                <w:b w:val="1"/>
                <w:bCs w:val="1"/>
                <w:color w:val="auto"/>
              </w:rPr>
              <w:t>Available-</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center"/>
              <w:ind w:right="59"/>
              <w:spacing w:after="0"/>
              <w:rPr>
                <w:sz w:val="20"/>
                <w:szCs w:val="20"/>
                <w:color w:val="auto"/>
              </w:rPr>
            </w:pPr>
            <w:r>
              <w:rPr>
                <w:rFonts w:ascii="Arial" w:cs="Arial" w:eastAsia="Arial" w:hAnsi="Arial"/>
                <w:sz w:val="16"/>
                <w:szCs w:val="16"/>
                <w:b w:val="1"/>
                <w:bCs w:val="1"/>
                <w:color w:val="auto"/>
                <w:w w:val="99"/>
              </w:rPr>
              <w:t>Benefit</w:t>
            </w:r>
          </w:p>
        </w:tc>
        <w:tc>
          <w:tcPr>
            <w:tcW w:w="30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Available-</w:t>
            </w: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9"/>
        </w:trPr>
        <w:tc>
          <w:tcPr>
            <w:tcW w:w="3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center"/>
              <w:ind w:right="39"/>
              <w:spacing w:after="0"/>
              <w:rPr>
                <w:sz w:val="20"/>
                <w:szCs w:val="20"/>
                <w:color w:val="auto"/>
              </w:rPr>
            </w:pPr>
            <w:r>
              <w:rPr>
                <w:rFonts w:ascii="Arial" w:cs="Arial" w:eastAsia="Arial" w:hAnsi="Arial"/>
                <w:sz w:val="16"/>
                <w:szCs w:val="16"/>
                <w:b w:val="1"/>
                <w:bCs w:val="1"/>
                <w:color w:val="auto"/>
              </w:rPr>
              <w:t>Pension</w:t>
            </w:r>
          </w:p>
        </w:tc>
        <w:tc>
          <w:tcPr>
            <w:tcW w:w="240" w:type="dxa"/>
            <w:vAlign w:val="bottom"/>
          </w:tcPr>
          <w:p>
            <w:pPr>
              <w:spacing w:after="0"/>
              <w:rPr>
                <w:sz w:val="16"/>
                <w:szCs w:val="16"/>
                <w:color w:val="auto"/>
              </w:rPr>
            </w:pPr>
          </w:p>
        </w:tc>
        <w:tc>
          <w:tcPr>
            <w:tcW w:w="1060" w:type="dxa"/>
            <w:vAlign w:val="bottom"/>
          </w:tcPr>
          <w:p>
            <w:pPr>
              <w:jc w:val="center"/>
              <w:ind w:right="19"/>
              <w:spacing w:after="0"/>
              <w:rPr>
                <w:sz w:val="20"/>
                <w:szCs w:val="20"/>
                <w:color w:val="auto"/>
              </w:rPr>
            </w:pPr>
            <w:r>
              <w:rPr>
                <w:rFonts w:ascii="Arial" w:cs="Arial" w:eastAsia="Arial" w:hAnsi="Arial"/>
                <w:sz w:val="16"/>
                <w:szCs w:val="16"/>
                <w:b w:val="1"/>
                <w:bCs w:val="1"/>
                <w:color w:val="auto"/>
              </w:rPr>
              <w:t>for-Sale</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center"/>
              <w:ind w:right="59"/>
              <w:spacing w:after="0"/>
              <w:rPr>
                <w:sz w:val="20"/>
                <w:szCs w:val="20"/>
                <w:color w:val="auto"/>
              </w:rPr>
            </w:pPr>
            <w:r>
              <w:rPr>
                <w:rFonts w:ascii="Arial" w:cs="Arial" w:eastAsia="Arial" w:hAnsi="Arial"/>
                <w:sz w:val="16"/>
                <w:szCs w:val="16"/>
                <w:b w:val="1"/>
                <w:bCs w:val="1"/>
                <w:color w:val="auto"/>
                <w:w w:val="99"/>
              </w:rPr>
              <w:t>Pension</w:t>
            </w:r>
          </w:p>
        </w:tc>
        <w:tc>
          <w:tcPr>
            <w:tcW w:w="30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for-Sale</w:t>
            </w: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2"/>
        </w:trPr>
        <w:tc>
          <w:tcPr>
            <w:tcW w:w="31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Items</w:t>
            </w: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Securities</w:t>
            </w: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Items</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Securities</w:t>
            </w: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Total</w:t>
            </w:r>
          </w:p>
        </w:tc>
      </w:tr>
      <w:tr>
        <w:trPr>
          <w:trHeight w:val="254"/>
        </w:trPr>
        <w:tc>
          <w:tcPr>
            <w:tcW w:w="32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Balance at beginning of period</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(2,067)</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(2,067)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1,890</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1,890</w:t>
            </w:r>
          </w:p>
        </w:tc>
      </w:tr>
      <w:tr>
        <w:trPr>
          <w:trHeight w:val="270"/>
        </w:trPr>
        <w:tc>
          <w:tcPr>
            <w:tcW w:w="3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32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OCI before reclassifications</w:t>
            </w: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3"/>
                <w:szCs w:val="23"/>
                <w:color w:val="auto"/>
              </w:rPr>
            </w:pPr>
          </w:p>
        </w:tc>
        <w:tc>
          <w:tcPr>
            <w:tcW w:w="1060" w:type="dxa"/>
            <w:vAlign w:val="bottom"/>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64"/>
        </w:trPr>
        <w:tc>
          <w:tcPr>
            <w:tcW w:w="326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Amounts reclassified from AOCI</w:t>
            </w: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(654)</w:t>
            </w: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(654)</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(752)</w:t>
            </w: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(752)</w:t>
            </w:r>
          </w:p>
        </w:tc>
      </w:tr>
      <w:tr>
        <w:trPr>
          <w:trHeight w:val="250"/>
        </w:trPr>
        <w:tc>
          <w:tcPr>
            <w:tcW w:w="32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current-period OCI</w:t>
            </w:r>
          </w:p>
        </w:tc>
        <w:tc>
          <w:tcPr>
            <w:tcW w:w="2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(654)</w:t>
            </w:r>
          </w:p>
        </w:tc>
        <w:tc>
          <w:tcPr>
            <w:tcW w:w="2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(654)</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(752)</w:t>
            </w:r>
          </w:p>
        </w:tc>
        <w:tc>
          <w:tcPr>
            <w:tcW w:w="3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(752)</w:t>
            </w:r>
          </w:p>
        </w:tc>
      </w:tr>
      <w:tr>
        <w:trPr>
          <w:trHeight w:val="270"/>
        </w:trPr>
        <w:tc>
          <w:tcPr>
            <w:tcW w:w="3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56"/>
        </w:trPr>
        <w:tc>
          <w:tcPr>
            <w:tcW w:w="3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 at end of period</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(2,721)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(2,721)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1,138</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1,138</w:t>
            </w:r>
          </w:p>
        </w:tc>
      </w:tr>
      <w:tr>
        <w:trPr>
          <w:trHeight w:val="20"/>
        </w:trPr>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653"/>
        </w:trPr>
        <w:tc>
          <w:tcPr>
            <w:tcW w:w="3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Nine Months Ended</w:t>
            </w: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50"/>
        </w:trPr>
        <w:tc>
          <w:tcPr>
            <w:tcW w:w="3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May 30, 2015</w:t>
            </w: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May 31, 2014</w:t>
            </w:r>
          </w:p>
        </w:tc>
        <w:tc>
          <w:tcPr>
            <w:tcW w:w="4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r>
      <w:tr>
        <w:trPr>
          <w:trHeight w:val="193"/>
        </w:trPr>
        <w:tc>
          <w:tcPr>
            <w:tcW w:w="3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rPr>
              <w:t>Unrealized</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Unrealized</w:t>
            </w: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9"/>
        </w:trPr>
        <w:tc>
          <w:tcPr>
            <w:tcW w:w="3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rPr>
              <w:t>Gains and</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Gains and</w:t>
            </w: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9"/>
        </w:trPr>
        <w:tc>
          <w:tcPr>
            <w:tcW w:w="3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center"/>
              <w:ind w:right="79"/>
              <w:spacing w:after="0"/>
              <w:rPr>
                <w:sz w:val="20"/>
                <w:szCs w:val="20"/>
                <w:color w:val="auto"/>
              </w:rPr>
            </w:pPr>
            <w:r>
              <w:rPr>
                <w:rFonts w:ascii="Arial" w:cs="Arial" w:eastAsia="Arial" w:hAnsi="Arial"/>
                <w:sz w:val="16"/>
                <w:szCs w:val="16"/>
                <w:b w:val="1"/>
                <w:bCs w:val="1"/>
                <w:color w:val="auto"/>
              </w:rPr>
              <w:t>Defined</w:t>
            </w:r>
          </w:p>
        </w:tc>
        <w:tc>
          <w:tcPr>
            <w:tcW w:w="240" w:type="dxa"/>
            <w:vAlign w:val="bottom"/>
          </w:tcPr>
          <w:p>
            <w:pPr>
              <w:spacing w:after="0"/>
              <w:rPr>
                <w:sz w:val="16"/>
                <w:szCs w:val="16"/>
                <w:color w:val="auto"/>
              </w:rPr>
            </w:pPr>
          </w:p>
        </w:tc>
        <w:tc>
          <w:tcPr>
            <w:tcW w:w="1060" w:type="dxa"/>
            <w:vAlign w:val="bottom"/>
          </w:tcPr>
          <w:p>
            <w:pPr>
              <w:jc w:val="center"/>
              <w:ind w:right="19"/>
              <w:spacing w:after="0"/>
              <w:rPr>
                <w:sz w:val="20"/>
                <w:szCs w:val="20"/>
                <w:color w:val="auto"/>
              </w:rPr>
            </w:pPr>
            <w:r>
              <w:rPr>
                <w:rFonts w:ascii="Arial" w:cs="Arial" w:eastAsia="Arial" w:hAnsi="Arial"/>
                <w:sz w:val="16"/>
                <w:szCs w:val="16"/>
                <w:b w:val="1"/>
                <w:bCs w:val="1"/>
                <w:color w:val="auto"/>
              </w:rPr>
              <w:t>Losses on</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center"/>
              <w:ind w:right="39"/>
              <w:spacing w:after="0"/>
              <w:rPr>
                <w:sz w:val="20"/>
                <w:szCs w:val="20"/>
                <w:color w:val="auto"/>
              </w:rPr>
            </w:pPr>
            <w:r>
              <w:rPr>
                <w:rFonts w:ascii="Arial" w:cs="Arial" w:eastAsia="Arial" w:hAnsi="Arial"/>
                <w:sz w:val="16"/>
                <w:szCs w:val="16"/>
                <w:b w:val="1"/>
                <w:bCs w:val="1"/>
                <w:color w:val="auto"/>
              </w:rPr>
              <w:t>Defined</w:t>
            </w:r>
          </w:p>
        </w:tc>
        <w:tc>
          <w:tcPr>
            <w:tcW w:w="30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Losses on</w:t>
            </w: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9"/>
        </w:trPr>
        <w:tc>
          <w:tcPr>
            <w:tcW w:w="3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center"/>
              <w:ind w:right="79"/>
              <w:spacing w:after="0"/>
              <w:rPr>
                <w:sz w:val="20"/>
                <w:szCs w:val="20"/>
                <w:color w:val="auto"/>
              </w:rPr>
            </w:pPr>
            <w:r>
              <w:rPr>
                <w:rFonts w:ascii="Arial" w:cs="Arial" w:eastAsia="Arial" w:hAnsi="Arial"/>
                <w:sz w:val="16"/>
                <w:szCs w:val="16"/>
                <w:b w:val="1"/>
                <w:bCs w:val="1"/>
                <w:color w:val="auto"/>
              </w:rPr>
              <w:t>Benefit</w:t>
            </w:r>
          </w:p>
        </w:tc>
        <w:tc>
          <w:tcPr>
            <w:tcW w:w="240" w:type="dxa"/>
            <w:vAlign w:val="bottom"/>
          </w:tcPr>
          <w:p>
            <w:pPr>
              <w:spacing w:after="0"/>
              <w:rPr>
                <w:sz w:val="16"/>
                <w:szCs w:val="16"/>
                <w:color w:val="auto"/>
              </w:rPr>
            </w:pPr>
          </w:p>
        </w:tc>
        <w:tc>
          <w:tcPr>
            <w:tcW w:w="1060" w:type="dxa"/>
            <w:vAlign w:val="bottom"/>
          </w:tcPr>
          <w:p>
            <w:pPr>
              <w:jc w:val="center"/>
              <w:ind w:right="19"/>
              <w:spacing w:after="0"/>
              <w:rPr>
                <w:sz w:val="20"/>
                <w:szCs w:val="20"/>
                <w:color w:val="auto"/>
              </w:rPr>
            </w:pPr>
            <w:r>
              <w:rPr>
                <w:rFonts w:ascii="Arial" w:cs="Arial" w:eastAsia="Arial" w:hAnsi="Arial"/>
                <w:sz w:val="16"/>
                <w:szCs w:val="16"/>
                <w:b w:val="1"/>
                <w:bCs w:val="1"/>
                <w:color w:val="auto"/>
              </w:rPr>
              <w:t>Available-</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center"/>
              <w:ind w:right="59"/>
              <w:spacing w:after="0"/>
              <w:rPr>
                <w:sz w:val="20"/>
                <w:szCs w:val="20"/>
                <w:color w:val="auto"/>
              </w:rPr>
            </w:pPr>
            <w:r>
              <w:rPr>
                <w:rFonts w:ascii="Arial" w:cs="Arial" w:eastAsia="Arial" w:hAnsi="Arial"/>
                <w:sz w:val="16"/>
                <w:szCs w:val="16"/>
                <w:b w:val="1"/>
                <w:bCs w:val="1"/>
                <w:color w:val="auto"/>
                <w:w w:val="99"/>
              </w:rPr>
              <w:t>Benefit</w:t>
            </w:r>
          </w:p>
        </w:tc>
        <w:tc>
          <w:tcPr>
            <w:tcW w:w="30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Available-</w:t>
            </w: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9"/>
        </w:trPr>
        <w:tc>
          <w:tcPr>
            <w:tcW w:w="3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center"/>
              <w:ind w:right="79"/>
              <w:spacing w:after="0"/>
              <w:rPr>
                <w:sz w:val="20"/>
                <w:szCs w:val="20"/>
                <w:color w:val="auto"/>
              </w:rPr>
            </w:pPr>
            <w:r>
              <w:rPr>
                <w:rFonts w:ascii="Arial" w:cs="Arial" w:eastAsia="Arial" w:hAnsi="Arial"/>
                <w:sz w:val="16"/>
                <w:szCs w:val="16"/>
                <w:b w:val="1"/>
                <w:bCs w:val="1"/>
                <w:color w:val="auto"/>
              </w:rPr>
              <w:t>Pension</w:t>
            </w:r>
          </w:p>
        </w:tc>
        <w:tc>
          <w:tcPr>
            <w:tcW w:w="240" w:type="dxa"/>
            <w:vAlign w:val="bottom"/>
          </w:tcPr>
          <w:p>
            <w:pPr>
              <w:spacing w:after="0"/>
              <w:rPr>
                <w:sz w:val="16"/>
                <w:szCs w:val="16"/>
                <w:color w:val="auto"/>
              </w:rPr>
            </w:pPr>
          </w:p>
        </w:tc>
        <w:tc>
          <w:tcPr>
            <w:tcW w:w="1060" w:type="dxa"/>
            <w:vAlign w:val="bottom"/>
          </w:tcPr>
          <w:p>
            <w:pPr>
              <w:jc w:val="center"/>
              <w:ind w:right="19"/>
              <w:spacing w:after="0"/>
              <w:rPr>
                <w:sz w:val="20"/>
                <w:szCs w:val="20"/>
                <w:color w:val="auto"/>
              </w:rPr>
            </w:pPr>
            <w:r>
              <w:rPr>
                <w:rFonts w:ascii="Arial" w:cs="Arial" w:eastAsia="Arial" w:hAnsi="Arial"/>
                <w:sz w:val="16"/>
                <w:szCs w:val="16"/>
                <w:b w:val="1"/>
                <w:bCs w:val="1"/>
                <w:color w:val="auto"/>
              </w:rPr>
              <w:t>for-Sale</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center"/>
              <w:ind w:right="59"/>
              <w:spacing w:after="0"/>
              <w:rPr>
                <w:sz w:val="20"/>
                <w:szCs w:val="20"/>
                <w:color w:val="auto"/>
              </w:rPr>
            </w:pPr>
            <w:r>
              <w:rPr>
                <w:rFonts w:ascii="Arial" w:cs="Arial" w:eastAsia="Arial" w:hAnsi="Arial"/>
                <w:sz w:val="16"/>
                <w:szCs w:val="16"/>
                <w:b w:val="1"/>
                <w:bCs w:val="1"/>
                <w:color w:val="auto"/>
                <w:w w:val="99"/>
              </w:rPr>
              <w:t>Pension</w:t>
            </w:r>
          </w:p>
        </w:tc>
        <w:tc>
          <w:tcPr>
            <w:tcW w:w="30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for-Sale</w:t>
            </w: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2"/>
        </w:trPr>
        <w:tc>
          <w:tcPr>
            <w:tcW w:w="31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Items</w:t>
            </w: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Securities</w:t>
            </w: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Items</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Securities</w:t>
            </w: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Total</w:t>
            </w:r>
          </w:p>
        </w:tc>
      </w:tr>
      <w:tr>
        <w:trPr>
          <w:trHeight w:val="254"/>
        </w:trPr>
        <w:tc>
          <w:tcPr>
            <w:tcW w:w="32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Balance at beginning of period</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(1,808)</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(1,808)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1,000</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(151)</w:t>
            </w:r>
          </w:p>
        </w:tc>
        <w:tc>
          <w:tcPr>
            <w:tcW w:w="4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849</w:t>
            </w:r>
          </w:p>
        </w:tc>
      </w:tr>
      <w:tr>
        <w:trPr>
          <w:trHeight w:val="270"/>
        </w:trPr>
        <w:tc>
          <w:tcPr>
            <w:tcW w:w="3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32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OCI before reclassifications</w:t>
            </w: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944</w:t>
            </w:r>
          </w:p>
        </w:tc>
        <w:tc>
          <w:tcPr>
            <w:tcW w:w="240" w:type="dxa"/>
            <w:vAlign w:val="bottom"/>
            <w:shd w:val="clear" w:color="auto" w:fill="CCEEFF"/>
          </w:tcPr>
          <w:p>
            <w:pPr>
              <w:spacing w:after="0"/>
              <w:rPr>
                <w:sz w:val="23"/>
                <w:szCs w:val="23"/>
                <w:color w:val="auto"/>
              </w:rPr>
            </w:pPr>
          </w:p>
        </w:tc>
        <w:tc>
          <w:tcPr>
            <w:tcW w:w="1060" w:type="dxa"/>
            <w:vAlign w:val="bottom"/>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944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2,234</w:t>
            </w: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151</w:t>
            </w:r>
          </w:p>
        </w:tc>
        <w:tc>
          <w:tcPr>
            <w:tcW w:w="4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2,385</w:t>
            </w:r>
          </w:p>
        </w:tc>
      </w:tr>
      <w:tr>
        <w:trPr>
          <w:trHeight w:val="264"/>
        </w:trPr>
        <w:tc>
          <w:tcPr>
            <w:tcW w:w="326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Amounts reclassified from AOCI</w:t>
            </w: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(1,857)</w:t>
            </w: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(1,857)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(2,096)</w:t>
            </w: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(2,096)</w:t>
            </w:r>
          </w:p>
        </w:tc>
      </w:tr>
      <w:tr>
        <w:trPr>
          <w:trHeight w:val="250"/>
        </w:trPr>
        <w:tc>
          <w:tcPr>
            <w:tcW w:w="32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current-period OCI</w:t>
            </w:r>
          </w:p>
        </w:tc>
        <w:tc>
          <w:tcPr>
            <w:tcW w:w="2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(913)</w:t>
            </w:r>
          </w:p>
        </w:tc>
        <w:tc>
          <w:tcPr>
            <w:tcW w:w="2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(913)</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138</w:t>
            </w:r>
          </w:p>
        </w:tc>
        <w:tc>
          <w:tcPr>
            <w:tcW w:w="3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151</w:t>
            </w:r>
          </w:p>
        </w:tc>
        <w:tc>
          <w:tcPr>
            <w:tcW w:w="4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289</w:t>
            </w:r>
          </w:p>
        </w:tc>
      </w:tr>
      <w:tr>
        <w:trPr>
          <w:trHeight w:val="270"/>
        </w:trPr>
        <w:tc>
          <w:tcPr>
            <w:tcW w:w="3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56"/>
        </w:trPr>
        <w:tc>
          <w:tcPr>
            <w:tcW w:w="3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 at end of period</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(2,721)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(2,721)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1,138</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1,138</w:t>
            </w:r>
          </w:p>
        </w:tc>
      </w:tr>
      <w:tr>
        <w:trPr>
          <w:trHeight w:val="20"/>
        </w:trPr>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Reclassifications out of AOCI in net periodic benefit costs, net of tax, were: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20" w:type="dxa"/>
            <w:vAlign w:val="bottom"/>
            <w:gridSpan w:val="5"/>
          </w:tcPr>
          <w:p>
            <w:pPr>
              <w:ind w:left="40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9"/>
                <w:szCs w:val="19"/>
                <w:color w:val="auto"/>
              </w:rPr>
            </w:pPr>
          </w:p>
        </w:tc>
        <w:tc>
          <w:tcPr>
            <w:tcW w:w="2660" w:type="dxa"/>
            <w:vAlign w:val="bottom"/>
            <w:gridSpan w:val="4"/>
          </w:tcPr>
          <w:p>
            <w:pPr>
              <w:jc w:val="right"/>
              <w:ind w:right="599"/>
              <w:spacing w:after="0"/>
              <w:rPr>
                <w:sz w:val="20"/>
                <w:szCs w:val="20"/>
                <w:color w:val="auto"/>
              </w:rPr>
            </w:pPr>
            <w:r>
              <w:rPr>
                <w:rFonts w:ascii="Arial" w:cs="Arial" w:eastAsia="Arial" w:hAnsi="Arial"/>
                <w:sz w:val="16"/>
                <w:szCs w:val="16"/>
                <w:b w:val="1"/>
                <w:bCs w:val="1"/>
                <w:color w:val="auto"/>
              </w:rPr>
              <w:t>Nine Months Ended</w:t>
            </w:r>
          </w:p>
        </w:tc>
      </w:tr>
      <w:tr>
        <w:trPr>
          <w:trHeight w:val="182"/>
        </w:trPr>
        <w:tc>
          <w:tcPr>
            <w:tcW w:w="3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40" w:type="dxa"/>
            <w:vAlign w:val="bottom"/>
            <w:gridSpan w:val="2"/>
          </w:tcPr>
          <w:p>
            <w:pPr>
              <w:ind w:left="20"/>
              <w:spacing w:after="0" w:line="183" w:lineRule="exact"/>
              <w:rPr>
                <w:sz w:val="20"/>
                <w:szCs w:val="20"/>
                <w:color w:val="auto"/>
              </w:rPr>
            </w:pPr>
            <w:r>
              <w:rPr>
                <w:rFonts w:ascii="Arial" w:cs="Arial" w:eastAsia="Arial" w:hAnsi="Arial"/>
                <w:sz w:val="16"/>
                <w:szCs w:val="16"/>
                <w:b w:val="1"/>
                <w:bCs w:val="1"/>
                <w:color w:val="auto"/>
              </w:rPr>
              <w:t>Location on Consolidated</w:t>
            </w:r>
          </w:p>
        </w:tc>
        <w:tc>
          <w:tcPr>
            <w:tcW w:w="2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r>
      <w:tr>
        <w:trPr>
          <w:trHeight w:val="189"/>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gridSpan w:val="2"/>
          </w:tcPr>
          <w:p>
            <w:pPr>
              <w:ind w:left="20"/>
              <w:spacing w:after="0"/>
              <w:rPr>
                <w:sz w:val="20"/>
                <w:szCs w:val="20"/>
                <w:color w:val="auto"/>
              </w:rPr>
            </w:pPr>
            <w:r>
              <w:rPr>
                <w:rFonts w:ascii="Arial" w:cs="Arial" w:eastAsia="Arial" w:hAnsi="Arial"/>
                <w:sz w:val="16"/>
                <w:szCs w:val="16"/>
                <w:b w:val="1"/>
                <w:bCs w:val="1"/>
                <w:color w:val="auto"/>
              </w:rPr>
              <w:t>Statements</w:t>
            </w: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9"/>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gridSpan w:val="2"/>
          </w:tcPr>
          <w:p>
            <w:pPr>
              <w:ind w:left="20"/>
              <w:spacing w:after="0"/>
              <w:rPr>
                <w:sz w:val="20"/>
                <w:szCs w:val="20"/>
                <w:color w:val="auto"/>
              </w:rPr>
            </w:pPr>
            <w:r>
              <w:rPr>
                <w:rFonts w:ascii="Arial" w:cs="Arial" w:eastAsia="Arial" w:hAnsi="Arial"/>
                <w:sz w:val="16"/>
                <w:szCs w:val="16"/>
                <w:b w:val="1"/>
                <w:bCs w:val="1"/>
                <w:color w:val="auto"/>
              </w:rPr>
              <w:t>of Income and</w:t>
            </w:r>
          </w:p>
        </w:tc>
        <w:tc>
          <w:tcPr>
            <w:tcW w:w="240" w:type="dxa"/>
            <w:vAlign w:val="bottom"/>
          </w:tcPr>
          <w:p>
            <w:pPr>
              <w:spacing w:after="0"/>
              <w:rPr>
                <w:sz w:val="16"/>
                <w:szCs w:val="16"/>
                <w:color w:val="auto"/>
              </w:rPr>
            </w:pPr>
          </w:p>
        </w:tc>
        <w:tc>
          <w:tcPr>
            <w:tcW w:w="1240" w:type="dxa"/>
            <w:vAlign w:val="bottom"/>
            <w:gridSpan w:val="2"/>
          </w:tcPr>
          <w:p>
            <w:pPr>
              <w:ind w:left="120"/>
              <w:spacing w:after="0"/>
              <w:rPr>
                <w:sz w:val="20"/>
                <w:szCs w:val="20"/>
                <w:color w:val="auto"/>
              </w:rPr>
            </w:pPr>
            <w:r>
              <w:rPr>
                <w:rFonts w:ascii="Arial" w:cs="Arial" w:eastAsia="Arial" w:hAnsi="Arial"/>
                <w:sz w:val="16"/>
                <w:szCs w:val="16"/>
                <w:b w:val="1"/>
                <w:bCs w:val="1"/>
                <w:color w:val="auto"/>
              </w:rPr>
              <w:t>May 30,</w:t>
            </w:r>
          </w:p>
        </w:tc>
        <w:tc>
          <w:tcPr>
            <w:tcW w:w="240" w:type="dxa"/>
            <w:vAlign w:val="bottom"/>
          </w:tcPr>
          <w:p>
            <w:pPr>
              <w:spacing w:after="0"/>
              <w:rPr>
                <w:sz w:val="16"/>
                <w:szCs w:val="16"/>
                <w:color w:val="auto"/>
              </w:rPr>
            </w:pPr>
          </w:p>
        </w:tc>
        <w:tc>
          <w:tcPr>
            <w:tcW w:w="1240" w:type="dxa"/>
            <w:vAlign w:val="bottom"/>
            <w:gridSpan w:val="2"/>
          </w:tcPr>
          <w:p>
            <w:pPr>
              <w:ind w:left="140"/>
              <w:spacing w:after="0"/>
              <w:rPr>
                <w:sz w:val="20"/>
                <w:szCs w:val="20"/>
                <w:color w:val="auto"/>
              </w:rPr>
            </w:pPr>
            <w:r>
              <w:rPr>
                <w:rFonts w:ascii="Arial" w:cs="Arial" w:eastAsia="Arial" w:hAnsi="Arial"/>
                <w:sz w:val="16"/>
                <w:szCs w:val="16"/>
                <w:b w:val="1"/>
                <w:bCs w:val="1"/>
                <w:color w:val="auto"/>
              </w:rPr>
              <w:t>May 31,</w:t>
            </w:r>
          </w:p>
        </w:tc>
        <w:tc>
          <w:tcPr>
            <w:tcW w:w="260" w:type="dxa"/>
            <w:vAlign w:val="bottom"/>
          </w:tcPr>
          <w:p>
            <w:pPr>
              <w:spacing w:after="0"/>
              <w:rPr>
                <w:sz w:val="16"/>
                <w:szCs w:val="16"/>
                <w:color w:val="auto"/>
              </w:rPr>
            </w:pPr>
          </w:p>
        </w:tc>
        <w:tc>
          <w:tcPr>
            <w:tcW w:w="1260" w:type="dxa"/>
            <w:vAlign w:val="bottom"/>
            <w:gridSpan w:val="2"/>
          </w:tcPr>
          <w:p>
            <w:pPr>
              <w:ind w:left="120"/>
              <w:spacing w:after="0"/>
              <w:rPr>
                <w:sz w:val="20"/>
                <w:szCs w:val="20"/>
                <w:color w:val="auto"/>
              </w:rPr>
            </w:pPr>
            <w:r>
              <w:rPr>
                <w:rFonts w:ascii="Arial" w:cs="Arial" w:eastAsia="Arial" w:hAnsi="Arial"/>
                <w:sz w:val="16"/>
                <w:szCs w:val="16"/>
                <w:b w:val="1"/>
                <w:bCs w:val="1"/>
                <w:color w:val="auto"/>
              </w:rPr>
              <w:t>May 30,</w:t>
            </w:r>
          </w:p>
        </w:tc>
        <w:tc>
          <w:tcPr>
            <w:tcW w:w="240" w:type="dxa"/>
            <w:vAlign w:val="bottom"/>
          </w:tcPr>
          <w:p>
            <w:pPr>
              <w:spacing w:after="0"/>
              <w:rPr>
                <w:sz w:val="16"/>
                <w:szCs w:val="16"/>
                <w:color w:val="auto"/>
              </w:rPr>
            </w:pPr>
          </w:p>
        </w:tc>
        <w:tc>
          <w:tcPr>
            <w:tcW w:w="1160" w:type="dxa"/>
            <w:vAlign w:val="bottom"/>
          </w:tcPr>
          <w:p>
            <w:pPr>
              <w:jc w:val="right"/>
              <w:ind w:right="359"/>
              <w:spacing w:after="0"/>
              <w:rPr>
                <w:sz w:val="20"/>
                <w:szCs w:val="20"/>
                <w:color w:val="auto"/>
              </w:rPr>
            </w:pPr>
            <w:r>
              <w:rPr>
                <w:rFonts w:ascii="Arial" w:cs="Arial" w:eastAsia="Arial" w:hAnsi="Arial"/>
                <w:sz w:val="16"/>
                <w:szCs w:val="16"/>
                <w:b w:val="1"/>
                <w:bCs w:val="1"/>
                <w:color w:val="auto"/>
              </w:rPr>
              <w:t>May 31,</w:t>
            </w:r>
          </w:p>
        </w:tc>
      </w:tr>
      <w:tr>
        <w:trPr>
          <w:trHeight w:val="232"/>
        </w:trPr>
        <w:tc>
          <w:tcPr>
            <w:tcW w:w="30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20"/>
                <w:szCs w:val="20"/>
                <w:color w:val="auto"/>
              </w:rPr>
            </w:pPr>
          </w:p>
        </w:tc>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Comprehensive Income</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2014</w:t>
            </w:r>
          </w:p>
        </w:tc>
      </w:tr>
      <w:tr>
        <w:trPr>
          <w:trHeight w:val="254"/>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Amortization of prior service credit</w:t>
            </w:r>
          </w:p>
        </w:tc>
        <w:tc>
          <w:tcPr>
            <w:tcW w:w="2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(903)</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(925)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(2,525)</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(2,601)</w:t>
            </w:r>
          </w:p>
        </w:tc>
      </w:tr>
      <w:tr>
        <w:trPr>
          <w:trHeight w:val="264"/>
        </w:trPr>
        <w:tc>
          <w:tcPr>
            <w:tcW w:w="31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Amortization of net actuarial loss</w:t>
            </w:r>
          </w:p>
        </w:tc>
        <w:tc>
          <w:tcPr>
            <w:tcW w:w="24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Operating expenses</w:t>
            </w: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249</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173</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668</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505</w:t>
            </w:r>
          </w:p>
        </w:tc>
      </w:tr>
      <w:tr>
        <w:trPr>
          <w:trHeight w:val="256"/>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reclassifications</w:t>
            </w:r>
          </w:p>
        </w:tc>
        <w:tc>
          <w:tcPr>
            <w:tcW w:w="2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(654)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(752)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(1,857)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(2,096)</w:t>
            </w:r>
          </w:p>
        </w:tc>
      </w:tr>
      <w:tr>
        <w:trPr>
          <w:trHeight w:val="20"/>
        </w:trPr>
        <w:tc>
          <w:tcPr>
            <w:tcW w:w="3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15: Subsequent Event</w:t>
      </w:r>
    </w:p>
    <w:p>
      <w:pPr>
        <w:spacing w:after="0" w:line="196" w:lineRule="exact"/>
        <w:rPr>
          <w:sz w:val="20"/>
          <w:szCs w:val="20"/>
          <w:color w:val="auto"/>
        </w:rPr>
      </w:pPr>
    </w:p>
    <w:p>
      <w:pPr>
        <w:ind w:right="80"/>
        <w:spacing w:after="0" w:line="269" w:lineRule="auto"/>
        <w:rPr>
          <w:sz w:val="20"/>
          <w:szCs w:val="20"/>
          <w:color w:val="auto"/>
        </w:rPr>
      </w:pPr>
      <w:r>
        <w:rPr>
          <w:rFonts w:ascii="Arial" w:cs="Arial" w:eastAsia="Arial" w:hAnsi="Arial"/>
          <w:sz w:val="16"/>
          <w:szCs w:val="16"/>
          <w:color w:val="auto"/>
        </w:rPr>
        <w:t>We evaluated all events or transactions occurring between the balance sheet date for the quarterly period ended May 30, 2015 and the date of issuance of the financial statements that would require recognition or disclosure in the financial statements. There were no material subsequent events except the June 17, 2015 dividend declaration as noted in Note 10.</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2. </w:t>
      </w:r>
      <w:r>
        <w:rPr>
          <w:rFonts w:ascii="Arial" w:cs="Arial" w:eastAsia="Arial" w:hAnsi="Arial"/>
          <w:sz w:val="16"/>
          <w:szCs w:val="16"/>
          <w:color w:val="auto"/>
        </w:rPr>
        <w:t>Management's Discussion and Analysis of Financial Condition and Results of Operations</w:t>
      </w:r>
    </w:p>
    <w:p>
      <w:pPr>
        <w:spacing w:after="0" w:line="169" w:lineRule="exact"/>
        <w:rPr>
          <w:sz w:val="20"/>
          <w:szCs w:val="20"/>
          <w:color w:val="auto"/>
        </w:rPr>
      </w:pPr>
    </w:p>
    <w:p>
      <w:pPr>
        <w:jc w:val="both"/>
        <w:ind w:right="40"/>
        <w:spacing w:after="0" w:line="199" w:lineRule="exact"/>
        <w:rPr>
          <w:sz w:val="20"/>
          <w:szCs w:val="20"/>
          <w:color w:val="auto"/>
        </w:rPr>
      </w:pPr>
      <w:r>
        <w:rPr>
          <w:rFonts w:ascii="Arial" w:cs="Arial" w:eastAsia="Arial" w:hAnsi="Arial"/>
          <w:sz w:val="16"/>
          <w:szCs w:val="16"/>
          <w:color w:val="auto"/>
        </w:rPr>
        <w:t>This management's discussion should be read in conjunction with the Unaudited Consolidated Financial Statements contained in this Form 10-Q as well as the Management's Discussion and Analysis and Risk Factors included in our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fiscal year ended August 30, 2014 and in Part II, Item 1A of this Quarterly Report on Form 10-Q.</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1" w:right="239" w:bottom="1440" w:gutter="0" w:footer="0" w:header="0"/>
          <w:type w:val="continuous"/>
        </w:sectPr>
      </w:pPr>
    </w:p>
    <w:bookmarkStart w:id="14" w:name="page15"/>
    <w:bookmarkEnd w:id="1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Information</w:t>
      </w:r>
    </w:p>
    <w:p>
      <w:pPr>
        <w:spacing w:after="0" w:line="196"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Certain of the matters discussed in this Quarterly Report on Form 10-Q are “forward-looking statements” within the meaning of Section 27A of the Securities Act of 1933, as amended, and Section 21E of the Securities Exchange Act of 1934, as amended, which involve risks and uncertainties. A number of factors could cause actual results to differ materially from these statements, including, but not limited to: increases in interest rates, availability of credit, low consumer confidence, availability of labor, significant increase in repurchase obligations, inadequate liquidity or capital resources, availability and price of fuel, a slowdown in the economy, increased material and component costs, availability of chassis and other key component parts, sales order cancellations, slower than anticipated sales of new or existing products, new product introductions by competitors, the effect of global tensions, integration of operations relating to mergers and acquisitions activities, any unexpected expenses related to ERP and strategic sourcing projects, and other factors which may be disclosed throughout this report. Although we believe that the expectations reflected in the “forward-looking statements” are reasonable, we cannot guarantee future results, or levels of activity, performance or achievements. Undue reliance should not be placed on these “forward-looking statements,” which speak only as of the date of this report. We undertake no obligation to publicly update or revise any “forward-looking statements” whether as a result of new information, future events or otherwise, except as required by law or the rules of the NYSE.</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Overview</w:t>
      </w:r>
    </w:p>
    <w:p>
      <w:pPr>
        <w:spacing w:after="0" w:line="169" w:lineRule="exact"/>
        <w:rPr>
          <w:sz w:val="20"/>
          <w:szCs w:val="20"/>
          <w:color w:val="auto"/>
        </w:rPr>
      </w:pPr>
    </w:p>
    <w:p>
      <w:pPr>
        <w:ind w:right="160"/>
        <w:spacing w:after="0" w:line="269" w:lineRule="auto"/>
        <w:rPr>
          <w:sz w:val="20"/>
          <w:szCs w:val="20"/>
          <w:color w:val="auto"/>
        </w:rPr>
      </w:pPr>
      <w:r>
        <w:rPr>
          <w:rFonts w:ascii="Arial" w:cs="Arial" w:eastAsia="Arial" w:hAnsi="Arial"/>
          <w:sz w:val="16"/>
          <w:szCs w:val="16"/>
          <w:color w:val="auto"/>
        </w:rPr>
        <w:t>Winnebago Industries, Inc. is a leading US manufacturer of RVs with a proud history of manufacturing RV products for more than 50 years. We produce all of our motorhomes in vertically integrated manufacturing facilities in Iowa and we produce all travel trailer and fifth wheel trailers in Indiana. We distribute our products primarily through independent dealers throughout the US and Canada, who then retail the products to the end consumer.</w:t>
      </w:r>
    </w:p>
    <w:p>
      <w:pPr>
        <w:spacing w:after="0" w:line="124" w:lineRule="exact"/>
        <w:rPr>
          <w:sz w:val="20"/>
          <w:szCs w:val="20"/>
          <w:color w:val="auto"/>
        </w:rPr>
      </w:pPr>
    </w:p>
    <w:p>
      <w:pPr>
        <w:ind w:right="640"/>
        <w:spacing w:after="0" w:line="327" w:lineRule="auto"/>
        <w:rPr>
          <w:sz w:val="20"/>
          <w:szCs w:val="20"/>
          <w:color w:val="auto"/>
        </w:rPr>
      </w:pPr>
      <w:r>
        <w:rPr>
          <w:rFonts w:ascii="Arial" w:cs="Arial" w:eastAsia="Arial" w:hAnsi="Arial"/>
          <w:sz w:val="16"/>
          <w:szCs w:val="16"/>
          <w:color w:val="auto"/>
        </w:rPr>
        <w:t>Our retail unit market share, as reported by Stat Surveys based on state records, is illustrated below. Note that this data is subject to adjustment and is continuously updated.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40" w:type="dxa"/>
            <w:vAlign w:val="bottom"/>
            <w:gridSpan w:val="3"/>
          </w:tcPr>
          <w:p>
            <w:pPr>
              <w:ind w:left="320"/>
              <w:spacing w:after="0"/>
              <w:rPr>
                <w:sz w:val="20"/>
                <w:szCs w:val="20"/>
                <w:color w:val="auto"/>
              </w:rPr>
            </w:pPr>
            <w:r>
              <w:rPr>
                <w:rFonts w:ascii="Arial" w:cs="Arial" w:eastAsia="Arial" w:hAnsi="Arial"/>
                <w:sz w:val="14"/>
                <w:szCs w:val="14"/>
                <w:b w:val="1"/>
                <w:bCs w:val="1"/>
                <w:color w:val="auto"/>
              </w:rPr>
              <w:t>Rolling 12 Months Through April</w:t>
            </w:r>
          </w:p>
        </w:tc>
        <w:tc>
          <w:tcPr>
            <w:tcW w:w="1400" w:type="dxa"/>
            <w:vAlign w:val="bottom"/>
          </w:tcPr>
          <w:p>
            <w:pPr>
              <w:spacing w:after="0"/>
              <w:rPr>
                <w:sz w:val="17"/>
                <w:szCs w:val="17"/>
                <w:color w:val="auto"/>
              </w:rPr>
            </w:pPr>
          </w:p>
        </w:tc>
        <w:tc>
          <w:tcPr>
            <w:tcW w:w="1600" w:type="dxa"/>
            <w:vAlign w:val="bottom"/>
          </w:tcPr>
          <w:p>
            <w:pPr>
              <w:jc w:val="right"/>
              <w:ind w:right="303"/>
              <w:spacing w:after="0"/>
              <w:rPr>
                <w:sz w:val="20"/>
                <w:szCs w:val="20"/>
                <w:color w:val="auto"/>
              </w:rPr>
            </w:pPr>
            <w:r>
              <w:rPr>
                <w:rFonts w:ascii="Arial" w:cs="Arial" w:eastAsia="Arial" w:hAnsi="Arial"/>
                <w:sz w:val="14"/>
                <w:szCs w:val="14"/>
                <w:b w:val="1"/>
                <w:bCs w:val="1"/>
                <w:color w:val="auto"/>
              </w:rPr>
              <w:t>Calendar Year</w:t>
            </w:r>
          </w:p>
        </w:tc>
        <w:tc>
          <w:tcPr>
            <w:tcW w:w="1260" w:type="dxa"/>
            <w:vAlign w:val="bottom"/>
          </w:tcPr>
          <w:p>
            <w:pPr>
              <w:spacing w:after="0"/>
              <w:rPr>
                <w:sz w:val="17"/>
                <w:szCs w:val="17"/>
                <w:color w:val="auto"/>
              </w:rPr>
            </w:pPr>
          </w:p>
        </w:tc>
      </w:tr>
      <w:tr>
        <w:trPr>
          <w:trHeight w:val="250"/>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US and Canada</w:t>
            </w:r>
          </w:p>
        </w:tc>
        <w:tc>
          <w:tcPr>
            <w:tcW w:w="100" w:type="dxa"/>
            <w:vAlign w:val="bottom"/>
            <w:tcBorders>
              <w:bottom w:val="single" w:sz="8" w:color="CCEEFF"/>
            </w:tcBorders>
          </w:tcPr>
          <w:p>
            <w:pPr>
              <w:spacing w:after="0"/>
              <w:rPr>
                <w:sz w:val="21"/>
                <w:szCs w:val="21"/>
                <w:color w:val="auto"/>
              </w:rPr>
            </w:pPr>
          </w:p>
        </w:tc>
        <w:tc>
          <w:tcPr>
            <w:tcW w:w="1560" w:type="dxa"/>
            <w:vAlign w:val="bottom"/>
            <w:tcBorders>
              <w:top w:val="single" w:sz="8" w:color="auto"/>
              <w:bottom w:val="single" w:sz="8" w:color="auto"/>
            </w:tcBorders>
          </w:tcPr>
          <w:p>
            <w:pPr>
              <w:jc w:val="right"/>
              <w:ind w:right="603"/>
              <w:spacing w:after="0"/>
              <w:rPr>
                <w:sz w:val="20"/>
                <w:szCs w:val="20"/>
                <w:color w:val="auto"/>
              </w:rPr>
            </w:pPr>
            <w:r>
              <w:rPr>
                <w:rFonts w:ascii="Arial" w:cs="Arial" w:eastAsia="Arial" w:hAnsi="Arial"/>
                <w:sz w:val="14"/>
                <w:szCs w:val="14"/>
                <w:b w:val="1"/>
                <w:bCs w:val="1"/>
                <w:color w:val="auto"/>
              </w:rPr>
              <w:t>2015</w:t>
            </w:r>
          </w:p>
        </w:tc>
        <w:tc>
          <w:tcPr>
            <w:tcW w:w="128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1"/>
                <w:szCs w:val="21"/>
                <w:color w:val="auto"/>
              </w:rPr>
            </w:pPr>
          </w:p>
        </w:tc>
        <w:tc>
          <w:tcPr>
            <w:tcW w:w="1400" w:type="dxa"/>
            <w:vAlign w:val="bottom"/>
            <w:tcBorders>
              <w:top w:val="single" w:sz="8" w:color="auto"/>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2014</w:t>
            </w:r>
          </w:p>
        </w:tc>
        <w:tc>
          <w:tcPr>
            <w:tcW w:w="1600" w:type="dxa"/>
            <w:vAlign w:val="bottom"/>
            <w:tcBorders>
              <w:top w:val="single" w:sz="8" w:color="auto"/>
              <w:bottom w:val="single" w:sz="8" w:color="auto"/>
            </w:tcBorders>
          </w:tcPr>
          <w:p>
            <w:pPr>
              <w:jc w:val="right"/>
              <w:ind w:right="623"/>
              <w:spacing w:after="0"/>
              <w:rPr>
                <w:sz w:val="20"/>
                <w:szCs w:val="20"/>
                <w:color w:val="auto"/>
              </w:rPr>
            </w:pPr>
            <w:r>
              <w:rPr>
                <w:rFonts w:ascii="Arial" w:cs="Arial" w:eastAsia="Arial" w:hAnsi="Arial"/>
                <w:sz w:val="14"/>
                <w:szCs w:val="14"/>
                <w:b w:val="1"/>
                <w:bCs w:val="1"/>
                <w:color w:val="auto"/>
              </w:rPr>
              <w:t>2013</w:t>
            </w:r>
          </w:p>
        </w:tc>
        <w:tc>
          <w:tcPr>
            <w:tcW w:w="126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2012</w:t>
            </w:r>
          </w:p>
        </w:tc>
      </w:tr>
      <w:tr>
        <w:trPr>
          <w:trHeight w:val="251"/>
        </w:trPr>
        <w:tc>
          <w:tcPr>
            <w:tcW w:w="42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Motorized A, B, C</w:t>
            </w:r>
          </w:p>
        </w:tc>
        <w:tc>
          <w:tcPr>
            <w:tcW w:w="1560" w:type="dxa"/>
            <w:vAlign w:val="bottom"/>
            <w:shd w:val="clear" w:color="auto" w:fill="CCEEFF"/>
          </w:tcPr>
          <w:p>
            <w:pPr>
              <w:jc w:val="right"/>
              <w:ind w:right="343"/>
              <w:spacing w:after="0"/>
              <w:rPr>
                <w:sz w:val="20"/>
                <w:szCs w:val="20"/>
                <w:color w:val="auto"/>
              </w:rPr>
            </w:pPr>
            <w:r>
              <w:rPr>
                <w:rFonts w:ascii="Arial" w:cs="Arial" w:eastAsia="Arial" w:hAnsi="Arial"/>
                <w:sz w:val="16"/>
                <w:szCs w:val="16"/>
                <w:color w:val="auto"/>
              </w:rPr>
              <w:t>20.8%</w:t>
            </w:r>
          </w:p>
        </w:tc>
        <w:tc>
          <w:tcPr>
            <w:tcW w:w="12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19.1%</w:t>
            </w: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20.7%</w:t>
            </w:r>
          </w:p>
        </w:tc>
        <w:tc>
          <w:tcPr>
            <w:tcW w:w="1600" w:type="dxa"/>
            <w:vAlign w:val="bottom"/>
            <w:shd w:val="clear" w:color="auto" w:fill="CCEEFF"/>
          </w:tcPr>
          <w:p>
            <w:pPr>
              <w:jc w:val="right"/>
              <w:ind w:right="363"/>
              <w:spacing w:after="0"/>
              <w:rPr>
                <w:sz w:val="20"/>
                <w:szCs w:val="20"/>
                <w:color w:val="auto"/>
              </w:rPr>
            </w:pPr>
            <w:r>
              <w:rPr>
                <w:rFonts w:ascii="Arial" w:cs="Arial" w:eastAsia="Arial" w:hAnsi="Arial"/>
                <w:sz w:val="16"/>
                <w:szCs w:val="16"/>
                <w:color w:val="auto"/>
              </w:rPr>
              <w:t>18.6%</w:t>
            </w:r>
          </w:p>
        </w:tc>
        <w:tc>
          <w:tcPr>
            <w:tcW w:w="126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19.8%</w:t>
            </w:r>
          </w:p>
        </w:tc>
      </w:tr>
      <w:tr>
        <w:trPr>
          <w:trHeight w:val="255"/>
        </w:trPr>
        <w:tc>
          <w:tcPr>
            <w:tcW w:w="4220" w:type="dxa"/>
            <w:vAlign w:val="bottom"/>
            <w:gridSpan w:val="2"/>
          </w:tcPr>
          <w:p>
            <w:pPr>
              <w:ind w:left="40"/>
              <w:spacing w:after="0"/>
              <w:rPr>
                <w:sz w:val="20"/>
                <w:szCs w:val="20"/>
                <w:color w:val="auto"/>
              </w:rPr>
            </w:pPr>
            <w:r>
              <w:rPr>
                <w:rFonts w:ascii="Arial" w:cs="Arial" w:eastAsia="Arial" w:hAnsi="Arial"/>
                <w:sz w:val="16"/>
                <w:szCs w:val="16"/>
                <w:color w:val="auto"/>
              </w:rPr>
              <w:t>Travel trailer and fifth wheels</w:t>
            </w:r>
          </w:p>
        </w:tc>
        <w:tc>
          <w:tcPr>
            <w:tcW w:w="1560" w:type="dxa"/>
            <w:vAlign w:val="bottom"/>
          </w:tcPr>
          <w:p>
            <w:pPr>
              <w:jc w:val="right"/>
              <w:ind w:right="343"/>
              <w:spacing w:after="0"/>
              <w:rPr>
                <w:sz w:val="20"/>
                <w:szCs w:val="20"/>
                <w:color w:val="auto"/>
              </w:rPr>
            </w:pPr>
            <w:r>
              <w:rPr>
                <w:rFonts w:ascii="Arial" w:cs="Arial" w:eastAsia="Arial" w:hAnsi="Arial"/>
                <w:sz w:val="16"/>
                <w:szCs w:val="16"/>
                <w:color w:val="auto"/>
              </w:rPr>
              <w:t>0.9%</w:t>
            </w:r>
          </w:p>
        </w:tc>
        <w:tc>
          <w:tcPr>
            <w:tcW w:w="1280" w:type="dxa"/>
            <w:vAlign w:val="bottom"/>
          </w:tcPr>
          <w:p>
            <w:pPr>
              <w:jc w:val="right"/>
              <w:ind w:right="202"/>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22"/>
                <w:szCs w:val="22"/>
                <w:color w:val="auto"/>
              </w:rPr>
            </w:pPr>
          </w:p>
        </w:tc>
        <w:tc>
          <w:tcPr>
            <w:tcW w:w="1400" w:type="dxa"/>
            <w:vAlign w:val="bottom"/>
          </w:tcPr>
          <w:p>
            <w:pPr>
              <w:jc w:val="right"/>
              <w:ind w:right="182"/>
              <w:spacing w:after="0"/>
              <w:rPr>
                <w:sz w:val="20"/>
                <w:szCs w:val="20"/>
                <w:color w:val="auto"/>
              </w:rPr>
            </w:pPr>
            <w:r>
              <w:rPr>
                <w:rFonts w:ascii="Arial" w:cs="Arial" w:eastAsia="Arial" w:hAnsi="Arial"/>
                <w:sz w:val="16"/>
                <w:szCs w:val="16"/>
                <w:color w:val="auto"/>
              </w:rPr>
              <w:t>0.8%</w:t>
            </w:r>
          </w:p>
        </w:tc>
        <w:tc>
          <w:tcPr>
            <w:tcW w:w="1600" w:type="dxa"/>
            <w:vAlign w:val="bottom"/>
          </w:tcPr>
          <w:p>
            <w:pPr>
              <w:jc w:val="right"/>
              <w:ind w:right="363"/>
              <w:spacing w:after="0"/>
              <w:rPr>
                <w:sz w:val="20"/>
                <w:szCs w:val="20"/>
                <w:color w:val="auto"/>
              </w:rPr>
            </w:pPr>
            <w:r>
              <w:rPr>
                <w:rFonts w:ascii="Arial" w:cs="Arial" w:eastAsia="Arial" w:hAnsi="Arial"/>
                <w:sz w:val="16"/>
                <w:szCs w:val="16"/>
                <w:color w:val="auto"/>
              </w:rPr>
              <w:t>1.0%</w:t>
            </w:r>
          </w:p>
        </w:tc>
        <w:tc>
          <w:tcPr>
            <w:tcW w:w="1260" w:type="dxa"/>
            <w:vAlign w:val="bottom"/>
          </w:tcPr>
          <w:p>
            <w:pPr>
              <w:jc w:val="right"/>
              <w:ind w:right="202"/>
              <w:spacing w:after="0"/>
              <w:rPr>
                <w:sz w:val="20"/>
                <w:szCs w:val="20"/>
                <w:color w:val="auto"/>
              </w:rPr>
            </w:pPr>
            <w:r>
              <w:rPr>
                <w:rFonts w:ascii="Arial" w:cs="Arial" w:eastAsia="Arial" w:hAnsi="Arial"/>
                <w:sz w:val="16"/>
                <w:szCs w:val="16"/>
                <w:color w:val="auto"/>
              </w:rPr>
              <w:t>0.9%</w:t>
            </w:r>
          </w:p>
        </w:tc>
      </w:tr>
    </w:tbl>
    <w:p>
      <w:pPr>
        <w:spacing w:after="0" w:line="186"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In the past twelve months, we have increased our North American motorhome retail market share by 170 basis points. The most notable growth occurred in the Class C segment which was fueled in part by our partnership with a large rental dealer. We also experienced significant retail growth in Class B due to new products introduced and increased demand for existing offerings.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Presented in fiscal quarters, certain key metrics are shown below: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2"/>
          </w:tcPr>
          <w:p>
            <w:pPr>
              <w:jc w:val="right"/>
              <w:ind w:right="181"/>
              <w:spacing w:after="0"/>
              <w:rPr>
                <w:sz w:val="20"/>
                <w:szCs w:val="20"/>
                <w:color w:val="auto"/>
              </w:rPr>
            </w:pPr>
            <w:r>
              <w:rPr>
                <w:rFonts w:ascii="Arial" w:cs="Arial" w:eastAsia="Arial" w:hAnsi="Arial"/>
                <w:sz w:val="16"/>
                <w:szCs w:val="16"/>
                <w:b w:val="1"/>
                <w:bCs w:val="1"/>
                <w:color w:val="auto"/>
              </w:rPr>
              <w:t>Class A, B &amp; C Motorhomes</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2"/>
          </w:tcPr>
          <w:p>
            <w:pPr>
              <w:jc w:val="right"/>
              <w:ind w:right="141"/>
              <w:spacing w:after="0"/>
              <w:rPr>
                <w:sz w:val="20"/>
                <w:szCs w:val="20"/>
                <w:color w:val="auto"/>
              </w:rPr>
            </w:pPr>
            <w:r>
              <w:rPr>
                <w:rFonts w:ascii="Arial" w:cs="Arial" w:eastAsia="Arial" w:hAnsi="Arial"/>
                <w:sz w:val="16"/>
                <w:szCs w:val="16"/>
                <w:b w:val="1"/>
                <w:bCs w:val="1"/>
                <w:color w:val="auto"/>
              </w:rPr>
              <w:t>Travel Trailers &amp; Fifth Wheels</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30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4"/>
                <w:szCs w:val="14"/>
                <w:b w:val="1"/>
                <w:bCs w:val="1"/>
                <w:color w:val="auto"/>
              </w:rPr>
              <w:t>As of Quarter End</w:t>
            </w: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230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4"/>
                <w:szCs w:val="14"/>
                <w:b w:val="1"/>
                <w:bCs w:val="1"/>
                <w:color w:val="auto"/>
              </w:rPr>
              <w:t>As of Quarter End</w:t>
            </w:r>
          </w:p>
        </w:tc>
        <w:tc>
          <w:tcPr>
            <w:tcW w:w="0" w:type="dxa"/>
            <w:vAlign w:val="bottom"/>
          </w:tcPr>
          <w:p>
            <w:pPr>
              <w:spacing w:after="0"/>
              <w:rPr>
                <w:sz w:val="1"/>
                <w:szCs w:val="1"/>
                <w:color w:val="auto"/>
              </w:rPr>
            </w:pPr>
          </w:p>
        </w:tc>
      </w:tr>
      <w:tr>
        <w:trPr>
          <w:trHeight w:val="249"/>
        </w:trPr>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right"/>
              <w:ind w:right="180"/>
              <w:spacing w:after="0"/>
              <w:rPr>
                <w:sz w:val="20"/>
                <w:szCs w:val="20"/>
                <w:color w:val="auto"/>
              </w:rPr>
            </w:pPr>
            <w:r>
              <w:rPr>
                <w:rFonts w:ascii="Arial" w:cs="Arial" w:eastAsia="Arial" w:hAnsi="Arial"/>
                <w:sz w:val="14"/>
                <w:szCs w:val="14"/>
                <w:b w:val="1"/>
                <w:bCs w:val="1"/>
                <w:color w:val="auto"/>
              </w:rPr>
              <w:t>Wholesale</w:t>
            </w:r>
          </w:p>
        </w:tc>
        <w:tc>
          <w:tcPr>
            <w:tcW w:w="1360" w:type="dxa"/>
            <w:vAlign w:val="bottom"/>
          </w:tcPr>
          <w:p>
            <w:pPr>
              <w:jc w:val="right"/>
              <w:ind w:right="400"/>
              <w:spacing w:after="0"/>
              <w:rPr>
                <w:sz w:val="20"/>
                <w:szCs w:val="20"/>
                <w:color w:val="auto"/>
              </w:rPr>
            </w:pPr>
            <w:r>
              <w:rPr>
                <w:rFonts w:ascii="Arial" w:cs="Arial" w:eastAsia="Arial" w:hAnsi="Arial"/>
                <w:sz w:val="14"/>
                <w:szCs w:val="14"/>
                <w:b w:val="1"/>
                <w:bCs w:val="1"/>
                <w:color w:val="auto"/>
              </w:rPr>
              <w:t>Retail</w:t>
            </w:r>
          </w:p>
        </w:tc>
        <w:tc>
          <w:tcPr>
            <w:tcW w:w="1200" w:type="dxa"/>
            <w:vAlign w:val="bottom"/>
          </w:tcPr>
          <w:p>
            <w:pPr>
              <w:jc w:val="right"/>
              <w:ind w:right="341"/>
              <w:spacing w:after="0"/>
              <w:rPr>
                <w:sz w:val="20"/>
                <w:szCs w:val="20"/>
                <w:color w:val="auto"/>
              </w:rPr>
            </w:pPr>
            <w:r>
              <w:rPr>
                <w:rFonts w:ascii="Arial" w:cs="Arial" w:eastAsia="Arial" w:hAnsi="Arial"/>
                <w:sz w:val="14"/>
                <w:szCs w:val="14"/>
                <w:b w:val="1"/>
                <w:bCs w:val="1"/>
                <w:color w:val="auto"/>
              </w:rPr>
              <w:t>Dealer</w:t>
            </w: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9"/>
              </w:rPr>
              <w:t>Order</w:t>
            </w:r>
          </w:p>
        </w:tc>
        <w:tc>
          <w:tcPr>
            <w:tcW w:w="1180" w:type="dxa"/>
            <w:vAlign w:val="bottom"/>
          </w:tcPr>
          <w:p>
            <w:pPr>
              <w:jc w:val="right"/>
              <w:ind w:right="140"/>
              <w:spacing w:after="0"/>
              <w:rPr>
                <w:sz w:val="20"/>
                <w:szCs w:val="20"/>
                <w:color w:val="auto"/>
              </w:rPr>
            </w:pPr>
            <w:r>
              <w:rPr>
                <w:rFonts w:ascii="Arial" w:cs="Arial" w:eastAsia="Arial" w:hAnsi="Arial"/>
                <w:sz w:val="14"/>
                <w:szCs w:val="14"/>
                <w:b w:val="1"/>
                <w:bCs w:val="1"/>
                <w:color w:val="auto"/>
              </w:rPr>
              <w:t>Wholesale</w:t>
            </w:r>
          </w:p>
        </w:tc>
        <w:tc>
          <w:tcPr>
            <w:tcW w:w="1400" w:type="dxa"/>
            <w:vAlign w:val="bottom"/>
          </w:tcPr>
          <w:p>
            <w:pPr>
              <w:jc w:val="right"/>
              <w:ind w:right="400"/>
              <w:spacing w:after="0"/>
              <w:rPr>
                <w:sz w:val="20"/>
                <w:szCs w:val="20"/>
                <w:color w:val="auto"/>
              </w:rPr>
            </w:pPr>
            <w:r>
              <w:rPr>
                <w:rFonts w:ascii="Arial" w:cs="Arial" w:eastAsia="Arial" w:hAnsi="Arial"/>
                <w:sz w:val="14"/>
                <w:szCs w:val="14"/>
                <w:b w:val="1"/>
                <w:bCs w:val="1"/>
                <w:color w:val="auto"/>
              </w:rPr>
              <w:t>Retail</w:t>
            </w:r>
          </w:p>
        </w:tc>
        <w:tc>
          <w:tcPr>
            <w:tcW w:w="1220" w:type="dxa"/>
            <w:vAlign w:val="bottom"/>
          </w:tcPr>
          <w:p>
            <w:pPr>
              <w:jc w:val="right"/>
              <w:ind w:right="341"/>
              <w:spacing w:after="0"/>
              <w:rPr>
                <w:sz w:val="20"/>
                <w:szCs w:val="20"/>
                <w:color w:val="auto"/>
              </w:rPr>
            </w:pPr>
            <w:r>
              <w:rPr>
                <w:rFonts w:ascii="Arial" w:cs="Arial" w:eastAsia="Arial" w:hAnsi="Arial"/>
                <w:sz w:val="14"/>
                <w:szCs w:val="14"/>
                <w:b w:val="1"/>
                <w:bCs w:val="1"/>
                <w:color w:val="auto"/>
              </w:rPr>
              <w:t>Dealer</w:t>
            </w:r>
          </w:p>
        </w:tc>
        <w:tc>
          <w:tcPr>
            <w:tcW w:w="1080" w:type="dxa"/>
            <w:vAlign w:val="bottom"/>
          </w:tcPr>
          <w:p>
            <w:pPr>
              <w:jc w:val="right"/>
              <w:ind w:right="300"/>
              <w:spacing w:after="0"/>
              <w:rPr>
                <w:sz w:val="20"/>
                <w:szCs w:val="20"/>
                <w:color w:val="auto"/>
              </w:rPr>
            </w:pPr>
            <w:r>
              <w:rPr>
                <w:rFonts w:ascii="Arial" w:cs="Arial" w:eastAsia="Arial" w:hAnsi="Arial"/>
                <w:sz w:val="14"/>
                <w:szCs w:val="14"/>
                <w:b w:val="1"/>
                <w:bCs w:val="1"/>
                <w:color w:val="auto"/>
              </w:rPr>
              <w:t>Order</w:t>
            </w:r>
          </w:p>
        </w:tc>
        <w:tc>
          <w:tcPr>
            <w:tcW w:w="0" w:type="dxa"/>
            <w:vAlign w:val="bottom"/>
          </w:tcPr>
          <w:p>
            <w:pPr>
              <w:spacing w:after="0"/>
              <w:rPr>
                <w:sz w:val="1"/>
                <w:szCs w:val="1"/>
                <w:color w:val="auto"/>
              </w:rPr>
            </w:pPr>
          </w:p>
        </w:tc>
      </w:tr>
      <w:tr>
        <w:trPr>
          <w:trHeight w:val="271"/>
        </w:trPr>
        <w:tc>
          <w:tcPr>
            <w:tcW w:w="1560" w:type="dxa"/>
            <w:vAlign w:val="bottom"/>
            <w:gridSpan w:val="3"/>
          </w:tcPr>
          <w:p>
            <w:pPr>
              <w:ind w:left="40"/>
              <w:spacing w:after="0"/>
              <w:rPr>
                <w:sz w:val="20"/>
                <w:szCs w:val="20"/>
                <w:color w:val="auto"/>
              </w:rPr>
            </w:pPr>
            <w:r>
              <w:rPr>
                <w:rFonts w:ascii="Arial" w:cs="Arial" w:eastAsia="Arial" w:hAnsi="Arial"/>
                <w:sz w:val="14"/>
                <w:szCs w:val="14"/>
                <w:b w:val="1"/>
                <w:bCs w:val="1"/>
                <w:color w:val="auto"/>
              </w:rPr>
              <w:t>(In units)</w:t>
            </w:r>
          </w:p>
        </w:tc>
        <w:tc>
          <w:tcPr>
            <w:tcW w:w="1220" w:type="dxa"/>
            <w:vAlign w:val="bottom"/>
          </w:tcPr>
          <w:p>
            <w:pPr>
              <w:jc w:val="right"/>
              <w:ind w:right="200"/>
              <w:spacing w:after="0"/>
              <w:rPr>
                <w:sz w:val="20"/>
                <w:szCs w:val="20"/>
                <w:color w:val="auto"/>
              </w:rPr>
            </w:pPr>
            <w:r>
              <w:rPr>
                <w:rFonts w:ascii="Arial" w:cs="Arial" w:eastAsia="Arial" w:hAnsi="Arial"/>
                <w:sz w:val="14"/>
                <w:szCs w:val="14"/>
                <w:b w:val="1"/>
                <w:bCs w:val="1"/>
                <w:color w:val="auto"/>
              </w:rPr>
              <w:t>Deliveries</w:t>
            </w:r>
          </w:p>
        </w:tc>
        <w:tc>
          <w:tcPr>
            <w:tcW w:w="1360" w:type="dxa"/>
            <w:vAlign w:val="bottom"/>
          </w:tcPr>
          <w:p>
            <w:pPr>
              <w:jc w:val="right"/>
              <w:ind w:right="140"/>
              <w:spacing w:after="0"/>
              <w:rPr>
                <w:sz w:val="20"/>
                <w:szCs w:val="20"/>
                <w:color w:val="auto"/>
              </w:rPr>
            </w:pPr>
            <w:r>
              <w:rPr>
                <w:rFonts w:ascii="Arial" w:cs="Arial" w:eastAsia="Arial" w:hAnsi="Arial"/>
                <w:sz w:val="14"/>
                <w:szCs w:val="14"/>
                <w:b w:val="1"/>
                <w:bCs w:val="1"/>
                <w:color w:val="auto"/>
              </w:rPr>
              <w:t>Registrations</w:t>
            </w:r>
          </w:p>
        </w:tc>
        <w:tc>
          <w:tcPr>
            <w:tcW w:w="1200" w:type="dxa"/>
            <w:vAlign w:val="bottom"/>
          </w:tcPr>
          <w:p>
            <w:pPr>
              <w:jc w:val="right"/>
              <w:ind w:right="241"/>
              <w:spacing w:after="0"/>
              <w:rPr>
                <w:sz w:val="20"/>
                <w:szCs w:val="20"/>
                <w:color w:val="auto"/>
              </w:rPr>
            </w:pPr>
            <w:r>
              <w:rPr>
                <w:rFonts w:ascii="Arial" w:cs="Arial" w:eastAsia="Arial" w:hAnsi="Arial"/>
                <w:sz w:val="14"/>
                <w:szCs w:val="14"/>
                <w:b w:val="1"/>
                <w:bCs w:val="1"/>
                <w:color w:val="auto"/>
              </w:rPr>
              <w:t>Inventory</w:t>
            </w: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Backlog</w:t>
            </w:r>
          </w:p>
        </w:tc>
        <w:tc>
          <w:tcPr>
            <w:tcW w:w="1180" w:type="dxa"/>
            <w:vAlign w:val="bottom"/>
          </w:tcPr>
          <w:p>
            <w:pPr>
              <w:jc w:val="right"/>
              <w:ind w:right="140"/>
              <w:spacing w:after="0"/>
              <w:rPr>
                <w:sz w:val="20"/>
                <w:szCs w:val="20"/>
                <w:color w:val="auto"/>
              </w:rPr>
            </w:pPr>
            <w:r>
              <w:rPr>
                <w:rFonts w:ascii="Arial" w:cs="Arial" w:eastAsia="Arial" w:hAnsi="Arial"/>
                <w:sz w:val="14"/>
                <w:szCs w:val="14"/>
                <w:b w:val="1"/>
                <w:bCs w:val="1"/>
                <w:color w:val="auto"/>
              </w:rPr>
              <w:t>Deliveries</w:t>
            </w:r>
          </w:p>
        </w:tc>
        <w:tc>
          <w:tcPr>
            <w:tcW w:w="1400" w:type="dxa"/>
            <w:vAlign w:val="bottom"/>
          </w:tcPr>
          <w:p>
            <w:pPr>
              <w:jc w:val="right"/>
              <w:ind w:right="140"/>
              <w:spacing w:after="0"/>
              <w:rPr>
                <w:sz w:val="20"/>
                <w:szCs w:val="20"/>
                <w:color w:val="auto"/>
              </w:rPr>
            </w:pPr>
            <w:r>
              <w:rPr>
                <w:rFonts w:ascii="Arial" w:cs="Arial" w:eastAsia="Arial" w:hAnsi="Arial"/>
                <w:sz w:val="14"/>
                <w:szCs w:val="14"/>
                <w:b w:val="1"/>
                <w:bCs w:val="1"/>
                <w:color w:val="auto"/>
              </w:rPr>
              <w:t>Registrations</w:t>
            </w:r>
          </w:p>
        </w:tc>
        <w:tc>
          <w:tcPr>
            <w:tcW w:w="1220" w:type="dxa"/>
            <w:vAlign w:val="bottom"/>
          </w:tcPr>
          <w:p>
            <w:pPr>
              <w:jc w:val="right"/>
              <w:ind w:right="241"/>
              <w:spacing w:after="0"/>
              <w:rPr>
                <w:sz w:val="20"/>
                <w:szCs w:val="20"/>
                <w:color w:val="auto"/>
              </w:rPr>
            </w:pPr>
            <w:r>
              <w:rPr>
                <w:rFonts w:ascii="Arial" w:cs="Arial" w:eastAsia="Arial" w:hAnsi="Arial"/>
                <w:sz w:val="14"/>
                <w:szCs w:val="14"/>
                <w:b w:val="1"/>
                <w:bCs w:val="1"/>
                <w:color w:val="auto"/>
              </w:rPr>
              <w:t>Inventory</w:t>
            </w:r>
          </w:p>
        </w:tc>
        <w:tc>
          <w:tcPr>
            <w:tcW w:w="1080" w:type="dxa"/>
            <w:vAlign w:val="bottom"/>
          </w:tcPr>
          <w:p>
            <w:pPr>
              <w:jc w:val="right"/>
              <w:ind w:right="220"/>
              <w:spacing w:after="0"/>
              <w:rPr>
                <w:sz w:val="20"/>
                <w:szCs w:val="20"/>
                <w:color w:val="auto"/>
              </w:rPr>
            </w:pPr>
            <w:r>
              <w:rPr>
                <w:rFonts w:ascii="Arial" w:cs="Arial" w:eastAsia="Arial" w:hAnsi="Arial"/>
                <w:sz w:val="14"/>
                <w:szCs w:val="14"/>
                <w:b w:val="1"/>
                <w:bCs w:val="1"/>
                <w:color w:val="auto"/>
              </w:rPr>
              <w:t>Backlog</w:t>
            </w:r>
          </w:p>
        </w:tc>
        <w:tc>
          <w:tcPr>
            <w:tcW w:w="0" w:type="dxa"/>
            <w:vAlign w:val="bottom"/>
          </w:tcPr>
          <w:p>
            <w:pPr>
              <w:spacing w:after="0"/>
              <w:rPr>
                <w:sz w:val="1"/>
                <w:szCs w:val="1"/>
                <w:color w:val="auto"/>
              </w:rPr>
            </w:pPr>
          </w:p>
        </w:tc>
      </w:tr>
      <w:tr>
        <w:trPr>
          <w:trHeight w:val="251"/>
        </w:trPr>
        <w:tc>
          <w:tcPr>
            <w:tcW w:w="2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Q4</w:t>
            </w:r>
          </w:p>
        </w:tc>
        <w:tc>
          <w:tcPr>
            <w:tcW w:w="1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2013</w:t>
            </w:r>
          </w:p>
        </w:tc>
        <w:tc>
          <w:tcPr>
            <w:tcW w:w="100" w:type="dxa"/>
            <w:vAlign w:val="bottom"/>
            <w:tcBorders>
              <w:top w:val="single" w:sz="8" w:color="CCEEFF"/>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jc w:val="right"/>
              <w:ind w:right="240"/>
              <w:spacing w:after="0"/>
              <w:rPr>
                <w:sz w:val="20"/>
                <w:szCs w:val="20"/>
                <w:color w:val="auto"/>
              </w:rPr>
            </w:pPr>
            <w:r>
              <w:rPr>
                <w:rFonts w:ascii="Arial" w:cs="Arial" w:eastAsia="Arial" w:hAnsi="Arial"/>
                <w:sz w:val="16"/>
                <w:szCs w:val="16"/>
                <w:color w:val="auto"/>
              </w:rPr>
              <w:t>1,890</w:t>
            </w:r>
          </w:p>
        </w:tc>
        <w:tc>
          <w:tcPr>
            <w:tcW w:w="1360" w:type="dxa"/>
            <w:vAlign w:val="bottom"/>
            <w:tcBorders>
              <w:top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color w:val="auto"/>
              </w:rPr>
              <w:t>1,870</w:t>
            </w:r>
          </w:p>
        </w:tc>
        <w:tc>
          <w:tcPr>
            <w:tcW w:w="1200" w:type="dxa"/>
            <w:vAlign w:val="bottom"/>
            <w:tcBorders>
              <w:top w:val="single" w:sz="8" w:color="auto"/>
            </w:tcBorders>
            <w:shd w:val="clear" w:color="auto" w:fill="CCEEFF"/>
          </w:tcPr>
          <w:p>
            <w:pPr>
              <w:jc w:val="right"/>
              <w:ind w:right="301"/>
              <w:spacing w:after="0"/>
              <w:rPr>
                <w:sz w:val="20"/>
                <w:szCs w:val="20"/>
                <w:color w:val="auto"/>
              </w:rPr>
            </w:pPr>
            <w:r>
              <w:rPr>
                <w:rFonts w:ascii="Arial" w:cs="Arial" w:eastAsia="Arial" w:hAnsi="Arial"/>
                <w:sz w:val="16"/>
                <w:szCs w:val="16"/>
                <w:color w:val="auto"/>
              </w:rPr>
              <w:t>2,654</w:t>
            </w:r>
          </w:p>
        </w:tc>
        <w:tc>
          <w:tcPr>
            <w:tcW w:w="1100" w:type="dxa"/>
            <w:vAlign w:val="bottom"/>
            <w:tcBorders>
              <w:top w:val="single" w:sz="8" w:color="auto"/>
            </w:tcBorders>
            <w:shd w:val="clear" w:color="auto" w:fill="CCEEFF"/>
          </w:tcPr>
          <w:p>
            <w:pPr>
              <w:jc w:val="right"/>
              <w:ind w:right="280"/>
              <w:spacing w:after="0"/>
              <w:rPr>
                <w:sz w:val="20"/>
                <w:szCs w:val="20"/>
                <w:color w:val="auto"/>
              </w:rPr>
            </w:pPr>
            <w:r>
              <w:rPr>
                <w:rFonts w:ascii="Arial" w:cs="Arial" w:eastAsia="Arial" w:hAnsi="Arial"/>
                <w:sz w:val="16"/>
                <w:szCs w:val="16"/>
                <w:color w:val="auto"/>
              </w:rPr>
              <w:t>3,380</w:t>
            </w:r>
          </w:p>
        </w:tc>
        <w:tc>
          <w:tcPr>
            <w:tcW w:w="100" w:type="dxa"/>
            <w:vAlign w:val="bottom"/>
            <w:tcBorders>
              <w:top w:val="single" w:sz="8" w:color="CCEEFF"/>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717</w:t>
            </w:r>
          </w:p>
        </w:tc>
        <w:tc>
          <w:tcPr>
            <w:tcW w:w="1400" w:type="dxa"/>
            <w:vAlign w:val="bottom"/>
            <w:tcBorders>
              <w:top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color w:val="auto"/>
              </w:rPr>
              <w:t>748</w:t>
            </w:r>
          </w:p>
        </w:tc>
        <w:tc>
          <w:tcPr>
            <w:tcW w:w="1220" w:type="dxa"/>
            <w:vAlign w:val="bottom"/>
            <w:tcBorders>
              <w:top w:val="single" w:sz="8" w:color="auto"/>
            </w:tcBorders>
            <w:shd w:val="clear" w:color="auto" w:fill="CCEEFF"/>
          </w:tcPr>
          <w:p>
            <w:pPr>
              <w:jc w:val="right"/>
              <w:ind w:right="321"/>
              <w:spacing w:after="0"/>
              <w:rPr>
                <w:sz w:val="20"/>
                <w:szCs w:val="20"/>
                <w:color w:val="auto"/>
              </w:rPr>
            </w:pPr>
            <w:r>
              <w:rPr>
                <w:rFonts w:ascii="Arial" w:cs="Arial" w:eastAsia="Arial" w:hAnsi="Arial"/>
                <w:sz w:val="16"/>
                <w:szCs w:val="16"/>
                <w:color w:val="auto"/>
              </w:rPr>
              <w:t>1,611</w:t>
            </w:r>
          </w:p>
        </w:tc>
        <w:tc>
          <w:tcPr>
            <w:tcW w:w="1080" w:type="dxa"/>
            <w:vAlign w:val="bottom"/>
            <w:tcBorders>
              <w:top w:val="single" w:sz="8" w:color="auto"/>
            </w:tcBorders>
            <w:shd w:val="clear" w:color="auto" w:fill="CCEEFF"/>
          </w:tcPr>
          <w:p>
            <w:pPr>
              <w:jc w:val="right"/>
              <w:ind w:right="280"/>
              <w:spacing w:after="0"/>
              <w:rPr>
                <w:sz w:val="20"/>
                <w:szCs w:val="20"/>
                <w:color w:val="auto"/>
              </w:rPr>
            </w:pPr>
            <w:r>
              <w:rPr>
                <w:rFonts w:ascii="Arial" w:cs="Arial" w:eastAsia="Arial" w:hAnsi="Arial"/>
                <w:sz w:val="16"/>
                <w:szCs w:val="16"/>
                <w:color w:val="auto"/>
              </w:rPr>
              <w:t>221</w:t>
            </w:r>
          </w:p>
        </w:tc>
        <w:tc>
          <w:tcPr>
            <w:tcW w:w="0" w:type="dxa"/>
            <w:vAlign w:val="bottom"/>
          </w:tcPr>
          <w:p>
            <w:pPr>
              <w:spacing w:after="0"/>
              <w:rPr>
                <w:sz w:val="1"/>
                <w:szCs w:val="1"/>
                <w:color w:val="auto"/>
              </w:rPr>
            </w:pPr>
          </w:p>
        </w:tc>
      </w:tr>
      <w:tr>
        <w:trPr>
          <w:trHeight w:val="262"/>
        </w:trPr>
        <w:tc>
          <w:tcPr>
            <w:tcW w:w="280" w:type="dxa"/>
            <w:vAlign w:val="bottom"/>
          </w:tcPr>
          <w:p>
            <w:pPr>
              <w:ind w:left="40"/>
              <w:spacing w:after="0"/>
              <w:rPr>
                <w:sz w:val="20"/>
                <w:szCs w:val="20"/>
                <w:color w:val="auto"/>
              </w:rPr>
            </w:pPr>
            <w:r>
              <w:rPr>
                <w:rFonts w:ascii="Arial" w:cs="Arial" w:eastAsia="Arial" w:hAnsi="Arial"/>
                <w:sz w:val="16"/>
                <w:szCs w:val="16"/>
                <w:color w:val="auto"/>
              </w:rPr>
              <w:t>Q1</w:t>
            </w:r>
          </w:p>
        </w:tc>
        <w:tc>
          <w:tcPr>
            <w:tcW w:w="1180" w:type="dxa"/>
            <w:vAlign w:val="bottom"/>
          </w:tcPr>
          <w:p>
            <w:pPr>
              <w:ind w:left="20"/>
              <w:spacing w:after="0"/>
              <w:rPr>
                <w:sz w:val="20"/>
                <w:szCs w:val="20"/>
                <w:color w:val="auto"/>
              </w:rPr>
            </w:pPr>
            <w:r>
              <w:rPr>
                <w:rFonts w:ascii="Arial" w:cs="Arial" w:eastAsia="Arial" w:hAnsi="Arial"/>
                <w:sz w:val="16"/>
                <w:szCs w:val="16"/>
                <w:color w:val="auto"/>
              </w:rPr>
              <w:t>2014</w:t>
            </w:r>
          </w:p>
        </w:tc>
        <w:tc>
          <w:tcPr>
            <w:tcW w:w="100" w:type="dxa"/>
            <w:vAlign w:val="bottom"/>
          </w:tcPr>
          <w:p>
            <w:pPr>
              <w:spacing w:after="0"/>
              <w:rPr>
                <w:sz w:val="22"/>
                <w:szCs w:val="22"/>
                <w:color w:val="auto"/>
              </w:rPr>
            </w:pPr>
          </w:p>
        </w:tc>
        <w:tc>
          <w:tcPr>
            <w:tcW w:w="1220" w:type="dxa"/>
            <w:vAlign w:val="bottom"/>
          </w:tcPr>
          <w:p>
            <w:pPr>
              <w:jc w:val="right"/>
              <w:ind w:right="240"/>
              <w:spacing w:after="0"/>
              <w:rPr>
                <w:sz w:val="20"/>
                <w:szCs w:val="20"/>
                <w:color w:val="auto"/>
              </w:rPr>
            </w:pPr>
            <w:r>
              <w:rPr>
                <w:rFonts w:ascii="Arial" w:cs="Arial" w:eastAsia="Arial" w:hAnsi="Arial"/>
                <w:sz w:val="16"/>
                <w:szCs w:val="16"/>
                <w:color w:val="auto"/>
              </w:rPr>
              <w:t>2,005</w:t>
            </w:r>
          </w:p>
        </w:tc>
        <w:tc>
          <w:tcPr>
            <w:tcW w:w="1360" w:type="dxa"/>
            <w:vAlign w:val="bottom"/>
          </w:tcPr>
          <w:p>
            <w:pPr>
              <w:jc w:val="right"/>
              <w:ind w:right="220"/>
              <w:spacing w:after="0"/>
              <w:rPr>
                <w:sz w:val="20"/>
                <w:szCs w:val="20"/>
                <w:color w:val="auto"/>
              </w:rPr>
            </w:pPr>
            <w:r>
              <w:rPr>
                <w:rFonts w:ascii="Arial" w:cs="Arial" w:eastAsia="Arial" w:hAnsi="Arial"/>
                <w:sz w:val="16"/>
                <w:szCs w:val="16"/>
                <w:color w:val="auto"/>
              </w:rPr>
              <w:t>1,524</w:t>
            </w:r>
          </w:p>
        </w:tc>
        <w:tc>
          <w:tcPr>
            <w:tcW w:w="1200" w:type="dxa"/>
            <w:vAlign w:val="bottom"/>
          </w:tcPr>
          <w:p>
            <w:pPr>
              <w:jc w:val="right"/>
              <w:ind w:right="301"/>
              <w:spacing w:after="0"/>
              <w:rPr>
                <w:sz w:val="20"/>
                <w:szCs w:val="20"/>
                <w:color w:val="auto"/>
              </w:rPr>
            </w:pPr>
            <w:r>
              <w:rPr>
                <w:rFonts w:ascii="Arial" w:cs="Arial" w:eastAsia="Arial" w:hAnsi="Arial"/>
                <w:sz w:val="16"/>
                <w:szCs w:val="16"/>
                <w:color w:val="auto"/>
              </w:rPr>
              <w:t>3,135</w:t>
            </w:r>
          </w:p>
        </w:tc>
        <w:tc>
          <w:tcPr>
            <w:tcW w:w="1100" w:type="dxa"/>
            <w:vAlign w:val="bottom"/>
          </w:tcPr>
          <w:p>
            <w:pPr>
              <w:jc w:val="right"/>
              <w:ind w:right="280"/>
              <w:spacing w:after="0"/>
              <w:rPr>
                <w:sz w:val="20"/>
                <w:szCs w:val="20"/>
                <w:color w:val="auto"/>
              </w:rPr>
            </w:pPr>
            <w:r>
              <w:rPr>
                <w:rFonts w:ascii="Arial" w:cs="Arial" w:eastAsia="Arial" w:hAnsi="Arial"/>
                <w:sz w:val="16"/>
                <w:szCs w:val="16"/>
                <w:color w:val="auto"/>
              </w:rPr>
              <w:t>3,534</w:t>
            </w:r>
          </w:p>
        </w:tc>
        <w:tc>
          <w:tcPr>
            <w:tcW w:w="100" w:type="dxa"/>
            <w:vAlign w:val="bottom"/>
          </w:tcPr>
          <w:p>
            <w:pPr>
              <w:spacing w:after="0"/>
              <w:rPr>
                <w:sz w:val="22"/>
                <w:szCs w:val="22"/>
                <w:color w:val="auto"/>
              </w:rPr>
            </w:pPr>
          </w:p>
        </w:tc>
        <w:tc>
          <w:tcPr>
            <w:tcW w:w="1180" w:type="dxa"/>
            <w:vAlign w:val="bottom"/>
          </w:tcPr>
          <w:p>
            <w:pPr>
              <w:jc w:val="right"/>
              <w:ind w:right="200"/>
              <w:spacing w:after="0"/>
              <w:rPr>
                <w:sz w:val="20"/>
                <w:szCs w:val="20"/>
                <w:color w:val="auto"/>
              </w:rPr>
            </w:pPr>
            <w:r>
              <w:rPr>
                <w:rFonts w:ascii="Arial" w:cs="Arial" w:eastAsia="Arial" w:hAnsi="Arial"/>
                <w:sz w:val="16"/>
                <w:szCs w:val="16"/>
                <w:color w:val="auto"/>
              </w:rPr>
              <w:t>484</w:t>
            </w:r>
          </w:p>
        </w:tc>
        <w:tc>
          <w:tcPr>
            <w:tcW w:w="1400" w:type="dxa"/>
            <w:vAlign w:val="bottom"/>
          </w:tcPr>
          <w:p>
            <w:pPr>
              <w:jc w:val="right"/>
              <w:ind w:right="220"/>
              <w:spacing w:after="0"/>
              <w:rPr>
                <w:sz w:val="20"/>
                <w:szCs w:val="20"/>
                <w:color w:val="auto"/>
              </w:rPr>
            </w:pPr>
            <w:r>
              <w:rPr>
                <w:rFonts w:ascii="Arial" w:cs="Arial" w:eastAsia="Arial" w:hAnsi="Arial"/>
                <w:sz w:val="16"/>
                <w:szCs w:val="16"/>
                <w:color w:val="auto"/>
              </w:rPr>
              <w:t>504</w:t>
            </w:r>
          </w:p>
        </w:tc>
        <w:tc>
          <w:tcPr>
            <w:tcW w:w="1220" w:type="dxa"/>
            <w:vAlign w:val="bottom"/>
          </w:tcPr>
          <w:p>
            <w:pPr>
              <w:jc w:val="right"/>
              <w:ind w:right="321"/>
              <w:spacing w:after="0"/>
              <w:rPr>
                <w:sz w:val="20"/>
                <w:szCs w:val="20"/>
                <w:color w:val="auto"/>
              </w:rPr>
            </w:pPr>
            <w:r>
              <w:rPr>
                <w:rFonts w:ascii="Arial" w:cs="Arial" w:eastAsia="Arial" w:hAnsi="Arial"/>
                <w:sz w:val="16"/>
                <w:szCs w:val="16"/>
                <w:color w:val="auto"/>
              </w:rPr>
              <w:t>1,591</w:t>
            </w:r>
          </w:p>
        </w:tc>
        <w:tc>
          <w:tcPr>
            <w:tcW w:w="1080" w:type="dxa"/>
            <w:vAlign w:val="bottom"/>
          </w:tcPr>
          <w:p>
            <w:pPr>
              <w:jc w:val="right"/>
              <w:ind w:right="280"/>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78"/>
        </w:trPr>
        <w:tc>
          <w:tcPr>
            <w:tcW w:w="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Q2</w:t>
            </w:r>
          </w:p>
        </w:tc>
        <w:tc>
          <w:tcPr>
            <w:tcW w:w="1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2014</w:t>
            </w: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2,055</w:t>
            </w:r>
          </w:p>
        </w:tc>
        <w:tc>
          <w:tcPr>
            <w:tcW w:w="136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1,283</w:t>
            </w:r>
          </w:p>
        </w:tc>
        <w:tc>
          <w:tcPr>
            <w:tcW w:w="120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rPr>
              <w:t>3,907</w:t>
            </w:r>
          </w:p>
        </w:tc>
        <w:tc>
          <w:tcPr>
            <w:tcW w:w="110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auto"/>
              </w:rPr>
              <w:t>2,900</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575</w:t>
            </w:r>
          </w:p>
        </w:tc>
        <w:tc>
          <w:tcPr>
            <w:tcW w:w="140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394</w:t>
            </w:r>
          </w:p>
        </w:tc>
        <w:tc>
          <w:tcPr>
            <w:tcW w:w="1220" w:type="dxa"/>
            <w:vAlign w:val="bottom"/>
            <w:shd w:val="clear" w:color="auto" w:fill="CCEEFF"/>
          </w:tcPr>
          <w:p>
            <w:pPr>
              <w:jc w:val="right"/>
              <w:ind w:right="321"/>
              <w:spacing w:after="0"/>
              <w:rPr>
                <w:sz w:val="20"/>
                <w:szCs w:val="20"/>
                <w:color w:val="auto"/>
              </w:rPr>
            </w:pPr>
            <w:r>
              <w:rPr>
                <w:rFonts w:ascii="Arial" w:cs="Arial" w:eastAsia="Arial" w:hAnsi="Arial"/>
                <w:sz w:val="16"/>
                <w:szCs w:val="16"/>
                <w:color w:val="auto"/>
              </w:rPr>
              <w:t>1,772</w:t>
            </w:r>
          </w:p>
        </w:tc>
        <w:tc>
          <w:tcPr>
            <w:tcW w:w="108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270"/>
        </w:trPr>
        <w:tc>
          <w:tcPr>
            <w:tcW w:w="2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Q3</w:t>
            </w:r>
          </w:p>
        </w:tc>
        <w:tc>
          <w:tcPr>
            <w:tcW w:w="1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 xml:space="preserve">2014 </w:t>
            </w:r>
            <w:r>
              <w:rPr>
                <w:rFonts w:ascii="Arial" w:cs="Arial" w:eastAsia="Arial" w:hAnsi="Arial"/>
                <w:sz w:val="21"/>
                <w:szCs w:val="21"/>
                <w:color w:val="auto"/>
                <w:vertAlign w:val="superscript"/>
              </w:rPr>
              <w:t>(1)</w:t>
            </w:r>
          </w:p>
        </w:tc>
        <w:tc>
          <w:tcPr>
            <w:tcW w:w="100" w:type="dxa"/>
            <w:vAlign w:val="bottom"/>
            <w:tcBorders>
              <w:bottom w:val="single" w:sz="8" w:color="CCEEFF"/>
            </w:tcBorders>
          </w:tcPr>
          <w:p>
            <w:pPr>
              <w:spacing w:after="0"/>
              <w:rPr>
                <w:sz w:val="23"/>
                <w:szCs w:val="23"/>
                <w:color w:val="auto"/>
              </w:rPr>
            </w:pPr>
          </w:p>
        </w:tc>
        <w:tc>
          <w:tcPr>
            <w:tcW w:w="122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2,674</w:t>
            </w:r>
          </w:p>
        </w:tc>
        <w:tc>
          <w:tcPr>
            <w:tcW w:w="136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2,783</w:t>
            </w:r>
          </w:p>
        </w:tc>
        <w:tc>
          <w:tcPr>
            <w:tcW w:w="1200" w:type="dxa"/>
            <w:vAlign w:val="bottom"/>
            <w:tcBorders>
              <w:bottom w:val="single" w:sz="8" w:color="CCEEFF"/>
            </w:tcBorders>
          </w:tcPr>
          <w:p>
            <w:pPr>
              <w:jc w:val="right"/>
              <w:ind w:right="301"/>
              <w:spacing w:after="0"/>
              <w:rPr>
                <w:sz w:val="20"/>
                <w:szCs w:val="20"/>
                <w:color w:val="auto"/>
              </w:rPr>
            </w:pPr>
            <w:r>
              <w:rPr>
                <w:rFonts w:ascii="Arial" w:cs="Arial" w:eastAsia="Arial" w:hAnsi="Arial"/>
                <w:sz w:val="16"/>
                <w:szCs w:val="16"/>
                <w:color w:val="auto"/>
              </w:rPr>
              <w:t>3,798</w:t>
            </w:r>
          </w:p>
        </w:tc>
        <w:tc>
          <w:tcPr>
            <w:tcW w:w="1100" w:type="dxa"/>
            <w:vAlign w:val="bottom"/>
            <w:tcBorders>
              <w:bottom w:val="single" w:sz="8" w:color="CCEEFF"/>
            </w:tcBorders>
          </w:tcPr>
          <w:p>
            <w:pPr>
              <w:jc w:val="right"/>
              <w:ind w:right="280"/>
              <w:spacing w:after="0"/>
              <w:rPr>
                <w:sz w:val="20"/>
                <w:szCs w:val="20"/>
                <w:color w:val="auto"/>
              </w:rPr>
            </w:pPr>
            <w:r>
              <w:rPr>
                <w:rFonts w:ascii="Arial" w:cs="Arial" w:eastAsia="Arial" w:hAnsi="Arial"/>
                <w:sz w:val="16"/>
                <w:szCs w:val="16"/>
                <w:color w:val="auto"/>
              </w:rPr>
              <w:t>2,357</w:t>
            </w:r>
          </w:p>
        </w:tc>
        <w:tc>
          <w:tcPr>
            <w:tcW w:w="100" w:type="dxa"/>
            <w:vAlign w:val="bottom"/>
            <w:tcBorders>
              <w:bottom w:val="single" w:sz="8" w:color="CCEEFF"/>
            </w:tcBorders>
          </w:tcPr>
          <w:p>
            <w:pPr>
              <w:spacing w:after="0"/>
              <w:rPr>
                <w:sz w:val="23"/>
                <w:szCs w:val="23"/>
                <w:color w:val="auto"/>
              </w:rPr>
            </w:pPr>
          </w:p>
        </w:tc>
        <w:tc>
          <w:tcPr>
            <w:tcW w:w="118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727</w:t>
            </w:r>
          </w:p>
        </w:tc>
        <w:tc>
          <w:tcPr>
            <w:tcW w:w="140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724</w:t>
            </w:r>
          </w:p>
        </w:tc>
        <w:tc>
          <w:tcPr>
            <w:tcW w:w="1220" w:type="dxa"/>
            <w:vAlign w:val="bottom"/>
            <w:tcBorders>
              <w:bottom w:val="single" w:sz="8" w:color="CCEEFF"/>
            </w:tcBorders>
          </w:tcPr>
          <w:p>
            <w:pPr>
              <w:jc w:val="right"/>
              <w:ind w:right="321"/>
              <w:spacing w:after="0"/>
              <w:rPr>
                <w:sz w:val="20"/>
                <w:szCs w:val="20"/>
                <w:color w:val="auto"/>
              </w:rPr>
            </w:pPr>
            <w:r>
              <w:rPr>
                <w:rFonts w:ascii="Arial" w:cs="Arial" w:eastAsia="Arial" w:hAnsi="Arial"/>
                <w:sz w:val="16"/>
                <w:szCs w:val="16"/>
                <w:color w:val="auto"/>
              </w:rPr>
              <w:t>1,775</w:t>
            </w:r>
          </w:p>
        </w:tc>
        <w:tc>
          <w:tcPr>
            <w:tcW w:w="1080" w:type="dxa"/>
            <w:vAlign w:val="bottom"/>
            <w:tcBorders>
              <w:bottom w:val="single" w:sz="8" w:color="CCEEFF"/>
            </w:tcBorders>
          </w:tcPr>
          <w:p>
            <w:pPr>
              <w:jc w:val="right"/>
              <w:ind w:right="280"/>
              <w:spacing w:after="0"/>
              <w:rPr>
                <w:sz w:val="20"/>
                <w:szCs w:val="20"/>
                <w:color w:val="auto"/>
              </w:rPr>
            </w:pPr>
            <w:r>
              <w:rPr>
                <w:rFonts w:ascii="Arial" w:cs="Arial" w:eastAsia="Arial" w:hAnsi="Arial"/>
                <w:sz w:val="16"/>
                <w:szCs w:val="16"/>
                <w:color w:val="auto"/>
              </w:rPr>
              <w:t>303</w:t>
            </w:r>
          </w:p>
        </w:tc>
        <w:tc>
          <w:tcPr>
            <w:tcW w:w="0" w:type="dxa"/>
            <w:vAlign w:val="bottom"/>
          </w:tcPr>
          <w:p>
            <w:pPr>
              <w:spacing w:after="0"/>
              <w:rPr>
                <w:sz w:val="1"/>
                <w:szCs w:val="1"/>
                <w:color w:val="auto"/>
              </w:rPr>
            </w:pPr>
          </w:p>
        </w:tc>
      </w:tr>
      <w:tr>
        <w:trPr>
          <w:trHeight w:val="236"/>
        </w:trPr>
        <w:tc>
          <w:tcPr>
            <w:tcW w:w="1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Rolling 12 months</w:t>
            </w:r>
          </w:p>
        </w:tc>
        <w:tc>
          <w:tcPr>
            <w:tcW w:w="122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6"/>
                <w:szCs w:val="16"/>
                <w:color w:val="auto"/>
              </w:rPr>
              <w:t>8,624</w:t>
            </w:r>
          </w:p>
        </w:tc>
        <w:tc>
          <w:tcPr>
            <w:tcW w:w="136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color w:val="auto"/>
              </w:rPr>
              <w:t>7,460</w:t>
            </w:r>
          </w:p>
        </w:tc>
        <w:tc>
          <w:tcPr>
            <w:tcW w:w="1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2,503</w:t>
            </w:r>
          </w:p>
        </w:tc>
        <w:tc>
          <w:tcPr>
            <w:tcW w:w="140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color w:val="auto"/>
              </w:rPr>
              <w:t>2,370</w:t>
            </w:r>
          </w:p>
        </w:tc>
        <w:tc>
          <w:tcPr>
            <w:tcW w:w="1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560" w:type="dxa"/>
            <w:vAlign w:val="bottom"/>
            <w:gridSpan w:val="3"/>
            <w:vMerge w:val="restart"/>
          </w:tcPr>
          <w:p>
            <w:pPr>
              <w:ind w:left="40"/>
              <w:spacing w:after="0"/>
              <w:rPr>
                <w:sz w:val="20"/>
                <w:szCs w:val="20"/>
                <w:color w:val="auto"/>
              </w:rPr>
            </w:pPr>
            <w:r>
              <w:rPr>
                <w:rFonts w:ascii="Arial" w:cs="Arial" w:eastAsia="Arial" w:hAnsi="Arial"/>
                <w:sz w:val="16"/>
                <w:szCs w:val="16"/>
                <w:color w:val="auto"/>
              </w:rPr>
              <w:t>June 2013-May</w:t>
            </w:r>
          </w:p>
        </w:tc>
        <w:tc>
          <w:tcPr>
            <w:tcW w:w="1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560" w:type="dxa"/>
            <w:vAlign w:val="bottom"/>
            <w:gridSpan w:val="3"/>
            <w:vMerge w:val="continue"/>
          </w:tcPr>
          <w:p>
            <w:pPr>
              <w:spacing w:after="0"/>
              <w:rPr>
                <w:sz w:val="13"/>
                <w:szCs w:val="13"/>
                <w:color w:val="auto"/>
              </w:rPr>
            </w:pPr>
          </w:p>
        </w:tc>
        <w:tc>
          <w:tcPr>
            <w:tcW w:w="1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1460" w:type="dxa"/>
            <w:vAlign w:val="bottom"/>
            <w:gridSpan w:val="2"/>
          </w:tcPr>
          <w:p>
            <w:pPr>
              <w:ind w:left="40"/>
              <w:spacing w:after="0"/>
              <w:rPr>
                <w:sz w:val="20"/>
                <w:szCs w:val="20"/>
                <w:color w:val="auto"/>
              </w:rPr>
            </w:pPr>
            <w:r>
              <w:rPr>
                <w:rFonts w:ascii="Arial" w:cs="Arial" w:eastAsia="Arial" w:hAnsi="Arial"/>
                <w:sz w:val="16"/>
                <w:szCs w:val="16"/>
                <w:color w:val="auto"/>
              </w:rPr>
              <w:t>2014</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2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80" w:type="dxa"/>
            <w:vAlign w:val="bottom"/>
          </w:tcPr>
          <w:p>
            <w:pPr>
              <w:ind w:left="40"/>
              <w:spacing w:after="0"/>
              <w:rPr>
                <w:sz w:val="20"/>
                <w:szCs w:val="20"/>
                <w:color w:val="auto"/>
              </w:rPr>
            </w:pPr>
            <w:r>
              <w:rPr>
                <w:rFonts w:ascii="Arial" w:cs="Arial" w:eastAsia="Arial" w:hAnsi="Arial"/>
                <w:sz w:val="16"/>
                <w:szCs w:val="16"/>
                <w:color w:val="auto"/>
              </w:rPr>
              <w:t>Q4</w:t>
            </w:r>
          </w:p>
        </w:tc>
        <w:tc>
          <w:tcPr>
            <w:tcW w:w="1180" w:type="dxa"/>
            <w:vAlign w:val="bottom"/>
          </w:tcPr>
          <w:p>
            <w:pPr>
              <w:ind w:left="20"/>
              <w:spacing w:after="0"/>
              <w:rPr>
                <w:sz w:val="20"/>
                <w:szCs w:val="20"/>
                <w:color w:val="auto"/>
              </w:rPr>
            </w:pPr>
            <w:r>
              <w:rPr>
                <w:rFonts w:ascii="Arial" w:cs="Arial" w:eastAsia="Arial" w:hAnsi="Arial"/>
                <w:sz w:val="16"/>
                <w:szCs w:val="16"/>
                <w:color w:val="auto"/>
              </w:rPr>
              <w:t>2014</w:t>
            </w:r>
          </w:p>
        </w:tc>
        <w:tc>
          <w:tcPr>
            <w:tcW w:w="100" w:type="dxa"/>
            <w:vAlign w:val="bottom"/>
          </w:tcPr>
          <w:p>
            <w:pPr>
              <w:spacing w:after="0"/>
              <w:rPr>
                <w:sz w:val="22"/>
                <w:szCs w:val="22"/>
                <w:color w:val="auto"/>
              </w:rPr>
            </w:pPr>
          </w:p>
        </w:tc>
        <w:tc>
          <w:tcPr>
            <w:tcW w:w="1220" w:type="dxa"/>
            <w:vAlign w:val="bottom"/>
          </w:tcPr>
          <w:p>
            <w:pPr>
              <w:jc w:val="right"/>
              <w:ind w:right="240"/>
              <w:spacing w:after="0"/>
              <w:rPr>
                <w:sz w:val="20"/>
                <w:szCs w:val="20"/>
                <w:color w:val="auto"/>
              </w:rPr>
            </w:pPr>
            <w:r>
              <w:rPr>
                <w:rFonts w:ascii="Arial" w:cs="Arial" w:eastAsia="Arial" w:hAnsi="Arial"/>
                <w:sz w:val="16"/>
                <w:szCs w:val="16"/>
                <w:color w:val="auto"/>
              </w:rPr>
              <w:t>2,364</w:t>
            </w:r>
          </w:p>
        </w:tc>
        <w:tc>
          <w:tcPr>
            <w:tcW w:w="1360" w:type="dxa"/>
            <w:vAlign w:val="bottom"/>
          </w:tcPr>
          <w:p>
            <w:pPr>
              <w:jc w:val="right"/>
              <w:ind w:right="220"/>
              <w:spacing w:after="0"/>
              <w:rPr>
                <w:sz w:val="20"/>
                <w:szCs w:val="20"/>
                <w:color w:val="auto"/>
              </w:rPr>
            </w:pPr>
            <w:r>
              <w:rPr>
                <w:rFonts w:ascii="Arial" w:cs="Arial" w:eastAsia="Arial" w:hAnsi="Arial"/>
                <w:sz w:val="16"/>
                <w:szCs w:val="16"/>
                <w:color w:val="auto"/>
              </w:rPr>
              <w:t>2,183</w:t>
            </w:r>
          </w:p>
        </w:tc>
        <w:tc>
          <w:tcPr>
            <w:tcW w:w="1200" w:type="dxa"/>
            <w:vAlign w:val="bottom"/>
          </w:tcPr>
          <w:p>
            <w:pPr>
              <w:jc w:val="right"/>
              <w:ind w:right="301"/>
              <w:spacing w:after="0"/>
              <w:rPr>
                <w:sz w:val="20"/>
                <w:szCs w:val="20"/>
                <w:color w:val="auto"/>
              </w:rPr>
            </w:pPr>
            <w:r>
              <w:rPr>
                <w:rFonts w:ascii="Arial" w:cs="Arial" w:eastAsia="Arial" w:hAnsi="Arial"/>
                <w:sz w:val="16"/>
                <w:szCs w:val="16"/>
                <w:color w:val="auto"/>
              </w:rPr>
              <w:t>3,979</w:t>
            </w:r>
          </w:p>
        </w:tc>
        <w:tc>
          <w:tcPr>
            <w:tcW w:w="1100" w:type="dxa"/>
            <w:vAlign w:val="bottom"/>
          </w:tcPr>
          <w:p>
            <w:pPr>
              <w:jc w:val="right"/>
              <w:ind w:right="280"/>
              <w:spacing w:after="0"/>
              <w:rPr>
                <w:sz w:val="20"/>
                <w:szCs w:val="20"/>
                <w:color w:val="auto"/>
              </w:rPr>
            </w:pPr>
            <w:r>
              <w:rPr>
                <w:rFonts w:ascii="Arial" w:cs="Arial" w:eastAsia="Arial" w:hAnsi="Arial"/>
                <w:sz w:val="16"/>
                <w:szCs w:val="16"/>
                <w:color w:val="auto"/>
              </w:rPr>
              <w:t>1,899</w:t>
            </w:r>
          </w:p>
        </w:tc>
        <w:tc>
          <w:tcPr>
            <w:tcW w:w="100" w:type="dxa"/>
            <w:vAlign w:val="bottom"/>
          </w:tcPr>
          <w:p>
            <w:pPr>
              <w:spacing w:after="0"/>
              <w:rPr>
                <w:sz w:val="22"/>
                <w:szCs w:val="22"/>
                <w:color w:val="auto"/>
              </w:rPr>
            </w:pPr>
          </w:p>
        </w:tc>
        <w:tc>
          <w:tcPr>
            <w:tcW w:w="1180" w:type="dxa"/>
            <w:vAlign w:val="bottom"/>
          </w:tcPr>
          <w:p>
            <w:pPr>
              <w:jc w:val="right"/>
              <w:ind w:right="200"/>
              <w:spacing w:after="0"/>
              <w:rPr>
                <w:sz w:val="20"/>
                <w:szCs w:val="20"/>
                <w:color w:val="auto"/>
              </w:rPr>
            </w:pPr>
            <w:r>
              <w:rPr>
                <w:rFonts w:ascii="Arial" w:cs="Arial" w:eastAsia="Arial" w:hAnsi="Arial"/>
                <w:sz w:val="16"/>
                <w:szCs w:val="16"/>
                <w:color w:val="auto"/>
              </w:rPr>
              <w:t>723</w:t>
            </w:r>
          </w:p>
        </w:tc>
        <w:tc>
          <w:tcPr>
            <w:tcW w:w="1400" w:type="dxa"/>
            <w:vAlign w:val="bottom"/>
          </w:tcPr>
          <w:p>
            <w:pPr>
              <w:jc w:val="right"/>
              <w:ind w:right="220"/>
              <w:spacing w:after="0"/>
              <w:rPr>
                <w:sz w:val="20"/>
                <w:szCs w:val="20"/>
                <w:color w:val="auto"/>
              </w:rPr>
            </w:pPr>
            <w:r>
              <w:rPr>
                <w:rFonts w:ascii="Arial" w:cs="Arial" w:eastAsia="Arial" w:hAnsi="Arial"/>
                <w:sz w:val="16"/>
                <w:szCs w:val="16"/>
                <w:color w:val="auto"/>
              </w:rPr>
              <w:t>777</w:t>
            </w:r>
          </w:p>
        </w:tc>
        <w:tc>
          <w:tcPr>
            <w:tcW w:w="1220" w:type="dxa"/>
            <w:vAlign w:val="bottom"/>
          </w:tcPr>
          <w:p>
            <w:pPr>
              <w:jc w:val="right"/>
              <w:ind w:right="321"/>
              <w:spacing w:after="0"/>
              <w:rPr>
                <w:sz w:val="20"/>
                <w:szCs w:val="20"/>
                <w:color w:val="auto"/>
              </w:rPr>
            </w:pPr>
            <w:r>
              <w:rPr>
                <w:rFonts w:ascii="Arial" w:cs="Arial" w:eastAsia="Arial" w:hAnsi="Arial"/>
                <w:sz w:val="16"/>
                <w:szCs w:val="16"/>
                <w:color w:val="auto"/>
              </w:rPr>
              <w:t>1,721</w:t>
            </w:r>
          </w:p>
        </w:tc>
        <w:tc>
          <w:tcPr>
            <w:tcW w:w="1080" w:type="dxa"/>
            <w:vAlign w:val="bottom"/>
          </w:tcPr>
          <w:p>
            <w:pPr>
              <w:jc w:val="right"/>
              <w:ind w:right="280"/>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278"/>
        </w:trPr>
        <w:tc>
          <w:tcPr>
            <w:tcW w:w="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Q1</w:t>
            </w:r>
          </w:p>
        </w:tc>
        <w:tc>
          <w:tcPr>
            <w:tcW w:w="1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2015</w:t>
            </w: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2,031</w:t>
            </w:r>
          </w:p>
        </w:tc>
        <w:tc>
          <w:tcPr>
            <w:tcW w:w="136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1,818</w:t>
            </w:r>
          </w:p>
        </w:tc>
        <w:tc>
          <w:tcPr>
            <w:tcW w:w="120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rPr>
              <w:t>4,192</w:t>
            </w:r>
          </w:p>
        </w:tc>
        <w:tc>
          <w:tcPr>
            <w:tcW w:w="110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auto"/>
              </w:rPr>
              <w:t>2,122</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546</w:t>
            </w:r>
          </w:p>
        </w:tc>
        <w:tc>
          <w:tcPr>
            <w:tcW w:w="140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585</w:t>
            </w:r>
          </w:p>
        </w:tc>
        <w:tc>
          <w:tcPr>
            <w:tcW w:w="1220" w:type="dxa"/>
            <w:vAlign w:val="bottom"/>
            <w:shd w:val="clear" w:color="auto" w:fill="CCEEFF"/>
          </w:tcPr>
          <w:p>
            <w:pPr>
              <w:jc w:val="right"/>
              <w:ind w:right="321"/>
              <w:spacing w:after="0"/>
              <w:rPr>
                <w:sz w:val="20"/>
                <w:szCs w:val="20"/>
                <w:color w:val="auto"/>
              </w:rPr>
            </w:pPr>
            <w:r>
              <w:rPr>
                <w:rFonts w:ascii="Arial" w:cs="Arial" w:eastAsia="Arial" w:hAnsi="Arial"/>
                <w:sz w:val="16"/>
                <w:szCs w:val="16"/>
                <w:color w:val="auto"/>
              </w:rPr>
              <w:t>1,682</w:t>
            </w:r>
          </w:p>
        </w:tc>
        <w:tc>
          <w:tcPr>
            <w:tcW w:w="108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62"/>
        </w:trPr>
        <w:tc>
          <w:tcPr>
            <w:tcW w:w="280" w:type="dxa"/>
            <w:vAlign w:val="bottom"/>
          </w:tcPr>
          <w:p>
            <w:pPr>
              <w:ind w:left="40"/>
              <w:spacing w:after="0"/>
              <w:rPr>
                <w:sz w:val="20"/>
                <w:szCs w:val="20"/>
                <w:color w:val="auto"/>
              </w:rPr>
            </w:pPr>
            <w:r>
              <w:rPr>
                <w:rFonts w:ascii="Arial" w:cs="Arial" w:eastAsia="Arial" w:hAnsi="Arial"/>
                <w:sz w:val="16"/>
                <w:szCs w:val="16"/>
                <w:color w:val="auto"/>
              </w:rPr>
              <w:t>Q2</w:t>
            </w:r>
          </w:p>
        </w:tc>
        <w:tc>
          <w:tcPr>
            <w:tcW w:w="1180" w:type="dxa"/>
            <w:vAlign w:val="bottom"/>
          </w:tcPr>
          <w:p>
            <w:pPr>
              <w:ind w:left="20"/>
              <w:spacing w:after="0"/>
              <w:rPr>
                <w:sz w:val="20"/>
                <w:szCs w:val="20"/>
                <w:color w:val="auto"/>
              </w:rPr>
            </w:pPr>
            <w:r>
              <w:rPr>
                <w:rFonts w:ascii="Arial" w:cs="Arial" w:eastAsia="Arial" w:hAnsi="Arial"/>
                <w:sz w:val="16"/>
                <w:szCs w:val="16"/>
                <w:color w:val="auto"/>
              </w:rPr>
              <w:t>2015</w:t>
            </w:r>
          </w:p>
        </w:tc>
        <w:tc>
          <w:tcPr>
            <w:tcW w:w="100" w:type="dxa"/>
            <w:vAlign w:val="bottom"/>
          </w:tcPr>
          <w:p>
            <w:pPr>
              <w:spacing w:after="0"/>
              <w:rPr>
                <w:sz w:val="22"/>
                <w:szCs w:val="22"/>
                <w:color w:val="auto"/>
              </w:rPr>
            </w:pPr>
          </w:p>
        </w:tc>
        <w:tc>
          <w:tcPr>
            <w:tcW w:w="1220" w:type="dxa"/>
            <w:vAlign w:val="bottom"/>
          </w:tcPr>
          <w:p>
            <w:pPr>
              <w:jc w:val="right"/>
              <w:ind w:right="240"/>
              <w:spacing w:after="0"/>
              <w:rPr>
                <w:sz w:val="20"/>
                <w:szCs w:val="20"/>
                <w:color w:val="auto"/>
              </w:rPr>
            </w:pPr>
            <w:r>
              <w:rPr>
                <w:rFonts w:ascii="Arial" w:cs="Arial" w:eastAsia="Arial" w:hAnsi="Arial"/>
                <w:sz w:val="16"/>
                <w:szCs w:val="16"/>
                <w:color w:val="auto"/>
              </w:rPr>
              <w:t>2,104</w:t>
            </w:r>
          </w:p>
        </w:tc>
        <w:tc>
          <w:tcPr>
            <w:tcW w:w="1360" w:type="dxa"/>
            <w:vAlign w:val="bottom"/>
          </w:tcPr>
          <w:p>
            <w:pPr>
              <w:jc w:val="right"/>
              <w:ind w:right="220"/>
              <w:spacing w:after="0"/>
              <w:rPr>
                <w:sz w:val="20"/>
                <w:szCs w:val="20"/>
                <w:color w:val="auto"/>
              </w:rPr>
            </w:pPr>
            <w:r>
              <w:rPr>
                <w:rFonts w:ascii="Arial" w:cs="Arial" w:eastAsia="Arial" w:hAnsi="Arial"/>
                <w:sz w:val="16"/>
                <w:szCs w:val="16"/>
                <w:color w:val="auto"/>
              </w:rPr>
              <w:t>1,518</w:t>
            </w:r>
          </w:p>
        </w:tc>
        <w:tc>
          <w:tcPr>
            <w:tcW w:w="1200" w:type="dxa"/>
            <w:vAlign w:val="bottom"/>
          </w:tcPr>
          <w:p>
            <w:pPr>
              <w:jc w:val="right"/>
              <w:ind w:right="301"/>
              <w:spacing w:after="0"/>
              <w:rPr>
                <w:sz w:val="20"/>
                <w:szCs w:val="20"/>
                <w:color w:val="auto"/>
              </w:rPr>
            </w:pPr>
            <w:r>
              <w:rPr>
                <w:rFonts w:ascii="Arial" w:cs="Arial" w:eastAsia="Arial" w:hAnsi="Arial"/>
                <w:sz w:val="16"/>
                <w:szCs w:val="16"/>
                <w:color w:val="auto"/>
              </w:rPr>
              <w:t>4,778</w:t>
            </w:r>
          </w:p>
        </w:tc>
        <w:tc>
          <w:tcPr>
            <w:tcW w:w="1100" w:type="dxa"/>
            <w:vAlign w:val="bottom"/>
          </w:tcPr>
          <w:p>
            <w:pPr>
              <w:jc w:val="right"/>
              <w:ind w:right="280"/>
              <w:spacing w:after="0"/>
              <w:rPr>
                <w:sz w:val="20"/>
                <w:szCs w:val="20"/>
                <w:color w:val="auto"/>
              </w:rPr>
            </w:pPr>
            <w:r>
              <w:rPr>
                <w:rFonts w:ascii="Arial" w:cs="Arial" w:eastAsia="Arial" w:hAnsi="Arial"/>
                <w:sz w:val="16"/>
                <w:szCs w:val="16"/>
                <w:color w:val="auto"/>
              </w:rPr>
              <w:t>2,275</w:t>
            </w:r>
          </w:p>
        </w:tc>
        <w:tc>
          <w:tcPr>
            <w:tcW w:w="100" w:type="dxa"/>
            <w:vAlign w:val="bottom"/>
          </w:tcPr>
          <w:p>
            <w:pPr>
              <w:spacing w:after="0"/>
              <w:rPr>
                <w:sz w:val="22"/>
                <w:szCs w:val="22"/>
                <w:color w:val="auto"/>
              </w:rPr>
            </w:pPr>
          </w:p>
        </w:tc>
        <w:tc>
          <w:tcPr>
            <w:tcW w:w="1180" w:type="dxa"/>
            <w:vAlign w:val="bottom"/>
          </w:tcPr>
          <w:p>
            <w:pPr>
              <w:jc w:val="right"/>
              <w:ind w:right="200"/>
              <w:spacing w:after="0"/>
              <w:rPr>
                <w:sz w:val="20"/>
                <w:szCs w:val="20"/>
                <w:color w:val="auto"/>
              </w:rPr>
            </w:pPr>
            <w:r>
              <w:rPr>
                <w:rFonts w:ascii="Arial" w:cs="Arial" w:eastAsia="Arial" w:hAnsi="Arial"/>
                <w:sz w:val="16"/>
                <w:szCs w:val="16"/>
                <w:color w:val="auto"/>
              </w:rPr>
              <w:t>605</w:t>
            </w:r>
          </w:p>
        </w:tc>
        <w:tc>
          <w:tcPr>
            <w:tcW w:w="1400" w:type="dxa"/>
            <w:vAlign w:val="bottom"/>
          </w:tcPr>
          <w:p>
            <w:pPr>
              <w:jc w:val="right"/>
              <w:ind w:right="220"/>
              <w:spacing w:after="0"/>
              <w:rPr>
                <w:sz w:val="20"/>
                <w:szCs w:val="20"/>
                <w:color w:val="auto"/>
              </w:rPr>
            </w:pPr>
            <w:r>
              <w:rPr>
                <w:rFonts w:ascii="Arial" w:cs="Arial" w:eastAsia="Arial" w:hAnsi="Arial"/>
                <w:sz w:val="16"/>
                <w:szCs w:val="16"/>
                <w:color w:val="auto"/>
              </w:rPr>
              <w:t>410</w:t>
            </w:r>
          </w:p>
        </w:tc>
        <w:tc>
          <w:tcPr>
            <w:tcW w:w="1220" w:type="dxa"/>
            <w:vAlign w:val="bottom"/>
          </w:tcPr>
          <w:p>
            <w:pPr>
              <w:jc w:val="right"/>
              <w:ind w:right="321"/>
              <w:spacing w:after="0"/>
              <w:rPr>
                <w:sz w:val="20"/>
                <w:szCs w:val="20"/>
                <w:color w:val="auto"/>
              </w:rPr>
            </w:pPr>
            <w:r>
              <w:rPr>
                <w:rFonts w:ascii="Arial" w:cs="Arial" w:eastAsia="Arial" w:hAnsi="Arial"/>
                <w:sz w:val="16"/>
                <w:szCs w:val="16"/>
                <w:color w:val="auto"/>
              </w:rPr>
              <w:t>1,877</w:t>
            </w:r>
          </w:p>
        </w:tc>
        <w:tc>
          <w:tcPr>
            <w:tcW w:w="1080" w:type="dxa"/>
            <w:vAlign w:val="bottom"/>
          </w:tcPr>
          <w:p>
            <w:pPr>
              <w:jc w:val="right"/>
              <w:ind w:right="280"/>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71"/>
        </w:trPr>
        <w:tc>
          <w:tcPr>
            <w:tcW w:w="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Q3</w:t>
            </w:r>
          </w:p>
        </w:tc>
        <w:tc>
          <w:tcPr>
            <w:tcW w:w="1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2015</w:t>
            </w:r>
          </w:p>
        </w:tc>
        <w:tc>
          <w:tcPr>
            <w:tcW w:w="100" w:type="dxa"/>
            <w:vAlign w:val="bottom"/>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6"/>
                <w:szCs w:val="16"/>
                <w:color w:val="auto"/>
              </w:rPr>
              <w:t>2,596</w:t>
            </w:r>
          </w:p>
        </w:tc>
        <w:tc>
          <w:tcPr>
            <w:tcW w:w="136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color w:val="auto"/>
              </w:rPr>
              <w:t>2,873</w:t>
            </w:r>
          </w:p>
        </w:tc>
        <w:tc>
          <w:tcPr>
            <w:tcW w:w="120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rPr>
              <w:t>4,501</w:t>
            </w:r>
          </w:p>
        </w:tc>
        <w:tc>
          <w:tcPr>
            <w:tcW w:w="110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auto"/>
              </w:rPr>
              <w:t>2,279</w:t>
            </w:r>
          </w:p>
        </w:tc>
        <w:tc>
          <w:tcPr>
            <w:tcW w:w="100" w:type="dxa"/>
            <w:vAlign w:val="bottom"/>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742</w:t>
            </w:r>
          </w:p>
        </w:tc>
        <w:tc>
          <w:tcPr>
            <w:tcW w:w="140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color w:val="auto"/>
              </w:rPr>
              <w:t>796</w:t>
            </w:r>
          </w:p>
        </w:tc>
        <w:tc>
          <w:tcPr>
            <w:tcW w:w="1220" w:type="dxa"/>
            <w:vAlign w:val="bottom"/>
            <w:shd w:val="clear" w:color="auto" w:fill="CCEEFF"/>
          </w:tcPr>
          <w:p>
            <w:pPr>
              <w:jc w:val="right"/>
              <w:ind w:right="321"/>
              <w:spacing w:after="0"/>
              <w:rPr>
                <w:sz w:val="20"/>
                <w:szCs w:val="20"/>
                <w:color w:val="auto"/>
              </w:rPr>
            </w:pPr>
            <w:r>
              <w:rPr>
                <w:rFonts w:ascii="Arial" w:cs="Arial" w:eastAsia="Arial" w:hAnsi="Arial"/>
                <w:sz w:val="16"/>
                <w:szCs w:val="16"/>
                <w:color w:val="auto"/>
              </w:rPr>
              <w:t>1,823</w:t>
            </w:r>
          </w:p>
        </w:tc>
        <w:tc>
          <w:tcPr>
            <w:tcW w:w="108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282"/>
        </w:trPr>
        <w:tc>
          <w:tcPr>
            <w:tcW w:w="156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Rolling 12 months</w:t>
            </w:r>
          </w:p>
        </w:tc>
        <w:tc>
          <w:tcPr>
            <w:tcW w:w="122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9,095</w:t>
            </w:r>
          </w:p>
        </w:tc>
        <w:tc>
          <w:tcPr>
            <w:tcW w:w="136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8,392</w:t>
            </w:r>
          </w:p>
        </w:tc>
        <w:tc>
          <w:tcPr>
            <w:tcW w:w="120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8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2,616</w:t>
            </w:r>
          </w:p>
        </w:tc>
        <w:tc>
          <w:tcPr>
            <w:tcW w:w="140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2,568</w:t>
            </w:r>
          </w:p>
        </w:tc>
        <w:tc>
          <w:tcPr>
            <w:tcW w:w="122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560" w:type="dxa"/>
            <w:vAlign w:val="bottom"/>
            <w:gridSpan w:val="3"/>
            <w:shd w:val="clear" w:color="auto" w:fill="CCEEFF"/>
          </w:tcPr>
          <w:p>
            <w:pPr>
              <w:ind w:left="40"/>
              <w:spacing w:after="0" w:line="152" w:lineRule="exact"/>
              <w:rPr>
                <w:sz w:val="20"/>
                <w:szCs w:val="20"/>
                <w:color w:val="auto"/>
              </w:rPr>
            </w:pPr>
            <w:r>
              <w:rPr>
                <w:rFonts w:ascii="Arial" w:cs="Arial" w:eastAsia="Arial" w:hAnsi="Arial"/>
                <w:sz w:val="16"/>
                <w:szCs w:val="16"/>
                <w:color w:val="auto"/>
              </w:rPr>
              <w:t>June 2014-May</w:t>
            </w:r>
          </w:p>
        </w:tc>
        <w:tc>
          <w:tcPr>
            <w:tcW w:w="122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14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2015</w:t>
            </w: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146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15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Unit change</w:t>
            </w:r>
          </w:p>
        </w:tc>
        <w:tc>
          <w:tcPr>
            <w:tcW w:w="122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471</w:t>
            </w:r>
          </w:p>
        </w:tc>
        <w:tc>
          <w:tcPr>
            <w:tcW w:w="136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932</w:t>
            </w:r>
          </w:p>
        </w:tc>
        <w:tc>
          <w:tcPr>
            <w:tcW w:w="120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rPr>
              <w:t>703</w:t>
            </w:r>
          </w:p>
        </w:tc>
        <w:tc>
          <w:tcPr>
            <w:tcW w:w="11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113</w:t>
            </w:r>
          </w:p>
        </w:tc>
        <w:tc>
          <w:tcPr>
            <w:tcW w:w="140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198</w:t>
            </w:r>
          </w:p>
        </w:tc>
        <w:tc>
          <w:tcPr>
            <w:tcW w:w="1220" w:type="dxa"/>
            <w:vAlign w:val="bottom"/>
            <w:shd w:val="clear" w:color="auto" w:fill="CCEEFF"/>
          </w:tcPr>
          <w:p>
            <w:pPr>
              <w:jc w:val="right"/>
              <w:ind w:right="321"/>
              <w:spacing w:after="0"/>
              <w:rPr>
                <w:sz w:val="20"/>
                <w:szCs w:val="20"/>
                <w:color w:val="auto"/>
              </w:rPr>
            </w:pPr>
            <w:r>
              <w:rPr>
                <w:rFonts w:ascii="Arial" w:cs="Arial" w:eastAsia="Arial" w:hAnsi="Arial"/>
                <w:sz w:val="16"/>
                <w:szCs w:val="16"/>
                <w:color w:val="auto"/>
              </w:rPr>
              <w:t>48</w:t>
            </w:r>
          </w:p>
        </w:tc>
        <w:tc>
          <w:tcPr>
            <w:tcW w:w="108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198"/>
        </w:trPr>
        <w:tc>
          <w:tcPr>
            <w:tcW w:w="1560" w:type="dxa"/>
            <w:vAlign w:val="bottom"/>
            <w:gridSpan w:val="3"/>
          </w:tcPr>
          <w:p>
            <w:pPr>
              <w:ind w:left="40"/>
              <w:spacing w:after="0"/>
              <w:rPr>
                <w:sz w:val="20"/>
                <w:szCs w:val="20"/>
                <w:color w:val="auto"/>
              </w:rPr>
            </w:pPr>
            <w:r>
              <w:rPr>
                <w:rFonts w:ascii="Arial" w:cs="Arial" w:eastAsia="Arial" w:hAnsi="Arial"/>
                <w:sz w:val="16"/>
                <w:szCs w:val="16"/>
                <w:color w:val="auto"/>
              </w:rPr>
              <w:t>Percentage</w:t>
            </w: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560" w:type="dxa"/>
            <w:vAlign w:val="bottom"/>
            <w:gridSpan w:val="3"/>
          </w:tcPr>
          <w:p>
            <w:pPr>
              <w:ind w:left="40"/>
              <w:spacing w:after="0"/>
              <w:rPr>
                <w:sz w:val="20"/>
                <w:szCs w:val="20"/>
                <w:color w:val="auto"/>
              </w:rPr>
            </w:pPr>
            <w:r>
              <w:rPr>
                <w:rFonts w:ascii="Arial" w:cs="Arial" w:eastAsia="Arial" w:hAnsi="Arial"/>
                <w:sz w:val="16"/>
                <w:szCs w:val="16"/>
                <w:color w:val="auto"/>
              </w:rPr>
              <w:t>change</w:t>
            </w:r>
          </w:p>
        </w:tc>
        <w:tc>
          <w:tcPr>
            <w:tcW w:w="1220" w:type="dxa"/>
            <w:vAlign w:val="bottom"/>
          </w:tcPr>
          <w:p>
            <w:pPr>
              <w:jc w:val="right"/>
              <w:ind w:right="80"/>
              <w:spacing w:after="0"/>
              <w:rPr>
                <w:sz w:val="20"/>
                <w:szCs w:val="20"/>
                <w:color w:val="auto"/>
              </w:rPr>
            </w:pPr>
            <w:r>
              <w:rPr>
                <w:rFonts w:ascii="Arial" w:cs="Arial" w:eastAsia="Arial" w:hAnsi="Arial"/>
                <w:sz w:val="16"/>
                <w:szCs w:val="16"/>
                <w:color w:val="auto"/>
              </w:rPr>
              <w:t>5.5%</w:t>
            </w:r>
          </w:p>
        </w:tc>
        <w:tc>
          <w:tcPr>
            <w:tcW w:w="1360" w:type="dxa"/>
            <w:vAlign w:val="bottom"/>
          </w:tcPr>
          <w:p>
            <w:pPr>
              <w:jc w:val="right"/>
              <w:ind w:right="80"/>
              <w:spacing w:after="0"/>
              <w:rPr>
                <w:sz w:val="20"/>
                <w:szCs w:val="20"/>
                <w:color w:val="auto"/>
              </w:rPr>
            </w:pPr>
            <w:r>
              <w:rPr>
                <w:rFonts w:ascii="Arial" w:cs="Arial" w:eastAsia="Arial" w:hAnsi="Arial"/>
                <w:sz w:val="16"/>
                <w:szCs w:val="16"/>
                <w:color w:val="auto"/>
              </w:rPr>
              <w:t>12.5%</w:t>
            </w:r>
          </w:p>
        </w:tc>
        <w:tc>
          <w:tcPr>
            <w:tcW w:w="1200" w:type="dxa"/>
            <w:vAlign w:val="bottom"/>
          </w:tcPr>
          <w:p>
            <w:pPr>
              <w:jc w:val="right"/>
              <w:ind w:right="161"/>
              <w:spacing w:after="0"/>
              <w:rPr>
                <w:sz w:val="20"/>
                <w:szCs w:val="20"/>
                <w:color w:val="auto"/>
              </w:rPr>
            </w:pPr>
            <w:r>
              <w:rPr>
                <w:rFonts w:ascii="Arial" w:cs="Arial" w:eastAsia="Arial" w:hAnsi="Arial"/>
                <w:sz w:val="16"/>
                <w:szCs w:val="16"/>
                <w:color w:val="auto"/>
              </w:rPr>
              <w:t>18.5%</w:t>
            </w: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9"/>
                <w:szCs w:val="19"/>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4.5%</w:t>
            </w:r>
          </w:p>
        </w:tc>
        <w:tc>
          <w:tcPr>
            <w:tcW w:w="1400" w:type="dxa"/>
            <w:vAlign w:val="bottom"/>
          </w:tcPr>
          <w:p>
            <w:pPr>
              <w:jc w:val="right"/>
              <w:ind w:right="80"/>
              <w:spacing w:after="0"/>
              <w:rPr>
                <w:sz w:val="20"/>
                <w:szCs w:val="20"/>
                <w:color w:val="auto"/>
              </w:rPr>
            </w:pPr>
            <w:r>
              <w:rPr>
                <w:rFonts w:ascii="Arial" w:cs="Arial" w:eastAsia="Arial" w:hAnsi="Arial"/>
                <w:sz w:val="16"/>
                <w:szCs w:val="16"/>
                <w:color w:val="auto"/>
              </w:rPr>
              <w:t>8.4%</w:t>
            </w:r>
          </w:p>
        </w:tc>
        <w:tc>
          <w:tcPr>
            <w:tcW w:w="1220" w:type="dxa"/>
            <w:vAlign w:val="bottom"/>
          </w:tcPr>
          <w:p>
            <w:pPr>
              <w:jc w:val="right"/>
              <w:ind w:right="161"/>
              <w:spacing w:after="0"/>
              <w:rPr>
                <w:sz w:val="20"/>
                <w:szCs w:val="20"/>
                <w:color w:val="auto"/>
              </w:rPr>
            </w:pPr>
            <w:r>
              <w:rPr>
                <w:rFonts w:ascii="Arial" w:cs="Arial" w:eastAsia="Arial" w:hAnsi="Arial"/>
                <w:sz w:val="16"/>
                <w:szCs w:val="16"/>
                <w:color w:val="auto"/>
              </w:rPr>
              <w:t>2.7%</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(40.9)%</w:t>
            </w:r>
          </w:p>
        </w:tc>
        <w:tc>
          <w:tcPr>
            <w:tcW w:w="0" w:type="dxa"/>
            <w:vAlign w:val="bottom"/>
          </w:tcPr>
          <w:p>
            <w:pPr>
              <w:spacing w:after="0"/>
              <w:rPr>
                <w:sz w:val="1"/>
                <w:szCs w:val="1"/>
                <w:color w:val="auto"/>
              </w:rPr>
            </w:pPr>
          </w:p>
        </w:tc>
      </w:tr>
    </w:tbl>
    <w:p>
      <w:pPr>
        <w:spacing w:after="0" w:line="2" w:lineRule="exact"/>
        <w:rPr>
          <w:sz w:val="20"/>
          <w:szCs w:val="20"/>
          <w:color w:val="auto"/>
        </w:rPr>
      </w:pPr>
    </w:p>
    <w:p>
      <w:pPr>
        <w:ind w:right="280" w:firstLine="8"/>
        <w:spacing w:after="0" w:line="239" w:lineRule="auto"/>
        <w:tabs>
          <w:tab w:leader="none" w:pos="150" w:val="left"/>
        </w:tabs>
        <w:numPr>
          <w:ilvl w:val="0"/>
          <w:numId w:val="5"/>
        </w:numPr>
        <w:rPr>
          <w:rFonts w:ascii="Arial" w:cs="Arial" w:eastAsia="Arial" w:hAnsi="Arial"/>
          <w:sz w:val="17"/>
          <w:szCs w:val="17"/>
          <w:color w:val="auto"/>
          <w:vertAlign w:val="superscript"/>
        </w:rPr>
      </w:pPr>
      <w:r>
        <w:rPr>
          <w:rFonts w:ascii="Arial" w:cs="Arial" w:eastAsia="Arial" w:hAnsi="Arial"/>
          <w:sz w:val="14"/>
          <w:szCs w:val="14"/>
          <w:color w:val="auto"/>
        </w:rPr>
        <w:t>Of the 2,674 units delivered in Q3 2014, 343 units were accounted for as operating leases as the units were subject to repurchase option. These units were included as retail registrations, not in dealer inventory, as the units were immediately placed into rental service once delivered. See Note 5 to the financial statements.</w:t>
      </w:r>
    </w:p>
    <w:p>
      <w:pPr>
        <w:sectPr>
          <w:pgSz w:w="11900" w:h="16838" w:orient="portrait"/>
          <w:cols w:equalWidth="0" w:num="1">
            <w:col w:w="11420"/>
          </w:cols>
          <w:pgMar w:left="240" w:top="121" w:right="239" w:bottom="1440" w:gutter="0" w:footer="0" w:header="0"/>
        </w:sect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1" w:right="239" w:bottom="1440" w:gutter="0" w:footer="0" w:header="0"/>
          <w:type w:val="continuous"/>
        </w:sectPr>
      </w:pPr>
    </w:p>
    <w:bookmarkStart w:id="15" w:name="page16"/>
    <w:bookmarkEnd w:id="1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Industry Outlook</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Key statistics for the motorhome industry are as follows:</w:t>
      </w:r>
    </w:p>
    <w:p>
      <w:pPr>
        <w:spacing w:after="0" w:line="238"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158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4900" w:type="dxa"/>
            <w:vAlign w:val="bottom"/>
            <w:tcBorders>
              <w:bottom w:val="single" w:sz="8" w:color="auto"/>
            </w:tcBorders>
            <w:gridSpan w:val="6"/>
          </w:tcPr>
          <w:p>
            <w:pPr>
              <w:jc w:val="right"/>
              <w:ind w:right="681"/>
              <w:spacing w:after="0"/>
              <w:rPr>
                <w:sz w:val="20"/>
                <w:szCs w:val="20"/>
                <w:color w:val="auto"/>
              </w:rPr>
            </w:pPr>
            <w:r>
              <w:rPr>
                <w:rFonts w:ascii="Arial" w:cs="Arial" w:eastAsia="Arial" w:hAnsi="Arial"/>
                <w:sz w:val="14"/>
                <w:szCs w:val="14"/>
                <w:b w:val="1"/>
                <w:bCs w:val="1"/>
                <w:color w:val="auto"/>
              </w:rPr>
              <w:t>US and Canada Industry Class A, B &amp; C Motorhomes</w:t>
            </w:r>
          </w:p>
        </w:tc>
        <w:tc>
          <w:tcPr>
            <w:tcW w:w="1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r>
      <w:tr>
        <w:trPr>
          <w:trHeight w:val="311"/>
        </w:trPr>
        <w:tc>
          <w:tcPr>
            <w:tcW w:w="1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60" w:type="dxa"/>
            <w:vAlign w:val="bottom"/>
            <w:gridSpan w:val="2"/>
          </w:tcPr>
          <w:p>
            <w:pPr>
              <w:jc w:val="right"/>
              <w:ind w:right="381"/>
              <w:spacing w:after="0"/>
              <w:rPr>
                <w:sz w:val="20"/>
                <w:szCs w:val="20"/>
                <w:color w:val="auto"/>
              </w:rPr>
            </w:pPr>
            <w:r>
              <w:rPr>
                <w:rFonts w:ascii="Arial" w:cs="Arial" w:eastAsia="Arial" w:hAnsi="Arial"/>
                <w:sz w:val="14"/>
                <w:szCs w:val="14"/>
                <w:b w:val="1"/>
                <w:bCs w:val="1"/>
                <w:color w:val="auto"/>
              </w:rPr>
              <w:t>Wholesale Shipments</w:t>
            </w:r>
            <w:r>
              <w:rPr>
                <w:rFonts w:ascii="Arial" w:cs="Arial" w:eastAsia="Arial" w:hAnsi="Arial"/>
                <w:sz w:val="17"/>
                <w:szCs w:val="17"/>
                <w:b w:val="1"/>
                <w:bCs w:val="1"/>
                <w:color w:val="auto"/>
                <w:vertAlign w:val="superscript"/>
              </w:rPr>
              <w:t>(1)</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00" w:type="dxa"/>
            <w:vAlign w:val="bottom"/>
            <w:gridSpan w:val="2"/>
          </w:tcPr>
          <w:p>
            <w:pPr>
              <w:jc w:val="right"/>
              <w:ind w:right="501"/>
              <w:spacing w:after="0"/>
              <w:rPr>
                <w:sz w:val="20"/>
                <w:szCs w:val="20"/>
                <w:color w:val="auto"/>
              </w:rPr>
            </w:pPr>
            <w:r>
              <w:rPr>
                <w:rFonts w:ascii="Arial" w:cs="Arial" w:eastAsia="Arial" w:hAnsi="Arial"/>
                <w:sz w:val="14"/>
                <w:szCs w:val="14"/>
                <w:b w:val="1"/>
                <w:bCs w:val="1"/>
                <w:color w:val="auto"/>
              </w:rPr>
              <w:t>Retail Registrations</w:t>
            </w:r>
            <w:r>
              <w:rPr>
                <w:rFonts w:ascii="Arial" w:cs="Arial" w:eastAsia="Arial" w:hAnsi="Arial"/>
                <w:sz w:val="17"/>
                <w:szCs w:val="17"/>
                <w:b w:val="1"/>
                <w:bCs w:val="1"/>
                <w:color w:val="auto"/>
                <w:vertAlign w:val="superscript"/>
              </w:rPr>
              <w:t>(2)</w:t>
            </w:r>
          </w:p>
        </w:tc>
        <w:tc>
          <w:tcPr>
            <w:tcW w:w="1140" w:type="dxa"/>
            <w:vAlign w:val="bottom"/>
          </w:tcPr>
          <w:p>
            <w:pPr>
              <w:spacing w:after="0"/>
              <w:rPr>
                <w:sz w:val="24"/>
                <w:szCs w:val="24"/>
                <w:color w:val="auto"/>
              </w:rPr>
            </w:pPr>
          </w:p>
        </w:tc>
      </w:tr>
      <w:tr>
        <w:trPr>
          <w:trHeight w:val="223"/>
        </w:trPr>
        <w:tc>
          <w:tcPr>
            <w:tcW w:w="158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2"/>
          </w:tcPr>
          <w:p>
            <w:pPr>
              <w:jc w:val="right"/>
              <w:ind w:right="701"/>
              <w:spacing w:after="0"/>
              <w:rPr>
                <w:sz w:val="20"/>
                <w:szCs w:val="20"/>
                <w:color w:val="auto"/>
              </w:rPr>
            </w:pPr>
            <w:r>
              <w:rPr>
                <w:rFonts w:ascii="Arial" w:cs="Arial" w:eastAsia="Arial" w:hAnsi="Arial"/>
                <w:sz w:val="14"/>
                <w:szCs w:val="14"/>
                <w:b w:val="1"/>
                <w:bCs w:val="1"/>
                <w:color w:val="auto"/>
              </w:rPr>
              <w:t>Calendar Year</w:t>
            </w:r>
          </w:p>
        </w:tc>
        <w:tc>
          <w:tcPr>
            <w:tcW w:w="1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2"/>
          </w:tcPr>
          <w:p>
            <w:pPr>
              <w:jc w:val="right"/>
              <w:ind w:right="741"/>
              <w:spacing w:after="0"/>
              <w:rPr>
                <w:sz w:val="20"/>
                <w:szCs w:val="20"/>
                <w:color w:val="auto"/>
              </w:rPr>
            </w:pPr>
            <w:r>
              <w:rPr>
                <w:rFonts w:ascii="Arial" w:cs="Arial" w:eastAsia="Arial" w:hAnsi="Arial"/>
                <w:sz w:val="14"/>
                <w:szCs w:val="14"/>
                <w:b w:val="1"/>
                <w:bCs w:val="1"/>
                <w:color w:val="auto"/>
              </w:rPr>
              <w:t>Calendar Year</w:t>
            </w:r>
          </w:p>
        </w:tc>
        <w:tc>
          <w:tcPr>
            <w:tcW w:w="1140" w:type="dxa"/>
            <w:vAlign w:val="bottom"/>
            <w:tcBorders>
              <w:bottom w:val="single" w:sz="8" w:color="auto"/>
            </w:tcBorders>
          </w:tcPr>
          <w:p>
            <w:pPr>
              <w:spacing w:after="0"/>
              <w:rPr>
                <w:sz w:val="19"/>
                <w:szCs w:val="19"/>
                <w:color w:val="auto"/>
              </w:rPr>
            </w:pPr>
          </w:p>
        </w:tc>
      </w:tr>
      <w:tr>
        <w:trPr>
          <w:trHeight w:val="264"/>
        </w:trPr>
        <w:tc>
          <w:tcPr>
            <w:tcW w:w="1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units)</w:t>
            </w:r>
          </w:p>
        </w:tc>
        <w:tc>
          <w:tcPr>
            <w:tcW w:w="116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2013</w:t>
            </w:r>
          </w:p>
        </w:tc>
        <w:tc>
          <w:tcPr>
            <w:tcW w:w="110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Unit Change</w:t>
            </w:r>
          </w:p>
        </w:tc>
        <w:tc>
          <w:tcPr>
            <w:tcW w:w="110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2013</w:t>
            </w:r>
          </w:p>
        </w:tc>
        <w:tc>
          <w:tcPr>
            <w:tcW w:w="118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Unit Change</w:t>
            </w:r>
          </w:p>
        </w:tc>
        <w:tc>
          <w:tcPr>
            <w:tcW w:w="114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 Change</w:t>
            </w:r>
          </w:p>
        </w:tc>
      </w:tr>
      <w:tr>
        <w:trPr>
          <w:trHeight w:val="265"/>
        </w:trPr>
        <w:tc>
          <w:tcPr>
            <w:tcW w:w="158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Q1</w:t>
            </w:r>
          </w:p>
        </w:tc>
        <w:tc>
          <w:tcPr>
            <w:tcW w:w="11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11,125</w:t>
            </w:r>
          </w:p>
        </w:tc>
        <w:tc>
          <w:tcPr>
            <w:tcW w:w="3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8,500</w:t>
            </w:r>
          </w:p>
        </w:tc>
        <w:tc>
          <w:tcPr>
            <w:tcW w:w="11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2,625</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1240" w:type="dxa"/>
            <w:vAlign w:val="bottom"/>
            <w:gridSpan w:val="2"/>
            <w:shd w:val="clear" w:color="auto" w:fill="CCEEFF"/>
          </w:tcPr>
          <w:p>
            <w:pPr>
              <w:jc w:val="right"/>
              <w:ind w:right="23"/>
              <w:spacing w:after="0"/>
              <w:rPr>
                <w:sz w:val="20"/>
                <w:szCs w:val="20"/>
                <w:color w:val="auto"/>
              </w:rPr>
            </w:pPr>
            <w:r>
              <w:rPr>
                <w:rFonts w:ascii="Arial" w:cs="Arial" w:eastAsia="Arial" w:hAnsi="Arial"/>
                <w:sz w:val="16"/>
                <w:szCs w:val="16"/>
                <w:color w:val="auto"/>
              </w:rPr>
              <w:t>8,076</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7,147</w:t>
            </w:r>
          </w:p>
        </w:tc>
        <w:tc>
          <w:tcPr>
            <w:tcW w:w="11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929</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w:t>
            </w:r>
          </w:p>
        </w:tc>
      </w:tr>
      <w:tr>
        <w:trPr>
          <w:trHeight w:val="262"/>
        </w:trPr>
        <w:tc>
          <w:tcPr>
            <w:tcW w:w="1580" w:type="dxa"/>
            <w:vAlign w:val="bottom"/>
          </w:tcPr>
          <w:p>
            <w:pPr>
              <w:ind w:left="40"/>
              <w:spacing w:after="0"/>
              <w:rPr>
                <w:sz w:val="20"/>
                <w:szCs w:val="20"/>
                <w:color w:val="auto"/>
              </w:rPr>
            </w:pPr>
            <w:r>
              <w:rPr>
                <w:rFonts w:ascii="Arial" w:cs="Arial" w:eastAsia="Arial" w:hAnsi="Arial"/>
                <w:sz w:val="16"/>
                <w:szCs w:val="16"/>
                <w:color w:val="auto"/>
              </w:rPr>
              <w:t>Q2</w:t>
            </w: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12,203</w:t>
            </w:r>
          </w:p>
        </w:tc>
        <w:tc>
          <w:tcPr>
            <w:tcW w:w="360" w:type="dxa"/>
            <w:vAlign w:val="bottom"/>
          </w:tcPr>
          <w:p>
            <w:pPr>
              <w:spacing w:after="0"/>
              <w:rPr>
                <w:sz w:val="22"/>
                <w:szCs w:val="22"/>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10,972</w:t>
            </w:r>
          </w:p>
        </w:tc>
        <w:tc>
          <w:tcPr>
            <w:tcW w:w="1100" w:type="dxa"/>
            <w:vAlign w:val="bottom"/>
          </w:tcPr>
          <w:p>
            <w:pPr>
              <w:jc w:val="right"/>
              <w:ind w:right="101"/>
              <w:spacing w:after="0"/>
              <w:rPr>
                <w:sz w:val="20"/>
                <w:szCs w:val="20"/>
                <w:color w:val="auto"/>
              </w:rPr>
            </w:pPr>
            <w:r>
              <w:rPr>
                <w:rFonts w:ascii="Arial" w:cs="Arial" w:eastAsia="Arial" w:hAnsi="Arial"/>
                <w:sz w:val="16"/>
                <w:szCs w:val="16"/>
                <w:color w:val="auto"/>
              </w:rPr>
              <w:t>1,231</w:t>
            </w:r>
          </w:p>
        </w:tc>
        <w:tc>
          <w:tcPr>
            <w:tcW w:w="1100" w:type="dxa"/>
            <w:vAlign w:val="bottom"/>
          </w:tcPr>
          <w:p>
            <w:pPr>
              <w:jc w:val="right"/>
              <w:spacing w:after="0"/>
              <w:rPr>
                <w:sz w:val="20"/>
                <w:szCs w:val="20"/>
                <w:color w:val="auto"/>
              </w:rPr>
            </w:pPr>
            <w:r>
              <w:rPr>
                <w:rFonts w:ascii="Arial" w:cs="Arial" w:eastAsia="Arial" w:hAnsi="Arial"/>
                <w:sz w:val="16"/>
                <w:szCs w:val="16"/>
                <w:color w:val="auto"/>
              </w:rPr>
              <w:t>11.2%</w:t>
            </w:r>
          </w:p>
        </w:tc>
        <w:tc>
          <w:tcPr>
            <w:tcW w:w="1240" w:type="dxa"/>
            <w:vAlign w:val="bottom"/>
            <w:gridSpan w:val="2"/>
          </w:tcPr>
          <w:p>
            <w:pPr>
              <w:jc w:val="right"/>
              <w:ind w:right="23"/>
              <w:spacing w:after="0"/>
              <w:rPr>
                <w:sz w:val="20"/>
                <w:szCs w:val="20"/>
                <w:color w:val="auto"/>
              </w:rPr>
            </w:pPr>
            <w:r>
              <w:rPr>
                <w:rFonts w:ascii="Arial" w:cs="Arial" w:eastAsia="Arial" w:hAnsi="Arial"/>
                <w:sz w:val="16"/>
                <w:szCs w:val="16"/>
                <w:color w:val="auto"/>
              </w:rPr>
              <w:t>12,511</w:t>
            </w:r>
          </w:p>
        </w:tc>
        <w:tc>
          <w:tcPr>
            <w:tcW w:w="340" w:type="dxa"/>
            <w:vAlign w:val="bottom"/>
          </w:tcPr>
          <w:p>
            <w:pPr>
              <w:spacing w:after="0"/>
              <w:rPr>
                <w:sz w:val="22"/>
                <w:szCs w:val="22"/>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10,909</w:t>
            </w:r>
          </w:p>
        </w:tc>
        <w:tc>
          <w:tcPr>
            <w:tcW w:w="1180" w:type="dxa"/>
            <w:vAlign w:val="bottom"/>
          </w:tcPr>
          <w:p>
            <w:pPr>
              <w:jc w:val="right"/>
              <w:ind w:right="101"/>
              <w:spacing w:after="0"/>
              <w:rPr>
                <w:sz w:val="20"/>
                <w:szCs w:val="20"/>
                <w:color w:val="auto"/>
              </w:rPr>
            </w:pPr>
            <w:r>
              <w:rPr>
                <w:rFonts w:ascii="Arial" w:cs="Arial" w:eastAsia="Arial" w:hAnsi="Arial"/>
                <w:sz w:val="16"/>
                <w:szCs w:val="16"/>
                <w:color w:val="auto"/>
              </w:rPr>
              <w:t>1,602</w:t>
            </w:r>
          </w:p>
        </w:tc>
        <w:tc>
          <w:tcPr>
            <w:tcW w:w="1140" w:type="dxa"/>
            <w:vAlign w:val="bottom"/>
          </w:tcPr>
          <w:p>
            <w:pPr>
              <w:jc w:val="right"/>
              <w:spacing w:after="0"/>
              <w:rPr>
                <w:sz w:val="20"/>
                <w:szCs w:val="20"/>
                <w:color w:val="auto"/>
              </w:rPr>
            </w:pPr>
            <w:r>
              <w:rPr>
                <w:rFonts w:ascii="Arial" w:cs="Arial" w:eastAsia="Arial" w:hAnsi="Arial"/>
                <w:sz w:val="16"/>
                <w:szCs w:val="16"/>
                <w:color w:val="auto"/>
              </w:rPr>
              <w:t>14.7%</w:t>
            </w:r>
          </w:p>
        </w:tc>
      </w:tr>
      <w:tr>
        <w:trPr>
          <w:trHeight w:val="278"/>
        </w:trPr>
        <w:tc>
          <w:tcPr>
            <w:tcW w:w="158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Q3</w:t>
            </w:r>
          </w:p>
        </w:tc>
        <w:tc>
          <w:tcPr>
            <w:tcW w:w="11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10,704</w:t>
            </w:r>
          </w:p>
        </w:tc>
        <w:tc>
          <w:tcPr>
            <w:tcW w:w="3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9,469</w:t>
            </w:r>
          </w:p>
        </w:tc>
        <w:tc>
          <w:tcPr>
            <w:tcW w:w="11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1,235</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240" w:type="dxa"/>
            <w:vAlign w:val="bottom"/>
            <w:gridSpan w:val="2"/>
            <w:shd w:val="clear" w:color="auto" w:fill="CCEEFF"/>
          </w:tcPr>
          <w:p>
            <w:pPr>
              <w:jc w:val="right"/>
              <w:ind w:right="43"/>
              <w:spacing w:after="0"/>
              <w:rPr>
                <w:sz w:val="20"/>
                <w:szCs w:val="20"/>
                <w:color w:val="auto"/>
              </w:rPr>
            </w:pPr>
            <w:r>
              <w:rPr>
                <w:rFonts w:ascii="Arial" w:cs="Arial" w:eastAsia="Arial" w:hAnsi="Arial"/>
                <w:sz w:val="16"/>
                <w:szCs w:val="16"/>
                <w:color w:val="auto"/>
              </w:rPr>
              <w:t>10,740</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9,125</w:t>
            </w:r>
          </w:p>
        </w:tc>
        <w:tc>
          <w:tcPr>
            <w:tcW w:w="11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1,615</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w:t>
            </w:r>
          </w:p>
        </w:tc>
      </w:tr>
      <w:tr>
        <w:trPr>
          <w:trHeight w:val="264"/>
        </w:trPr>
        <w:tc>
          <w:tcPr>
            <w:tcW w:w="15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Q4</w:t>
            </w:r>
          </w:p>
        </w:tc>
        <w:tc>
          <w:tcPr>
            <w:tcW w:w="11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9,919</w:t>
            </w: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9,391</w:t>
            </w:r>
          </w:p>
        </w:tc>
        <w:tc>
          <w:tcPr>
            <w:tcW w:w="11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528</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7,605</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6,281</w:t>
            </w:r>
          </w:p>
        </w:tc>
        <w:tc>
          <w:tcPr>
            <w:tcW w:w="11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1,324</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w:t>
            </w:r>
          </w:p>
        </w:tc>
      </w:tr>
      <w:tr>
        <w:trPr>
          <w:trHeight w:val="269"/>
        </w:trPr>
        <w:tc>
          <w:tcPr>
            <w:tcW w:w="1580" w:type="dxa"/>
            <w:vAlign w:val="bottom"/>
            <w:tcBorders>
              <w:left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1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43,951</w:t>
            </w:r>
          </w:p>
        </w:tc>
        <w:tc>
          <w:tcPr>
            <w:tcW w:w="3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38,332</w:t>
            </w:r>
          </w:p>
        </w:tc>
        <w:tc>
          <w:tcPr>
            <w:tcW w:w="110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5,619</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38,932</w:t>
            </w: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33,462</w:t>
            </w:r>
          </w:p>
        </w:tc>
        <w:tc>
          <w:tcPr>
            <w:tcW w:w="11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5,470</w:t>
            </w:r>
          </w:p>
        </w:tc>
        <w:tc>
          <w:tcPr>
            <w:tcW w:w="11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w:t>
            </w:r>
          </w:p>
        </w:tc>
      </w:tr>
      <w:tr>
        <w:trPr>
          <w:trHeight w:val="20"/>
        </w:trPr>
        <w:tc>
          <w:tcPr>
            <w:tcW w:w="15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51"/>
        </w:trPr>
        <w:tc>
          <w:tcPr>
            <w:tcW w:w="15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2014</w:t>
            </w:r>
          </w:p>
        </w:tc>
        <w:tc>
          <w:tcPr>
            <w:tcW w:w="110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Unit Change</w:t>
            </w:r>
          </w:p>
        </w:tc>
        <w:tc>
          <w:tcPr>
            <w:tcW w:w="110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2014</w:t>
            </w:r>
          </w:p>
        </w:tc>
        <w:tc>
          <w:tcPr>
            <w:tcW w:w="118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Unit Change</w:t>
            </w:r>
          </w:p>
        </w:tc>
        <w:tc>
          <w:tcPr>
            <w:tcW w:w="114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 Change</w:t>
            </w:r>
          </w:p>
        </w:tc>
      </w:tr>
      <w:tr>
        <w:trPr>
          <w:trHeight w:val="258"/>
        </w:trPr>
        <w:tc>
          <w:tcPr>
            <w:tcW w:w="1580" w:type="dxa"/>
            <w:vAlign w:val="bottom"/>
            <w:tcBorders>
              <w:left w:val="single" w:sz="8" w:color="CCEEFF"/>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Q1</w:t>
            </w:r>
          </w:p>
        </w:tc>
        <w:tc>
          <w:tcPr>
            <w:tcW w:w="11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11,963</w:t>
            </w:r>
          </w:p>
        </w:tc>
        <w:tc>
          <w:tcPr>
            <w:tcW w:w="3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11,125</w:t>
            </w:r>
          </w:p>
        </w:tc>
        <w:tc>
          <w:tcPr>
            <w:tcW w:w="110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838</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240" w:type="dxa"/>
            <w:vAlign w:val="bottom"/>
            <w:tcBorders>
              <w:bottom w:val="single" w:sz="8" w:color="auto"/>
            </w:tcBorders>
            <w:gridSpan w:val="2"/>
            <w:shd w:val="clear" w:color="auto" w:fill="CCEEFF"/>
          </w:tcPr>
          <w:p>
            <w:pPr>
              <w:jc w:val="right"/>
              <w:ind w:right="23"/>
              <w:spacing w:after="0"/>
              <w:rPr>
                <w:sz w:val="20"/>
                <w:szCs w:val="20"/>
                <w:color w:val="auto"/>
              </w:rPr>
            </w:pPr>
            <w:r>
              <w:rPr>
                <w:rFonts w:ascii="Arial" w:cs="Arial" w:eastAsia="Arial" w:hAnsi="Arial"/>
                <w:sz w:val="16"/>
                <w:szCs w:val="16"/>
                <w:color w:val="auto"/>
              </w:rPr>
              <w:t>9,102</w:t>
            </w: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8,076</w:t>
            </w:r>
          </w:p>
        </w:tc>
        <w:tc>
          <w:tcPr>
            <w:tcW w:w="11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1,026</w:t>
            </w:r>
          </w:p>
        </w:tc>
        <w:tc>
          <w:tcPr>
            <w:tcW w:w="11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w:t>
            </w:r>
          </w:p>
        </w:tc>
      </w:tr>
      <w:tr>
        <w:trPr>
          <w:trHeight w:val="262"/>
        </w:trPr>
        <w:tc>
          <w:tcPr>
            <w:tcW w:w="158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April</w:t>
            </w: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4,459</w:t>
            </w:r>
          </w:p>
        </w:tc>
        <w:tc>
          <w:tcPr>
            <w:tcW w:w="360" w:type="dxa"/>
            <w:vAlign w:val="bottom"/>
          </w:tcPr>
          <w:p>
            <w:pPr>
              <w:spacing w:after="0"/>
              <w:rPr>
                <w:sz w:val="22"/>
                <w:szCs w:val="22"/>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4,092</w:t>
            </w:r>
          </w:p>
        </w:tc>
        <w:tc>
          <w:tcPr>
            <w:tcW w:w="1100" w:type="dxa"/>
            <w:vAlign w:val="bottom"/>
          </w:tcPr>
          <w:p>
            <w:pPr>
              <w:jc w:val="right"/>
              <w:ind w:right="101"/>
              <w:spacing w:after="0"/>
              <w:rPr>
                <w:sz w:val="20"/>
                <w:szCs w:val="20"/>
                <w:color w:val="auto"/>
              </w:rPr>
            </w:pPr>
            <w:r>
              <w:rPr>
                <w:rFonts w:ascii="Arial" w:cs="Arial" w:eastAsia="Arial" w:hAnsi="Arial"/>
                <w:sz w:val="16"/>
                <w:szCs w:val="16"/>
                <w:color w:val="auto"/>
              </w:rPr>
              <w:t>367</w:t>
            </w:r>
          </w:p>
        </w:tc>
        <w:tc>
          <w:tcPr>
            <w:tcW w:w="1100" w:type="dxa"/>
            <w:vAlign w:val="bottom"/>
          </w:tcPr>
          <w:p>
            <w:pPr>
              <w:jc w:val="right"/>
              <w:spacing w:after="0"/>
              <w:rPr>
                <w:sz w:val="20"/>
                <w:szCs w:val="20"/>
                <w:color w:val="auto"/>
              </w:rPr>
            </w:pPr>
            <w:r>
              <w:rPr>
                <w:rFonts w:ascii="Arial" w:cs="Arial" w:eastAsia="Arial" w:hAnsi="Arial"/>
                <w:sz w:val="16"/>
                <w:szCs w:val="16"/>
                <w:color w:val="auto"/>
              </w:rPr>
              <w:t>9.0%</w:t>
            </w:r>
          </w:p>
        </w:tc>
        <w:tc>
          <w:tcPr>
            <w:tcW w:w="1240" w:type="dxa"/>
            <w:vAlign w:val="bottom"/>
            <w:gridSpan w:val="2"/>
          </w:tcPr>
          <w:p>
            <w:pPr>
              <w:jc w:val="right"/>
              <w:ind w:right="23"/>
              <w:spacing w:after="0"/>
              <w:rPr>
                <w:sz w:val="20"/>
                <w:szCs w:val="20"/>
                <w:color w:val="auto"/>
              </w:rPr>
            </w:pPr>
            <w:r>
              <w:rPr>
                <w:rFonts w:ascii="Arial" w:cs="Arial" w:eastAsia="Arial" w:hAnsi="Arial"/>
                <w:sz w:val="16"/>
                <w:szCs w:val="16"/>
                <w:color w:val="auto"/>
              </w:rPr>
              <w:t>4,632</w:t>
            </w:r>
          </w:p>
        </w:tc>
        <w:tc>
          <w:tcPr>
            <w:tcW w:w="340" w:type="dxa"/>
            <w:vAlign w:val="bottom"/>
          </w:tcPr>
          <w:p>
            <w:pPr>
              <w:spacing w:after="0"/>
              <w:rPr>
                <w:sz w:val="22"/>
                <w:szCs w:val="22"/>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4,300</w:t>
            </w:r>
          </w:p>
        </w:tc>
        <w:tc>
          <w:tcPr>
            <w:tcW w:w="1180" w:type="dxa"/>
            <w:vAlign w:val="bottom"/>
          </w:tcPr>
          <w:p>
            <w:pPr>
              <w:jc w:val="right"/>
              <w:ind w:right="101"/>
              <w:spacing w:after="0"/>
              <w:rPr>
                <w:sz w:val="20"/>
                <w:szCs w:val="20"/>
                <w:color w:val="auto"/>
              </w:rPr>
            </w:pPr>
            <w:r>
              <w:rPr>
                <w:rFonts w:ascii="Arial" w:cs="Arial" w:eastAsia="Arial" w:hAnsi="Arial"/>
                <w:sz w:val="16"/>
                <w:szCs w:val="16"/>
                <w:color w:val="auto"/>
              </w:rPr>
              <w:t>332</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7.7%</w:t>
            </w:r>
          </w:p>
        </w:tc>
      </w:tr>
      <w:tr>
        <w:trPr>
          <w:trHeight w:val="278"/>
        </w:trPr>
        <w:tc>
          <w:tcPr>
            <w:tcW w:w="158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May</w:t>
            </w:r>
          </w:p>
        </w:tc>
        <w:tc>
          <w:tcPr>
            <w:tcW w:w="11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4,718</w:t>
            </w:r>
          </w:p>
        </w:tc>
        <w:tc>
          <w:tcPr>
            <w:tcW w:w="36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(3)</w:t>
            </w:r>
          </w:p>
        </w:tc>
        <w:tc>
          <w:tcPr>
            <w:tcW w:w="10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4,486</w:t>
            </w:r>
          </w:p>
        </w:tc>
        <w:tc>
          <w:tcPr>
            <w:tcW w:w="11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232</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4,149</w:t>
            </w:r>
          </w:p>
        </w:tc>
        <w:tc>
          <w:tcPr>
            <w:tcW w:w="1180" w:type="dxa"/>
            <w:vAlign w:val="bottom"/>
            <w:shd w:val="clear" w:color="auto" w:fill="CCEEFF"/>
          </w:tcPr>
          <w:p>
            <w:pPr>
              <w:spacing w:after="0"/>
              <w:rPr>
                <w:sz w:val="24"/>
                <w:szCs w:val="24"/>
                <w:color w:val="auto"/>
              </w:rPr>
            </w:pPr>
          </w:p>
        </w:tc>
        <w:tc>
          <w:tcPr>
            <w:tcW w:w="1140" w:type="dxa"/>
            <w:vAlign w:val="bottom"/>
            <w:tcBorders>
              <w:right w:val="single" w:sz="8" w:color="auto"/>
            </w:tcBorders>
            <w:shd w:val="clear" w:color="auto" w:fill="CCEEFF"/>
          </w:tcPr>
          <w:p>
            <w:pPr>
              <w:spacing w:after="0"/>
              <w:rPr>
                <w:sz w:val="24"/>
                <w:szCs w:val="24"/>
                <w:color w:val="auto"/>
              </w:rPr>
            </w:pPr>
          </w:p>
        </w:tc>
      </w:tr>
      <w:tr>
        <w:trPr>
          <w:trHeight w:val="264"/>
        </w:trPr>
        <w:tc>
          <w:tcPr>
            <w:tcW w:w="15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June</w:t>
            </w:r>
          </w:p>
        </w:tc>
        <w:tc>
          <w:tcPr>
            <w:tcW w:w="11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4,205</w:t>
            </w:r>
          </w:p>
        </w:tc>
        <w:tc>
          <w:tcPr>
            <w:tcW w:w="36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(3)</w:t>
            </w:r>
          </w:p>
        </w:tc>
        <w:tc>
          <w:tcPr>
            <w:tcW w:w="10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3,625</w:t>
            </w:r>
          </w:p>
        </w:tc>
        <w:tc>
          <w:tcPr>
            <w:tcW w:w="11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580</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w:t>
            </w: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(4)</w:t>
            </w: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4,062</w:t>
            </w:r>
          </w:p>
        </w:tc>
        <w:tc>
          <w:tcPr>
            <w:tcW w:w="1180" w:type="dxa"/>
            <w:vAlign w:val="bottom"/>
            <w:tcBorders>
              <w:bottom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r>
      <w:tr>
        <w:trPr>
          <w:trHeight w:val="270"/>
        </w:trPr>
        <w:tc>
          <w:tcPr>
            <w:tcW w:w="158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Q2</w:t>
            </w:r>
          </w:p>
        </w:tc>
        <w:tc>
          <w:tcPr>
            <w:tcW w:w="11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13,382</w:t>
            </w:r>
          </w:p>
        </w:tc>
        <w:tc>
          <w:tcPr>
            <w:tcW w:w="36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(3)</w:t>
            </w:r>
          </w:p>
        </w:tc>
        <w:tc>
          <w:tcPr>
            <w:tcW w:w="10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12,203</w:t>
            </w:r>
          </w:p>
        </w:tc>
        <w:tc>
          <w:tcPr>
            <w:tcW w:w="11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1,179</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12,511</w:t>
            </w:r>
          </w:p>
        </w:tc>
        <w:tc>
          <w:tcPr>
            <w:tcW w:w="1180" w:type="dxa"/>
            <w:vAlign w:val="bottom"/>
            <w:shd w:val="clear" w:color="auto" w:fill="CCEEFF"/>
          </w:tcPr>
          <w:p>
            <w:pPr>
              <w:spacing w:after="0"/>
              <w:rPr>
                <w:sz w:val="23"/>
                <w:szCs w:val="23"/>
                <w:color w:val="auto"/>
              </w:rPr>
            </w:pPr>
          </w:p>
        </w:tc>
        <w:tc>
          <w:tcPr>
            <w:tcW w:w="1140" w:type="dxa"/>
            <w:vAlign w:val="bottom"/>
            <w:tcBorders>
              <w:right w:val="single" w:sz="8" w:color="CCEEFF"/>
            </w:tcBorders>
            <w:shd w:val="clear" w:color="auto" w:fill="CCEEFF"/>
          </w:tcPr>
          <w:p>
            <w:pPr>
              <w:spacing w:after="0"/>
              <w:rPr>
                <w:sz w:val="23"/>
                <w:szCs w:val="23"/>
                <w:color w:val="auto"/>
              </w:rPr>
            </w:pPr>
          </w:p>
        </w:tc>
      </w:tr>
      <w:tr>
        <w:trPr>
          <w:trHeight w:val="262"/>
        </w:trPr>
        <w:tc>
          <w:tcPr>
            <w:tcW w:w="1580" w:type="dxa"/>
            <w:vAlign w:val="bottom"/>
          </w:tcPr>
          <w:p>
            <w:pPr>
              <w:ind w:left="40"/>
              <w:spacing w:after="0"/>
              <w:rPr>
                <w:sz w:val="20"/>
                <w:szCs w:val="20"/>
                <w:color w:val="auto"/>
              </w:rPr>
            </w:pPr>
            <w:r>
              <w:rPr>
                <w:rFonts w:ascii="Arial" w:cs="Arial" w:eastAsia="Arial" w:hAnsi="Arial"/>
                <w:sz w:val="16"/>
                <w:szCs w:val="16"/>
                <w:color w:val="auto"/>
              </w:rPr>
              <w:t>Q3</w:t>
            </w: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11,200</w:t>
            </w:r>
          </w:p>
        </w:tc>
        <w:tc>
          <w:tcPr>
            <w:tcW w:w="360" w:type="dxa"/>
            <w:vAlign w:val="bottom"/>
          </w:tcPr>
          <w:p>
            <w:pPr>
              <w:jc w:val="right"/>
              <w:ind w:right="26"/>
              <w:spacing w:after="0"/>
              <w:rPr>
                <w:sz w:val="20"/>
                <w:szCs w:val="20"/>
                <w:color w:val="auto"/>
              </w:rPr>
            </w:pPr>
            <w:r>
              <w:rPr>
                <w:rFonts w:ascii="Arial" w:cs="Arial" w:eastAsia="Arial" w:hAnsi="Arial"/>
                <w:sz w:val="11"/>
                <w:szCs w:val="11"/>
                <w:color w:val="auto"/>
              </w:rPr>
              <w:t>(3)</w:t>
            </w: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10,704</w:t>
            </w:r>
          </w:p>
        </w:tc>
        <w:tc>
          <w:tcPr>
            <w:tcW w:w="1100" w:type="dxa"/>
            <w:vAlign w:val="bottom"/>
          </w:tcPr>
          <w:p>
            <w:pPr>
              <w:jc w:val="right"/>
              <w:ind w:right="101"/>
              <w:spacing w:after="0"/>
              <w:rPr>
                <w:sz w:val="20"/>
                <w:szCs w:val="20"/>
                <w:color w:val="auto"/>
              </w:rPr>
            </w:pPr>
            <w:r>
              <w:rPr>
                <w:rFonts w:ascii="Arial" w:cs="Arial" w:eastAsia="Arial" w:hAnsi="Arial"/>
                <w:sz w:val="16"/>
                <w:szCs w:val="16"/>
                <w:color w:val="auto"/>
              </w:rPr>
              <w:t>496</w:t>
            </w:r>
          </w:p>
        </w:tc>
        <w:tc>
          <w:tcPr>
            <w:tcW w:w="1100" w:type="dxa"/>
            <w:vAlign w:val="bottom"/>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40" w:type="dxa"/>
            <w:vAlign w:val="bottom"/>
          </w:tcPr>
          <w:p>
            <w:pPr>
              <w:jc w:val="right"/>
              <w:ind w:right="46"/>
              <w:spacing w:after="0"/>
              <w:rPr>
                <w:sz w:val="20"/>
                <w:szCs w:val="20"/>
                <w:color w:val="auto"/>
              </w:rPr>
            </w:pPr>
            <w:r>
              <w:rPr>
                <w:rFonts w:ascii="Arial" w:cs="Arial" w:eastAsia="Arial" w:hAnsi="Arial"/>
                <w:sz w:val="11"/>
                <w:szCs w:val="11"/>
                <w:color w:val="auto"/>
              </w:rPr>
              <w:t>(4)</w:t>
            </w: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10,740</w:t>
            </w:r>
          </w:p>
        </w:tc>
        <w:tc>
          <w:tcPr>
            <w:tcW w:w="118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1"/>
        </w:trPr>
        <w:tc>
          <w:tcPr>
            <w:tcW w:w="158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Q4</w:t>
            </w:r>
          </w:p>
        </w:tc>
        <w:tc>
          <w:tcPr>
            <w:tcW w:w="11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10,400</w:t>
            </w:r>
          </w:p>
        </w:tc>
        <w:tc>
          <w:tcPr>
            <w:tcW w:w="36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(3)</w:t>
            </w:r>
          </w:p>
        </w:tc>
        <w:tc>
          <w:tcPr>
            <w:tcW w:w="10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9,919</w:t>
            </w:r>
          </w:p>
        </w:tc>
        <w:tc>
          <w:tcPr>
            <w:tcW w:w="110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481</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11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7,605</w:t>
            </w:r>
          </w:p>
        </w:tc>
        <w:tc>
          <w:tcPr>
            <w:tcW w:w="1180" w:type="dxa"/>
            <w:vAlign w:val="bottom"/>
            <w:shd w:val="clear" w:color="auto" w:fill="CCEEFF"/>
          </w:tcPr>
          <w:p>
            <w:pPr>
              <w:spacing w:after="0"/>
              <w:rPr>
                <w:sz w:val="23"/>
                <w:szCs w:val="23"/>
                <w:color w:val="auto"/>
              </w:rPr>
            </w:pPr>
          </w:p>
        </w:tc>
        <w:tc>
          <w:tcPr>
            <w:tcW w:w="1140" w:type="dxa"/>
            <w:vAlign w:val="bottom"/>
            <w:tcBorders>
              <w:right w:val="single" w:sz="8" w:color="CCEEFF"/>
            </w:tcBorders>
            <w:shd w:val="clear" w:color="auto" w:fill="CCEEFF"/>
          </w:tcPr>
          <w:p>
            <w:pPr>
              <w:spacing w:after="0"/>
              <w:rPr>
                <w:sz w:val="23"/>
                <w:szCs w:val="23"/>
                <w:color w:val="auto"/>
              </w:rPr>
            </w:pPr>
          </w:p>
        </w:tc>
      </w:tr>
      <w:tr>
        <w:trPr>
          <w:trHeight w:val="282"/>
        </w:trPr>
        <w:tc>
          <w:tcPr>
            <w:tcW w:w="15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w:t>
            </w:r>
          </w:p>
        </w:tc>
        <w:tc>
          <w:tcPr>
            <w:tcW w:w="11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46,945</w:t>
            </w:r>
          </w:p>
        </w:tc>
        <w:tc>
          <w:tcPr>
            <w:tcW w:w="36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(3)</w:t>
            </w:r>
          </w:p>
        </w:tc>
        <w:tc>
          <w:tcPr>
            <w:tcW w:w="10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43,951</w:t>
            </w:r>
          </w:p>
        </w:tc>
        <w:tc>
          <w:tcPr>
            <w:tcW w:w="11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2,994</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12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38,932</w:t>
            </w:r>
          </w:p>
        </w:tc>
        <w:tc>
          <w:tcPr>
            <w:tcW w:w="118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r>
      <w:tr>
        <w:trPr>
          <w:trHeight w:val="252"/>
        </w:trPr>
        <w:tc>
          <w:tcPr>
            <w:tcW w:w="1580" w:type="dxa"/>
            <w:vAlign w:val="bottom"/>
            <w:tcBorders>
              <w:left w:val="single" w:sz="8" w:color="CCEEFF"/>
            </w:tcBorders>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140" w:type="dxa"/>
            <w:vAlign w:val="bottom"/>
            <w:tcBorders>
              <w:right w:val="single" w:sz="8" w:color="CCEEFF"/>
            </w:tcBorders>
            <w:shd w:val="clear" w:color="auto" w:fill="CCEEFF"/>
          </w:tcPr>
          <w:p>
            <w:pPr>
              <w:spacing w:after="0"/>
              <w:rPr>
                <w:sz w:val="21"/>
                <w:szCs w:val="21"/>
                <w:color w:val="auto"/>
              </w:rPr>
            </w:pPr>
          </w:p>
        </w:tc>
      </w:tr>
      <w:tr>
        <w:trPr>
          <w:trHeight w:val="432"/>
        </w:trPr>
        <w:tc>
          <w:tcPr>
            <w:tcW w:w="1580" w:type="dxa"/>
            <w:vAlign w:val="bottom"/>
          </w:tcPr>
          <w:p>
            <w:pPr>
              <w:ind w:left="40"/>
              <w:spacing w:after="0"/>
              <w:rPr>
                <w:sz w:val="20"/>
                <w:szCs w:val="20"/>
                <w:color w:val="auto"/>
              </w:rPr>
            </w:pPr>
            <w:r>
              <w:rPr>
                <w:rFonts w:ascii="Arial" w:cs="Arial" w:eastAsia="Arial" w:hAnsi="Arial"/>
                <w:sz w:val="32"/>
                <w:szCs w:val="32"/>
                <w:color w:val="auto"/>
                <w:vertAlign w:val="subscript"/>
              </w:rPr>
              <w:t>YTD</w:t>
            </w:r>
            <w:r>
              <w:rPr>
                <w:rFonts w:ascii="Arial" w:cs="Arial" w:eastAsia="Arial" w:hAnsi="Arial"/>
                <w:sz w:val="11"/>
                <w:szCs w:val="11"/>
                <w:color w:val="auto"/>
              </w:rPr>
              <w:t xml:space="preserve"> (5)</w:t>
            </w: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16,422</w:t>
            </w:r>
          </w:p>
        </w:tc>
        <w:tc>
          <w:tcPr>
            <w:tcW w:w="360" w:type="dxa"/>
            <w:vAlign w:val="bottom"/>
          </w:tcPr>
          <w:p>
            <w:pPr>
              <w:spacing w:after="0"/>
              <w:rPr>
                <w:sz w:val="24"/>
                <w:szCs w:val="24"/>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15,217</w:t>
            </w:r>
          </w:p>
        </w:tc>
        <w:tc>
          <w:tcPr>
            <w:tcW w:w="1100" w:type="dxa"/>
            <w:vAlign w:val="bottom"/>
          </w:tcPr>
          <w:p>
            <w:pPr>
              <w:jc w:val="right"/>
              <w:ind w:right="101"/>
              <w:spacing w:after="0"/>
              <w:rPr>
                <w:sz w:val="20"/>
                <w:szCs w:val="20"/>
                <w:color w:val="auto"/>
              </w:rPr>
            </w:pPr>
            <w:r>
              <w:rPr>
                <w:rFonts w:ascii="Arial" w:cs="Arial" w:eastAsia="Arial" w:hAnsi="Arial"/>
                <w:sz w:val="16"/>
                <w:szCs w:val="16"/>
                <w:color w:val="auto"/>
              </w:rPr>
              <w:t>1,205</w:t>
            </w:r>
          </w:p>
        </w:tc>
        <w:tc>
          <w:tcPr>
            <w:tcW w:w="1100" w:type="dxa"/>
            <w:vAlign w:val="bottom"/>
          </w:tcPr>
          <w:p>
            <w:pPr>
              <w:jc w:val="right"/>
              <w:spacing w:after="0"/>
              <w:rPr>
                <w:sz w:val="20"/>
                <w:szCs w:val="20"/>
                <w:color w:val="auto"/>
              </w:rPr>
            </w:pPr>
            <w:r>
              <w:rPr>
                <w:rFonts w:ascii="Arial" w:cs="Arial" w:eastAsia="Arial" w:hAnsi="Arial"/>
                <w:sz w:val="16"/>
                <w:szCs w:val="16"/>
                <w:color w:val="auto"/>
              </w:rPr>
              <w:t>7.9%</w:t>
            </w:r>
          </w:p>
        </w:tc>
        <w:tc>
          <w:tcPr>
            <w:tcW w:w="1240" w:type="dxa"/>
            <w:vAlign w:val="bottom"/>
            <w:gridSpan w:val="2"/>
          </w:tcPr>
          <w:p>
            <w:pPr>
              <w:jc w:val="right"/>
              <w:ind w:right="43"/>
              <w:spacing w:after="0"/>
              <w:rPr>
                <w:sz w:val="20"/>
                <w:szCs w:val="20"/>
                <w:color w:val="auto"/>
              </w:rPr>
            </w:pPr>
            <w:r>
              <w:rPr>
                <w:rFonts w:ascii="Arial" w:cs="Arial" w:eastAsia="Arial" w:hAnsi="Arial"/>
                <w:sz w:val="16"/>
                <w:szCs w:val="16"/>
                <w:color w:val="auto"/>
              </w:rPr>
              <w:t>13,734</w:t>
            </w:r>
          </w:p>
        </w:tc>
        <w:tc>
          <w:tcPr>
            <w:tcW w:w="340" w:type="dxa"/>
            <w:vAlign w:val="bottom"/>
          </w:tcPr>
          <w:p>
            <w:pPr>
              <w:spacing w:after="0"/>
              <w:rPr>
                <w:sz w:val="24"/>
                <w:szCs w:val="24"/>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12,376</w:t>
            </w:r>
          </w:p>
        </w:tc>
        <w:tc>
          <w:tcPr>
            <w:tcW w:w="1180" w:type="dxa"/>
            <w:vAlign w:val="bottom"/>
          </w:tcPr>
          <w:p>
            <w:pPr>
              <w:jc w:val="right"/>
              <w:ind w:right="101"/>
              <w:spacing w:after="0"/>
              <w:rPr>
                <w:sz w:val="20"/>
                <w:szCs w:val="20"/>
                <w:color w:val="auto"/>
              </w:rPr>
            </w:pPr>
            <w:r>
              <w:rPr>
                <w:rFonts w:ascii="Arial" w:cs="Arial" w:eastAsia="Arial" w:hAnsi="Arial"/>
                <w:sz w:val="16"/>
                <w:szCs w:val="16"/>
                <w:color w:val="auto"/>
              </w:rPr>
              <w:t>1,358</w:t>
            </w:r>
          </w:p>
        </w:tc>
        <w:tc>
          <w:tcPr>
            <w:tcW w:w="1140" w:type="dxa"/>
            <w:vAlign w:val="bottom"/>
          </w:tcPr>
          <w:p>
            <w:pPr>
              <w:jc w:val="right"/>
              <w:spacing w:after="0"/>
              <w:rPr>
                <w:sz w:val="20"/>
                <w:szCs w:val="20"/>
                <w:color w:val="auto"/>
              </w:rPr>
            </w:pPr>
            <w:r>
              <w:rPr>
                <w:rFonts w:ascii="Arial" w:cs="Arial" w:eastAsia="Arial" w:hAnsi="Arial"/>
                <w:sz w:val="16"/>
                <w:szCs w:val="16"/>
                <w:color w:val="auto"/>
              </w:rPr>
              <w:t>11.0%</w:t>
            </w:r>
          </w:p>
        </w:tc>
      </w:tr>
    </w:tbl>
    <w:p>
      <w:pPr>
        <w:ind w:left="340" w:hanging="332"/>
        <w:spacing w:after="0" w:line="193" w:lineRule="auto"/>
        <w:tabs>
          <w:tab w:leader="none" w:pos="34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Class A, B and C wholesale shipments as reported by RVIA.</w:t>
      </w:r>
    </w:p>
    <w:p>
      <w:pPr>
        <w:ind w:left="340" w:hanging="332"/>
        <w:spacing w:after="0" w:line="187" w:lineRule="auto"/>
        <w:tabs>
          <w:tab w:leader="none" w:pos="34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Class A, B and C retail registrations as reported by Stat Surveys for the US and Canada combined.</w:t>
      </w:r>
    </w:p>
    <w:p>
      <w:pPr>
        <w:ind w:left="340" w:right="240" w:hanging="332"/>
        <w:spacing w:after="0" w:line="220" w:lineRule="auto"/>
        <w:tabs>
          <w:tab w:leader="none" w:pos="34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Monthly and quarterly Class A, B and C wholesale shipments are based upon the forecast prepared by Dr. Richard Curtin of the University of Michigan Consumer Survey Research Center for RVIA and reported in the Roadsigns RV Summer 2015 Industry Forecast Issue. The revised RVIA annual 2015 wholesale shipment forecast is 47,000 and the annual forecast for 2016 is 49,100.</w:t>
      </w:r>
    </w:p>
    <w:p>
      <w:pPr>
        <w:spacing w:after="0" w:line="1" w:lineRule="exact"/>
        <w:rPr>
          <w:rFonts w:ascii="Arial" w:cs="Arial" w:eastAsia="Arial" w:hAnsi="Arial"/>
          <w:sz w:val="18"/>
          <w:szCs w:val="18"/>
          <w:color w:val="auto"/>
          <w:vertAlign w:val="superscript"/>
        </w:rPr>
      </w:pPr>
    </w:p>
    <w:p>
      <w:pPr>
        <w:ind w:left="340" w:hanging="332"/>
        <w:spacing w:after="0" w:line="187" w:lineRule="auto"/>
        <w:tabs>
          <w:tab w:leader="none" w:pos="34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Stat Surveys has not issued a projection for 2015 retail demand for this period.</w:t>
      </w:r>
    </w:p>
    <w:p>
      <w:pPr>
        <w:ind w:left="340" w:hanging="332"/>
        <w:spacing w:after="0" w:line="204" w:lineRule="auto"/>
        <w:tabs>
          <w:tab w:leader="none" w:pos="34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YTD wholesale shipments and retail registrations include January through April.</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Key statistics for the towable industry are as follows:</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138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4260" w:type="dxa"/>
            <w:vAlign w:val="bottom"/>
            <w:tcBorders>
              <w:bottom w:val="single" w:sz="8" w:color="auto"/>
            </w:tcBorders>
            <w:gridSpan w:val="5"/>
          </w:tcPr>
          <w:p>
            <w:pPr>
              <w:ind w:left="700"/>
              <w:spacing w:after="0"/>
              <w:rPr>
                <w:sz w:val="20"/>
                <w:szCs w:val="20"/>
                <w:color w:val="auto"/>
              </w:rPr>
            </w:pPr>
            <w:r>
              <w:rPr>
                <w:rFonts w:ascii="Arial" w:cs="Arial" w:eastAsia="Arial" w:hAnsi="Arial"/>
                <w:sz w:val="14"/>
                <w:szCs w:val="14"/>
                <w:b w:val="1"/>
                <w:bCs w:val="1"/>
                <w:color w:val="auto"/>
              </w:rPr>
              <w:t>US and Canada Travel Trailer &amp; Fifth Wheel Industry</w:t>
            </w:r>
          </w:p>
        </w:tc>
        <w:tc>
          <w:tcPr>
            <w:tcW w:w="8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1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300" w:type="dxa"/>
            <w:vAlign w:val="bottom"/>
            <w:gridSpan w:val="2"/>
          </w:tcPr>
          <w:p>
            <w:pPr>
              <w:jc w:val="right"/>
              <w:ind w:right="421"/>
              <w:spacing w:after="0"/>
              <w:rPr>
                <w:sz w:val="20"/>
                <w:szCs w:val="20"/>
                <w:color w:val="auto"/>
              </w:rPr>
            </w:pPr>
            <w:r>
              <w:rPr>
                <w:rFonts w:ascii="Arial" w:cs="Arial" w:eastAsia="Arial" w:hAnsi="Arial"/>
                <w:sz w:val="14"/>
                <w:szCs w:val="14"/>
                <w:b w:val="1"/>
                <w:bCs w:val="1"/>
                <w:color w:val="auto"/>
              </w:rPr>
              <w:t>Wholesale Shipments</w:t>
            </w:r>
            <w:r>
              <w:rPr>
                <w:rFonts w:ascii="Arial" w:cs="Arial" w:eastAsia="Arial" w:hAnsi="Arial"/>
                <w:sz w:val="17"/>
                <w:szCs w:val="17"/>
                <w:b w:val="1"/>
                <w:bCs w:val="1"/>
                <w:color w:val="auto"/>
                <w:vertAlign w:val="superscript"/>
              </w:rPr>
              <w:t>(1)</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20" w:type="dxa"/>
            <w:vAlign w:val="bottom"/>
            <w:gridSpan w:val="2"/>
          </w:tcPr>
          <w:p>
            <w:pPr>
              <w:jc w:val="right"/>
              <w:ind w:right="461"/>
              <w:spacing w:after="0"/>
              <w:rPr>
                <w:sz w:val="20"/>
                <w:szCs w:val="20"/>
                <w:color w:val="auto"/>
              </w:rPr>
            </w:pPr>
            <w:r>
              <w:rPr>
                <w:rFonts w:ascii="Arial" w:cs="Arial" w:eastAsia="Arial" w:hAnsi="Arial"/>
                <w:sz w:val="14"/>
                <w:szCs w:val="14"/>
                <w:b w:val="1"/>
                <w:bCs w:val="1"/>
                <w:color w:val="auto"/>
              </w:rPr>
              <w:t>Retail Registrations</w:t>
            </w:r>
            <w:r>
              <w:rPr>
                <w:rFonts w:ascii="Arial" w:cs="Arial" w:eastAsia="Arial" w:hAnsi="Arial"/>
                <w:sz w:val="17"/>
                <w:szCs w:val="17"/>
                <w:b w:val="1"/>
                <w:bCs w:val="1"/>
                <w:color w:val="auto"/>
                <w:vertAlign w:val="superscript"/>
              </w:rPr>
              <w:t>(2)</w:t>
            </w: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2"/>
          </w:tcPr>
          <w:p>
            <w:pPr>
              <w:jc w:val="right"/>
              <w:ind w:right="741"/>
              <w:spacing w:after="0"/>
              <w:rPr>
                <w:sz w:val="20"/>
                <w:szCs w:val="20"/>
                <w:color w:val="auto"/>
              </w:rPr>
            </w:pPr>
            <w:r>
              <w:rPr>
                <w:rFonts w:ascii="Arial" w:cs="Arial" w:eastAsia="Arial" w:hAnsi="Arial"/>
                <w:sz w:val="14"/>
                <w:szCs w:val="14"/>
                <w:b w:val="1"/>
                <w:bCs w:val="1"/>
                <w:color w:val="auto"/>
              </w:rPr>
              <w:t>Calendar Year</w:t>
            </w:r>
          </w:p>
        </w:tc>
        <w:tc>
          <w:tcPr>
            <w:tcW w:w="1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2"/>
          </w:tcPr>
          <w:p>
            <w:pPr>
              <w:jc w:val="right"/>
              <w:ind w:right="701"/>
              <w:spacing w:after="0"/>
              <w:rPr>
                <w:sz w:val="20"/>
                <w:szCs w:val="20"/>
                <w:color w:val="auto"/>
              </w:rPr>
            </w:pPr>
            <w:r>
              <w:rPr>
                <w:rFonts w:ascii="Arial" w:cs="Arial" w:eastAsia="Arial" w:hAnsi="Arial"/>
                <w:sz w:val="14"/>
                <w:szCs w:val="14"/>
                <w:b w:val="1"/>
                <w:bCs w:val="1"/>
                <w:color w:val="auto"/>
              </w:rPr>
              <w:t>Calendar Year</w:t>
            </w:r>
          </w:p>
        </w:tc>
        <w:tc>
          <w:tcPr>
            <w:tcW w:w="12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units)</w:t>
            </w: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2013</w:t>
            </w:r>
          </w:p>
        </w:tc>
        <w:tc>
          <w:tcPr>
            <w:tcW w:w="124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Unit Change</w:t>
            </w:r>
          </w:p>
        </w:tc>
        <w:tc>
          <w:tcPr>
            <w:tcW w:w="118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2013</w:t>
            </w:r>
          </w:p>
        </w:tc>
        <w:tc>
          <w:tcPr>
            <w:tcW w:w="120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Unit Change</w:t>
            </w:r>
          </w:p>
        </w:tc>
        <w:tc>
          <w:tcPr>
            <w:tcW w:w="120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 Change</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138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Q1</w:t>
            </w: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75,458</w:t>
            </w:r>
          </w:p>
        </w:tc>
        <w:tc>
          <w:tcPr>
            <w:tcW w:w="4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66,745</w:t>
            </w:r>
          </w:p>
        </w:tc>
        <w:tc>
          <w:tcPr>
            <w:tcW w:w="124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8,713</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13.1 %</w:t>
            </w:r>
          </w:p>
        </w:tc>
        <w:tc>
          <w:tcPr>
            <w:tcW w:w="1540" w:type="dxa"/>
            <w:vAlign w:val="bottom"/>
            <w:gridSpan w:val="2"/>
            <w:shd w:val="clear" w:color="auto" w:fill="CCEEFF"/>
          </w:tcPr>
          <w:p>
            <w:pPr>
              <w:jc w:val="right"/>
              <w:ind w:right="363"/>
              <w:spacing w:after="0"/>
              <w:rPr>
                <w:sz w:val="20"/>
                <w:szCs w:val="20"/>
                <w:color w:val="auto"/>
              </w:rPr>
            </w:pPr>
            <w:r>
              <w:rPr>
                <w:rFonts w:ascii="Arial" w:cs="Arial" w:eastAsia="Arial" w:hAnsi="Arial"/>
                <w:sz w:val="16"/>
                <w:szCs w:val="16"/>
                <w:color w:val="auto"/>
              </w:rPr>
              <w:t>45,996</w:t>
            </w:r>
          </w:p>
        </w:tc>
        <w:tc>
          <w:tcPr>
            <w:tcW w:w="3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42,987</w:t>
            </w:r>
          </w:p>
        </w:tc>
        <w:tc>
          <w:tcPr>
            <w:tcW w:w="12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3,009</w:t>
            </w:r>
          </w:p>
        </w:tc>
        <w:tc>
          <w:tcPr>
            <w:tcW w:w="12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7.0%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1380" w:type="dxa"/>
            <w:vAlign w:val="bottom"/>
          </w:tcPr>
          <w:p>
            <w:pPr>
              <w:ind w:left="40"/>
              <w:spacing w:after="0"/>
              <w:rPr>
                <w:sz w:val="20"/>
                <w:szCs w:val="20"/>
                <w:color w:val="auto"/>
              </w:rPr>
            </w:pPr>
            <w:r>
              <w:rPr>
                <w:rFonts w:ascii="Arial" w:cs="Arial" w:eastAsia="Arial" w:hAnsi="Arial"/>
                <w:sz w:val="16"/>
                <w:szCs w:val="16"/>
                <w:color w:val="auto"/>
              </w:rPr>
              <w:t>Q2</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85,648</w:t>
            </w:r>
          </w:p>
        </w:tc>
        <w:tc>
          <w:tcPr>
            <w:tcW w:w="420" w:type="dxa"/>
            <w:vAlign w:val="bottom"/>
          </w:tcPr>
          <w:p>
            <w:pPr>
              <w:spacing w:after="0"/>
              <w:rPr>
                <w:sz w:val="22"/>
                <w:szCs w:val="22"/>
                <w:color w:val="auto"/>
              </w:rPr>
            </w:pPr>
          </w:p>
        </w:tc>
        <w:tc>
          <w:tcPr>
            <w:tcW w:w="1060" w:type="dxa"/>
            <w:vAlign w:val="bottom"/>
          </w:tcPr>
          <w:p>
            <w:pPr>
              <w:jc w:val="right"/>
              <w:ind w:right="61"/>
              <w:spacing w:after="0"/>
              <w:rPr>
                <w:sz w:val="20"/>
                <w:szCs w:val="20"/>
                <w:color w:val="auto"/>
              </w:rPr>
            </w:pPr>
            <w:r>
              <w:rPr>
                <w:rFonts w:ascii="Arial" w:cs="Arial" w:eastAsia="Arial" w:hAnsi="Arial"/>
                <w:sz w:val="16"/>
                <w:szCs w:val="16"/>
                <w:color w:val="auto"/>
              </w:rPr>
              <w:t>79,935</w:t>
            </w:r>
          </w:p>
        </w:tc>
        <w:tc>
          <w:tcPr>
            <w:tcW w:w="1240" w:type="dxa"/>
            <w:vAlign w:val="bottom"/>
          </w:tcPr>
          <w:p>
            <w:pPr>
              <w:jc w:val="right"/>
              <w:ind w:right="181"/>
              <w:spacing w:after="0"/>
              <w:rPr>
                <w:sz w:val="20"/>
                <w:szCs w:val="20"/>
                <w:color w:val="auto"/>
              </w:rPr>
            </w:pPr>
            <w:r>
              <w:rPr>
                <w:rFonts w:ascii="Arial" w:cs="Arial" w:eastAsia="Arial" w:hAnsi="Arial"/>
                <w:sz w:val="16"/>
                <w:szCs w:val="16"/>
                <w:color w:val="auto"/>
              </w:rPr>
              <w:t>5,713</w:t>
            </w:r>
          </w:p>
        </w:tc>
        <w:tc>
          <w:tcPr>
            <w:tcW w:w="1180" w:type="dxa"/>
            <w:vAlign w:val="bottom"/>
          </w:tcPr>
          <w:p>
            <w:pPr>
              <w:jc w:val="right"/>
              <w:spacing w:after="0"/>
              <w:rPr>
                <w:sz w:val="20"/>
                <w:szCs w:val="20"/>
                <w:color w:val="auto"/>
              </w:rPr>
            </w:pPr>
            <w:r>
              <w:rPr>
                <w:rFonts w:ascii="Arial" w:cs="Arial" w:eastAsia="Arial" w:hAnsi="Arial"/>
                <w:sz w:val="16"/>
                <w:szCs w:val="16"/>
                <w:color w:val="auto"/>
              </w:rPr>
              <w:t>7.1 %</w:t>
            </w:r>
          </w:p>
        </w:tc>
        <w:tc>
          <w:tcPr>
            <w:tcW w:w="1540" w:type="dxa"/>
            <w:vAlign w:val="bottom"/>
            <w:gridSpan w:val="2"/>
          </w:tcPr>
          <w:p>
            <w:pPr>
              <w:jc w:val="right"/>
              <w:ind w:right="363"/>
              <w:spacing w:after="0"/>
              <w:rPr>
                <w:sz w:val="20"/>
                <w:szCs w:val="20"/>
                <w:color w:val="auto"/>
              </w:rPr>
            </w:pPr>
            <w:r>
              <w:rPr>
                <w:rFonts w:ascii="Arial" w:cs="Arial" w:eastAsia="Arial" w:hAnsi="Arial"/>
                <w:sz w:val="16"/>
                <w:szCs w:val="16"/>
                <w:color w:val="auto"/>
              </w:rPr>
              <w:t>99,965</w:t>
            </w:r>
          </w:p>
        </w:tc>
        <w:tc>
          <w:tcPr>
            <w:tcW w:w="300" w:type="dxa"/>
            <w:vAlign w:val="bottom"/>
          </w:tcPr>
          <w:p>
            <w:pPr>
              <w:spacing w:after="0"/>
              <w:rPr>
                <w:sz w:val="22"/>
                <w:szCs w:val="22"/>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94,717</w:t>
            </w:r>
          </w:p>
        </w:tc>
        <w:tc>
          <w:tcPr>
            <w:tcW w:w="1200" w:type="dxa"/>
            <w:vAlign w:val="bottom"/>
          </w:tcPr>
          <w:p>
            <w:pPr>
              <w:jc w:val="right"/>
              <w:ind w:right="121"/>
              <w:spacing w:after="0"/>
              <w:rPr>
                <w:sz w:val="20"/>
                <w:szCs w:val="20"/>
                <w:color w:val="auto"/>
              </w:rPr>
            </w:pPr>
            <w:r>
              <w:rPr>
                <w:rFonts w:ascii="Arial" w:cs="Arial" w:eastAsia="Arial" w:hAnsi="Arial"/>
                <w:sz w:val="16"/>
                <w:szCs w:val="16"/>
                <w:color w:val="auto"/>
              </w:rPr>
              <w:t>5,248</w:t>
            </w:r>
          </w:p>
        </w:tc>
        <w:tc>
          <w:tcPr>
            <w:tcW w:w="1200" w:type="dxa"/>
            <w:vAlign w:val="bottom"/>
          </w:tcPr>
          <w:p>
            <w:pPr>
              <w:jc w:val="right"/>
              <w:ind w:right="81"/>
              <w:spacing w:after="0"/>
              <w:rPr>
                <w:sz w:val="20"/>
                <w:szCs w:val="20"/>
                <w:color w:val="auto"/>
              </w:rPr>
            </w:pPr>
            <w:r>
              <w:rPr>
                <w:rFonts w:ascii="Arial" w:cs="Arial" w:eastAsia="Arial" w:hAnsi="Arial"/>
                <w:sz w:val="16"/>
                <w:szCs w:val="16"/>
                <w:color w:val="auto"/>
              </w:rPr>
              <w:t>5.5%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138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Q3</w:t>
            </w: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65,543</w:t>
            </w: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61,251</w:t>
            </w:r>
          </w:p>
        </w:tc>
        <w:tc>
          <w:tcPr>
            <w:tcW w:w="124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4,292</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7.0 %</w:t>
            </w:r>
          </w:p>
        </w:tc>
        <w:tc>
          <w:tcPr>
            <w:tcW w:w="1540" w:type="dxa"/>
            <w:vAlign w:val="bottom"/>
            <w:gridSpan w:val="2"/>
            <w:shd w:val="clear" w:color="auto" w:fill="CCEEFF"/>
          </w:tcPr>
          <w:p>
            <w:pPr>
              <w:jc w:val="right"/>
              <w:ind w:right="363"/>
              <w:spacing w:after="0"/>
              <w:rPr>
                <w:sz w:val="20"/>
                <w:szCs w:val="20"/>
                <w:color w:val="auto"/>
              </w:rPr>
            </w:pPr>
            <w:r>
              <w:rPr>
                <w:rFonts w:ascii="Arial" w:cs="Arial" w:eastAsia="Arial" w:hAnsi="Arial"/>
                <w:sz w:val="16"/>
                <w:szCs w:val="16"/>
                <w:color w:val="auto"/>
              </w:rPr>
              <w:t>87,713</w:t>
            </w: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79,805</w:t>
            </w:r>
          </w:p>
        </w:tc>
        <w:tc>
          <w:tcPr>
            <w:tcW w:w="12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7,908</w:t>
            </w:r>
          </w:p>
        </w:tc>
        <w:tc>
          <w:tcPr>
            <w:tcW w:w="12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9.9%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3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Q4</w:t>
            </w: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72,289</w:t>
            </w: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60,104</w:t>
            </w:r>
          </w:p>
        </w:tc>
        <w:tc>
          <w:tcPr>
            <w:tcW w:w="124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12,185</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20.3 %</w:t>
            </w:r>
          </w:p>
        </w:tc>
        <w:tc>
          <w:tcPr>
            <w:tcW w:w="10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right"/>
              <w:ind w:right="363"/>
              <w:spacing w:after="0"/>
              <w:rPr>
                <w:sz w:val="20"/>
                <w:szCs w:val="20"/>
                <w:color w:val="auto"/>
              </w:rPr>
            </w:pPr>
            <w:r>
              <w:rPr>
                <w:rFonts w:ascii="Arial" w:cs="Arial" w:eastAsia="Arial" w:hAnsi="Arial"/>
                <w:sz w:val="16"/>
                <w:szCs w:val="16"/>
                <w:color w:val="auto"/>
              </w:rPr>
              <w:t>42,694</w:t>
            </w: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37,054</w:t>
            </w:r>
          </w:p>
        </w:tc>
        <w:tc>
          <w:tcPr>
            <w:tcW w:w="12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5,640</w:t>
            </w:r>
          </w:p>
        </w:tc>
        <w:tc>
          <w:tcPr>
            <w:tcW w:w="12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15.2%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1380" w:type="dxa"/>
            <w:vAlign w:val="bottom"/>
            <w:tcBorders>
              <w:left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298,938</w:t>
            </w:r>
          </w:p>
        </w:tc>
        <w:tc>
          <w:tcPr>
            <w:tcW w:w="4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268,035</w:t>
            </w:r>
          </w:p>
        </w:tc>
        <w:tc>
          <w:tcPr>
            <w:tcW w:w="124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rPr>
              <w:t>30,903</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11.5 %</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363"/>
              <w:spacing w:after="0"/>
              <w:rPr>
                <w:sz w:val="20"/>
                <w:szCs w:val="20"/>
                <w:color w:val="auto"/>
              </w:rPr>
            </w:pPr>
            <w:r>
              <w:rPr>
                <w:rFonts w:ascii="Arial" w:cs="Arial" w:eastAsia="Arial" w:hAnsi="Arial"/>
                <w:sz w:val="16"/>
                <w:szCs w:val="16"/>
                <w:color w:val="auto"/>
              </w:rPr>
              <w:t>276,368</w:t>
            </w:r>
          </w:p>
        </w:tc>
        <w:tc>
          <w:tcPr>
            <w:tcW w:w="3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254,563</w:t>
            </w:r>
          </w:p>
        </w:tc>
        <w:tc>
          <w:tcPr>
            <w:tcW w:w="12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21,805</w:t>
            </w:r>
          </w:p>
        </w:tc>
        <w:tc>
          <w:tcPr>
            <w:tcW w:w="12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8.6%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38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2014</w:t>
            </w:r>
          </w:p>
        </w:tc>
        <w:tc>
          <w:tcPr>
            <w:tcW w:w="124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Unit Change</w:t>
            </w:r>
          </w:p>
        </w:tc>
        <w:tc>
          <w:tcPr>
            <w:tcW w:w="118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1"/>
                <w:szCs w:val="21"/>
                <w:color w:val="auto"/>
              </w:rPr>
            </w:pPr>
          </w:p>
        </w:tc>
        <w:tc>
          <w:tcPr>
            <w:tcW w:w="144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2014</w:t>
            </w:r>
          </w:p>
        </w:tc>
        <w:tc>
          <w:tcPr>
            <w:tcW w:w="120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Unit Change</w:t>
            </w:r>
          </w:p>
        </w:tc>
        <w:tc>
          <w:tcPr>
            <w:tcW w:w="120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 Change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380" w:type="dxa"/>
            <w:vAlign w:val="bottom"/>
            <w:tcBorders>
              <w:left w:val="single" w:sz="8" w:color="CCEEFF"/>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Q1</w:t>
            </w: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81,759</w:t>
            </w:r>
          </w:p>
        </w:tc>
        <w:tc>
          <w:tcPr>
            <w:tcW w:w="4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75,458</w:t>
            </w:r>
          </w:p>
        </w:tc>
        <w:tc>
          <w:tcPr>
            <w:tcW w:w="124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rPr>
              <w:t>6,301</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8.4 %</w:t>
            </w:r>
          </w:p>
        </w:tc>
        <w:tc>
          <w:tcPr>
            <w:tcW w:w="1540" w:type="dxa"/>
            <w:vAlign w:val="bottom"/>
            <w:tcBorders>
              <w:bottom w:val="single" w:sz="8" w:color="auto"/>
            </w:tcBorders>
            <w:gridSpan w:val="2"/>
            <w:shd w:val="clear" w:color="auto" w:fill="CCEEFF"/>
          </w:tcPr>
          <w:p>
            <w:pPr>
              <w:jc w:val="right"/>
              <w:ind w:right="363"/>
              <w:spacing w:after="0"/>
              <w:rPr>
                <w:sz w:val="20"/>
                <w:szCs w:val="20"/>
                <w:color w:val="auto"/>
              </w:rPr>
            </w:pPr>
            <w:r>
              <w:rPr>
                <w:rFonts w:ascii="Arial" w:cs="Arial" w:eastAsia="Arial" w:hAnsi="Arial"/>
                <w:sz w:val="16"/>
                <w:szCs w:val="16"/>
                <w:color w:val="auto"/>
              </w:rPr>
              <w:t>53,678</w:t>
            </w:r>
          </w:p>
        </w:tc>
        <w:tc>
          <w:tcPr>
            <w:tcW w:w="30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45,996</w:t>
            </w:r>
          </w:p>
        </w:tc>
        <w:tc>
          <w:tcPr>
            <w:tcW w:w="12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7,682</w:t>
            </w:r>
          </w:p>
        </w:tc>
        <w:tc>
          <w:tcPr>
            <w:tcW w:w="12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16.7%</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138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April</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32,569</w:t>
            </w:r>
          </w:p>
        </w:tc>
        <w:tc>
          <w:tcPr>
            <w:tcW w:w="420" w:type="dxa"/>
            <w:vAlign w:val="bottom"/>
          </w:tcPr>
          <w:p>
            <w:pPr>
              <w:spacing w:after="0"/>
              <w:rPr>
                <w:sz w:val="22"/>
                <w:szCs w:val="22"/>
                <w:color w:val="auto"/>
              </w:rPr>
            </w:pPr>
          </w:p>
        </w:tc>
        <w:tc>
          <w:tcPr>
            <w:tcW w:w="1060" w:type="dxa"/>
            <w:vAlign w:val="bottom"/>
          </w:tcPr>
          <w:p>
            <w:pPr>
              <w:jc w:val="right"/>
              <w:ind w:right="61"/>
              <w:spacing w:after="0"/>
              <w:rPr>
                <w:sz w:val="20"/>
                <w:szCs w:val="20"/>
                <w:color w:val="auto"/>
              </w:rPr>
            </w:pPr>
            <w:r>
              <w:rPr>
                <w:rFonts w:ascii="Arial" w:cs="Arial" w:eastAsia="Arial" w:hAnsi="Arial"/>
                <w:sz w:val="16"/>
                <w:szCs w:val="16"/>
                <w:color w:val="auto"/>
              </w:rPr>
              <w:t>28,269</w:t>
            </w:r>
          </w:p>
        </w:tc>
        <w:tc>
          <w:tcPr>
            <w:tcW w:w="1240" w:type="dxa"/>
            <w:vAlign w:val="bottom"/>
          </w:tcPr>
          <w:p>
            <w:pPr>
              <w:jc w:val="right"/>
              <w:ind w:right="181"/>
              <w:spacing w:after="0"/>
              <w:rPr>
                <w:sz w:val="20"/>
                <w:szCs w:val="20"/>
                <w:color w:val="auto"/>
              </w:rPr>
            </w:pPr>
            <w:r>
              <w:rPr>
                <w:rFonts w:ascii="Arial" w:cs="Arial" w:eastAsia="Arial" w:hAnsi="Arial"/>
                <w:sz w:val="16"/>
                <w:szCs w:val="16"/>
                <w:color w:val="auto"/>
              </w:rPr>
              <w:t>4,300</w:t>
            </w:r>
          </w:p>
        </w:tc>
        <w:tc>
          <w:tcPr>
            <w:tcW w:w="1180" w:type="dxa"/>
            <w:vAlign w:val="bottom"/>
          </w:tcPr>
          <w:p>
            <w:pPr>
              <w:jc w:val="right"/>
              <w:spacing w:after="0"/>
              <w:rPr>
                <w:sz w:val="20"/>
                <w:szCs w:val="20"/>
                <w:color w:val="auto"/>
              </w:rPr>
            </w:pPr>
            <w:r>
              <w:rPr>
                <w:rFonts w:ascii="Arial" w:cs="Arial" w:eastAsia="Arial" w:hAnsi="Arial"/>
                <w:sz w:val="16"/>
                <w:szCs w:val="16"/>
                <w:color w:val="auto"/>
              </w:rPr>
              <w:t>15.2 %</w:t>
            </w:r>
          </w:p>
        </w:tc>
        <w:tc>
          <w:tcPr>
            <w:tcW w:w="1540" w:type="dxa"/>
            <w:vAlign w:val="bottom"/>
            <w:gridSpan w:val="2"/>
          </w:tcPr>
          <w:p>
            <w:pPr>
              <w:jc w:val="right"/>
              <w:ind w:right="363"/>
              <w:spacing w:after="0"/>
              <w:rPr>
                <w:sz w:val="20"/>
                <w:szCs w:val="20"/>
                <w:color w:val="auto"/>
              </w:rPr>
            </w:pPr>
            <w:r>
              <w:rPr>
                <w:rFonts w:ascii="Arial" w:cs="Arial" w:eastAsia="Arial" w:hAnsi="Arial"/>
                <w:sz w:val="16"/>
                <w:szCs w:val="16"/>
                <w:color w:val="auto"/>
              </w:rPr>
              <w:t>33,352</w:t>
            </w:r>
          </w:p>
        </w:tc>
        <w:tc>
          <w:tcPr>
            <w:tcW w:w="300" w:type="dxa"/>
            <w:vAlign w:val="bottom"/>
          </w:tcPr>
          <w:p>
            <w:pPr>
              <w:spacing w:after="0"/>
              <w:rPr>
                <w:sz w:val="22"/>
                <w:szCs w:val="22"/>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29,611</w:t>
            </w:r>
          </w:p>
        </w:tc>
        <w:tc>
          <w:tcPr>
            <w:tcW w:w="1200" w:type="dxa"/>
            <w:vAlign w:val="bottom"/>
          </w:tcPr>
          <w:p>
            <w:pPr>
              <w:jc w:val="right"/>
              <w:ind w:right="121"/>
              <w:spacing w:after="0"/>
              <w:rPr>
                <w:sz w:val="20"/>
                <w:szCs w:val="20"/>
                <w:color w:val="auto"/>
              </w:rPr>
            </w:pPr>
            <w:r>
              <w:rPr>
                <w:rFonts w:ascii="Arial" w:cs="Arial" w:eastAsia="Arial" w:hAnsi="Arial"/>
                <w:sz w:val="16"/>
                <w:szCs w:val="16"/>
                <w:color w:val="auto"/>
              </w:rPr>
              <w:t>3,741</w:t>
            </w:r>
          </w:p>
        </w:tc>
        <w:tc>
          <w:tcPr>
            <w:tcW w:w="1200" w:type="dxa"/>
            <w:vAlign w:val="bottom"/>
          </w:tcPr>
          <w:p>
            <w:pPr>
              <w:jc w:val="right"/>
              <w:ind w:right="81"/>
              <w:spacing w:after="0"/>
              <w:rPr>
                <w:sz w:val="20"/>
                <w:szCs w:val="20"/>
                <w:color w:val="auto"/>
              </w:rPr>
            </w:pPr>
            <w:r>
              <w:rPr>
                <w:rFonts w:ascii="Arial" w:cs="Arial" w:eastAsia="Arial" w:hAnsi="Arial"/>
                <w:sz w:val="16"/>
                <w:szCs w:val="16"/>
                <w:color w:val="auto"/>
              </w:rPr>
              <w:t>12.6%</w:t>
            </w:r>
          </w:p>
        </w:tc>
        <w:tc>
          <w:tcPr>
            <w:tcW w:w="20" w:type="dxa"/>
            <w:vAlign w:val="bottom"/>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138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May</w:t>
            </w: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30,931</w:t>
            </w:r>
          </w:p>
        </w:tc>
        <w:tc>
          <w:tcPr>
            <w:tcW w:w="42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rPr>
              <w:t>(3)</w:t>
            </w:r>
          </w:p>
        </w:tc>
        <w:tc>
          <w:tcPr>
            <w:tcW w:w="10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29,467</w:t>
            </w:r>
          </w:p>
        </w:tc>
        <w:tc>
          <w:tcPr>
            <w:tcW w:w="124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1,464</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5.0 %</w:t>
            </w:r>
          </w:p>
        </w:tc>
        <w:tc>
          <w:tcPr>
            <w:tcW w:w="1540" w:type="dxa"/>
            <w:vAlign w:val="bottom"/>
            <w:gridSpan w:val="2"/>
            <w:shd w:val="clear" w:color="auto" w:fill="CCEEFF"/>
          </w:tcPr>
          <w:p>
            <w:pPr>
              <w:jc w:val="right"/>
              <w:ind w:right="23"/>
              <w:spacing w:after="0"/>
              <w:rPr>
                <w:sz w:val="20"/>
                <w:szCs w:val="20"/>
                <w:color w:val="auto"/>
              </w:rPr>
            </w:pPr>
            <w:r>
              <w:rPr>
                <w:rFonts w:ascii="Arial" w:cs="Arial" w:eastAsia="Arial" w:hAnsi="Arial"/>
                <w:sz w:val="11"/>
                <w:szCs w:val="11"/>
                <w:color w:val="auto"/>
              </w:rPr>
              <w:t>(4)</w:t>
            </w: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35,770</w:t>
            </w:r>
          </w:p>
        </w:tc>
        <w:tc>
          <w:tcPr>
            <w:tcW w:w="12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3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June</w:t>
            </w: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31,873</w:t>
            </w:r>
          </w:p>
        </w:tc>
        <w:tc>
          <w:tcPr>
            <w:tcW w:w="42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color w:val="auto"/>
              </w:rPr>
              <w:t>(3)</w:t>
            </w:r>
          </w:p>
        </w:tc>
        <w:tc>
          <w:tcPr>
            <w:tcW w:w="10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27,912</w:t>
            </w:r>
          </w:p>
        </w:tc>
        <w:tc>
          <w:tcPr>
            <w:tcW w:w="124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3,961</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14.2 %</w:t>
            </w:r>
          </w:p>
        </w:tc>
        <w:tc>
          <w:tcPr>
            <w:tcW w:w="1540" w:type="dxa"/>
            <w:vAlign w:val="bottom"/>
            <w:tcBorders>
              <w:bottom w:val="single" w:sz="8" w:color="auto"/>
            </w:tcBorders>
            <w:gridSpan w:val="2"/>
          </w:tcPr>
          <w:p>
            <w:pPr>
              <w:jc w:val="right"/>
              <w:ind w:right="23"/>
              <w:spacing w:after="0"/>
              <w:rPr>
                <w:sz w:val="20"/>
                <w:szCs w:val="20"/>
                <w:color w:val="auto"/>
              </w:rPr>
            </w:pPr>
            <w:r>
              <w:rPr>
                <w:rFonts w:ascii="Arial" w:cs="Arial" w:eastAsia="Arial" w:hAnsi="Arial"/>
                <w:sz w:val="11"/>
                <w:szCs w:val="11"/>
                <w:color w:val="auto"/>
              </w:rPr>
              <w:t>(4)</w:t>
            </w: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34,584</w:t>
            </w:r>
          </w:p>
        </w:tc>
        <w:tc>
          <w:tcPr>
            <w:tcW w:w="12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38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Q2</w:t>
            </w: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95,373</w:t>
            </w:r>
          </w:p>
        </w:tc>
        <w:tc>
          <w:tcPr>
            <w:tcW w:w="42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rPr>
              <w:t>(3)</w:t>
            </w:r>
          </w:p>
        </w:tc>
        <w:tc>
          <w:tcPr>
            <w:tcW w:w="10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85,648</w:t>
            </w:r>
          </w:p>
        </w:tc>
        <w:tc>
          <w:tcPr>
            <w:tcW w:w="124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9,725</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11.4 %</w:t>
            </w:r>
          </w:p>
        </w:tc>
        <w:tc>
          <w:tcPr>
            <w:tcW w:w="1540" w:type="dxa"/>
            <w:vAlign w:val="bottom"/>
            <w:gridSpan w:val="2"/>
            <w:shd w:val="clear" w:color="auto" w:fill="CCEEFF"/>
          </w:tcPr>
          <w:p>
            <w:pPr>
              <w:jc w:val="right"/>
              <w:ind w:right="23"/>
              <w:spacing w:after="0"/>
              <w:rPr>
                <w:sz w:val="20"/>
                <w:szCs w:val="20"/>
                <w:color w:val="auto"/>
              </w:rPr>
            </w:pPr>
            <w:r>
              <w:rPr>
                <w:rFonts w:ascii="Arial" w:cs="Arial" w:eastAsia="Arial" w:hAnsi="Arial"/>
                <w:sz w:val="11"/>
                <w:szCs w:val="11"/>
                <w:color w:val="auto"/>
              </w:rPr>
              <w:t>(4)</w:t>
            </w:r>
          </w:p>
        </w:tc>
        <w:tc>
          <w:tcPr>
            <w:tcW w:w="3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99,965</w:t>
            </w:r>
          </w:p>
        </w:tc>
        <w:tc>
          <w:tcPr>
            <w:tcW w:w="12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1380" w:type="dxa"/>
            <w:vAlign w:val="bottom"/>
          </w:tcPr>
          <w:p>
            <w:pPr>
              <w:ind w:left="40"/>
              <w:spacing w:after="0"/>
              <w:rPr>
                <w:sz w:val="20"/>
                <w:szCs w:val="20"/>
                <w:color w:val="auto"/>
              </w:rPr>
            </w:pPr>
            <w:r>
              <w:rPr>
                <w:rFonts w:ascii="Arial" w:cs="Arial" w:eastAsia="Arial" w:hAnsi="Arial"/>
                <w:sz w:val="16"/>
                <w:szCs w:val="16"/>
                <w:color w:val="auto"/>
              </w:rPr>
              <w:t>Q3</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73,600</w:t>
            </w:r>
          </w:p>
        </w:tc>
        <w:tc>
          <w:tcPr>
            <w:tcW w:w="420" w:type="dxa"/>
            <w:vAlign w:val="bottom"/>
          </w:tcPr>
          <w:p>
            <w:pPr>
              <w:jc w:val="right"/>
              <w:ind w:right="126"/>
              <w:spacing w:after="0"/>
              <w:rPr>
                <w:sz w:val="20"/>
                <w:szCs w:val="20"/>
                <w:color w:val="auto"/>
              </w:rPr>
            </w:pPr>
            <w:r>
              <w:rPr>
                <w:rFonts w:ascii="Arial" w:cs="Arial" w:eastAsia="Arial" w:hAnsi="Arial"/>
                <w:sz w:val="11"/>
                <w:szCs w:val="11"/>
                <w:color w:val="auto"/>
              </w:rPr>
              <w:t>(3)</w:t>
            </w:r>
          </w:p>
        </w:tc>
        <w:tc>
          <w:tcPr>
            <w:tcW w:w="1060" w:type="dxa"/>
            <w:vAlign w:val="bottom"/>
          </w:tcPr>
          <w:p>
            <w:pPr>
              <w:jc w:val="right"/>
              <w:ind w:right="61"/>
              <w:spacing w:after="0"/>
              <w:rPr>
                <w:sz w:val="20"/>
                <w:szCs w:val="20"/>
                <w:color w:val="auto"/>
              </w:rPr>
            </w:pPr>
            <w:r>
              <w:rPr>
                <w:rFonts w:ascii="Arial" w:cs="Arial" w:eastAsia="Arial" w:hAnsi="Arial"/>
                <w:sz w:val="16"/>
                <w:szCs w:val="16"/>
                <w:color w:val="auto"/>
              </w:rPr>
              <w:t>65,543</w:t>
            </w:r>
          </w:p>
        </w:tc>
        <w:tc>
          <w:tcPr>
            <w:tcW w:w="1240" w:type="dxa"/>
            <w:vAlign w:val="bottom"/>
          </w:tcPr>
          <w:p>
            <w:pPr>
              <w:jc w:val="right"/>
              <w:ind w:right="181"/>
              <w:spacing w:after="0"/>
              <w:rPr>
                <w:sz w:val="20"/>
                <w:szCs w:val="20"/>
                <w:color w:val="auto"/>
              </w:rPr>
            </w:pPr>
            <w:r>
              <w:rPr>
                <w:rFonts w:ascii="Arial" w:cs="Arial" w:eastAsia="Arial" w:hAnsi="Arial"/>
                <w:sz w:val="16"/>
                <w:szCs w:val="16"/>
                <w:color w:val="auto"/>
              </w:rPr>
              <w:t>8,057</w:t>
            </w:r>
          </w:p>
        </w:tc>
        <w:tc>
          <w:tcPr>
            <w:tcW w:w="1180" w:type="dxa"/>
            <w:vAlign w:val="bottom"/>
          </w:tcPr>
          <w:p>
            <w:pPr>
              <w:jc w:val="right"/>
              <w:spacing w:after="0"/>
              <w:rPr>
                <w:sz w:val="20"/>
                <w:szCs w:val="20"/>
                <w:color w:val="auto"/>
              </w:rPr>
            </w:pPr>
            <w:r>
              <w:rPr>
                <w:rFonts w:ascii="Arial" w:cs="Arial" w:eastAsia="Arial" w:hAnsi="Arial"/>
                <w:sz w:val="16"/>
                <w:szCs w:val="16"/>
                <w:color w:val="auto"/>
              </w:rPr>
              <w:t>12.3 %</w:t>
            </w:r>
          </w:p>
        </w:tc>
        <w:tc>
          <w:tcPr>
            <w:tcW w:w="1540" w:type="dxa"/>
            <w:vAlign w:val="bottom"/>
            <w:gridSpan w:val="2"/>
          </w:tcPr>
          <w:p>
            <w:pPr>
              <w:jc w:val="right"/>
              <w:ind w:right="23"/>
              <w:spacing w:after="0"/>
              <w:rPr>
                <w:sz w:val="20"/>
                <w:szCs w:val="20"/>
                <w:color w:val="auto"/>
              </w:rPr>
            </w:pPr>
            <w:r>
              <w:rPr>
                <w:rFonts w:ascii="Arial" w:cs="Arial" w:eastAsia="Arial" w:hAnsi="Arial"/>
                <w:sz w:val="11"/>
                <w:szCs w:val="11"/>
                <w:color w:val="auto"/>
              </w:rPr>
              <w:t>(4)</w:t>
            </w:r>
          </w:p>
        </w:tc>
        <w:tc>
          <w:tcPr>
            <w:tcW w:w="300" w:type="dxa"/>
            <w:vAlign w:val="bottom"/>
          </w:tcPr>
          <w:p>
            <w:pPr>
              <w:spacing w:after="0"/>
              <w:rPr>
                <w:sz w:val="22"/>
                <w:szCs w:val="22"/>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87,713</w:t>
            </w:r>
          </w:p>
        </w:tc>
        <w:tc>
          <w:tcPr>
            <w:tcW w:w="12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138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Q4</w:t>
            </w: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69,800</w:t>
            </w:r>
          </w:p>
        </w:tc>
        <w:tc>
          <w:tcPr>
            <w:tcW w:w="42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1"/>
                <w:szCs w:val="11"/>
                <w:color w:val="auto"/>
              </w:rPr>
              <w:t>(3)</w:t>
            </w:r>
          </w:p>
        </w:tc>
        <w:tc>
          <w:tcPr>
            <w:tcW w:w="10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72,289</w:t>
            </w:r>
          </w:p>
        </w:tc>
        <w:tc>
          <w:tcPr>
            <w:tcW w:w="124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(2,489)</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540" w:type="dxa"/>
            <w:vAlign w:val="bottom"/>
            <w:gridSpan w:val="2"/>
            <w:shd w:val="clear" w:color="auto" w:fill="CCEEFF"/>
          </w:tcPr>
          <w:p>
            <w:pPr>
              <w:jc w:val="right"/>
              <w:ind w:right="23"/>
              <w:spacing w:after="0"/>
              <w:rPr>
                <w:sz w:val="20"/>
                <w:szCs w:val="20"/>
                <w:color w:val="auto"/>
              </w:rPr>
            </w:pPr>
            <w:r>
              <w:rPr>
                <w:rFonts w:ascii="Arial" w:cs="Arial" w:eastAsia="Arial" w:hAnsi="Arial"/>
                <w:sz w:val="11"/>
                <w:szCs w:val="11"/>
                <w:color w:val="auto"/>
              </w:rPr>
              <w:t>(4)</w:t>
            </w:r>
          </w:p>
        </w:tc>
        <w:tc>
          <w:tcPr>
            <w:tcW w:w="3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42,694</w:t>
            </w:r>
          </w:p>
        </w:tc>
        <w:tc>
          <w:tcPr>
            <w:tcW w:w="12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6"/>
        </w:trPr>
        <w:tc>
          <w:tcPr>
            <w:tcW w:w="1380" w:type="dxa"/>
            <w:vAlign w:val="bottom"/>
            <w:vMerge w:val="restart"/>
          </w:tcPr>
          <w:p>
            <w:pPr>
              <w:ind w:left="40"/>
              <w:spacing w:after="0"/>
              <w:rPr>
                <w:sz w:val="20"/>
                <w:szCs w:val="20"/>
                <w:color w:val="auto"/>
              </w:rPr>
            </w:pPr>
            <w:r>
              <w:rPr>
                <w:rFonts w:ascii="Arial" w:cs="Arial" w:eastAsia="Arial" w:hAnsi="Arial"/>
                <w:sz w:val="16"/>
                <w:szCs w:val="16"/>
                <w:color w:val="auto"/>
              </w:rPr>
              <w:t>Total</w:t>
            </w:r>
          </w:p>
        </w:tc>
        <w:tc>
          <w:tcPr>
            <w:tcW w:w="1080" w:type="dxa"/>
            <w:vAlign w:val="bottom"/>
            <w:vMerge w:val="restart"/>
          </w:tcPr>
          <w:p>
            <w:pPr>
              <w:jc w:val="right"/>
              <w:ind w:right="20"/>
              <w:spacing w:after="0"/>
              <w:rPr>
                <w:sz w:val="20"/>
                <w:szCs w:val="20"/>
                <w:color w:val="auto"/>
              </w:rPr>
            </w:pPr>
            <w:r>
              <w:rPr>
                <w:rFonts w:ascii="Arial" w:cs="Arial" w:eastAsia="Arial" w:hAnsi="Arial"/>
                <w:sz w:val="16"/>
                <w:szCs w:val="16"/>
                <w:color w:val="auto"/>
              </w:rPr>
              <w:t>320,532</w:t>
            </w:r>
          </w:p>
        </w:tc>
        <w:tc>
          <w:tcPr>
            <w:tcW w:w="420" w:type="dxa"/>
            <w:vAlign w:val="bottom"/>
          </w:tcPr>
          <w:p>
            <w:pPr>
              <w:jc w:val="right"/>
              <w:ind w:right="126"/>
              <w:spacing w:after="0"/>
              <w:rPr>
                <w:sz w:val="20"/>
                <w:szCs w:val="20"/>
                <w:color w:val="auto"/>
              </w:rPr>
            </w:pPr>
            <w:r>
              <w:rPr>
                <w:rFonts w:ascii="Arial" w:cs="Arial" w:eastAsia="Arial" w:hAnsi="Arial"/>
                <w:sz w:val="11"/>
                <w:szCs w:val="11"/>
                <w:color w:val="auto"/>
              </w:rPr>
              <w:t>(3)</w:t>
            </w:r>
          </w:p>
        </w:tc>
        <w:tc>
          <w:tcPr>
            <w:tcW w:w="1060" w:type="dxa"/>
            <w:vAlign w:val="bottom"/>
            <w:vMerge w:val="restart"/>
          </w:tcPr>
          <w:p>
            <w:pPr>
              <w:jc w:val="right"/>
              <w:ind w:right="61"/>
              <w:spacing w:after="0"/>
              <w:rPr>
                <w:sz w:val="20"/>
                <w:szCs w:val="20"/>
                <w:color w:val="auto"/>
              </w:rPr>
            </w:pPr>
            <w:r>
              <w:rPr>
                <w:rFonts w:ascii="Arial" w:cs="Arial" w:eastAsia="Arial" w:hAnsi="Arial"/>
                <w:sz w:val="16"/>
                <w:szCs w:val="16"/>
                <w:color w:val="auto"/>
              </w:rPr>
              <w:t>298,938</w:t>
            </w:r>
          </w:p>
        </w:tc>
        <w:tc>
          <w:tcPr>
            <w:tcW w:w="1240" w:type="dxa"/>
            <w:vAlign w:val="bottom"/>
            <w:vMerge w:val="restart"/>
          </w:tcPr>
          <w:p>
            <w:pPr>
              <w:jc w:val="right"/>
              <w:ind w:right="181"/>
              <w:spacing w:after="0"/>
              <w:rPr>
                <w:sz w:val="20"/>
                <w:szCs w:val="20"/>
                <w:color w:val="auto"/>
              </w:rPr>
            </w:pPr>
            <w:r>
              <w:rPr>
                <w:rFonts w:ascii="Arial" w:cs="Arial" w:eastAsia="Arial" w:hAnsi="Arial"/>
                <w:sz w:val="16"/>
                <w:szCs w:val="16"/>
                <w:color w:val="auto"/>
              </w:rPr>
              <w:t>21,594</w:t>
            </w: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7.2 %</w:t>
            </w: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vMerge w:val="restart"/>
          </w:tcPr>
          <w:p>
            <w:pPr>
              <w:jc w:val="right"/>
              <w:ind w:right="41"/>
              <w:spacing w:after="0"/>
              <w:rPr>
                <w:sz w:val="20"/>
                <w:szCs w:val="20"/>
                <w:color w:val="auto"/>
              </w:rPr>
            </w:pPr>
            <w:r>
              <w:rPr>
                <w:rFonts w:ascii="Arial" w:cs="Arial" w:eastAsia="Arial" w:hAnsi="Arial"/>
                <w:sz w:val="16"/>
                <w:szCs w:val="16"/>
                <w:color w:val="auto"/>
              </w:rPr>
              <w:t>276,368</w:t>
            </w:r>
          </w:p>
        </w:tc>
        <w:tc>
          <w:tcPr>
            <w:tcW w:w="1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1380" w:type="dxa"/>
            <w:vAlign w:val="bottom"/>
            <w:tcBorders>
              <w:bottom w:val="single" w:sz="8" w:color="CCEEFF"/>
            </w:tcBorders>
            <w:vMerge w:val="continue"/>
          </w:tcPr>
          <w:p>
            <w:pPr>
              <w:spacing w:after="0"/>
              <w:rPr>
                <w:sz w:val="11"/>
                <w:szCs w:val="11"/>
                <w:color w:val="auto"/>
              </w:rPr>
            </w:pPr>
          </w:p>
        </w:tc>
        <w:tc>
          <w:tcPr>
            <w:tcW w:w="1080" w:type="dxa"/>
            <w:vAlign w:val="bottom"/>
            <w:tcBorders>
              <w:bottom w:val="single" w:sz="8" w:color="auto"/>
            </w:tcBorders>
            <w:vMerge w:val="continue"/>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vMerge w:val="continue"/>
          </w:tcPr>
          <w:p>
            <w:pPr>
              <w:spacing w:after="0"/>
              <w:rPr>
                <w:sz w:val="11"/>
                <w:szCs w:val="11"/>
                <w:color w:val="auto"/>
              </w:rPr>
            </w:pPr>
          </w:p>
        </w:tc>
        <w:tc>
          <w:tcPr>
            <w:tcW w:w="1240" w:type="dxa"/>
            <w:vAlign w:val="bottom"/>
            <w:tcBorders>
              <w:bottom w:val="single" w:sz="8" w:color="auto"/>
            </w:tcBorders>
            <w:vMerge w:val="continue"/>
          </w:tcPr>
          <w:p>
            <w:pPr>
              <w:spacing w:after="0"/>
              <w:rPr>
                <w:sz w:val="11"/>
                <w:szCs w:val="11"/>
                <w:color w:val="auto"/>
              </w:rPr>
            </w:pPr>
          </w:p>
        </w:tc>
        <w:tc>
          <w:tcPr>
            <w:tcW w:w="118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44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1200" w:type="dxa"/>
            <w:vAlign w:val="bottom"/>
            <w:tcBorders>
              <w:bottom w:val="single" w:sz="8" w:color="CCEEFF"/>
            </w:tcBorders>
          </w:tcPr>
          <w:p>
            <w:pPr>
              <w:spacing w:after="0"/>
              <w:rPr>
                <w:sz w:val="11"/>
                <w:szCs w:val="11"/>
                <w:color w:val="auto"/>
              </w:rPr>
            </w:pPr>
          </w:p>
        </w:tc>
        <w:tc>
          <w:tcPr>
            <w:tcW w:w="1200" w:type="dxa"/>
            <w:vAlign w:val="bottom"/>
            <w:tcBorders>
              <w:bottom w:val="single" w:sz="8" w:color="CCEEFF"/>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1380" w:type="dxa"/>
            <w:vAlign w:val="bottom"/>
            <w:tcBorders>
              <w:left w:val="single" w:sz="8" w:color="CCEEFF"/>
            </w:tcBorders>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1380" w:type="dxa"/>
            <w:vAlign w:val="bottom"/>
          </w:tcPr>
          <w:p>
            <w:pPr>
              <w:ind w:left="40"/>
              <w:spacing w:after="0"/>
              <w:rPr>
                <w:sz w:val="20"/>
                <w:szCs w:val="20"/>
                <w:color w:val="auto"/>
              </w:rPr>
            </w:pPr>
            <w:r>
              <w:rPr>
                <w:rFonts w:ascii="Arial" w:cs="Arial" w:eastAsia="Arial" w:hAnsi="Arial"/>
                <w:sz w:val="32"/>
                <w:szCs w:val="32"/>
                <w:color w:val="auto"/>
                <w:vertAlign w:val="subscript"/>
              </w:rPr>
              <w:t>YTD</w:t>
            </w:r>
            <w:r>
              <w:rPr>
                <w:rFonts w:ascii="Arial" w:cs="Arial" w:eastAsia="Arial" w:hAnsi="Arial"/>
                <w:sz w:val="11"/>
                <w:szCs w:val="11"/>
                <w:color w:val="auto"/>
              </w:rPr>
              <w:t xml:space="preserve"> (5)</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114,328</w:t>
            </w:r>
          </w:p>
        </w:tc>
        <w:tc>
          <w:tcPr>
            <w:tcW w:w="420" w:type="dxa"/>
            <w:vAlign w:val="bottom"/>
          </w:tcPr>
          <w:p>
            <w:pPr>
              <w:spacing w:after="0"/>
              <w:rPr>
                <w:sz w:val="24"/>
                <w:szCs w:val="24"/>
                <w:color w:val="auto"/>
              </w:rPr>
            </w:pPr>
          </w:p>
        </w:tc>
        <w:tc>
          <w:tcPr>
            <w:tcW w:w="1060" w:type="dxa"/>
            <w:vAlign w:val="bottom"/>
          </w:tcPr>
          <w:p>
            <w:pPr>
              <w:jc w:val="right"/>
              <w:ind w:right="61"/>
              <w:spacing w:after="0"/>
              <w:rPr>
                <w:sz w:val="20"/>
                <w:szCs w:val="20"/>
                <w:color w:val="auto"/>
              </w:rPr>
            </w:pPr>
            <w:r>
              <w:rPr>
                <w:rFonts w:ascii="Arial" w:cs="Arial" w:eastAsia="Arial" w:hAnsi="Arial"/>
                <w:sz w:val="16"/>
                <w:szCs w:val="16"/>
                <w:color w:val="auto"/>
              </w:rPr>
              <w:t>103,727</w:t>
            </w:r>
          </w:p>
        </w:tc>
        <w:tc>
          <w:tcPr>
            <w:tcW w:w="1240" w:type="dxa"/>
            <w:vAlign w:val="bottom"/>
          </w:tcPr>
          <w:p>
            <w:pPr>
              <w:jc w:val="right"/>
              <w:ind w:right="181"/>
              <w:spacing w:after="0"/>
              <w:rPr>
                <w:sz w:val="20"/>
                <w:szCs w:val="20"/>
                <w:color w:val="auto"/>
              </w:rPr>
            </w:pPr>
            <w:r>
              <w:rPr>
                <w:rFonts w:ascii="Arial" w:cs="Arial" w:eastAsia="Arial" w:hAnsi="Arial"/>
                <w:sz w:val="16"/>
                <w:szCs w:val="16"/>
                <w:color w:val="auto"/>
              </w:rPr>
              <w:t>10,601</w:t>
            </w:r>
          </w:p>
        </w:tc>
        <w:tc>
          <w:tcPr>
            <w:tcW w:w="1180" w:type="dxa"/>
            <w:vAlign w:val="bottom"/>
          </w:tcPr>
          <w:p>
            <w:pPr>
              <w:jc w:val="right"/>
              <w:spacing w:after="0"/>
              <w:rPr>
                <w:sz w:val="20"/>
                <w:szCs w:val="20"/>
                <w:color w:val="auto"/>
              </w:rPr>
            </w:pPr>
            <w:r>
              <w:rPr>
                <w:rFonts w:ascii="Arial" w:cs="Arial" w:eastAsia="Arial" w:hAnsi="Arial"/>
                <w:sz w:val="16"/>
                <w:szCs w:val="16"/>
                <w:color w:val="auto"/>
              </w:rPr>
              <w:t>10.2 %</w:t>
            </w:r>
          </w:p>
        </w:tc>
        <w:tc>
          <w:tcPr>
            <w:tcW w:w="1540" w:type="dxa"/>
            <w:vAlign w:val="bottom"/>
            <w:gridSpan w:val="2"/>
          </w:tcPr>
          <w:p>
            <w:pPr>
              <w:jc w:val="right"/>
              <w:ind w:right="363"/>
              <w:spacing w:after="0"/>
              <w:rPr>
                <w:sz w:val="20"/>
                <w:szCs w:val="20"/>
                <w:color w:val="auto"/>
              </w:rPr>
            </w:pPr>
            <w:r>
              <w:rPr>
                <w:rFonts w:ascii="Arial" w:cs="Arial" w:eastAsia="Arial" w:hAnsi="Arial"/>
                <w:sz w:val="16"/>
                <w:szCs w:val="16"/>
                <w:color w:val="auto"/>
              </w:rPr>
              <w:t>87,030</w:t>
            </w:r>
          </w:p>
        </w:tc>
        <w:tc>
          <w:tcPr>
            <w:tcW w:w="300" w:type="dxa"/>
            <w:vAlign w:val="bottom"/>
          </w:tcPr>
          <w:p>
            <w:pPr>
              <w:spacing w:after="0"/>
              <w:rPr>
                <w:sz w:val="24"/>
                <w:szCs w:val="24"/>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75,607</w:t>
            </w:r>
          </w:p>
        </w:tc>
        <w:tc>
          <w:tcPr>
            <w:tcW w:w="1200" w:type="dxa"/>
            <w:vAlign w:val="bottom"/>
          </w:tcPr>
          <w:p>
            <w:pPr>
              <w:jc w:val="right"/>
              <w:ind w:right="121"/>
              <w:spacing w:after="0"/>
              <w:rPr>
                <w:sz w:val="20"/>
                <w:szCs w:val="20"/>
                <w:color w:val="auto"/>
              </w:rPr>
            </w:pPr>
            <w:r>
              <w:rPr>
                <w:rFonts w:ascii="Arial" w:cs="Arial" w:eastAsia="Arial" w:hAnsi="Arial"/>
                <w:sz w:val="16"/>
                <w:szCs w:val="16"/>
                <w:color w:val="auto"/>
              </w:rPr>
              <w:t>11,423</w:t>
            </w:r>
          </w:p>
        </w:tc>
        <w:tc>
          <w:tcPr>
            <w:tcW w:w="1200" w:type="dxa"/>
            <w:vAlign w:val="bottom"/>
          </w:tcPr>
          <w:p>
            <w:pPr>
              <w:jc w:val="right"/>
              <w:ind w:right="81"/>
              <w:spacing w:after="0"/>
              <w:rPr>
                <w:sz w:val="20"/>
                <w:szCs w:val="20"/>
                <w:color w:val="auto"/>
              </w:rPr>
            </w:pPr>
            <w:r>
              <w:rPr>
                <w:rFonts w:ascii="Arial" w:cs="Arial" w:eastAsia="Arial" w:hAnsi="Arial"/>
                <w:sz w:val="16"/>
                <w:szCs w:val="16"/>
                <w:color w:val="auto"/>
              </w:rPr>
              <w:t>15.1%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40" w:hanging="332"/>
        <w:spacing w:after="0" w:line="193" w:lineRule="auto"/>
        <w:tabs>
          <w:tab w:leader="none" w:pos="34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Towable wholesale shipments as reported by RVIA.</w:t>
      </w:r>
    </w:p>
    <w:p>
      <w:pPr>
        <w:ind w:left="340" w:hanging="332"/>
        <w:spacing w:after="0" w:line="204" w:lineRule="auto"/>
        <w:tabs>
          <w:tab w:leader="none" w:pos="34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Towable retail registrations as reported by Stat Surveys for the US and Canada combined.</w:t>
      </w:r>
    </w:p>
    <w:p>
      <w:pPr>
        <w:sectPr>
          <w:pgSz w:w="11900" w:h="16838" w:orient="portrait"/>
          <w:cols w:equalWidth="0" w:num="1">
            <w:col w:w="11440"/>
          </w:cols>
          <w:pgMar w:left="240" w:top="121" w:right="219" w:bottom="1440" w:gutter="0" w:footer="0" w:header="0"/>
        </w:sect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40"/>
          </w:cols>
          <w:pgMar w:left="240" w:top="121" w:right="219" w:bottom="1440" w:gutter="0" w:footer="0" w:header="0"/>
          <w:type w:val="continuous"/>
        </w:sectPr>
      </w:pPr>
    </w:p>
    <w:bookmarkStart w:id="16" w:name="page17"/>
    <w:bookmarkEnd w:id="1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53" w:lineRule="exact"/>
        <w:rPr>
          <w:sz w:val="20"/>
          <w:szCs w:val="20"/>
          <w:color w:val="auto"/>
        </w:rPr>
      </w:pPr>
    </w:p>
    <w:p>
      <w:pPr>
        <w:jc w:val="both"/>
        <w:ind w:left="340" w:right="280" w:hanging="332"/>
        <w:spacing w:after="0" w:line="228" w:lineRule="auto"/>
        <w:tabs>
          <w:tab w:leader="none" w:pos="34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Monthly and quarterly towable wholesale shipments are based upon the forecast prepared by Dr. Richard Curtin of the University of Michigan Consumer Survey Research Center for RVIA and reported in the Roadsigns RV Summer 2015 Industry Forecast Issue. The revised RVIA annual 2015 wholesale shipment forecast is 319,500 and the annual forecast for 2016 is 331,700.</w:t>
      </w:r>
    </w:p>
    <w:p>
      <w:pPr>
        <w:spacing w:after="0" w:line="1" w:lineRule="exact"/>
        <w:rPr>
          <w:rFonts w:ascii="Arial" w:cs="Arial" w:eastAsia="Arial" w:hAnsi="Arial"/>
          <w:sz w:val="18"/>
          <w:szCs w:val="18"/>
          <w:color w:val="auto"/>
          <w:vertAlign w:val="superscript"/>
        </w:rPr>
      </w:pPr>
    </w:p>
    <w:p>
      <w:pPr>
        <w:ind w:left="340" w:hanging="332"/>
        <w:spacing w:after="0" w:line="187" w:lineRule="auto"/>
        <w:tabs>
          <w:tab w:leader="none" w:pos="34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Stat Surveys has not issued a projection for retail demand for this period.</w:t>
      </w:r>
    </w:p>
    <w:p>
      <w:pPr>
        <w:ind w:left="340" w:hanging="332"/>
        <w:spacing w:after="0" w:line="204" w:lineRule="auto"/>
        <w:tabs>
          <w:tab w:leader="none" w:pos="34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YTD wholesale shipments and retail registrations include January through April.</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Company Outlook</w:t>
      </w:r>
    </w:p>
    <w:p>
      <w:pPr>
        <w:spacing w:after="0" w:line="169"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Demand for our motorhome product has continued to increase for the first nine months of Fiscal 2015; our order bookings are up 11% on a rolling twelve month basis. As a result of this increased demand, we have continued to increase our production rates during the first nine months of Fiscal 2015 to the extent possible with our current workforce. Those increased production rates along with an improved chassis supply have allowed us to gradually ease our motorized backlog through a more timely delivery schedule. We believe this to be a clear representation of the positive outlook of our dealer base and demand for our motorized product.</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Our motorized sales order backlog of 2,279 as of May 30, 2015 represents orders to be shipped in the next two quarters: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As Of</w:t>
            </w:r>
          </w:p>
        </w:tc>
        <w:tc>
          <w:tcPr>
            <w:tcW w:w="7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r>
      <w:tr>
        <w:trPr>
          <w:trHeight w:val="168"/>
        </w:trPr>
        <w:tc>
          <w:tcPr>
            <w:tcW w:w="3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right"/>
              <w:ind w:right="340"/>
              <w:spacing w:after="0"/>
              <w:rPr>
                <w:sz w:val="20"/>
                <w:szCs w:val="20"/>
                <w:color w:val="auto"/>
              </w:rPr>
            </w:pPr>
            <w:r>
              <w:rPr>
                <w:rFonts w:ascii="Arial" w:cs="Arial" w:eastAsia="Arial" w:hAnsi="Arial"/>
                <w:sz w:val="14"/>
                <w:szCs w:val="14"/>
                <w:b w:val="1"/>
                <w:bCs w:val="1"/>
                <w:color w:val="auto"/>
              </w:rPr>
              <w:t>(Decrease)</w:t>
            </w:r>
          </w:p>
        </w:tc>
        <w:tc>
          <w:tcPr>
            <w:tcW w:w="1320" w:type="dxa"/>
            <w:vAlign w:val="bottom"/>
          </w:tcPr>
          <w:p>
            <w:pPr>
              <w:jc w:val="right"/>
              <w:ind w:right="560"/>
              <w:spacing w:after="0"/>
              <w:rPr>
                <w:sz w:val="20"/>
                <w:szCs w:val="20"/>
                <w:color w:val="auto"/>
              </w:rPr>
            </w:pPr>
            <w:r>
              <w:rPr>
                <w:rFonts w:ascii="Arial" w:cs="Arial" w:eastAsia="Arial" w:hAnsi="Arial"/>
                <w:sz w:val="14"/>
                <w:szCs w:val="14"/>
                <w:b w:val="1"/>
                <w:bCs w:val="1"/>
                <w:color w:val="auto"/>
              </w:rPr>
              <w:t>%</w:t>
            </w:r>
          </w:p>
        </w:tc>
      </w:tr>
      <w:tr>
        <w:trPr>
          <w:trHeight w:val="203"/>
        </w:trPr>
        <w:tc>
          <w:tcPr>
            <w:tcW w:w="32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units)</w:t>
            </w:r>
          </w:p>
        </w:tc>
        <w:tc>
          <w:tcPr>
            <w:tcW w:w="3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ind w:left="540"/>
              <w:spacing w:after="0"/>
              <w:rPr>
                <w:sz w:val="20"/>
                <w:szCs w:val="20"/>
                <w:color w:val="auto"/>
              </w:rPr>
            </w:pPr>
            <w:r>
              <w:rPr>
                <w:rFonts w:ascii="Arial" w:cs="Arial" w:eastAsia="Arial" w:hAnsi="Arial"/>
                <w:sz w:val="14"/>
                <w:szCs w:val="14"/>
                <w:b w:val="1"/>
                <w:bCs w:val="1"/>
                <w:color w:val="auto"/>
              </w:rPr>
              <w:t>May 30, 2015</w:t>
            </w:r>
          </w:p>
        </w:tc>
        <w:tc>
          <w:tcPr>
            <w:tcW w:w="7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May 31, 2014</w:t>
            </w:r>
          </w:p>
        </w:tc>
        <w:tc>
          <w:tcPr>
            <w:tcW w:w="7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Increase</w:t>
            </w:r>
          </w:p>
        </w:tc>
        <w:tc>
          <w:tcPr>
            <w:tcW w:w="13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Change</w:t>
            </w:r>
          </w:p>
        </w:tc>
      </w:tr>
      <w:tr>
        <w:trPr>
          <w:trHeight w:val="251"/>
        </w:trPr>
        <w:tc>
          <w:tcPr>
            <w:tcW w:w="3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A gas</w:t>
            </w:r>
          </w:p>
        </w:tc>
        <w:tc>
          <w:tcPr>
            <w:tcW w:w="3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w:t>
            </w:r>
          </w:p>
        </w:tc>
        <w:tc>
          <w:tcPr>
            <w:tcW w:w="6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25.6%</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600"/>
              <w:spacing w:after="0"/>
              <w:rPr>
                <w:sz w:val="20"/>
                <w:szCs w:val="20"/>
                <w:color w:val="auto"/>
              </w:rPr>
            </w:pPr>
            <w:r>
              <w:rPr>
                <w:rFonts w:ascii="Arial" w:cs="Arial" w:eastAsia="Arial" w:hAnsi="Arial"/>
                <w:sz w:val="16"/>
                <w:szCs w:val="16"/>
                <w:color w:val="auto"/>
              </w:rPr>
              <w:t>752</w:t>
            </w:r>
          </w:p>
        </w:tc>
        <w:tc>
          <w:tcPr>
            <w:tcW w:w="7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31.9%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auto"/>
              </w:rPr>
              <w:t>(168)</w:t>
            </w:r>
          </w:p>
        </w:tc>
        <w:tc>
          <w:tcPr>
            <w:tcW w:w="13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(22.3)%</w:t>
            </w:r>
          </w:p>
        </w:tc>
      </w:tr>
      <w:tr>
        <w:trPr>
          <w:trHeight w:val="264"/>
        </w:trPr>
        <w:tc>
          <w:tcPr>
            <w:tcW w:w="32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Class A diesel</w:t>
            </w: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w:t>
            </w:r>
          </w:p>
        </w:tc>
        <w:tc>
          <w:tcPr>
            <w:tcW w:w="6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6.9%</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600"/>
              <w:spacing w:after="0"/>
              <w:rPr>
                <w:sz w:val="20"/>
                <w:szCs w:val="20"/>
                <w:color w:val="auto"/>
              </w:rPr>
            </w:pPr>
            <w:r>
              <w:rPr>
                <w:rFonts w:ascii="Arial" w:cs="Arial" w:eastAsia="Arial" w:hAnsi="Arial"/>
                <w:sz w:val="16"/>
                <w:szCs w:val="16"/>
                <w:color w:val="auto"/>
              </w:rPr>
              <w:t>280</w:t>
            </w:r>
          </w:p>
        </w:tc>
        <w:tc>
          <w:tcPr>
            <w:tcW w:w="7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11.9%</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(123)</w:t>
            </w:r>
          </w:p>
        </w:tc>
        <w:tc>
          <w:tcPr>
            <w:tcW w:w="13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(43.9)%</w:t>
            </w:r>
          </w:p>
        </w:tc>
      </w:tr>
      <w:tr>
        <w:trPr>
          <w:trHeight w:val="257"/>
        </w:trPr>
        <w:tc>
          <w:tcPr>
            <w:tcW w:w="3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Class A</w:t>
            </w:r>
          </w:p>
        </w:tc>
        <w:tc>
          <w:tcPr>
            <w:tcW w:w="3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741</w:t>
            </w:r>
          </w:p>
        </w:tc>
        <w:tc>
          <w:tcPr>
            <w:tcW w:w="60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32.5%</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600"/>
              <w:spacing w:after="0"/>
              <w:rPr>
                <w:sz w:val="20"/>
                <w:szCs w:val="20"/>
                <w:color w:val="auto"/>
              </w:rPr>
            </w:pPr>
            <w:r>
              <w:rPr>
                <w:rFonts w:ascii="Arial" w:cs="Arial" w:eastAsia="Arial" w:hAnsi="Arial"/>
                <w:sz w:val="16"/>
                <w:szCs w:val="16"/>
                <w:color w:val="auto"/>
              </w:rPr>
              <w:t>1,032</w:t>
            </w:r>
          </w:p>
        </w:tc>
        <w:tc>
          <w:tcPr>
            <w:tcW w:w="7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43.8%</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auto"/>
              </w:rPr>
              <w:t>(291)</w:t>
            </w:r>
          </w:p>
        </w:tc>
        <w:tc>
          <w:tcPr>
            <w:tcW w:w="13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(28.2)%</w:t>
            </w:r>
          </w:p>
        </w:tc>
      </w:tr>
      <w:tr>
        <w:trPr>
          <w:trHeight w:val="262"/>
        </w:trPr>
        <w:tc>
          <w:tcPr>
            <w:tcW w:w="3280" w:type="dxa"/>
            <w:vAlign w:val="bottom"/>
          </w:tcPr>
          <w:p>
            <w:pPr>
              <w:ind w:left="40"/>
              <w:spacing w:after="0"/>
              <w:rPr>
                <w:sz w:val="20"/>
                <w:szCs w:val="20"/>
                <w:color w:val="auto"/>
              </w:rPr>
            </w:pPr>
            <w:r>
              <w:rPr>
                <w:rFonts w:ascii="Arial" w:cs="Arial" w:eastAsia="Arial" w:hAnsi="Arial"/>
                <w:sz w:val="16"/>
                <w:szCs w:val="16"/>
                <w:color w:val="auto"/>
              </w:rPr>
              <w:t>Class B</w:t>
            </w:r>
          </w:p>
        </w:tc>
        <w:tc>
          <w:tcPr>
            <w:tcW w:w="3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243</w:t>
            </w:r>
          </w:p>
        </w:tc>
        <w:tc>
          <w:tcPr>
            <w:tcW w:w="600" w:type="dxa"/>
            <w:vAlign w:val="bottom"/>
          </w:tcPr>
          <w:p>
            <w:pPr>
              <w:spacing w:after="0"/>
              <w:rPr>
                <w:sz w:val="22"/>
                <w:szCs w:val="22"/>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80" w:type="dxa"/>
            <w:vAlign w:val="bottom"/>
          </w:tcPr>
          <w:p>
            <w:pPr>
              <w:jc w:val="right"/>
              <w:ind w:right="600"/>
              <w:spacing w:after="0"/>
              <w:rPr>
                <w:sz w:val="20"/>
                <w:szCs w:val="20"/>
                <w:color w:val="auto"/>
              </w:rPr>
            </w:pPr>
            <w:r>
              <w:rPr>
                <w:rFonts w:ascii="Arial" w:cs="Arial" w:eastAsia="Arial" w:hAnsi="Arial"/>
                <w:sz w:val="16"/>
                <w:szCs w:val="16"/>
                <w:color w:val="auto"/>
              </w:rPr>
              <w:t>264</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ind w:right="280"/>
              <w:spacing w:after="0"/>
              <w:rPr>
                <w:sz w:val="20"/>
                <w:szCs w:val="20"/>
                <w:color w:val="auto"/>
              </w:rPr>
            </w:pPr>
            <w:r>
              <w:rPr>
                <w:rFonts w:ascii="Arial" w:cs="Arial" w:eastAsia="Arial" w:hAnsi="Arial"/>
                <w:sz w:val="16"/>
                <w:szCs w:val="16"/>
                <w:color w:val="auto"/>
              </w:rPr>
              <w:t>(21)</w:t>
            </w:r>
          </w:p>
        </w:tc>
        <w:tc>
          <w:tcPr>
            <w:tcW w:w="1320" w:type="dxa"/>
            <w:vAlign w:val="bottom"/>
          </w:tcPr>
          <w:p>
            <w:pPr>
              <w:jc w:val="right"/>
              <w:ind w:right="80"/>
              <w:spacing w:after="0"/>
              <w:rPr>
                <w:sz w:val="20"/>
                <w:szCs w:val="20"/>
                <w:color w:val="auto"/>
              </w:rPr>
            </w:pPr>
            <w:r>
              <w:rPr>
                <w:rFonts w:ascii="Arial" w:cs="Arial" w:eastAsia="Arial" w:hAnsi="Arial"/>
                <w:sz w:val="16"/>
                <w:szCs w:val="16"/>
                <w:color w:val="auto"/>
              </w:rPr>
              <w:t>(8.0)%</w:t>
            </w:r>
          </w:p>
        </w:tc>
      </w:tr>
      <w:tr>
        <w:trPr>
          <w:trHeight w:val="271"/>
        </w:trPr>
        <w:tc>
          <w:tcPr>
            <w:tcW w:w="3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3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1,295</w:t>
            </w:r>
          </w:p>
        </w:tc>
        <w:tc>
          <w:tcPr>
            <w:tcW w:w="6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56.8%</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600"/>
              <w:spacing w:after="0"/>
              <w:rPr>
                <w:sz w:val="20"/>
                <w:szCs w:val="20"/>
                <w:color w:val="auto"/>
              </w:rPr>
            </w:pPr>
            <w:r>
              <w:rPr>
                <w:rFonts w:ascii="Arial" w:cs="Arial" w:eastAsia="Arial" w:hAnsi="Arial"/>
                <w:sz w:val="16"/>
                <w:szCs w:val="16"/>
                <w:color w:val="auto"/>
              </w:rPr>
              <w:t>1,061</w:t>
            </w:r>
          </w:p>
        </w:tc>
        <w:tc>
          <w:tcPr>
            <w:tcW w:w="7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45.0%</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320"/>
              <w:spacing w:after="0"/>
              <w:rPr>
                <w:sz w:val="20"/>
                <w:szCs w:val="20"/>
                <w:color w:val="auto"/>
              </w:rPr>
            </w:pPr>
            <w:r>
              <w:rPr>
                <w:rFonts w:ascii="Arial" w:cs="Arial" w:eastAsia="Arial" w:hAnsi="Arial"/>
                <w:sz w:val="16"/>
                <w:szCs w:val="16"/>
                <w:color w:val="auto"/>
              </w:rPr>
              <w:t>234</w:t>
            </w:r>
          </w:p>
        </w:tc>
        <w:tc>
          <w:tcPr>
            <w:tcW w:w="13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22.1 %</w:t>
            </w:r>
          </w:p>
        </w:tc>
      </w:tr>
      <w:tr>
        <w:trPr>
          <w:trHeight w:val="283"/>
        </w:trPr>
        <w:tc>
          <w:tcPr>
            <w:tcW w:w="32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motorhome backlog</w:t>
            </w:r>
            <w:r>
              <w:rPr>
                <w:rFonts w:ascii="Arial" w:cs="Arial" w:eastAsia="Arial" w:hAnsi="Arial"/>
                <w:sz w:val="21"/>
                <w:szCs w:val="21"/>
                <w:color w:val="auto"/>
                <w:vertAlign w:val="superscript"/>
              </w:rPr>
              <w:t>(1)</w:t>
            </w: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2,279</w:t>
            </w:r>
          </w:p>
        </w:tc>
        <w:tc>
          <w:tcPr>
            <w:tcW w:w="6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600"/>
              <w:spacing w:after="0"/>
              <w:rPr>
                <w:sz w:val="20"/>
                <w:szCs w:val="20"/>
                <w:color w:val="auto"/>
              </w:rPr>
            </w:pPr>
            <w:r>
              <w:rPr>
                <w:rFonts w:ascii="Arial" w:cs="Arial" w:eastAsia="Arial" w:hAnsi="Arial"/>
                <w:sz w:val="16"/>
                <w:szCs w:val="16"/>
                <w:color w:val="auto"/>
              </w:rPr>
              <w:t>2,357</w:t>
            </w:r>
          </w:p>
        </w:tc>
        <w:tc>
          <w:tcPr>
            <w:tcW w:w="7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(78)</w:t>
            </w:r>
          </w:p>
        </w:tc>
        <w:tc>
          <w:tcPr>
            <w:tcW w:w="13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(3.3)%</w:t>
            </w:r>
          </w:p>
        </w:tc>
      </w:tr>
      <w:tr>
        <w:trPr>
          <w:trHeight w:val="251"/>
        </w:trPr>
        <w:tc>
          <w:tcPr>
            <w:tcW w:w="32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62"/>
        </w:trPr>
        <w:tc>
          <w:tcPr>
            <w:tcW w:w="3280" w:type="dxa"/>
            <w:vAlign w:val="bottom"/>
          </w:tcPr>
          <w:p>
            <w:pPr>
              <w:ind w:left="40"/>
              <w:spacing w:after="0"/>
              <w:rPr>
                <w:sz w:val="20"/>
                <w:szCs w:val="20"/>
                <w:color w:val="auto"/>
              </w:rPr>
            </w:pPr>
            <w:r>
              <w:rPr>
                <w:rFonts w:ascii="Arial" w:cs="Arial" w:eastAsia="Arial" w:hAnsi="Arial"/>
                <w:sz w:val="16"/>
                <w:szCs w:val="16"/>
                <w:color w:val="auto"/>
              </w:rPr>
              <w:t>Travel trailer</w:t>
            </w:r>
          </w:p>
        </w:tc>
        <w:tc>
          <w:tcPr>
            <w:tcW w:w="3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155</w:t>
            </w:r>
          </w:p>
        </w:tc>
        <w:tc>
          <w:tcPr>
            <w:tcW w:w="600" w:type="dxa"/>
            <w:vAlign w:val="bottom"/>
          </w:tcPr>
          <w:p>
            <w:pPr>
              <w:spacing w:after="0"/>
              <w:rPr>
                <w:sz w:val="22"/>
                <w:szCs w:val="22"/>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86.6%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80" w:type="dxa"/>
            <w:vAlign w:val="bottom"/>
          </w:tcPr>
          <w:p>
            <w:pPr>
              <w:jc w:val="right"/>
              <w:ind w:right="600"/>
              <w:spacing w:after="0"/>
              <w:rPr>
                <w:sz w:val="20"/>
                <w:szCs w:val="20"/>
                <w:color w:val="auto"/>
              </w:rPr>
            </w:pPr>
            <w:r>
              <w:rPr>
                <w:rFonts w:ascii="Arial" w:cs="Arial" w:eastAsia="Arial" w:hAnsi="Arial"/>
                <w:sz w:val="16"/>
                <w:szCs w:val="16"/>
                <w:color w:val="auto"/>
              </w:rPr>
              <w:t>224</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73.9%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ind w:right="280"/>
              <w:spacing w:after="0"/>
              <w:rPr>
                <w:sz w:val="20"/>
                <w:szCs w:val="20"/>
                <w:color w:val="auto"/>
              </w:rPr>
            </w:pPr>
            <w:r>
              <w:rPr>
                <w:rFonts w:ascii="Arial" w:cs="Arial" w:eastAsia="Arial" w:hAnsi="Arial"/>
                <w:sz w:val="16"/>
                <w:szCs w:val="16"/>
                <w:color w:val="auto"/>
              </w:rPr>
              <w:t>(69)</w:t>
            </w:r>
          </w:p>
        </w:tc>
        <w:tc>
          <w:tcPr>
            <w:tcW w:w="1320" w:type="dxa"/>
            <w:vAlign w:val="bottom"/>
          </w:tcPr>
          <w:p>
            <w:pPr>
              <w:jc w:val="right"/>
              <w:ind w:right="80"/>
              <w:spacing w:after="0"/>
              <w:rPr>
                <w:sz w:val="20"/>
                <w:szCs w:val="20"/>
                <w:color w:val="auto"/>
              </w:rPr>
            </w:pPr>
            <w:r>
              <w:rPr>
                <w:rFonts w:ascii="Arial" w:cs="Arial" w:eastAsia="Arial" w:hAnsi="Arial"/>
                <w:sz w:val="16"/>
                <w:szCs w:val="16"/>
                <w:color w:val="auto"/>
              </w:rPr>
              <w:t>(30.8)%</w:t>
            </w:r>
          </w:p>
        </w:tc>
      </w:tr>
      <w:tr>
        <w:trPr>
          <w:trHeight w:val="271"/>
        </w:trPr>
        <w:tc>
          <w:tcPr>
            <w:tcW w:w="3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Fifth wheel</w:t>
            </w:r>
          </w:p>
        </w:tc>
        <w:tc>
          <w:tcPr>
            <w:tcW w:w="3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6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13.4%</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600"/>
              <w:spacing w:after="0"/>
              <w:rPr>
                <w:sz w:val="20"/>
                <w:szCs w:val="20"/>
                <w:color w:val="auto"/>
              </w:rPr>
            </w:pPr>
            <w:r>
              <w:rPr>
                <w:rFonts w:ascii="Arial" w:cs="Arial" w:eastAsia="Arial" w:hAnsi="Arial"/>
                <w:sz w:val="16"/>
                <w:szCs w:val="16"/>
                <w:color w:val="auto"/>
              </w:rPr>
              <w:t>79</w:t>
            </w:r>
          </w:p>
        </w:tc>
        <w:tc>
          <w:tcPr>
            <w:tcW w:w="7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26.1%</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6"/>
                <w:szCs w:val="16"/>
                <w:color w:val="auto"/>
              </w:rPr>
              <w:t>(55)</w:t>
            </w:r>
          </w:p>
        </w:tc>
        <w:tc>
          <w:tcPr>
            <w:tcW w:w="13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(69.6)%</w:t>
            </w:r>
          </w:p>
        </w:tc>
      </w:tr>
      <w:tr>
        <w:trPr>
          <w:trHeight w:val="283"/>
        </w:trPr>
        <w:tc>
          <w:tcPr>
            <w:tcW w:w="32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towable backlog</w:t>
            </w:r>
            <w:r>
              <w:rPr>
                <w:rFonts w:ascii="Arial" w:cs="Arial" w:eastAsia="Arial" w:hAnsi="Arial"/>
                <w:sz w:val="21"/>
                <w:szCs w:val="21"/>
                <w:color w:val="auto"/>
                <w:vertAlign w:val="superscript"/>
              </w:rPr>
              <w:t>(1)</w:t>
            </w: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w:t>
            </w:r>
          </w:p>
        </w:tc>
        <w:tc>
          <w:tcPr>
            <w:tcW w:w="6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600"/>
              <w:spacing w:after="0"/>
              <w:rPr>
                <w:sz w:val="20"/>
                <w:szCs w:val="20"/>
                <w:color w:val="auto"/>
              </w:rPr>
            </w:pPr>
            <w:r>
              <w:rPr>
                <w:rFonts w:ascii="Arial" w:cs="Arial" w:eastAsia="Arial" w:hAnsi="Arial"/>
                <w:sz w:val="16"/>
                <w:szCs w:val="16"/>
                <w:color w:val="auto"/>
              </w:rPr>
              <w:t>303</w:t>
            </w:r>
          </w:p>
        </w:tc>
        <w:tc>
          <w:tcPr>
            <w:tcW w:w="7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(124)</w:t>
            </w:r>
          </w:p>
        </w:tc>
        <w:tc>
          <w:tcPr>
            <w:tcW w:w="13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(40.9)%</w:t>
            </w:r>
          </w:p>
        </w:tc>
      </w:tr>
      <w:tr>
        <w:trPr>
          <w:trHeight w:val="251"/>
        </w:trPr>
        <w:tc>
          <w:tcPr>
            <w:tcW w:w="32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70"/>
        </w:trPr>
        <w:tc>
          <w:tcPr>
            <w:tcW w:w="32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Approximate backlog revenue in thousands</w:t>
            </w:r>
            <w:r>
              <w:rPr>
                <w:rFonts w:ascii="Arial" w:cs="Arial" w:eastAsia="Arial" w:hAnsi="Arial"/>
                <w:sz w:val="21"/>
                <w:szCs w:val="21"/>
                <w:color w:val="auto"/>
                <w:vertAlign w:val="superscript"/>
              </w:rPr>
              <w:t>(2)</w:t>
            </w:r>
          </w:p>
        </w:tc>
        <w:tc>
          <w:tcPr>
            <w:tcW w:w="3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600" w:type="dxa"/>
            <w:vAlign w:val="bottom"/>
            <w:tcBorders>
              <w:bottom w:val="single" w:sz="8" w:color="CCEEFF"/>
            </w:tcBorders>
          </w:tcPr>
          <w:p>
            <w:pPr>
              <w:spacing w:after="0"/>
              <w:rPr>
                <w:sz w:val="23"/>
                <w:szCs w:val="23"/>
                <w:color w:val="auto"/>
              </w:rPr>
            </w:pPr>
          </w:p>
        </w:tc>
        <w:tc>
          <w:tcPr>
            <w:tcW w:w="76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CCEEFF"/>
            </w:tcBorders>
          </w:tcPr>
          <w:p>
            <w:pPr>
              <w:spacing w:after="0"/>
              <w:rPr>
                <w:sz w:val="23"/>
                <w:szCs w:val="23"/>
                <w:color w:val="auto"/>
              </w:rPr>
            </w:pPr>
          </w:p>
        </w:tc>
        <w:tc>
          <w:tcPr>
            <w:tcW w:w="1480" w:type="dxa"/>
            <w:vAlign w:val="bottom"/>
            <w:tcBorders>
              <w:bottom w:val="single" w:sz="8" w:color="CCEEFF"/>
            </w:tcBorders>
          </w:tcPr>
          <w:p>
            <w:pPr>
              <w:spacing w:after="0"/>
              <w:rPr>
                <w:sz w:val="23"/>
                <w:szCs w:val="23"/>
                <w:color w:val="auto"/>
              </w:rPr>
            </w:pPr>
          </w:p>
        </w:tc>
        <w:tc>
          <w:tcPr>
            <w:tcW w:w="76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1280" w:type="dxa"/>
            <w:vAlign w:val="bottom"/>
            <w:tcBorders>
              <w:bottom w:val="single" w:sz="8" w:color="CCEEFF"/>
            </w:tcBorders>
          </w:tcPr>
          <w:p>
            <w:pPr>
              <w:spacing w:after="0"/>
              <w:rPr>
                <w:sz w:val="23"/>
                <w:szCs w:val="23"/>
                <w:color w:val="auto"/>
              </w:rPr>
            </w:pPr>
          </w:p>
        </w:tc>
        <w:tc>
          <w:tcPr>
            <w:tcW w:w="1320" w:type="dxa"/>
            <w:vAlign w:val="bottom"/>
            <w:tcBorders>
              <w:bottom w:val="single" w:sz="8" w:color="CCEEFF"/>
            </w:tcBorders>
          </w:tcPr>
          <w:p>
            <w:pPr>
              <w:spacing w:after="0"/>
              <w:rPr>
                <w:sz w:val="23"/>
                <w:szCs w:val="23"/>
                <w:color w:val="auto"/>
              </w:rPr>
            </w:pPr>
          </w:p>
        </w:tc>
      </w:tr>
      <w:tr>
        <w:trPr>
          <w:trHeight w:val="250"/>
        </w:trPr>
        <w:tc>
          <w:tcPr>
            <w:tcW w:w="3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Motorhomes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196,915</w:t>
            </w:r>
          </w:p>
        </w:tc>
        <w:tc>
          <w:tcPr>
            <w:tcW w:w="6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600"/>
              <w:spacing w:after="0"/>
              <w:rPr>
                <w:sz w:val="20"/>
                <w:szCs w:val="20"/>
                <w:color w:val="auto"/>
              </w:rPr>
            </w:pPr>
            <w:r>
              <w:rPr>
                <w:rFonts w:ascii="Arial" w:cs="Arial" w:eastAsia="Arial" w:hAnsi="Arial"/>
                <w:sz w:val="16"/>
                <w:szCs w:val="16"/>
                <w:color w:val="auto"/>
              </w:rPr>
              <w:t>219,676</w:t>
            </w: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auto"/>
              </w:rPr>
              <w:t>(22,761)</w:t>
            </w:r>
          </w:p>
        </w:tc>
        <w:tc>
          <w:tcPr>
            <w:tcW w:w="13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(10.4)%</w:t>
            </w:r>
          </w:p>
        </w:tc>
      </w:tr>
      <w:tr>
        <w:trPr>
          <w:trHeight w:val="255"/>
        </w:trPr>
        <w:tc>
          <w:tcPr>
            <w:tcW w:w="3280" w:type="dxa"/>
            <w:vAlign w:val="bottom"/>
          </w:tcPr>
          <w:p>
            <w:pPr>
              <w:ind w:left="40"/>
              <w:spacing w:after="0"/>
              <w:rPr>
                <w:sz w:val="20"/>
                <w:szCs w:val="20"/>
                <w:color w:val="auto"/>
              </w:rPr>
            </w:pPr>
            <w:r>
              <w:rPr>
                <w:rFonts w:ascii="Arial" w:cs="Arial" w:eastAsia="Arial" w:hAnsi="Arial"/>
                <w:sz w:val="16"/>
                <w:szCs w:val="16"/>
                <w:color w:val="auto"/>
              </w:rPr>
              <w:t>Towables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4,512</w:t>
            </w:r>
          </w:p>
        </w:tc>
        <w:tc>
          <w:tcPr>
            <w:tcW w:w="6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600"/>
              <w:spacing w:after="0"/>
              <w:rPr>
                <w:sz w:val="20"/>
                <w:szCs w:val="20"/>
                <w:color w:val="auto"/>
              </w:rPr>
            </w:pPr>
            <w:r>
              <w:rPr>
                <w:rFonts w:ascii="Arial" w:cs="Arial" w:eastAsia="Arial" w:hAnsi="Arial"/>
                <w:sz w:val="16"/>
                <w:szCs w:val="16"/>
                <w:color w:val="auto"/>
              </w:rPr>
              <w:t>6,072</w:t>
            </w: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80"/>
              <w:spacing w:after="0"/>
              <w:rPr>
                <w:sz w:val="20"/>
                <w:szCs w:val="20"/>
                <w:color w:val="auto"/>
              </w:rPr>
            </w:pPr>
            <w:r>
              <w:rPr>
                <w:rFonts w:ascii="Arial" w:cs="Arial" w:eastAsia="Arial" w:hAnsi="Arial"/>
                <w:sz w:val="16"/>
                <w:szCs w:val="16"/>
                <w:color w:val="auto"/>
              </w:rPr>
              <w:t>(1,560)</w:t>
            </w:r>
          </w:p>
        </w:tc>
        <w:tc>
          <w:tcPr>
            <w:tcW w:w="1320" w:type="dxa"/>
            <w:vAlign w:val="bottom"/>
          </w:tcPr>
          <w:p>
            <w:pPr>
              <w:jc w:val="right"/>
              <w:ind w:right="80"/>
              <w:spacing w:after="0"/>
              <w:rPr>
                <w:sz w:val="20"/>
                <w:szCs w:val="20"/>
                <w:color w:val="auto"/>
              </w:rPr>
            </w:pPr>
            <w:r>
              <w:rPr>
                <w:rFonts w:ascii="Arial" w:cs="Arial" w:eastAsia="Arial" w:hAnsi="Arial"/>
                <w:sz w:val="16"/>
                <w:szCs w:val="16"/>
                <w:color w:val="auto"/>
              </w:rPr>
              <w:t>(25.7)%</w:t>
            </w:r>
          </w:p>
        </w:tc>
      </w:tr>
    </w:tbl>
    <w:p>
      <w:pPr>
        <w:ind w:left="240" w:hanging="232"/>
        <w:spacing w:after="0" w:line="211" w:lineRule="auto"/>
        <w:tabs>
          <w:tab w:leader="none" w:pos="24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Percentages may not add due to rounding differences.</w:t>
      </w:r>
    </w:p>
    <w:p>
      <w:pPr>
        <w:ind w:left="240" w:right="80" w:hanging="232"/>
        <w:spacing w:after="0" w:line="220" w:lineRule="auto"/>
        <w:tabs>
          <w:tab w:leader="none" w:pos="24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Our backlog includes all accepted purchase orders from dealers to be shipped within the next six months. Orders in backlog can be cancelled or postponed at the option of the purchaser and, therefore, backlog may not necessarily be an accurate measure of future sales.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Our unit dealer inventory was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40" w:type="dxa"/>
            <w:vAlign w:val="bottom"/>
          </w:tcPr>
          <w:p>
            <w:pPr>
              <w:spacing w:after="0"/>
              <w:rPr>
                <w:sz w:val="14"/>
                <w:szCs w:val="14"/>
                <w:color w:val="auto"/>
              </w:rPr>
            </w:pPr>
          </w:p>
        </w:tc>
        <w:tc>
          <w:tcPr>
            <w:tcW w:w="3780" w:type="dxa"/>
            <w:vAlign w:val="bottom"/>
          </w:tcPr>
          <w:p>
            <w:pPr>
              <w:jc w:val="right"/>
              <w:ind w:right="503"/>
              <w:spacing w:after="0"/>
              <w:rPr>
                <w:sz w:val="20"/>
                <w:szCs w:val="20"/>
                <w:color w:val="auto"/>
              </w:rPr>
            </w:pPr>
            <w:r>
              <w:rPr>
                <w:rFonts w:ascii="Arial" w:cs="Arial" w:eastAsia="Arial" w:hAnsi="Arial"/>
                <w:sz w:val="14"/>
                <w:szCs w:val="14"/>
                <w:b w:val="1"/>
                <w:bCs w:val="1"/>
                <w:color w:val="auto"/>
              </w:rPr>
              <w:t>May 30,</w:t>
            </w:r>
          </w:p>
        </w:tc>
        <w:tc>
          <w:tcPr>
            <w:tcW w:w="1320" w:type="dxa"/>
            <w:vAlign w:val="bottom"/>
            <w:gridSpan w:val="2"/>
          </w:tcPr>
          <w:p>
            <w:pPr>
              <w:ind w:left="240"/>
              <w:spacing w:after="0"/>
              <w:rPr>
                <w:sz w:val="20"/>
                <w:szCs w:val="20"/>
                <w:color w:val="auto"/>
              </w:rPr>
            </w:pPr>
            <w:r>
              <w:rPr>
                <w:rFonts w:ascii="Arial" w:cs="Arial" w:eastAsia="Arial" w:hAnsi="Arial"/>
                <w:sz w:val="14"/>
                <w:szCs w:val="14"/>
                <w:b w:val="1"/>
                <w:bCs w:val="1"/>
                <w:color w:val="auto"/>
              </w:rPr>
              <w:t>May 31,</w:t>
            </w:r>
          </w:p>
        </w:tc>
        <w:tc>
          <w:tcPr>
            <w:tcW w:w="1420" w:type="dxa"/>
            <w:vAlign w:val="bottom"/>
          </w:tcPr>
          <w:p>
            <w:pPr>
              <w:spacing w:after="0"/>
              <w:rPr>
                <w:sz w:val="14"/>
                <w:szCs w:val="14"/>
                <w:color w:val="auto"/>
              </w:rPr>
            </w:pPr>
          </w:p>
        </w:tc>
        <w:tc>
          <w:tcPr>
            <w:tcW w:w="1260" w:type="dxa"/>
            <w:vAlign w:val="bottom"/>
          </w:tcPr>
          <w:p>
            <w:pPr>
              <w:jc w:val="right"/>
              <w:ind w:right="583"/>
              <w:spacing w:after="0"/>
              <w:rPr>
                <w:sz w:val="20"/>
                <w:szCs w:val="20"/>
                <w:color w:val="auto"/>
              </w:rPr>
            </w:pPr>
            <w:r>
              <w:rPr>
                <w:rFonts w:ascii="Arial" w:cs="Arial" w:eastAsia="Arial" w:hAnsi="Arial"/>
                <w:sz w:val="14"/>
                <w:szCs w:val="14"/>
                <w:b w:val="1"/>
                <w:bCs w:val="1"/>
                <w:color w:val="auto"/>
              </w:rPr>
              <w:t>%</w:t>
            </w:r>
          </w:p>
        </w:tc>
      </w:tr>
      <w:tr>
        <w:trPr>
          <w:trHeight w:val="203"/>
        </w:trPr>
        <w:tc>
          <w:tcPr>
            <w:tcW w:w="3640" w:type="dxa"/>
            <w:vAlign w:val="bottom"/>
            <w:tcBorders>
              <w:bottom w:val="single" w:sz="8" w:color="auto"/>
            </w:tcBorders>
          </w:tcPr>
          <w:p>
            <w:pPr>
              <w:spacing w:after="0"/>
              <w:rPr>
                <w:sz w:val="17"/>
                <w:szCs w:val="17"/>
                <w:color w:val="auto"/>
              </w:rPr>
            </w:pPr>
          </w:p>
        </w:tc>
        <w:tc>
          <w:tcPr>
            <w:tcW w:w="378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2015</w:t>
            </w:r>
          </w:p>
        </w:tc>
        <w:tc>
          <w:tcPr>
            <w:tcW w:w="120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Increase</w:t>
            </w:r>
          </w:p>
        </w:tc>
        <w:tc>
          <w:tcPr>
            <w:tcW w:w="126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Change</w:t>
            </w:r>
          </w:p>
        </w:tc>
      </w:tr>
      <w:tr>
        <w:trPr>
          <w:trHeight w:val="251"/>
        </w:trPr>
        <w:tc>
          <w:tcPr>
            <w:tcW w:w="3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Motorhomes</w:t>
            </w:r>
          </w:p>
        </w:tc>
        <w:tc>
          <w:tcPr>
            <w:tcW w:w="3780" w:type="dxa"/>
            <w:vAlign w:val="bottom"/>
            <w:shd w:val="clear" w:color="auto" w:fill="CCEEFF"/>
          </w:tcPr>
          <w:p>
            <w:pPr>
              <w:jc w:val="right"/>
              <w:ind w:right="183"/>
              <w:spacing w:after="0"/>
              <w:rPr>
                <w:sz w:val="20"/>
                <w:szCs w:val="20"/>
                <w:color w:val="auto"/>
              </w:rPr>
            </w:pPr>
            <w:r>
              <w:rPr>
                <w:rFonts w:ascii="Arial" w:cs="Arial" w:eastAsia="Arial" w:hAnsi="Arial"/>
                <w:sz w:val="16"/>
                <w:szCs w:val="16"/>
                <w:color w:val="auto"/>
              </w:rPr>
              <w:t>4,501</w:t>
            </w:r>
          </w:p>
        </w:tc>
        <w:tc>
          <w:tcPr>
            <w:tcW w:w="12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3,798</w:t>
            </w: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rPr>
              <w:t>703</w:t>
            </w:r>
          </w:p>
        </w:tc>
        <w:tc>
          <w:tcPr>
            <w:tcW w:w="126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18.5%</w:t>
            </w:r>
          </w:p>
        </w:tc>
      </w:tr>
      <w:tr>
        <w:trPr>
          <w:trHeight w:val="255"/>
        </w:trPr>
        <w:tc>
          <w:tcPr>
            <w:tcW w:w="3640" w:type="dxa"/>
            <w:vAlign w:val="bottom"/>
          </w:tcPr>
          <w:p>
            <w:pPr>
              <w:ind w:left="40"/>
              <w:spacing w:after="0"/>
              <w:rPr>
                <w:sz w:val="20"/>
                <w:szCs w:val="20"/>
                <w:color w:val="auto"/>
              </w:rPr>
            </w:pPr>
            <w:r>
              <w:rPr>
                <w:rFonts w:ascii="Arial" w:cs="Arial" w:eastAsia="Arial" w:hAnsi="Arial"/>
                <w:sz w:val="16"/>
                <w:szCs w:val="16"/>
                <w:color w:val="auto"/>
              </w:rPr>
              <w:t>Towables</w:t>
            </w:r>
          </w:p>
        </w:tc>
        <w:tc>
          <w:tcPr>
            <w:tcW w:w="3780" w:type="dxa"/>
            <w:vAlign w:val="bottom"/>
          </w:tcPr>
          <w:p>
            <w:pPr>
              <w:jc w:val="right"/>
              <w:ind w:right="183"/>
              <w:spacing w:after="0"/>
              <w:rPr>
                <w:sz w:val="20"/>
                <w:szCs w:val="20"/>
                <w:color w:val="auto"/>
              </w:rPr>
            </w:pPr>
            <w:r>
              <w:rPr>
                <w:rFonts w:ascii="Arial" w:cs="Arial" w:eastAsia="Arial" w:hAnsi="Arial"/>
                <w:sz w:val="16"/>
                <w:szCs w:val="16"/>
                <w:color w:val="auto"/>
              </w:rPr>
              <w:t>1,823</w:t>
            </w:r>
          </w:p>
        </w:tc>
        <w:tc>
          <w:tcPr>
            <w:tcW w:w="1200" w:type="dxa"/>
            <w:vAlign w:val="bottom"/>
          </w:tcPr>
          <w:p>
            <w:pPr>
              <w:jc w:val="right"/>
              <w:ind w:right="23"/>
              <w:spacing w:after="0"/>
              <w:rPr>
                <w:sz w:val="20"/>
                <w:szCs w:val="20"/>
                <w:color w:val="auto"/>
              </w:rPr>
            </w:pPr>
            <w:r>
              <w:rPr>
                <w:rFonts w:ascii="Arial" w:cs="Arial" w:eastAsia="Arial" w:hAnsi="Arial"/>
                <w:sz w:val="16"/>
                <w:szCs w:val="16"/>
                <w:color w:val="auto"/>
              </w:rPr>
              <w:t>1,775</w:t>
            </w:r>
          </w:p>
        </w:tc>
        <w:tc>
          <w:tcPr>
            <w:tcW w:w="120" w:type="dxa"/>
            <w:vAlign w:val="bottom"/>
          </w:tcPr>
          <w:p>
            <w:pPr>
              <w:spacing w:after="0"/>
              <w:rPr>
                <w:sz w:val="22"/>
                <w:szCs w:val="22"/>
                <w:color w:val="auto"/>
              </w:rPr>
            </w:pPr>
          </w:p>
        </w:tc>
        <w:tc>
          <w:tcPr>
            <w:tcW w:w="1420" w:type="dxa"/>
            <w:vAlign w:val="bottom"/>
          </w:tcPr>
          <w:p>
            <w:pPr>
              <w:jc w:val="right"/>
              <w:ind w:right="222"/>
              <w:spacing w:after="0"/>
              <w:rPr>
                <w:sz w:val="20"/>
                <w:szCs w:val="20"/>
                <w:color w:val="auto"/>
              </w:rPr>
            </w:pPr>
            <w:r>
              <w:rPr>
                <w:rFonts w:ascii="Arial" w:cs="Arial" w:eastAsia="Arial" w:hAnsi="Arial"/>
                <w:sz w:val="16"/>
                <w:szCs w:val="16"/>
                <w:color w:val="auto"/>
              </w:rPr>
              <w:t>48</w:t>
            </w:r>
          </w:p>
        </w:tc>
        <w:tc>
          <w:tcPr>
            <w:tcW w:w="1260" w:type="dxa"/>
            <w:vAlign w:val="bottom"/>
          </w:tcPr>
          <w:p>
            <w:pPr>
              <w:jc w:val="right"/>
              <w:ind w:right="83"/>
              <w:spacing w:after="0"/>
              <w:rPr>
                <w:sz w:val="20"/>
                <w:szCs w:val="20"/>
                <w:color w:val="auto"/>
              </w:rPr>
            </w:pPr>
            <w:r>
              <w:rPr>
                <w:rFonts w:ascii="Arial" w:cs="Arial" w:eastAsia="Arial" w:hAnsi="Arial"/>
                <w:sz w:val="16"/>
                <w:szCs w:val="16"/>
                <w:color w:val="auto"/>
              </w:rPr>
              <w:t>2.7%</w:t>
            </w:r>
          </w:p>
        </w:tc>
      </w:tr>
    </w:tbl>
    <w:p>
      <w:pPr>
        <w:spacing w:after="0" w:line="186"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We believe that the increased level of our motorized dealer inventory at the end of the third quarter of Fiscal 2015 is aligned with current market conditions given the improved retail demand and the strong sales order backlog of our product. Notably, dealer inventory of our Class B and C motorhomes has increased significantly in the past year (up 625 units) due to strong retail demand of our products. We have also restructured our dealer distribution points for these new product offerings in the past year as our dealer physical locations have increased, which is another factor contributing to our dealer inventory growth.</w:t>
      </w:r>
    </w:p>
    <w:p>
      <w:pPr>
        <w:spacing w:after="0" w:line="145"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Our motorized production facilities are located in sparsely populated areas of Iowa. In addition, the unemployment rate in these areas is currently low. These factors limit our ability to increase motorized production volumes at a more rapid pace. To the extent that we have been able to increase the production rate, we have also incurred incremental operating expenses associated with overtime and workers compensation expense. To overcome these labor shortages we have recently began expansion within the state of Iowa. In Fiscal 2014 we leased an additional manufacturing facility which is now in production. In the third quarter of Fiscal 2015 we purchased a separate facility which will be ready for production later this calendar year. These expansions are intended to facilitate the increased production rate and to reach additional labor markets.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At the December 2014 Board of Directors meeting, two strategic initiatives were approved and, as a result, commenced in the second quarter of Fiscal 2015.</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Both of these projects represent significant investments that we believe will contribute to our future success.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left="340" w:right="80" w:hanging="332"/>
        <w:spacing w:after="0" w:line="254"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first strategic initiative relates to the execution of an ERP system implementation which will replace our in-house developed financial and operation legacy systems and provide better support for our changing business needs and plans for future growth. We believe that this project will deliver long-term cost savings through supply chain management optimization and operational improvements once completed, in addition to a reduction in system maintenance, internal development and support costs. Our current estimate for completion of this project is $12 - $16 million over a three-year time frame which includes software, external implementation assistance and increased internal staffing directly related to this initiative. We anticipate that approximately 40% of the cost will be immediately expensed over the life of the project and 60% will be capitalized. As components of the ERP are placed in service, we will depreciate over a 10 year life. The following table illustrates the project costs in Fiscal 2015:</w:t>
      </w:r>
    </w:p>
    <w:p>
      <w:pPr>
        <w:spacing w:after="0" w:line="148" w:lineRule="exact"/>
        <w:rPr>
          <w:sz w:val="20"/>
          <w:szCs w:val="20"/>
          <w:color w:val="auto"/>
        </w:rPr>
      </w:pPr>
    </w:p>
    <w:tbl>
      <w:tblPr>
        <w:tblLayout w:type="fixed"/>
        <w:tblInd w:w="360" w:type="dxa"/>
        <w:tblCellMar>
          <w:top w:w="0" w:type="dxa"/>
          <w:left w:w="0" w:type="dxa"/>
          <w:bottom w:w="0" w:type="dxa"/>
          <w:right w:w="0" w:type="dxa"/>
        </w:tblCellMar>
      </w:tblPr>
      <w:tr>
        <w:trPr>
          <w:trHeight w:val="232"/>
        </w:trPr>
        <w:tc>
          <w:tcPr>
            <w:tcW w:w="6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Fiscal 2015</w:t>
            </w:r>
          </w:p>
        </w:tc>
        <w:tc>
          <w:tcPr>
            <w:tcW w:w="6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250"/>
        </w:trPr>
        <w:tc>
          <w:tcPr>
            <w:tcW w:w="62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Second Qtr</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Third Qtr</w:t>
            </w:r>
          </w:p>
        </w:tc>
        <w:tc>
          <w:tcPr>
            <w:tcW w:w="6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YTD</w:t>
            </w:r>
          </w:p>
        </w:tc>
      </w:tr>
      <w:tr>
        <w:trPr>
          <w:trHeight w:val="267"/>
        </w:trPr>
        <w:tc>
          <w:tcPr>
            <w:tcW w:w="6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Capitalized</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w:t>
            </w:r>
          </w:p>
        </w:tc>
        <w:tc>
          <w:tcPr>
            <w:tcW w:w="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884</w:t>
            </w:r>
          </w:p>
        </w:tc>
        <w:tc>
          <w:tcPr>
            <w:tcW w:w="660" w:type="dxa"/>
            <w:vAlign w:val="bottom"/>
            <w:shd w:val="clear" w:color="auto" w:fill="CCEEFF"/>
          </w:tcPr>
          <w:p>
            <w:pPr>
              <w:jc w:val="right"/>
              <w:ind w:right="128"/>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1,421</w:t>
            </w:r>
          </w:p>
        </w:tc>
      </w:tr>
      <w:tr>
        <w:trPr>
          <w:trHeight w:val="264"/>
        </w:trPr>
        <w:tc>
          <w:tcPr>
            <w:tcW w:w="64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Expensed</w:t>
            </w: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652</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611</w:t>
            </w:r>
          </w:p>
        </w:tc>
        <w:tc>
          <w:tcPr>
            <w:tcW w:w="660" w:type="dxa"/>
            <w:vAlign w:val="bottom"/>
            <w:tcBorders>
              <w:bottom w:val="single" w:sz="8" w:color="auto"/>
            </w:tcBorders>
          </w:tcPr>
          <w:p>
            <w:pPr>
              <w:jc w:val="right"/>
              <w:ind w:right="428"/>
              <w:spacing w:after="0"/>
              <w:rPr>
                <w:sz w:val="20"/>
                <w:szCs w:val="20"/>
                <w:color w:val="auto"/>
              </w:rPr>
            </w:pPr>
            <w:r>
              <w:rPr>
                <w:rFonts w:ascii="Arial" w:cs="Arial" w:eastAsia="Arial" w:hAnsi="Arial"/>
                <w:sz w:val="11"/>
                <w:szCs w:val="11"/>
                <w:color w:val="auto"/>
              </w:rPr>
              <w:t>(1)</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1,263</w:t>
            </w:r>
          </w:p>
        </w:tc>
      </w:tr>
      <w:tr>
        <w:trPr>
          <w:trHeight w:val="270"/>
        </w:trPr>
        <w:tc>
          <w:tcPr>
            <w:tcW w:w="6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1,189</w:t>
            </w:r>
          </w:p>
        </w:tc>
        <w:tc>
          <w:tcPr>
            <w:tcW w:w="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1,495</w:t>
            </w:r>
          </w:p>
        </w:tc>
        <w:tc>
          <w:tcPr>
            <w:tcW w:w="660" w:type="dxa"/>
            <w:vAlign w:val="bottom"/>
            <w:shd w:val="clear" w:color="auto" w:fill="CCEEFF"/>
          </w:tcPr>
          <w:p>
            <w:pPr>
              <w:jc w:val="right"/>
              <w:ind w:right="128"/>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2,684</w:t>
            </w:r>
          </w:p>
        </w:tc>
      </w:tr>
    </w:tbl>
    <w:p>
      <w:pPr>
        <w:spacing w:after="0" w:line="96" w:lineRule="exact"/>
        <w:rPr>
          <w:sz w:val="20"/>
          <w:szCs w:val="20"/>
          <w:color w:val="auto"/>
        </w:rPr>
      </w:pPr>
    </w:p>
    <w:p>
      <w:pPr>
        <w:ind w:left="480" w:hanging="148"/>
        <w:spacing w:after="0"/>
        <w:tabs>
          <w:tab w:leader="none" w:pos="48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Of the $611,000 expensed in Q3 2015, $429,000 was related to external implementation assistance.</w:t>
      </w:r>
    </w:p>
    <w:p>
      <w:pPr>
        <w:spacing w:after="0" w:line="152" w:lineRule="exact"/>
        <w:rPr>
          <w:sz w:val="20"/>
          <w:szCs w:val="20"/>
          <w:color w:val="auto"/>
        </w:rPr>
      </w:pPr>
    </w:p>
    <w:p>
      <w:pPr>
        <w:ind w:left="340" w:right="80"/>
        <w:spacing w:after="0" w:line="291" w:lineRule="auto"/>
        <w:rPr>
          <w:sz w:val="20"/>
          <w:szCs w:val="20"/>
          <w:color w:val="auto"/>
        </w:rPr>
      </w:pPr>
      <w:r>
        <w:rPr>
          <w:rFonts w:ascii="Arial" w:cs="Arial" w:eastAsia="Arial" w:hAnsi="Arial"/>
          <w:sz w:val="16"/>
          <w:szCs w:val="16"/>
          <w:color w:val="auto"/>
        </w:rPr>
        <w:t>We estimate that project costs will be approximately $4.0 million in the fourth quarter of Fiscal 2015 and an additional $6-9 million will be incurred in Fiscal years 2016 and 2017.</w:t>
      </w:r>
    </w:p>
    <w:p>
      <w:pPr>
        <w:spacing w:after="0" w:line="121" w:lineRule="exact"/>
        <w:rPr>
          <w:sz w:val="20"/>
          <w:szCs w:val="20"/>
          <w:color w:val="auto"/>
        </w:rPr>
      </w:pPr>
    </w:p>
    <w:p>
      <w:pPr>
        <w:ind w:left="340" w:right="100" w:hanging="332"/>
        <w:spacing w:after="0" w:line="254"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second initiative is a strategic sourcing project with the objective of obtaining long-term material cost savings through standardizing our purchasing processes, optimizing our supplier relationships and improving our current sourcing methodologies. We have engaged external support with deep domain expertise to help us conduct this project and, as a result, we expect to incur up to $2.8 million in general and administrative expenses for this assistance, of which $375,000 and $1.3 million was incurred in the third quarter and first nine months of Fiscal 2015, respectively. We expect to incur approximately $400,000 of incremental general and administrative expense for the remainder of Fiscal 2015 and $1.1 million in Fiscal 2016; the project is planned to be completed in June 2016 based on current internal staffing support. When fully implemented, we anticipate this investment will provide gross margin increase of 30 to 50 basis points.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Current Quarter Compared to the Comparable Quarter Last Year</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changes in key items included in the statements of operations: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3"/>
          </w:tcPr>
          <w:p>
            <w:pPr>
              <w:ind w:left="30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r>
      <w:tr>
        <w:trPr>
          <w:trHeight w:val="196"/>
        </w:trPr>
        <w:tc>
          <w:tcPr>
            <w:tcW w:w="2980" w:type="dxa"/>
            <w:vAlign w:val="bottom"/>
            <w:gridSpan w:val="2"/>
          </w:tcPr>
          <w:p>
            <w:pPr>
              <w:ind w:left="40"/>
              <w:spacing w:after="0"/>
              <w:rPr>
                <w:sz w:val="20"/>
                <w:szCs w:val="20"/>
                <w:color w:val="auto"/>
              </w:rPr>
            </w:pPr>
            <w:r>
              <w:rPr>
                <w:rFonts w:ascii="Arial" w:cs="Arial" w:eastAsia="Arial" w:hAnsi="Arial"/>
                <w:sz w:val="16"/>
                <w:szCs w:val="16"/>
                <w:b w:val="1"/>
                <w:bCs w:val="1"/>
                <w:color w:val="auto"/>
              </w:rPr>
              <w:t>(In thousands, except percent</w:t>
            </w:r>
          </w:p>
        </w:tc>
        <w:tc>
          <w:tcPr>
            <w:tcW w:w="240" w:type="dxa"/>
            <w:vAlign w:val="bottom"/>
          </w:tcPr>
          <w:p>
            <w:pPr>
              <w:spacing w:after="0"/>
              <w:rPr>
                <w:sz w:val="17"/>
                <w:szCs w:val="17"/>
                <w:color w:val="auto"/>
              </w:rPr>
            </w:pPr>
          </w:p>
        </w:tc>
        <w:tc>
          <w:tcPr>
            <w:tcW w:w="1200" w:type="dxa"/>
            <w:vAlign w:val="bottom"/>
          </w:tcPr>
          <w:p>
            <w:pPr>
              <w:jc w:val="right"/>
              <w:ind w:right="399"/>
              <w:spacing w:after="0"/>
              <w:rPr>
                <w:sz w:val="20"/>
                <w:szCs w:val="20"/>
                <w:color w:val="auto"/>
              </w:rPr>
            </w:pPr>
            <w:r>
              <w:rPr>
                <w:rFonts w:ascii="Arial" w:cs="Arial" w:eastAsia="Arial" w:hAnsi="Arial"/>
                <w:sz w:val="16"/>
                <w:szCs w:val="16"/>
                <w:b w:val="1"/>
                <w:bCs w:val="1"/>
                <w:color w:val="auto"/>
              </w:rPr>
              <w:t>May 30,</w:t>
            </w:r>
          </w:p>
        </w:tc>
        <w:tc>
          <w:tcPr>
            <w:tcW w:w="1440" w:type="dxa"/>
            <w:vAlign w:val="bottom"/>
            <w:gridSpan w:val="2"/>
          </w:tcPr>
          <w:p>
            <w:pPr>
              <w:ind w:left="460"/>
              <w:spacing w:after="0"/>
              <w:rPr>
                <w:sz w:val="20"/>
                <w:szCs w:val="20"/>
                <w:color w:val="auto"/>
              </w:rPr>
            </w:pPr>
            <w:r>
              <w:rPr>
                <w:rFonts w:ascii="Arial" w:cs="Arial" w:eastAsia="Arial" w:hAnsi="Arial"/>
                <w:sz w:val="16"/>
                <w:szCs w:val="16"/>
                <w:b w:val="1"/>
                <w:bCs w:val="1"/>
                <w:color w:val="auto"/>
              </w:rPr>
              <w:t>% of</w:t>
            </w:r>
          </w:p>
        </w:tc>
        <w:tc>
          <w:tcPr>
            <w:tcW w:w="260" w:type="dxa"/>
            <w:vAlign w:val="bottom"/>
          </w:tcPr>
          <w:p>
            <w:pPr>
              <w:spacing w:after="0"/>
              <w:rPr>
                <w:sz w:val="17"/>
                <w:szCs w:val="17"/>
                <w:color w:val="auto"/>
              </w:rPr>
            </w:pPr>
          </w:p>
        </w:tc>
        <w:tc>
          <w:tcPr>
            <w:tcW w:w="1200" w:type="dxa"/>
            <w:vAlign w:val="bottom"/>
          </w:tcPr>
          <w:p>
            <w:pPr>
              <w:jc w:val="right"/>
              <w:ind w:right="419"/>
              <w:spacing w:after="0"/>
              <w:rPr>
                <w:sz w:val="20"/>
                <w:szCs w:val="20"/>
                <w:color w:val="auto"/>
              </w:rPr>
            </w:pPr>
            <w:r>
              <w:rPr>
                <w:rFonts w:ascii="Arial" w:cs="Arial" w:eastAsia="Arial" w:hAnsi="Arial"/>
                <w:sz w:val="16"/>
                <w:szCs w:val="16"/>
                <w:b w:val="1"/>
                <w:bCs w:val="1"/>
                <w:color w:val="auto"/>
              </w:rPr>
              <w:t>May 31,</w:t>
            </w:r>
          </w:p>
        </w:tc>
        <w:tc>
          <w:tcPr>
            <w:tcW w:w="1460" w:type="dxa"/>
            <w:vAlign w:val="bottom"/>
            <w:gridSpan w:val="2"/>
          </w:tcPr>
          <w:p>
            <w:pPr>
              <w:ind w:left="460"/>
              <w:spacing w:after="0"/>
              <w:rPr>
                <w:sz w:val="20"/>
                <w:szCs w:val="20"/>
                <w:color w:val="auto"/>
              </w:rPr>
            </w:pPr>
            <w:r>
              <w:rPr>
                <w:rFonts w:ascii="Arial" w:cs="Arial" w:eastAsia="Arial" w:hAnsi="Arial"/>
                <w:sz w:val="16"/>
                <w:szCs w:val="16"/>
                <w:b w:val="1"/>
                <w:bCs w:val="1"/>
                <w:color w:val="auto"/>
              </w:rPr>
              <w:t>% of</w:t>
            </w:r>
          </w:p>
        </w:tc>
        <w:tc>
          <w:tcPr>
            <w:tcW w:w="180" w:type="dxa"/>
            <w:vAlign w:val="bottom"/>
          </w:tcPr>
          <w:p>
            <w:pPr>
              <w:spacing w:after="0"/>
              <w:rPr>
                <w:sz w:val="17"/>
                <w:szCs w:val="17"/>
                <w:color w:val="auto"/>
              </w:rPr>
            </w:pPr>
          </w:p>
        </w:tc>
        <w:tc>
          <w:tcPr>
            <w:tcW w:w="1240" w:type="dxa"/>
            <w:vAlign w:val="bottom"/>
          </w:tcPr>
          <w:p>
            <w:pPr>
              <w:jc w:val="right"/>
              <w:ind w:right="359"/>
              <w:spacing w:after="0"/>
              <w:rPr>
                <w:sz w:val="20"/>
                <w:szCs w:val="20"/>
                <w:color w:val="auto"/>
              </w:rPr>
            </w:pPr>
            <w:r>
              <w:rPr>
                <w:rFonts w:ascii="Arial" w:cs="Arial" w:eastAsia="Arial" w:hAnsi="Arial"/>
                <w:sz w:val="16"/>
                <w:szCs w:val="16"/>
                <w:b w:val="1"/>
                <w:bCs w:val="1"/>
                <w:color w:val="auto"/>
              </w:rPr>
              <w:t>Increase</w:t>
            </w:r>
          </w:p>
        </w:tc>
        <w:tc>
          <w:tcPr>
            <w:tcW w:w="1220" w:type="dxa"/>
            <w:vAlign w:val="bottom"/>
          </w:tcPr>
          <w:p>
            <w:pPr>
              <w:jc w:val="right"/>
              <w:ind w:right="499"/>
              <w:spacing w:after="0"/>
              <w:rPr>
                <w:sz w:val="20"/>
                <w:szCs w:val="20"/>
                <w:color w:val="auto"/>
              </w:rPr>
            </w:pPr>
            <w:r>
              <w:rPr>
                <w:rFonts w:ascii="Arial" w:cs="Arial" w:eastAsia="Arial" w:hAnsi="Arial"/>
                <w:sz w:val="16"/>
                <w:szCs w:val="16"/>
                <w:b w:val="1"/>
                <w:bCs w:val="1"/>
                <w:color w:val="auto"/>
              </w:rPr>
              <w:t>%</w:t>
            </w:r>
          </w:p>
        </w:tc>
      </w:tr>
      <w:tr>
        <w:trPr>
          <w:trHeight w:val="236"/>
        </w:trPr>
        <w:tc>
          <w:tcPr>
            <w:tcW w:w="28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and per share data)</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2015</w:t>
            </w:r>
          </w:p>
        </w:tc>
        <w:tc>
          <w:tcPr>
            <w:tcW w:w="1340" w:type="dxa"/>
            <w:vAlign w:val="bottom"/>
            <w:tcBorders>
              <w:bottom w:val="single" w:sz="8" w:color="auto"/>
            </w:tcBorders>
          </w:tcPr>
          <w:p>
            <w:pPr>
              <w:jc w:val="right"/>
              <w:ind w:right="179"/>
              <w:spacing w:after="0" w:line="236" w:lineRule="exact"/>
              <w:rPr>
                <w:sz w:val="20"/>
                <w:szCs w:val="20"/>
                <w:color w:val="auto"/>
              </w:rPr>
            </w:pPr>
            <w:r>
              <w:rPr>
                <w:rFonts w:ascii="Arial" w:cs="Arial" w:eastAsia="Arial" w:hAnsi="Arial"/>
                <w:sz w:val="16"/>
                <w:szCs w:val="16"/>
                <w:b w:val="1"/>
                <w:bCs w:val="1"/>
                <w:color w:val="auto"/>
              </w:rPr>
              <w:t>Revenues</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2014</w:t>
            </w:r>
          </w:p>
        </w:tc>
        <w:tc>
          <w:tcPr>
            <w:tcW w:w="1340" w:type="dxa"/>
            <w:vAlign w:val="bottom"/>
            <w:tcBorders>
              <w:bottom w:val="single" w:sz="8" w:color="auto"/>
            </w:tcBorders>
          </w:tcPr>
          <w:p>
            <w:pPr>
              <w:jc w:val="right"/>
              <w:ind w:right="179"/>
              <w:spacing w:after="0" w:line="236" w:lineRule="exact"/>
              <w:rPr>
                <w:sz w:val="20"/>
                <w:szCs w:val="20"/>
                <w:color w:val="auto"/>
              </w:rPr>
            </w:pPr>
            <w:r>
              <w:rPr>
                <w:rFonts w:ascii="Arial" w:cs="Arial" w:eastAsia="Arial" w:hAnsi="Arial"/>
                <w:sz w:val="16"/>
                <w:szCs w:val="16"/>
                <w:b w:val="1"/>
                <w:bCs w:val="1"/>
                <w:color w:val="auto"/>
              </w:rPr>
              <w:t>Revenues</w:t>
            </w:r>
            <w:r>
              <w:rPr>
                <w:rFonts w:ascii="Arial" w:cs="Arial" w:eastAsia="Arial" w:hAnsi="Arial"/>
                <w:sz w:val="21"/>
                <w:szCs w:val="21"/>
                <w:b w:val="1"/>
                <w:bCs w:val="1"/>
                <w:color w:val="auto"/>
                <w:vertAlign w:val="superscript"/>
              </w:rPr>
              <w:t>(1)</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(Decrease)</w:t>
            </w:r>
          </w:p>
        </w:tc>
        <w:tc>
          <w:tcPr>
            <w:tcW w:w="12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250"/>
        </w:trPr>
        <w:tc>
          <w:tcPr>
            <w:tcW w:w="2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266,510</w:t>
            </w: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247,747</w:t>
            </w: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100.0%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18,763</w:t>
            </w:r>
          </w:p>
        </w:tc>
        <w:tc>
          <w:tcPr>
            <w:tcW w:w="12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7.6 %</w:t>
            </w:r>
          </w:p>
        </w:tc>
      </w:tr>
      <w:tr>
        <w:trPr>
          <w:trHeight w:val="264"/>
        </w:trPr>
        <w:tc>
          <w:tcPr>
            <w:tcW w:w="29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Cost of goods sold</w:t>
            </w:r>
          </w:p>
        </w:tc>
        <w:tc>
          <w:tcPr>
            <w:tcW w:w="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238,327</w:t>
            </w: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89.4%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221,266</w:t>
            </w: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89.3%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17,061</w:t>
            </w:r>
          </w:p>
        </w:tc>
        <w:tc>
          <w:tcPr>
            <w:tcW w:w="12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7.7 %</w:t>
            </w:r>
          </w:p>
        </w:tc>
      </w:tr>
      <w:tr>
        <w:trPr>
          <w:trHeight w:val="250"/>
        </w:trPr>
        <w:tc>
          <w:tcPr>
            <w:tcW w:w="2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28,183</w:t>
            </w:r>
          </w:p>
        </w:tc>
        <w:tc>
          <w:tcPr>
            <w:tcW w:w="13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26,481</w:t>
            </w:r>
          </w:p>
        </w:tc>
        <w:tc>
          <w:tcPr>
            <w:tcW w:w="13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10.7%</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1,702</w:t>
            </w:r>
          </w:p>
        </w:tc>
        <w:tc>
          <w:tcPr>
            <w:tcW w:w="12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6.4 %</w:t>
            </w:r>
          </w:p>
        </w:tc>
      </w:tr>
      <w:tr>
        <w:trPr>
          <w:trHeight w:val="284"/>
        </w:trPr>
        <w:tc>
          <w:tcPr>
            <w:tcW w:w="2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2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Selling</w:t>
            </w: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5,150</w:t>
            </w: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4,887</w:t>
            </w: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263</w:t>
            </w:r>
          </w:p>
        </w:tc>
        <w:tc>
          <w:tcPr>
            <w:tcW w:w="12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5.4 %</w:t>
            </w:r>
          </w:p>
        </w:tc>
      </w:tr>
      <w:tr>
        <w:trPr>
          <w:trHeight w:val="262"/>
        </w:trPr>
        <w:tc>
          <w:tcPr>
            <w:tcW w:w="2980" w:type="dxa"/>
            <w:vAlign w:val="bottom"/>
            <w:gridSpan w:val="2"/>
          </w:tcPr>
          <w:p>
            <w:pPr>
              <w:ind w:left="40"/>
              <w:spacing w:after="0"/>
              <w:rPr>
                <w:sz w:val="20"/>
                <w:szCs w:val="20"/>
                <w:color w:val="auto"/>
              </w:rPr>
            </w:pPr>
            <w:r>
              <w:rPr>
                <w:rFonts w:ascii="Arial" w:cs="Arial" w:eastAsia="Arial" w:hAnsi="Arial"/>
                <w:sz w:val="16"/>
                <w:szCs w:val="16"/>
                <w:color w:val="auto"/>
              </w:rPr>
              <w:t>General and administrative</w:t>
            </w:r>
          </w:p>
        </w:tc>
        <w:tc>
          <w:tcPr>
            <w:tcW w:w="240" w:type="dxa"/>
            <w:vAlign w:val="bottom"/>
          </w:tcPr>
          <w:p>
            <w:pPr>
              <w:spacing w:after="0"/>
              <w:rPr>
                <w:sz w:val="22"/>
                <w:szCs w:val="22"/>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6,453</w:t>
            </w: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6,005</w:t>
            </w: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448</w:t>
            </w: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7.5 %</w:t>
            </w:r>
          </w:p>
        </w:tc>
      </w:tr>
      <w:tr>
        <w:trPr>
          <w:trHeight w:val="271"/>
        </w:trPr>
        <w:tc>
          <w:tcPr>
            <w:tcW w:w="2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Impairment of fixed asset</w:t>
            </w: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462</w:t>
            </w: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462</w:t>
            </w:r>
          </w:p>
        </w:tc>
        <w:tc>
          <w:tcPr>
            <w:tcW w:w="12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NMF</w:t>
            </w:r>
          </w:p>
        </w:tc>
      </w:tr>
      <w:tr>
        <w:trPr>
          <w:trHeight w:val="250"/>
        </w:trPr>
        <w:tc>
          <w:tcPr>
            <w:tcW w:w="29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Operating expenses</w:t>
            </w:r>
          </w:p>
        </w:tc>
        <w:tc>
          <w:tcPr>
            <w:tcW w:w="24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12,065</w:t>
            </w:r>
          </w:p>
        </w:tc>
        <w:tc>
          <w:tcPr>
            <w:tcW w:w="134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10,892</w:t>
            </w:r>
          </w:p>
        </w:tc>
        <w:tc>
          <w:tcPr>
            <w:tcW w:w="134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rPr>
              <w:t>1,173</w:t>
            </w:r>
          </w:p>
        </w:tc>
        <w:tc>
          <w:tcPr>
            <w:tcW w:w="122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10.8 %</w:t>
            </w:r>
          </w:p>
        </w:tc>
      </w:tr>
      <w:tr>
        <w:trPr>
          <w:trHeight w:val="284"/>
        </w:trPr>
        <w:tc>
          <w:tcPr>
            <w:tcW w:w="2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62"/>
        </w:trPr>
        <w:tc>
          <w:tcPr>
            <w:tcW w:w="2980" w:type="dxa"/>
            <w:vAlign w:val="bottom"/>
            <w:gridSpan w:val="2"/>
          </w:tcPr>
          <w:p>
            <w:pPr>
              <w:ind w:left="40"/>
              <w:spacing w:after="0"/>
              <w:rPr>
                <w:sz w:val="20"/>
                <w:szCs w:val="20"/>
                <w:color w:val="auto"/>
              </w:rPr>
            </w:pPr>
            <w:r>
              <w:rPr>
                <w:rFonts w:ascii="Arial" w:cs="Arial" w:eastAsia="Arial" w:hAnsi="Arial"/>
                <w:sz w:val="16"/>
                <w:szCs w:val="16"/>
                <w:color w:val="auto"/>
              </w:rPr>
              <w:t>Operating income</w:t>
            </w:r>
          </w:p>
        </w:tc>
        <w:tc>
          <w:tcPr>
            <w:tcW w:w="240" w:type="dxa"/>
            <w:vAlign w:val="bottom"/>
          </w:tcPr>
          <w:p>
            <w:pPr>
              <w:spacing w:after="0"/>
              <w:rPr>
                <w:sz w:val="22"/>
                <w:szCs w:val="22"/>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16,118</w:t>
            </w: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15,589</w:t>
            </w: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529</w:t>
            </w: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3.4 %</w:t>
            </w:r>
          </w:p>
        </w:tc>
      </w:tr>
      <w:tr>
        <w:trPr>
          <w:trHeight w:val="271"/>
        </w:trPr>
        <w:tc>
          <w:tcPr>
            <w:tcW w:w="2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Non-operating income</w:t>
            </w: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735</w:t>
            </w: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(735)</w:t>
            </w: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(100.0)%</w:t>
            </w:r>
          </w:p>
        </w:tc>
      </w:tr>
      <w:tr>
        <w:trPr>
          <w:trHeight w:val="249"/>
        </w:trPr>
        <w:tc>
          <w:tcPr>
            <w:tcW w:w="2980" w:type="dxa"/>
            <w:vAlign w:val="bottom"/>
            <w:gridSpan w:val="2"/>
          </w:tcPr>
          <w:p>
            <w:pPr>
              <w:ind w:left="40"/>
              <w:spacing w:after="0"/>
              <w:rPr>
                <w:sz w:val="20"/>
                <w:szCs w:val="20"/>
                <w:color w:val="auto"/>
              </w:rPr>
            </w:pPr>
            <w:r>
              <w:rPr>
                <w:rFonts w:ascii="Arial" w:cs="Arial" w:eastAsia="Arial" w:hAnsi="Arial"/>
                <w:sz w:val="16"/>
                <w:szCs w:val="16"/>
                <w:color w:val="auto"/>
              </w:rPr>
              <w:t>Income before income taxes</w:t>
            </w:r>
          </w:p>
        </w:tc>
        <w:tc>
          <w:tcPr>
            <w:tcW w:w="24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16,118</w:t>
            </w:r>
          </w:p>
        </w:tc>
        <w:tc>
          <w:tcPr>
            <w:tcW w:w="13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16,324</w:t>
            </w:r>
          </w:p>
        </w:tc>
        <w:tc>
          <w:tcPr>
            <w:tcW w:w="13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(206)</w:t>
            </w:r>
          </w:p>
        </w:tc>
        <w:tc>
          <w:tcPr>
            <w:tcW w:w="12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(1.3)%</w:t>
            </w:r>
          </w:p>
        </w:tc>
      </w:tr>
      <w:tr>
        <w:trPr>
          <w:trHeight w:val="271"/>
        </w:trPr>
        <w:tc>
          <w:tcPr>
            <w:tcW w:w="2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Provision for taxes</w:t>
            </w:r>
          </w:p>
        </w:tc>
        <w:tc>
          <w:tcPr>
            <w:tcW w:w="2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4,616</w:t>
            </w:r>
          </w:p>
        </w:tc>
        <w:tc>
          <w:tcPr>
            <w:tcW w:w="13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4,939</w:t>
            </w:r>
          </w:p>
        </w:tc>
        <w:tc>
          <w:tcPr>
            <w:tcW w:w="13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(323)</w:t>
            </w:r>
          </w:p>
        </w:tc>
        <w:tc>
          <w:tcPr>
            <w:tcW w:w="12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(6.5)%</w:t>
            </w:r>
          </w:p>
        </w:tc>
      </w:tr>
      <w:tr>
        <w:trPr>
          <w:trHeight w:val="282"/>
        </w:trPr>
        <w:tc>
          <w:tcPr>
            <w:tcW w:w="29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income</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11,502</w:t>
            </w: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11,385</w:t>
            </w: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117</w:t>
            </w:r>
          </w:p>
        </w:tc>
        <w:tc>
          <w:tcPr>
            <w:tcW w:w="12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1.0 %</w:t>
            </w:r>
          </w:p>
        </w:tc>
      </w:tr>
      <w:tr>
        <w:trPr>
          <w:trHeight w:val="265"/>
        </w:trPr>
        <w:tc>
          <w:tcPr>
            <w:tcW w:w="2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62"/>
        </w:trPr>
        <w:tc>
          <w:tcPr>
            <w:tcW w:w="2980" w:type="dxa"/>
            <w:vAlign w:val="bottom"/>
            <w:gridSpan w:val="2"/>
          </w:tcPr>
          <w:p>
            <w:pPr>
              <w:ind w:left="40"/>
              <w:spacing w:after="0"/>
              <w:rPr>
                <w:sz w:val="20"/>
                <w:szCs w:val="20"/>
                <w:color w:val="auto"/>
              </w:rPr>
            </w:pPr>
            <w:r>
              <w:rPr>
                <w:rFonts w:ascii="Arial" w:cs="Arial" w:eastAsia="Arial" w:hAnsi="Arial"/>
                <w:sz w:val="16"/>
                <w:szCs w:val="16"/>
                <w:color w:val="auto"/>
              </w:rPr>
              <w:t>Diluted income per share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0.43</w:t>
            </w: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0.42</w:t>
            </w: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0.01</w:t>
            </w: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2.4 %</w:t>
            </w:r>
          </w:p>
        </w:tc>
      </w:tr>
      <w:tr>
        <w:trPr>
          <w:trHeight w:val="278"/>
        </w:trPr>
        <w:tc>
          <w:tcPr>
            <w:tcW w:w="2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Diluted average shares outstanding</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27,030</w:t>
            </w: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27,319</w:t>
            </w: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(289)</w:t>
            </w: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w:t>
            </w:r>
          </w:p>
        </w:tc>
      </w:tr>
    </w:tbl>
    <w:p>
      <w:pPr>
        <w:spacing w:after="0" w:line="28" w:lineRule="exact"/>
        <w:rPr>
          <w:sz w:val="20"/>
          <w:szCs w:val="20"/>
          <w:color w:val="auto"/>
        </w:rPr>
      </w:pPr>
    </w:p>
    <w:p>
      <w:pPr>
        <w:ind w:left="160" w:hanging="152"/>
        <w:spacing w:after="0"/>
        <w:tabs>
          <w:tab w:leader="none" w:pos="16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Percentages may not add due to rounding differences.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1"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84"/>
        </w:trPr>
        <w:tc>
          <w:tcPr>
            <w:tcW w:w="2900" w:type="dxa"/>
            <w:vAlign w:val="bottom"/>
            <w:gridSpan w:val="3"/>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Table of Contents</w:t>
              </w:r>
            </w:hyperlink>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4520" w:type="dxa"/>
            <w:vAlign w:val="bottom"/>
            <w:gridSpan w:val="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464"/>
        </w:trPr>
        <w:tc>
          <w:tcPr>
            <w:tcW w:w="5780" w:type="dxa"/>
            <w:vAlign w:val="bottom"/>
            <w:gridSpan w:val="7"/>
          </w:tcPr>
          <w:p>
            <w:pPr>
              <w:spacing w:after="0"/>
              <w:rPr>
                <w:sz w:val="20"/>
                <w:szCs w:val="20"/>
                <w:color w:val="auto"/>
              </w:rPr>
            </w:pPr>
            <w:r>
              <w:rPr>
                <w:rFonts w:ascii="Arial" w:cs="Arial" w:eastAsia="Arial" w:hAnsi="Arial"/>
                <w:sz w:val="16"/>
                <w:szCs w:val="16"/>
                <w:color w:val="auto"/>
              </w:rPr>
              <w:t>Unit deliveries and ASP, net of discounts, consisted of the following:</w:t>
            </w: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03"/>
        </w:trPr>
        <w:tc>
          <w:tcPr>
            <w:tcW w:w="1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3"/>
          </w:tcPr>
          <w:p>
            <w:pPr>
              <w:ind w:left="36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93"/>
        </w:trPr>
        <w:tc>
          <w:tcPr>
            <w:tcW w:w="12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right"/>
              <w:ind w:right="479"/>
              <w:spacing w:after="0"/>
              <w:rPr>
                <w:sz w:val="20"/>
                <w:szCs w:val="20"/>
                <w:color w:val="auto"/>
              </w:rPr>
            </w:pPr>
            <w:r>
              <w:rPr>
                <w:rFonts w:ascii="Arial" w:cs="Arial" w:eastAsia="Arial" w:hAnsi="Arial"/>
                <w:sz w:val="16"/>
                <w:szCs w:val="16"/>
                <w:b w:val="1"/>
                <w:bCs w:val="1"/>
                <w:color w:val="auto"/>
              </w:rPr>
              <w:t>May 30,</w:t>
            </w:r>
          </w:p>
        </w:tc>
        <w:tc>
          <w:tcPr>
            <w:tcW w:w="1380" w:type="dxa"/>
            <w:vAlign w:val="bottom"/>
            <w:gridSpan w:val="2"/>
          </w:tcPr>
          <w:p>
            <w:pPr>
              <w:ind w:left="260"/>
              <w:spacing w:after="0"/>
              <w:rPr>
                <w:sz w:val="20"/>
                <w:szCs w:val="20"/>
                <w:color w:val="auto"/>
              </w:rPr>
            </w:pPr>
            <w:r>
              <w:rPr>
                <w:rFonts w:ascii="Arial" w:cs="Arial" w:eastAsia="Arial" w:hAnsi="Arial"/>
                <w:sz w:val="16"/>
                <w:szCs w:val="16"/>
                <w:b w:val="1"/>
                <w:bCs w:val="1"/>
                <w:color w:val="auto"/>
              </w:rPr>
              <w:t>Product</w:t>
            </w:r>
          </w:p>
        </w:tc>
        <w:tc>
          <w:tcPr>
            <w:tcW w:w="240" w:type="dxa"/>
            <w:vAlign w:val="bottom"/>
          </w:tcPr>
          <w:p>
            <w:pPr>
              <w:spacing w:after="0"/>
              <w:rPr>
                <w:sz w:val="16"/>
                <w:szCs w:val="16"/>
                <w:color w:val="auto"/>
              </w:rPr>
            </w:pPr>
          </w:p>
        </w:tc>
        <w:tc>
          <w:tcPr>
            <w:tcW w:w="1280" w:type="dxa"/>
            <w:vAlign w:val="bottom"/>
          </w:tcPr>
          <w:p>
            <w:pPr>
              <w:jc w:val="right"/>
              <w:ind w:right="479"/>
              <w:spacing w:after="0"/>
              <w:rPr>
                <w:sz w:val="20"/>
                <w:szCs w:val="20"/>
                <w:color w:val="auto"/>
              </w:rPr>
            </w:pPr>
            <w:r>
              <w:rPr>
                <w:rFonts w:ascii="Arial" w:cs="Arial" w:eastAsia="Arial" w:hAnsi="Arial"/>
                <w:sz w:val="16"/>
                <w:szCs w:val="16"/>
                <w:b w:val="1"/>
                <w:bCs w:val="1"/>
                <w:color w:val="auto"/>
              </w:rPr>
              <w:t>May 31,</w:t>
            </w:r>
          </w:p>
        </w:tc>
        <w:tc>
          <w:tcPr>
            <w:tcW w:w="1400" w:type="dxa"/>
            <w:vAlign w:val="bottom"/>
            <w:gridSpan w:val="2"/>
          </w:tcPr>
          <w:p>
            <w:pPr>
              <w:ind w:left="260"/>
              <w:spacing w:after="0"/>
              <w:rPr>
                <w:sz w:val="20"/>
                <w:szCs w:val="20"/>
                <w:color w:val="auto"/>
              </w:rPr>
            </w:pPr>
            <w:r>
              <w:rPr>
                <w:rFonts w:ascii="Arial" w:cs="Arial" w:eastAsia="Arial" w:hAnsi="Arial"/>
                <w:sz w:val="16"/>
                <w:szCs w:val="16"/>
                <w:b w:val="1"/>
                <w:bCs w:val="1"/>
                <w:color w:val="auto"/>
              </w:rPr>
              <w:t>Product</w:t>
            </w:r>
          </w:p>
        </w:tc>
        <w:tc>
          <w:tcPr>
            <w:tcW w:w="200" w:type="dxa"/>
            <w:vAlign w:val="bottom"/>
          </w:tcPr>
          <w:p>
            <w:pPr>
              <w:spacing w:after="0"/>
              <w:rPr>
                <w:sz w:val="16"/>
                <w:szCs w:val="16"/>
                <w:color w:val="auto"/>
              </w:rPr>
            </w:pPr>
          </w:p>
        </w:tc>
        <w:tc>
          <w:tcPr>
            <w:tcW w:w="1260" w:type="dxa"/>
            <w:vAlign w:val="bottom"/>
          </w:tcPr>
          <w:p>
            <w:pPr>
              <w:jc w:val="right"/>
              <w:ind w:right="259"/>
              <w:spacing w:after="0"/>
              <w:rPr>
                <w:sz w:val="20"/>
                <w:szCs w:val="20"/>
                <w:color w:val="auto"/>
              </w:rPr>
            </w:pPr>
            <w:r>
              <w:rPr>
                <w:rFonts w:ascii="Arial" w:cs="Arial" w:eastAsia="Arial" w:hAnsi="Arial"/>
                <w:sz w:val="16"/>
                <w:szCs w:val="16"/>
                <w:b w:val="1"/>
                <w:bCs w:val="1"/>
                <w:color w:val="auto"/>
              </w:rPr>
              <w:t>(Decrease)</w:t>
            </w:r>
          </w:p>
        </w:tc>
        <w:tc>
          <w:tcPr>
            <w:tcW w:w="1260" w:type="dxa"/>
            <w:vAlign w:val="bottom"/>
          </w:tcPr>
          <w:p>
            <w:pPr>
              <w:jc w:val="right"/>
              <w:ind w:right="499"/>
              <w:spacing w:after="0"/>
              <w:rPr>
                <w:sz w:val="20"/>
                <w:szCs w:val="20"/>
                <w:color w:val="auto"/>
              </w:rPr>
            </w:pPr>
            <w:r>
              <w:rPr>
                <w:rFonts w:ascii="Arial" w:cs="Arial" w:eastAsia="Arial" w:hAnsi="Arial"/>
                <w:sz w:val="16"/>
                <w:szCs w:val="16"/>
                <w:b w:val="1"/>
                <w:bCs w:val="1"/>
                <w:color w:val="auto"/>
              </w:rPr>
              <w:t>%</w:t>
            </w:r>
          </w:p>
        </w:tc>
      </w:tr>
      <w:tr>
        <w:trPr>
          <w:trHeight w:val="236"/>
        </w:trPr>
        <w:tc>
          <w:tcPr>
            <w:tcW w:w="28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units)</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2015</w:t>
            </w:r>
          </w:p>
        </w:tc>
        <w:tc>
          <w:tcPr>
            <w:tcW w:w="1280" w:type="dxa"/>
            <w:vAlign w:val="bottom"/>
            <w:tcBorders>
              <w:bottom w:val="single" w:sz="8" w:color="auto"/>
            </w:tcBorders>
          </w:tcPr>
          <w:p>
            <w:pPr>
              <w:jc w:val="right"/>
              <w:ind w:right="319"/>
              <w:spacing w:after="0" w:line="236"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2014</w:t>
            </w:r>
          </w:p>
        </w:tc>
        <w:tc>
          <w:tcPr>
            <w:tcW w:w="1280" w:type="dxa"/>
            <w:vAlign w:val="bottom"/>
            <w:tcBorders>
              <w:bottom w:val="single" w:sz="8" w:color="auto"/>
            </w:tcBorders>
          </w:tcPr>
          <w:p>
            <w:pPr>
              <w:ind w:left="260"/>
              <w:spacing w:after="0" w:line="236"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Increase</w:t>
            </w:r>
          </w:p>
        </w:tc>
        <w:tc>
          <w:tcPr>
            <w:tcW w:w="12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264"/>
        </w:trPr>
        <w:tc>
          <w:tcPr>
            <w:tcW w:w="29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Motorhomes:</w:t>
            </w: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62"/>
        </w:trPr>
        <w:tc>
          <w:tcPr>
            <w:tcW w:w="2900" w:type="dxa"/>
            <w:vAlign w:val="bottom"/>
            <w:gridSpan w:val="3"/>
          </w:tcPr>
          <w:p>
            <w:pPr>
              <w:ind w:left="180"/>
              <w:spacing w:after="0"/>
              <w:rPr>
                <w:sz w:val="20"/>
                <w:szCs w:val="20"/>
                <w:color w:val="auto"/>
              </w:rPr>
            </w:pPr>
            <w:r>
              <w:rPr>
                <w:rFonts w:ascii="Arial" w:cs="Arial" w:eastAsia="Arial" w:hAnsi="Arial"/>
                <w:sz w:val="16"/>
                <w:szCs w:val="16"/>
                <w:color w:val="auto"/>
              </w:rPr>
              <w:t>Class A gas</w:t>
            </w:r>
          </w:p>
        </w:tc>
        <w:tc>
          <w:tcPr>
            <w:tcW w:w="240" w:type="dxa"/>
            <w:vAlign w:val="bottom"/>
          </w:tcPr>
          <w:p>
            <w:pPr>
              <w:spacing w:after="0"/>
              <w:rPr>
                <w:sz w:val="22"/>
                <w:szCs w:val="22"/>
                <w:color w:val="auto"/>
              </w:rPr>
            </w:pPr>
          </w:p>
        </w:tc>
        <w:tc>
          <w:tcPr>
            <w:tcW w:w="1260" w:type="dxa"/>
            <w:vAlign w:val="bottom"/>
          </w:tcPr>
          <w:p>
            <w:pPr>
              <w:jc w:val="right"/>
              <w:ind w:right="179"/>
              <w:spacing w:after="0"/>
              <w:rPr>
                <w:sz w:val="20"/>
                <w:szCs w:val="20"/>
                <w:color w:val="auto"/>
              </w:rPr>
            </w:pPr>
            <w:r>
              <w:rPr>
                <w:rFonts w:ascii="Arial" w:cs="Arial" w:eastAsia="Arial" w:hAnsi="Arial"/>
                <w:sz w:val="16"/>
                <w:szCs w:val="16"/>
                <w:color w:val="auto"/>
              </w:rPr>
              <w:t>601</w:t>
            </w: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23.2%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786</w:t>
            </w: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33.7%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19"/>
              <w:spacing w:after="0"/>
              <w:rPr>
                <w:sz w:val="20"/>
                <w:szCs w:val="20"/>
                <w:color w:val="auto"/>
              </w:rPr>
            </w:pPr>
            <w:r>
              <w:rPr>
                <w:rFonts w:ascii="Arial" w:cs="Arial" w:eastAsia="Arial" w:hAnsi="Arial"/>
                <w:sz w:val="16"/>
                <w:szCs w:val="16"/>
                <w:color w:val="auto"/>
              </w:rPr>
              <w:t>(185)</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(23.5)%</w:t>
            </w:r>
          </w:p>
        </w:tc>
      </w:tr>
      <w:tr>
        <w:trPr>
          <w:trHeight w:val="271"/>
        </w:trPr>
        <w:tc>
          <w:tcPr>
            <w:tcW w:w="290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Class A diesel</w:t>
            </w:r>
          </w:p>
        </w:tc>
        <w:tc>
          <w:tcPr>
            <w:tcW w:w="2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285</w:t>
            </w:r>
          </w:p>
        </w:tc>
        <w:tc>
          <w:tcPr>
            <w:tcW w:w="12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11.0%</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280</w:t>
            </w:r>
          </w:p>
        </w:tc>
        <w:tc>
          <w:tcPr>
            <w:tcW w:w="12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12.0%</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5</w:t>
            </w:r>
          </w:p>
        </w:tc>
        <w:tc>
          <w:tcPr>
            <w:tcW w:w="12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1.8 %</w:t>
            </w:r>
          </w:p>
        </w:tc>
      </w:tr>
      <w:tr>
        <w:trPr>
          <w:trHeight w:val="249"/>
        </w:trPr>
        <w:tc>
          <w:tcPr>
            <w:tcW w:w="2900" w:type="dxa"/>
            <w:vAlign w:val="bottom"/>
            <w:gridSpan w:val="3"/>
          </w:tcPr>
          <w:p>
            <w:pPr>
              <w:ind w:left="180"/>
              <w:spacing w:after="0"/>
              <w:rPr>
                <w:sz w:val="20"/>
                <w:szCs w:val="20"/>
                <w:color w:val="auto"/>
              </w:rPr>
            </w:pPr>
            <w:r>
              <w:rPr>
                <w:rFonts w:ascii="Arial" w:cs="Arial" w:eastAsia="Arial" w:hAnsi="Arial"/>
                <w:sz w:val="16"/>
                <w:szCs w:val="16"/>
                <w:color w:val="auto"/>
              </w:rPr>
              <w:t>Total Class A</w:t>
            </w:r>
          </w:p>
        </w:tc>
        <w:tc>
          <w:tcPr>
            <w:tcW w:w="240" w:type="dxa"/>
            <w:vAlign w:val="bottom"/>
          </w:tcPr>
          <w:p>
            <w:pPr>
              <w:spacing w:after="0"/>
              <w:rPr>
                <w:sz w:val="21"/>
                <w:szCs w:val="21"/>
                <w:color w:val="auto"/>
              </w:rPr>
            </w:pPr>
          </w:p>
        </w:tc>
        <w:tc>
          <w:tcPr>
            <w:tcW w:w="1260" w:type="dxa"/>
            <w:vAlign w:val="bottom"/>
          </w:tcPr>
          <w:p>
            <w:pPr>
              <w:jc w:val="right"/>
              <w:ind w:right="179"/>
              <w:spacing w:after="0"/>
              <w:rPr>
                <w:sz w:val="20"/>
                <w:szCs w:val="20"/>
                <w:color w:val="auto"/>
              </w:rPr>
            </w:pPr>
            <w:r>
              <w:rPr>
                <w:rFonts w:ascii="Arial" w:cs="Arial" w:eastAsia="Arial" w:hAnsi="Arial"/>
                <w:sz w:val="16"/>
                <w:szCs w:val="16"/>
                <w:color w:val="auto"/>
              </w:rPr>
              <w:t>886</w:t>
            </w: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34.1%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1,066</w:t>
            </w: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45.7%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219"/>
              <w:spacing w:after="0"/>
              <w:rPr>
                <w:sz w:val="20"/>
                <w:szCs w:val="20"/>
                <w:color w:val="auto"/>
              </w:rPr>
            </w:pPr>
            <w:r>
              <w:rPr>
                <w:rFonts w:ascii="Arial" w:cs="Arial" w:eastAsia="Arial" w:hAnsi="Arial"/>
                <w:sz w:val="16"/>
                <w:szCs w:val="16"/>
                <w:color w:val="auto"/>
              </w:rPr>
              <w:t>(180)</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(16.9)%</w:t>
            </w:r>
          </w:p>
        </w:tc>
      </w:tr>
      <w:tr>
        <w:trPr>
          <w:trHeight w:val="278"/>
        </w:trPr>
        <w:tc>
          <w:tcPr>
            <w:tcW w:w="290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Class B</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270</w:t>
            </w:r>
          </w:p>
        </w:tc>
        <w:tc>
          <w:tcPr>
            <w:tcW w:w="12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224</w:t>
            </w:r>
          </w:p>
        </w:tc>
        <w:tc>
          <w:tcPr>
            <w:tcW w:w="12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9.6%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46</w:t>
            </w: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20.5 %</w:t>
            </w:r>
          </w:p>
        </w:tc>
      </w:tr>
      <w:tr>
        <w:trPr>
          <w:trHeight w:val="264"/>
        </w:trPr>
        <w:tc>
          <w:tcPr>
            <w:tcW w:w="2900" w:type="dxa"/>
            <w:vAlign w:val="bottom"/>
            <w:tcBorders>
              <w:bottom w:val="single" w:sz="8" w:color="CCEEFF"/>
            </w:tcBorders>
            <w:gridSpan w:val="3"/>
          </w:tcPr>
          <w:p>
            <w:pPr>
              <w:ind w:left="180"/>
              <w:spacing w:after="0"/>
              <w:rPr>
                <w:sz w:val="20"/>
                <w:szCs w:val="20"/>
                <w:color w:val="auto"/>
              </w:rPr>
            </w:pPr>
            <w:r>
              <w:rPr>
                <w:rFonts w:ascii="Arial" w:cs="Arial" w:eastAsia="Arial" w:hAnsi="Arial"/>
                <w:sz w:val="16"/>
                <w:szCs w:val="16"/>
                <w:color w:val="auto"/>
              </w:rPr>
              <w:t>Class C</w:t>
            </w: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1,440</w:t>
            </w: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55.5%</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1,041</w:t>
            </w: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44.7%</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399</w:t>
            </w: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38.3 %</w:t>
            </w:r>
          </w:p>
        </w:tc>
      </w:tr>
      <w:tr>
        <w:trPr>
          <w:trHeight w:val="242"/>
        </w:trPr>
        <w:tc>
          <w:tcPr>
            <w:tcW w:w="29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6"/>
                <w:szCs w:val="16"/>
                <w:color w:val="auto"/>
              </w:rPr>
              <w:t>Total motorhome deliveries</w:t>
            </w:r>
          </w:p>
        </w:tc>
        <w:tc>
          <w:tcPr>
            <w:tcW w:w="2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2,596</w:t>
            </w:r>
          </w:p>
        </w:tc>
        <w:tc>
          <w:tcPr>
            <w:tcW w:w="12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2,331</w:t>
            </w:r>
          </w:p>
        </w:tc>
        <w:tc>
          <w:tcPr>
            <w:tcW w:w="12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265</w:t>
            </w:r>
          </w:p>
        </w:tc>
        <w:tc>
          <w:tcPr>
            <w:tcW w:w="12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11.4 %</w:t>
            </w:r>
          </w:p>
        </w:tc>
      </w:tr>
      <w:tr>
        <w:trPr>
          <w:trHeight w:val="20"/>
        </w:trPr>
        <w:tc>
          <w:tcPr>
            <w:tcW w:w="1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65"/>
        </w:trPr>
        <w:tc>
          <w:tcPr>
            <w:tcW w:w="12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290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ASP (in thousands)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91.0</w:t>
            </w: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93.9</w:t>
            </w: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(2.9)</w:t>
            </w: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(3.1)%</w:t>
            </w:r>
          </w:p>
        </w:tc>
      </w:tr>
      <w:tr>
        <w:trPr>
          <w:trHeight w:val="284"/>
        </w:trPr>
        <w:tc>
          <w:tcPr>
            <w:tcW w:w="1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0"/>
        </w:trPr>
        <w:tc>
          <w:tcPr>
            <w:tcW w:w="29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Towables:</w:t>
            </w: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62"/>
        </w:trPr>
        <w:tc>
          <w:tcPr>
            <w:tcW w:w="2900" w:type="dxa"/>
            <w:vAlign w:val="bottom"/>
            <w:gridSpan w:val="3"/>
          </w:tcPr>
          <w:p>
            <w:pPr>
              <w:ind w:left="180"/>
              <w:spacing w:after="0"/>
              <w:rPr>
                <w:sz w:val="20"/>
                <w:szCs w:val="20"/>
                <w:color w:val="auto"/>
              </w:rPr>
            </w:pPr>
            <w:r>
              <w:rPr>
                <w:rFonts w:ascii="Arial" w:cs="Arial" w:eastAsia="Arial" w:hAnsi="Arial"/>
                <w:sz w:val="16"/>
                <w:szCs w:val="16"/>
                <w:color w:val="auto"/>
              </w:rPr>
              <w:t>Travel trailer</w:t>
            </w:r>
          </w:p>
        </w:tc>
        <w:tc>
          <w:tcPr>
            <w:tcW w:w="240" w:type="dxa"/>
            <w:vAlign w:val="bottom"/>
          </w:tcPr>
          <w:p>
            <w:pPr>
              <w:spacing w:after="0"/>
              <w:rPr>
                <w:sz w:val="22"/>
                <w:szCs w:val="22"/>
                <w:color w:val="auto"/>
              </w:rPr>
            </w:pPr>
          </w:p>
        </w:tc>
        <w:tc>
          <w:tcPr>
            <w:tcW w:w="1260" w:type="dxa"/>
            <w:vAlign w:val="bottom"/>
          </w:tcPr>
          <w:p>
            <w:pPr>
              <w:jc w:val="right"/>
              <w:ind w:right="179"/>
              <w:spacing w:after="0"/>
              <w:rPr>
                <w:sz w:val="20"/>
                <w:szCs w:val="20"/>
                <w:color w:val="auto"/>
              </w:rPr>
            </w:pPr>
            <w:r>
              <w:rPr>
                <w:rFonts w:ascii="Arial" w:cs="Arial" w:eastAsia="Arial" w:hAnsi="Arial"/>
                <w:sz w:val="16"/>
                <w:szCs w:val="16"/>
                <w:color w:val="auto"/>
              </w:rPr>
              <w:t>598</w:t>
            </w: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80.6%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598</w:t>
            </w: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82.3%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 %</w:t>
            </w:r>
          </w:p>
        </w:tc>
      </w:tr>
      <w:tr>
        <w:trPr>
          <w:trHeight w:val="271"/>
        </w:trPr>
        <w:tc>
          <w:tcPr>
            <w:tcW w:w="290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Fifth wheel</w:t>
            </w:r>
          </w:p>
        </w:tc>
        <w:tc>
          <w:tcPr>
            <w:tcW w:w="2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144</w:t>
            </w:r>
          </w:p>
        </w:tc>
        <w:tc>
          <w:tcPr>
            <w:tcW w:w="12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19.4%</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129</w:t>
            </w:r>
          </w:p>
        </w:tc>
        <w:tc>
          <w:tcPr>
            <w:tcW w:w="12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17.7%</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15</w:t>
            </w:r>
          </w:p>
        </w:tc>
        <w:tc>
          <w:tcPr>
            <w:tcW w:w="12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11.6 %</w:t>
            </w:r>
          </w:p>
        </w:tc>
      </w:tr>
      <w:tr>
        <w:trPr>
          <w:trHeight w:val="282"/>
        </w:trPr>
        <w:tc>
          <w:tcPr>
            <w:tcW w:w="2900" w:type="dxa"/>
            <w:vAlign w:val="bottom"/>
            <w:tcBorders>
              <w:bottom w:val="single" w:sz="8" w:color="CCEEFF"/>
            </w:tcBorders>
            <w:gridSpan w:val="3"/>
          </w:tcPr>
          <w:p>
            <w:pPr>
              <w:ind w:left="180"/>
              <w:spacing w:after="0"/>
              <w:rPr>
                <w:sz w:val="20"/>
                <w:szCs w:val="20"/>
                <w:color w:val="auto"/>
              </w:rPr>
            </w:pPr>
            <w:r>
              <w:rPr>
                <w:rFonts w:ascii="Arial" w:cs="Arial" w:eastAsia="Arial" w:hAnsi="Arial"/>
                <w:sz w:val="16"/>
                <w:szCs w:val="16"/>
                <w:color w:val="auto"/>
              </w:rPr>
              <w:t>Total towable deliveries</w:t>
            </w: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742</w:t>
            </w: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727</w:t>
            </w: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15</w:t>
            </w: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2.1 %</w:t>
            </w:r>
          </w:p>
        </w:tc>
      </w:tr>
      <w:tr>
        <w:trPr>
          <w:trHeight w:val="265"/>
        </w:trPr>
        <w:tc>
          <w:tcPr>
            <w:tcW w:w="126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55"/>
        </w:trPr>
        <w:tc>
          <w:tcPr>
            <w:tcW w:w="2900" w:type="dxa"/>
            <w:vAlign w:val="bottom"/>
            <w:gridSpan w:val="3"/>
          </w:tcPr>
          <w:p>
            <w:pPr>
              <w:ind w:left="180"/>
              <w:spacing w:after="0"/>
              <w:rPr>
                <w:sz w:val="20"/>
                <w:szCs w:val="20"/>
                <w:color w:val="auto"/>
              </w:rPr>
            </w:pPr>
            <w:r>
              <w:rPr>
                <w:rFonts w:ascii="Arial" w:cs="Arial" w:eastAsia="Arial" w:hAnsi="Arial"/>
                <w:sz w:val="16"/>
                <w:szCs w:val="16"/>
                <w:color w:val="auto"/>
              </w:rPr>
              <w:t>ASP (in thousands)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79"/>
              <w:spacing w:after="0"/>
              <w:rPr>
                <w:sz w:val="20"/>
                <w:szCs w:val="20"/>
                <w:color w:val="auto"/>
              </w:rPr>
            </w:pPr>
            <w:r>
              <w:rPr>
                <w:rFonts w:ascii="Arial" w:cs="Arial" w:eastAsia="Arial" w:hAnsi="Arial"/>
                <w:sz w:val="16"/>
                <w:szCs w:val="16"/>
                <w:color w:val="auto"/>
              </w:rPr>
              <w:t>26.9</w:t>
            </w: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23.9</w:t>
            </w: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279"/>
              <w:spacing w:after="0"/>
              <w:rPr>
                <w:sz w:val="20"/>
                <w:szCs w:val="20"/>
                <w:color w:val="auto"/>
              </w:rPr>
            </w:pPr>
            <w:r>
              <w:rPr>
                <w:rFonts w:ascii="Arial" w:cs="Arial" w:eastAsia="Arial" w:hAnsi="Arial"/>
                <w:sz w:val="16"/>
                <w:szCs w:val="16"/>
                <w:color w:val="auto"/>
              </w:rPr>
              <w:t>3.0</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12.4 %</w:t>
            </w:r>
          </w:p>
        </w:tc>
      </w:tr>
    </w:tbl>
    <w:p>
      <w:pPr>
        <w:ind w:left="160" w:hanging="152"/>
        <w:spacing w:after="0" w:line="227" w:lineRule="auto"/>
        <w:tabs>
          <w:tab w:leader="none" w:pos="16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Percentages may not add due to rounding differences.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040" w:type="dxa"/>
            <w:vAlign w:val="bottom"/>
            <w:gridSpan w:val="2"/>
          </w:tcPr>
          <w:p>
            <w:pPr>
              <w:spacing w:after="0"/>
              <w:rPr>
                <w:sz w:val="20"/>
                <w:szCs w:val="20"/>
                <w:color w:val="auto"/>
              </w:rPr>
            </w:pPr>
            <w:r>
              <w:rPr>
                <w:rFonts w:ascii="Arial" w:cs="Arial" w:eastAsia="Arial" w:hAnsi="Arial"/>
                <w:sz w:val="16"/>
                <w:szCs w:val="16"/>
                <w:color w:val="auto"/>
              </w:rPr>
              <w:t>Net revenues consisted of the following:</w:t>
            </w:r>
          </w:p>
        </w:tc>
        <w:tc>
          <w:tcPr>
            <w:tcW w:w="3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390"/>
        </w:trPr>
        <w:tc>
          <w:tcPr>
            <w:tcW w:w="2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3"/>
          </w:tcPr>
          <w:p>
            <w:pPr>
              <w:ind w:left="26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193"/>
        </w:trPr>
        <w:tc>
          <w:tcPr>
            <w:tcW w:w="2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b w:val="1"/>
                <w:bCs w:val="1"/>
                <w:color w:val="auto"/>
              </w:rPr>
              <w:t>May 30,</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60" w:type="dxa"/>
            <w:vAlign w:val="bottom"/>
          </w:tcPr>
          <w:p>
            <w:pPr>
              <w:jc w:val="right"/>
              <w:ind w:right="99"/>
              <w:spacing w:after="0"/>
              <w:rPr>
                <w:sz w:val="20"/>
                <w:szCs w:val="20"/>
                <w:color w:val="auto"/>
              </w:rPr>
            </w:pPr>
            <w:r>
              <w:rPr>
                <w:rFonts w:ascii="Arial" w:cs="Arial" w:eastAsia="Arial" w:hAnsi="Arial"/>
                <w:sz w:val="16"/>
                <w:szCs w:val="16"/>
                <w:b w:val="1"/>
                <w:bCs w:val="1"/>
                <w:color w:val="auto"/>
              </w:rPr>
              <w:t>May 31,</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ind w:right="419"/>
              <w:spacing w:after="0"/>
              <w:rPr>
                <w:sz w:val="20"/>
                <w:szCs w:val="20"/>
                <w:color w:val="auto"/>
              </w:rPr>
            </w:pPr>
            <w:r>
              <w:rPr>
                <w:rFonts w:ascii="Arial" w:cs="Arial" w:eastAsia="Arial" w:hAnsi="Arial"/>
                <w:sz w:val="16"/>
                <w:szCs w:val="16"/>
                <w:b w:val="1"/>
                <w:bCs w:val="1"/>
                <w:color w:val="auto"/>
              </w:rPr>
              <w:t>Increase</w:t>
            </w:r>
          </w:p>
        </w:tc>
        <w:tc>
          <w:tcPr>
            <w:tcW w:w="1220" w:type="dxa"/>
            <w:vAlign w:val="bottom"/>
          </w:tcPr>
          <w:p>
            <w:pPr>
              <w:jc w:val="right"/>
              <w:ind w:right="499"/>
              <w:spacing w:after="0"/>
              <w:rPr>
                <w:sz w:val="20"/>
                <w:szCs w:val="20"/>
                <w:color w:val="auto"/>
              </w:rPr>
            </w:pPr>
            <w:r>
              <w:rPr>
                <w:rFonts w:ascii="Arial" w:cs="Arial" w:eastAsia="Arial" w:hAnsi="Arial"/>
                <w:sz w:val="16"/>
                <w:szCs w:val="16"/>
                <w:b w:val="1"/>
                <w:bCs w:val="1"/>
                <w:color w:val="auto"/>
              </w:rPr>
              <w:t>%</w:t>
            </w:r>
          </w:p>
        </w:tc>
      </w:tr>
      <w:tr>
        <w:trPr>
          <w:trHeight w:val="232"/>
        </w:trPr>
        <w:tc>
          <w:tcPr>
            <w:tcW w:w="29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2015</w:t>
            </w: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2014</w:t>
            </w: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(Decrease)</w:t>
            </w:r>
          </w:p>
        </w:tc>
        <w:tc>
          <w:tcPr>
            <w:tcW w:w="12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254"/>
        </w:trPr>
        <w:tc>
          <w:tcPr>
            <w:tcW w:w="30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Motorhomes </w:t>
            </w:r>
            <w:r>
              <w:rPr>
                <w:rFonts w:ascii="Arial" w:cs="Arial" w:eastAsia="Arial" w:hAnsi="Arial"/>
                <w:sz w:val="21"/>
                <w:szCs w:val="21"/>
                <w:color w:val="auto"/>
                <w:vertAlign w:val="superscript"/>
              </w:rPr>
              <w:t>(1)</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237,548</w:t>
            </w: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89.1%</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221,191</w:t>
            </w: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89.3%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16,357</w:t>
            </w:r>
          </w:p>
        </w:tc>
        <w:tc>
          <w:tcPr>
            <w:tcW w:w="12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7.4 %</w:t>
            </w:r>
          </w:p>
        </w:tc>
      </w:tr>
      <w:tr>
        <w:trPr>
          <w:trHeight w:val="270"/>
        </w:trPr>
        <w:tc>
          <w:tcPr>
            <w:tcW w:w="3040" w:type="dxa"/>
            <w:vAlign w:val="bottom"/>
            <w:gridSpan w:val="2"/>
          </w:tcPr>
          <w:p>
            <w:pPr>
              <w:ind w:left="40"/>
              <w:spacing w:after="0"/>
              <w:rPr>
                <w:sz w:val="20"/>
                <w:szCs w:val="20"/>
                <w:color w:val="auto"/>
              </w:rPr>
            </w:pPr>
            <w:r>
              <w:rPr>
                <w:rFonts w:ascii="Arial" w:cs="Arial" w:eastAsia="Arial" w:hAnsi="Arial"/>
                <w:sz w:val="16"/>
                <w:szCs w:val="16"/>
                <w:color w:val="auto"/>
              </w:rPr>
              <w:t xml:space="preserve">Towables </w:t>
            </w:r>
            <w:r>
              <w:rPr>
                <w:rFonts w:ascii="Arial" w:cs="Arial" w:eastAsia="Arial" w:hAnsi="Arial"/>
                <w:sz w:val="21"/>
                <w:szCs w:val="21"/>
                <w:color w:val="auto"/>
                <w:vertAlign w:val="superscript"/>
              </w:rPr>
              <w:t>(2)</w:t>
            </w:r>
          </w:p>
        </w:tc>
        <w:tc>
          <w:tcPr>
            <w:tcW w:w="360" w:type="dxa"/>
            <w:vAlign w:val="bottom"/>
          </w:tcPr>
          <w:p>
            <w:pPr>
              <w:spacing w:after="0"/>
              <w:rPr>
                <w:sz w:val="23"/>
                <w:szCs w:val="23"/>
                <w:color w:val="auto"/>
              </w:rPr>
            </w:pPr>
          </w:p>
        </w:tc>
        <w:tc>
          <w:tcPr>
            <w:tcW w:w="1400" w:type="dxa"/>
            <w:vAlign w:val="bottom"/>
          </w:tcPr>
          <w:p>
            <w:pPr>
              <w:jc w:val="right"/>
              <w:ind w:right="499"/>
              <w:spacing w:after="0"/>
              <w:rPr>
                <w:sz w:val="20"/>
                <w:szCs w:val="20"/>
                <w:color w:val="auto"/>
              </w:rPr>
            </w:pPr>
            <w:r>
              <w:rPr>
                <w:rFonts w:ascii="Arial" w:cs="Arial" w:eastAsia="Arial" w:hAnsi="Arial"/>
                <w:sz w:val="16"/>
                <w:szCs w:val="16"/>
                <w:color w:val="auto"/>
              </w:rPr>
              <w:t>19,902</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60" w:type="dxa"/>
            <w:vAlign w:val="bottom"/>
          </w:tcPr>
          <w:p>
            <w:pPr>
              <w:jc w:val="right"/>
              <w:ind w:right="479"/>
              <w:spacing w:after="0"/>
              <w:rPr>
                <w:sz w:val="20"/>
                <w:szCs w:val="20"/>
                <w:color w:val="auto"/>
              </w:rPr>
            </w:pPr>
            <w:r>
              <w:rPr>
                <w:rFonts w:ascii="Arial" w:cs="Arial" w:eastAsia="Arial" w:hAnsi="Arial"/>
                <w:sz w:val="16"/>
                <w:szCs w:val="16"/>
                <w:color w:val="auto"/>
              </w:rPr>
              <w:t>17,174</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jc w:val="right"/>
              <w:ind w:right="239"/>
              <w:spacing w:after="0"/>
              <w:rPr>
                <w:sz w:val="20"/>
                <w:szCs w:val="20"/>
                <w:color w:val="auto"/>
              </w:rPr>
            </w:pPr>
            <w:r>
              <w:rPr>
                <w:rFonts w:ascii="Arial" w:cs="Arial" w:eastAsia="Arial" w:hAnsi="Arial"/>
                <w:sz w:val="16"/>
                <w:szCs w:val="16"/>
                <w:color w:val="auto"/>
              </w:rPr>
              <w:t>2,728</w:t>
            </w: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15.9 %</w:t>
            </w:r>
          </w:p>
        </w:tc>
      </w:tr>
      <w:tr>
        <w:trPr>
          <w:trHeight w:val="264"/>
        </w:trPr>
        <w:tc>
          <w:tcPr>
            <w:tcW w:w="30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 manufactured products</w:t>
            </w:r>
          </w:p>
        </w:tc>
        <w:tc>
          <w:tcPr>
            <w:tcW w:w="36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color w:val="auto"/>
              </w:rPr>
              <w:t>9,060</w:t>
            </w:r>
          </w:p>
        </w:tc>
        <w:tc>
          <w:tcPr>
            <w:tcW w:w="8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rPr>
              <w:t>9,382</w:t>
            </w:r>
          </w:p>
        </w:tc>
        <w:tc>
          <w:tcPr>
            <w:tcW w:w="9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(322)</w:t>
            </w:r>
          </w:p>
        </w:tc>
        <w:tc>
          <w:tcPr>
            <w:tcW w:w="12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(3.4)%</w:t>
            </w:r>
          </w:p>
        </w:tc>
      </w:tr>
      <w:tr>
        <w:trPr>
          <w:trHeight w:val="241"/>
        </w:trPr>
        <w:tc>
          <w:tcPr>
            <w:tcW w:w="3040" w:type="dxa"/>
            <w:vAlign w:val="bottom"/>
            <w:gridSpan w:val="2"/>
          </w:tcPr>
          <w:p>
            <w:pPr>
              <w:ind w:left="40"/>
              <w:spacing w:after="0"/>
              <w:rPr>
                <w:sz w:val="20"/>
                <w:szCs w:val="20"/>
                <w:color w:val="auto"/>
              </w:rPr>
            </w:pPr>
            <w:r>
              <w:rPr>
                <w:rFonts w:ascii="Arial" w:cs="Arial" w:eastAsia="Arial" w:hAnsi="Arial"/>
                <w:sz w:val="16"/>
                <w:szCs w:val="16"/>
                <w:color w:val="auto"/>
              </w:rPr>
              <w:t>Total net revenues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499"/>
              <w:spacing w:after="0"/>
              <w:rPr>
                <w:sz w:val="20"/>
                <w:szCs w:val="20"/>
                <w:color w:val="auto"/>
              </w:rPr>
            </w:pPr>
            <w:r>
              <w:rPr>
                <w:rFonts w:ascii="Arial" w:cs="Arial" w:eastAsia="Arial" w:hAnsi="Arial"/>
                <w:sz w:val="16"/>
                <w:szCs w:val="16"/>
                <w:color w:val="auto"/>
              </w:rPr>
              <w:t>266,510</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479"/>
              <w:spacing w:after="0"/>
              <w:rPr>
                <w:sz w:val="20"/>
                <w:szCs w:val="20"/>
                <w:color w:val="auto"/>
              </w:rPr>
            </w:pPr>
            <w:r>
              <w:rPr>
                <w:rFonts w:ascii="Arial" w:cs="Arial" w:eastAsia="Arial" w:hAnsi="Arial"/>
                <w:sz w:val="16"/>
                <w:szCs w:val="16"/>
                <w:color w:val="auto"/>
              </w:rPr>
              <w:t>247,747</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39"/>
              <w:spacing w:after="0"/>
              <w:rPr>
                <w:sz w:val="20"/>
                <w:szCs w:val="20"/>
                <w:color w:val="auto"/>
              </w:rPr>
            </w:pPr>
            <w:r>
              <w:rPr>
                <w:rFonts w:ascii="Arial" w:cs="Arial" w:eastAsia="Arial" w:hAnsi="Arial"/>
                <w:sz w:val="16"/>
                <w:szCs w:val="16"/>
                <w:color w:val="auto"/>
              </w:rPr>
              <w:t>18,763</w:t>
            </w: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7.6 %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1270</wp:posOffset>
            </wp:positionV>
            <wp:extent cx="532574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25745" cy="26035"/>
                    </a:xfrm>
                    <a:prstGeom prst="rect">
                      <a:avLst/>
                    </a:prstGeom>
                    <a:noFill/>
                  </pic:spPr>
                </pic:pic>
              </a:graphicData>
            </a:graphic>
          </wp:anchor>
        </w:drawing>
      </w:r>
    </w:p>
    <w:p>
      <w:pPr>
        <w:ind w:left="260" w:hanging="238"/>
        <w:spacing w:after="0"/>
        <w:tabs>
          <w:tab w:leader="none" w:pos="26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Includes motorhome units, parts and services, and net motorhome lease revenue.</w:t>
      </w:r>
    </w:p>
    <w:p>
      <w:pPr>
        <w:ind w:left="260" w:hanging="238"/>
        <w:spacing w:after="0" w:line="204" w:lineRule="auto"/>
        <w:tabs>
          <w:tab w:leader="none" w:pos="26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Includes towable units and parts.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Motorhome net revenues increased $16.4 million or 7.4% in the third quarter of Fiscal 2015 attributed primarily to a 11.4% increase in unit deliveries.</w:t>
      </w:r>
    </w:p>
    <w:p>
      <w:pPr>
        <w:spacing w:after="0" w:line="25" w:lineRule="exact"/>
        <w:rPr>
          <w:sz w:val="20"/>
          <w:szCs w:val="20"/>
          <w:color w:val="auto"/>
        </w:rPr>
      </w:pPr>
    </w:p>
    <w:p>
      <w:pPr>
        <w:ind w:left="340" w:right="100" w:hanging="332"/>
        <w:spacing w:after="0" w:line="246"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Approximately $11 million of the incremental revenues was due to the change in our sales agreement with Apollo, a US RV rental company. During the third quarter of Fiscal 2015 we delivered 360 rental units to Apollo. During the third quarter of Fiscal 2014 we delivered 520 rental units to Apollo, of which only 177 were reported as motorhome sales; the remaining 343 were recorded as operating leases.</w:t>
      </w:r>
    </w:p>
    <w:p>
      <w:pPr>
        <w:spacing w:after="0" w:line="1" w:lineRule="exact"/>
        <w:rPr>
          <w:rFonts w:ascii="Arial" w:cs="Arial" w:eastAsia="Arial" w:hAnsi="Arial"/>
          <w:sz w:val="16"/>
          <w:szCs w:val="16"/>
          <w:color w:val="auto"/>
        </w:rPr>
      </w:pPr>
    </w:p>
    <w:p>
      <w:pPr>
        <w:ind w:left="340" w:right="80" w:hanging="332"/>
        <w:spacing w:after="0" w:line="265"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Motorhome ASP dropped slightly due to a shift from Class A products to Class B and C unit sales in the third quarter of Fiscal 2015. This is also related to the increase in lower-priced rental motorhomes in the current quarter.</w:t>
      </w:r>
    </w:p>
    <w:p>
      <w:pPr>
        <w:spacing w:after="0" w:line="14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increase in Towables revenues of $2.7 million or 15.9% was attributed to an increase in ASP of 12.4% and a 2.1% increase in unit deliveries as compared to the third quarter of Fiscal 2014. The increase in ASP was primarily a result of a mix shift of higher priced travel trailers.</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auto"/>
        </w:rPr>
        <w:t>Cost of goods sold was $238.3 million, or 89.4% of net revenues for the third quarter of Fiscal 2015 compared to $221.3 million, or 89.3% of net revenues for the same period a year ago due to the following:</w:t>
      </w:r>
    </w:p>
    <w:p>
      <w:pPr>
        <w:spacing w:after="0" w:line="1" w:lineRule="exact"/>
        <w:rPr>
          <w:sz w:val="20"/>
          <w:szCs w:val="20"/>
          <w:color w:val="auto"/>
        </w:rPr>
      </w:pPr>
    </w:p>
    <w:p>
      <w:pPr>
        <w:ind w:left="340" w:right="180" w:hanging="332"/>
        <w:spacing w:after="0" w:line="246"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Total variable costs (materials, direct labor, variable overhead, delivery expense and warranty), as a percent of net revenues, slightly increased to 84.1% compared to 84.0%.</w:t>
      </w:r>
    </w:p>
    <w:p>
      <w:pPr>
        <w:ind w:left="340" w:right="640" w:hanging="332"/>
        <w:spacing w:after="0" w:line="246"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Fixed overhead (manufacturing support labor, depreciation and facility costs) and research and development-related costs were flat at 5.3% of net revenues in both periods.</w:t>
      </w:r>
    </w:p>
    <w:p>
      <w:pPr>
        <w:ind w:left="340" w:right="380" w:hanging="332"/>
        <w:spacing w:after="0" w:line="265"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All factors considered, gross profit decreased to 10.6% from 10.7% of net revenues. Towables showed improved gross margins, but this was offset by higher manufacturing inefficiencies in motorhomes, which represent a much larger proportion of our revenues.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Selling expenses were $5.2 million and $4.9 million, or 1.9% and 2.0% of net revenues in the third quarter of Fiscal 2015 and Fiscal 2014, respectively.</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Increases in the third quarter of Fiscal 2015 included advertising and product promotions as compared to the prior year.</w:t>
      </w:r>
    </w:p>
    <w:p>
      <w:pPr>
        <w:spacing w:after="0" w:line="147" w:lineRule="exact"/>
        <w:rPr>
          <w:sz w:val="20"/>
          <w:szCs w:val="20"/>
          <w:color w:val="auto"/>
        </w:rPr>
      </w:pPr>
    </w:p>
    <w:p>
      <w:pPr>
        <w:ind w:right="280"/>
        <w:spacing w:after="0" w:line="269" w:lineRule="auto"/>
        <w:rPr>
          <w:sz w:val="20"/>
          <w:szCs w:val="20"/>
          <w:color w:val="auto"/>
        </w:rPr>
      </w:pPr>
      <w:r>
        <w:rPr>
          <w:rFonts w:ascii="Arial" w:cs="Arial" w:eastAsia="Arial" w:hAnsi="Arial"/>
          <w:sz w:val="16"/>
          <w:szCs w:val="16"/>
          <w:color w:val="auto"/>
        </w:rPr>
        <w:t>Although general and administrative expenses increased to $6.5 million from $6.0 million in the third quarter of Fiscal 2015 and Fiscal 2014, respectively, expenses were 2.4% of net revenues in both periods. The increase in the third quarter of Fiscal 2015 was primarily related to $800,000 of incremental costs associated with ERP implementation and the strategic sourcing project.</w:t>
      </w:r>
    </w:p>
    <w:p>
      <w:pPr>
        <w:spacing w:after="0" w:line="111"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Asset impairment expense of $462,000 was recorded in the third quarter of Fiscal 2015 to adjust the net book value on our corporate plane to the fair market value. The plane has been placed for sale due to increased costs associated with ownership.</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Non-operating income of $735,000 in the third quarter of Fiscal 2014 was primarily due to proceeds from our COLI policies.</w:t>
      </w:r>
    </w:p>
    <w:p>
      <w:pPr>
        <w:spacing w:after="0" w:line="248"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The overall effective income tax rate for the third quarter of Fiscal 2015 was 28.6% compared to the effective tax rate of 30.3% for the same period in Fiscal 2014. The decrease in tax rate for the third quarter of Fiscal 2015 is primarily a result of the change in terms of the 2015 Apollo transaction which increased the level of applicable tax credits available. To a lesser extent, the decrease in rate is a result of finalizing the Fiscal 2014 Federal tax return.</w:t>
      </w:r>
    </w:p>
    <w:p>
      <w:pPr>
        <w:spacing w:after="0" w:line="111" w:lineRule="exact"/>
        <w:rPr>
          <w:sz w:val="20"/>
          <w:szCs w:val="20"/>
          <w:color w:val="auto"/>
        </w:rPr>
      </w:pPr>
    </w:p>
    <w:p>
      <w:pPr>
        <w:jc w:val="both"/>
        <w:ind w:right="100"/>
        <w:spacing w:after="0" w:line="269" w:lineRule="auto"/>
        <w:rPr>
          <w:sz w:val="20"/>
          <w:szCs w:val="20"/>
          <w:color w:val="auto"/>
        </w:rPr>
      </w:pPr>
      <w:r>
        <w:rPr>
          <w:rFonts w:ascii="Arial" w:cs="Arial" w:eastAsia="Arial" w:hAnsi="Arial"/>
          <w:sz w:val="16"/>
          <w:szCs w:val="16"/>
          <w:color w:val="auto"/>
        </w:rPr>
        <w:t>Net income and diluted income per share were $11.5 million and $0.43 per share, respectively, for the third quarter of Fiscal 2015. In the third quarter of Fiscal 2014, net income was $11.4 million and diluted income was $0.42 per share. The impact of stock repurchases in the last twelve months on diluted net income per share was an increase of $0.01 for the third quarter of Fiscal 2015. See Part II, Item 2.</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Nine Months of Fiscal 2015 Compared to the Comparable Nine Months of Fiscal 2014</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changes in key items included in the statements of operations: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3"/>
          </w:tcPr>
          <w:p>
            <w:pPr>
              <w:ind w:left="480"/>
              <w:spacing w:after="0"/>
              <w:rPr>
                <w:sz w:val="20"/>
                <w:szCs w:val="20"/>
                <w:color w:val="auto"/>
              </w:rPr>
            </w:pPr>
            <w:r>
              <w:rPr>
                <w:rFonts w:ascii="Arial" w:cs="Arial" w:eastAsia="Arial" w:hAnsi="Arial"/>
                <w:sz w:val="16"/>
                <w:szCs w:val="16"/>
                <w:b w:val="1"/>
                <w:bCs w:val="1"/>
                <w:color w:val="auto"/>
              </w:rPr>
              <w:t>Nine Months Ended</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r>
      <w:tr>
        <w:trPr>
          <w:trHeight w:val="196"/>
        </w:trPr>
        <w:tc>
          <w:tcPr>
            <w:tcW w:w="2900" w:type="dxa"/>
            <w:vAlign w:val="bottom"/>
            <w:gridSpan w:val="2"/>
          </w:tcPr>
          <w:p>
            <w:pPr>
              <w:ind w:left="40"/>
              <w:spacing w:after="0"/>
              <w:rPr>
                <w:sz w:val="20"/>
                <w:szCs w:val="20"/>
                <w:color w:val="auto"/>
              </w:rPr>
            </w:pPr>
            <w:r>
              <w:rPr>
                <w:rFonts w:ascii="Arial" w:cs="Arial" w:eastAsia="Arial" w:hAnsi="Arial"/>
                <w:sz w:val="16"/>
                <w:szCs w:val="16"/>
                <w:b w:val="1"/>
                <w:bCs w:val="1"/>
                <w:color w:val="auto"/>
              </w:rPr>
              <w:t>(In thousands, except percent</w:t>
            </w:r>
          </w:p>
        </w:tc>
        <w:tc>
          <w:tcPr>
            <w:tcW w:w="220" w:type="dxa"/>
            <w:vAlign w:val="bottom"/>
          </w:tcPr>
          <w:p>
            <w:pPr>
              <w:spacing w:after="0"/>
              <w:rPr>
                <w:sz w:val="17"/>
                <w:szCs w:val="17"/>
                <w:color w:val="auto"/>
              </w:rPr>
            </w:pPr>
          </w:p>
        </w:tc>
        <w:tc>
          <w:tcPr>
            <w:tcW w:w="1120" w:type="dxa"/>
            <w:vAlign w:val="bottom"/>
          </w:tcPr>
          <w:p>
            <w:pPr>
              <w:jc w:val="right"/>
              <w:ind w:right="359"/>
              <w:spacing w:after="0"/>
              <w:rPr>
                <w:sz w:val="20"/>
                <w:szCs w:val="20"/>
                <w:color w:val="auto"/>
              </w:rPr>
            </w:pPr>
            <w:r>
              <w:rPr>
                <w:rFonts w:ascii="Arial" w:cs="Arial" w:eastAsia="Arial" w:hAnsi="Arial"/>
                <w:sz w:val="16"/>
                <w:szCs w:val="16"/>
                <w:b w:val="1"/>
                <w:bCs w:val="1"/>
                <w:color w:val="auto"/>
              </w:rPr>
              <w:t>May 30,</w:t>
            </w:r>
          </w:p>
        </w:tc>
        <w:tc>
          <w:tcPr>
            <w:tcW w:w="1420" w:type="dxa"/>
            <w:vAlign w:val="bottom"/>
            <w:gridSpan w:val="2"/>
          </w:tcPr>
          <w:p>
            <w:pPr>
              <w:ind w:left="440"/>
              <w:spacing w:after="0"/>
              <w:rPr>
                <w:sz w:val="20"/>
                <w:szCs w:val="20"/>
                <w:color w:val="auto"/>
              </w:rPr>
            </w:pPr>
            <w:r>
              <w:rPr>
                <w:rFonts w:ascii="Arial" w:cs="Arial" w:eastAsia="Arial" w:hAnsi="Arial"/>
                <w:sz w:val="16"/>
                <w:szCs w:val="16"/>
                <w:b w:val="1"/>
                <w:bCs w:val="1"/>
                <w:color w:val="auto"/>
              </w:rPr>
              <w:t>% of</w:t>
            </w:r>
          </w:p>
        </w:tc>
        <w:tc>
          <w:tcPr>
            <w:tcW w:w="280" w:type="dxa"/>
            <w:vAlign w:val="bottom"/>
          </w:tcPr>
          <w:p>
            <w:pPr>
              <w:spacing w:after="0"/>
              <w:rPr>
                <w:sz w:val="17"/>
                <w:szCs w:val="17"/>
                <w:color w:val="auto"/>
              </w:rPr>
            </w:pPr>
          </w:p>
        </w:tc>
        <w:tc>
          <w:tcPr>
            <w:tcW w:w="1260" w:type="dxa"/>
            <w:vAlign w:val="bottom"/>
          </w:tcPr>
          <w:p>
            <w:pPr>
              <w:jc w:val="right"/>
              <w:ind w:right="439"/>
              <w:spacing w:after="0"/>
              <w:rPr>
                <w:sz w:val="20"/>
                <w:szCs w:val="20"/>
                <w:color w:val="auto"/>
              </w:rPr>
            </w:pPr>
            <w:r>
              <w:rPr>
                <w:rFonts w:ascii="Arial" w:cs="Arial" w:eastAsia="Arial" w:hAnsi="Arial"/>
                <w:sz w:val="16"/>
                <w:szCs w:val="16"/>
                <w:b w:val="1"/>
                <w:bCs w:val="1"/>
                <w:color w:val="auto"/>
              </w:rPr>
              <w:t>May 31,</w:t>
            </w:r>
          </w:p>
        </w:tc>
        <w:tc>
          <w:tcPr>
            <w:tcW w:w="1500" w:type="dxa"/>
            <w:vAlign w:val="bottom"/>
            <w:gridSpan w:val="2"/>
          </w:tcPr>
          <w:p>
            <w:pPr>
              <w:ind w:left="500"/>
              <w:spacing w:after="0"/>
              <w:rPr>
                <w:sz w:val="20"/>
                <w:szCs w:val="20"/>
                <w:color w:val="auto"/>
              </w:rPr>
            </w:pPr>
            <w:r>
              <w:rPr>
                <w:rFonts w:ascii="Arial" w:cs="Arial" w:eastAsia="Arial" w:hAnsi="Arial"/>
                <w:sz w:val="16"/>
                <w:szCs w:val="16"/>
                <w:b w:val="1"/>
                <w:bCs w:val="1"/>
                <w:color w:val="auto"/>
              </w:rPr>
              <w:t>% of</w:t>
            </w:r>
          </w:p>
        </w:tc>
        <w:tc>
          <w:tcPr>
            <w:tcW w:w="200" w:type="dxa"/>
            <w:vAlign w:val="bottom"/>
          </w:tcPr>
          <w:p>
            <w:pPr>
              <w:spacing w:after="0"/>
              <w:rPr>
                <w:sz w:val="17"/>
                <w:szCs w:val="17"/>
                <w:color w:val="auto"/>
              </w:rPr>
            </w:pPr>
          </w:p>
        </w:tc>
        <w:tc>
          <w:tcPr>
            <w:tcW w:w="1300" w:type="dxa"/>
            <w:vAlign w:val="bottom"/>
          </w:tcPr>
          <w:p>
            <w:pPr>
              <w:jc w:val="right"/>
              <w:ind w:right="379"/>
              <w:spacing w:after="0"/>
              <w:rPr>
                <w:sz w:val="20"/>
                <w:szCs w:val="20"/>
                <w:color w:val="auto"/>
              </w:rPr>
            </w:pPr>
            <w:r>
              <w:rPr>
                <w:rFonts w:ascii="Arial" w:cs="Arial" w:eastAsia="Arial" w:hAnsi="Arial"/>
                <w:sz w:val="16"/>
                <w:szCs w:val="16"/>
                <w:b w:val="1"/>
                <w:bCs w:val="1"/>
                <w:color w:val="auto"/>
              </w:rPr>
              <w:t>Increase</w:t>
            </w:r>
          </w:p>
        </w:tc>
        <w:tc>
          <w:tcPr>
            <w:tcW w:w="1220" w:type="dxa"/>
            <w:vAlign w:val="bottom"/>
          </w:tcPr>
          <w:p>
            <w:pPr>
              <w:jc w:val="right"/>
              <w:ind w:right="499"/>
              <w:spacing w:after="0"/>
              <w:rPr>
                <w:sz w:val="20"/>
                <w:szCs w:val="20"/>
                <w:color w:val="auto"/>
              </w:rPr>
            </w:pPr>
            <w:r>
              <w:rPr>
                <w:rFonts w:ascii="Arial" w:cs="Arial" w:eastAsia="Arial" w:hAnsi="Arial"/>
                <w:sz w:val="16"/>
                <w:szCs w:val="16"/>
                <w:b w:val="1"/>
                <w:bCs w:val="1"/>
                <w:color w:val="auto"/>
              </w:rPr>
              <w:t>%</w:t>
            </w:r>
          </w:p>
        </w:tc>
      </w:tr>
      <w:tr>
        <w:trPr>
          <w:trHeight w:val="236"/>
        </w:trPr>
        <w:tc>
          <w:tcPr>
            <w:tcW w:w="28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and per share data)</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2015</w:t>
            </w:r>
          </w:p>
        </w:tc>
        <w:tc>
          <w:tcPr>
            <w:tcW w:w="1320" w:type="dxa"/>
            <w:vAlign w:val="bottom"/>
            <w:tcBorders>
              <w:bottom w:val="single" w:sz="8" w:color="auto"/>
            </w:tcBorders>
          </w:tcPr>
          <w:p>
            <w:pPr>
              <w:jc w:val="right"/>
              <w:ind w:right="179"/>
              <w:spacing w:after="0" w:line="236" w:lineRule="exact"/>
              <w:rPr>
                <w:sz w:val="20"/>
                <w:szCs w:val="20"/>
                <w:color w:val="auto"/>
              </w:rPr>
            </w:pPr>
            <w:r>
              <w:rPr>
                <w:rFonts w:ascii="Arial" w:cs="Arial" w:eastAsia="Arial" w:hAnsi="Arial"/>
                <w:sz w:val="16"/>
                <w:szCs w:val="16"/>
                <w:b w:val="1"/>
                <w:bCs w:val="1"/>
                <w:color w:val="auto"/>
              </w:rPr>
              <w:t>Revenues</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2014</w:t>
            </w:r>
          </w:p>
        </w:tc>
        <w:tc>
          <w:tcPr>
            <w:tcW w:w="1400" w:type="dxa"/>
            <w:vAlign w:val="bottom"/>
            <w:tcBorders>
              <w:bottom w:val="single" w:sz="8" w:color="auto"/>
            </w:tcBorders>
          </w:tcPr>
          <w:p>
            <w:pPr>
              <w:jc w:val="right"/>
              <w:ind w:right="199"/>
              <w:spacing w:after="0" w:line="236" w:lineRule="exact"/>
              <w:rPr>
                <w:sz w:val="20"/>
                <w:szCs w:val="20"/>
                <w:color w:val="auto"/>
              </w:rPr>
            </w:pPr>
            <w:r>
              <w:rPr>
                <w:rFonts w:ascii="Arial" w:cs="Arial" w:eastAsia="Arial" w:hAnsi="Arial"/>
                <w:sz w:val="16"/>
                <w:szCs w:val="16"/>
                <w:b w:val="1"/>
                <w:bCs w:val="1"/>
                <w:color w:val="auto"/>
              </w:rPr>
              <w:t>Revenues</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(Decrease)</w:t>
            </w:r>
          </w:p>
        </w:tc>
        <w:tc>
          <w:tcPr>
            <w:tcW w:w="12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250"/>
        </w:trPr>
        <w:tc>
          <w:tcPr>
            <w:tcW w:w="29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725,456</w:t>
            </w: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699,228</w:t>
            </w:r>
          </w:p>
        </w:tc>
        <w:tc>
          <w:tcPr>
            <w:tcW w:w="1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26,228</w:t>
            </w:r>
          </w:p>
        </w:tc>
        <w:tc>
          <w:tcPr>
            <w:tcW w:w="12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3.8 %</w:t>
            </w:r>
          </w:p>
        </w:tc>
      </w:tr>
      <w:tr>
        <w:trPr>
          <w:trHeight w:val="264"/>
        </w:trPr>
        <w:tc>
          <w:tcPr>
            <w:tcW w:w="29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Cost of goods sold</w:t>
            </w: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648,629</w:t>
            </w: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89.4%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623,940</w:t>
            </w:r>
          </w:p>
        </w:tc>
        <w:tc>
          <w:tcPr>
            <w:tcW w:w="1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89.2 %</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24,689</w:t>
            </w:r>
          </w:p>
        </w:tc>
        <w:tc>
          <w:tcPr>
            <w:tcW w:w="12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4.0 %</w:t>
            </w:r>
          </w:p>
        </w:tc>
      </w:tr>
      <w:tr>
        <w:trPr>
          <w:trHeight w:val="250"/>
        </w:trPr>
        <w:tc>
          <w:tcPr>
            <w:tcW w:w="29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76,827</w:t>
            </w: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75,288</w:t>
            </w:r>
          </w:p>
        </w:tc>
        <w:tc>
          <w:tcPr>
            <w:tcW w:w="14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10.8 %</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1,539</w:t>
            </w:r>
          </w:p>
        </w:tc>
        <w:tc>
          <w:tcPr>
            <w:tcW w:w="12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2.0 %</w:t>
            </w:r>
          </w:p>
        </w:tc>
      </w:tr>
      <w:tr>
        <w:trPr>
          <w:trHeight w:val="284"/>
        </w:trPr>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29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Selling</w:t>
            </w: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14,703</w:t>
            </w: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13,709</w:t>
            </w:r>
          </w:p>
        </w:tc>
        <w:tc>
          <w:tcPr>
            <w:tcW w:w="1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2.0 %</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994</w:t>
            </w:r>
          </w:p>
        </w:tc>
        <w:tc>
          <w:tcPr>
            <w:tcW w:w="12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7.3 %</w:t>
            </w:r>
          </w:p>
        </w:tc>
      </w:tr>
      <w:tr>
        <w:trPr>
          <w:trHeight w:val="262"/>
        </w:trPr>
        <w:tc>
          <w:tcPr>
            <w:tcW w:w="2900" w:type="dxa"/>
            <w:vAlign w:val="bottom"/>
            <w:gridSpan w:val="2"/>
          </w:tcPr>
          <w:p>
            <w:pPr>
              <w:ind w:left="40"/>
              <w:spacing w:after="0"/>
              <w:rPr>
                <w:sz w:val="20"/>
                <w:szCs w:val="20"/>
                <w:color w:val="auto"/>
              </w:rPr>
            </w:pPr>
            <w:r>
              <w:rPr>
                <w:rFonts w:ascii="Arial" w:cs="Arial" w:eastAsia="Arial" w:hAnsi="Arial"/>
                <w:sz w:val="16"/>
                <w:szCs w:val="16"/>
                <w:color w:val="auto"/>
              </w:rPr>
              <w:t>General and administrative</w:t>
            </w:r>
          </w:p>
        </w:tc>
        <w:tc>
          <w:tcPr>
            <w:tcW w:w="220" w:type="dxa"/>
            <w:vAlign w:val="bottom"/>
          </w:tcPr>
          <w:p>
            <w:pPr>
              <w:spacing w:after="0"/>
              <w:rPr>
                <w:sz w:val="22"/>
                <w:szCs w:val="22"/>
                <w:color w:val="auto"/>
              </w:rPr>
            </w:pP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19,154</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color w:val="auto"/>
              </w:rPr>
              <w:t>16,577</w:t>
            </w:r>
          </w:p>
        </w:tc>
        <w:tc>
          <w:tcPr>
            <w:tcW w:w="1400" w:type="dxa"/>
            <w:vAlign w:val="bottom"/>
          </w:tcPr>
          <w:p>
            <w:pPr>
              <w:jc w:val="right"/>
              <w:ind w:right="99"/>
              <w:spacing w:after="0"/>
              <w:rPr>
                <w:sz w:val="20"/>
                <w:szCs w:val="20"/>
                <w:color w:val="auto"/>
              </w:rPr>
            </w:pPr>
            <w:r>
              <w:rPr>
                <w:rFonts w:ascii="Arial" w:cs="Arial" w:eastAsia="Arial" w:hAnsi="Arial"/>
                <w:sz w:val="16"/>
                <w:szCs w:val="16"/>
                <w:color w:val="auto"/>
              </w:rPr>
              <w:t>2.4 %</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ind w:right="219"/>
              <w:spacing w:after="0"/>
              <w:rPr>
                <w:sz w:val="20"/>
                <w:szCs w:val="20"/>
                <w:color w:val="auto"/>
              </w:rPr>
            </w:pPr>
            <w:r>
              <w:rPr>
                <w:rFonts w:ascii="Arial" w:cs="Arial" w:eastAsia="Arial" w:hAnsi="Arial"/>
                <w:sz w:val="16"/>
                <w:szCs w:val="16"/>
                <w:color w:val="auto"/>
              </w:rPr>
              <w:t>2,577</w:t>
            </w: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15.5 %</w:t>
            </w:r>
          </w:p>
        </w:tc>
      </w:tr>
      <w:tr>
        <w:trPr>
          <w:trHeight w:val="271"/>
        </w:trPr>
        <w:tc>
          <w:tcPr>
            <w:tcW w:w="29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Impairment (gain) on fixed assets</w:t>
            </w:r>
          </w:p>
        </w:tc>
        <w:tc>
          <w:tcPr>
            <w:tcW w:w="2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462</w:t>
            </w: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(629)</w:t>
            </w:r>
          </w:p>
        </w:tc>
        <w:tc>
          <w:tcPr>
            <w:tcW w:w="14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1,091</w:t>
            </w:r>
          </w:p>
        </w:tc>
        <w:tc>
          <w:tcPr>
            <w:tcW w:w="12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(173.4)%</w:t>
            </w:r>
          </w:p>
        </w:tc>
      </w:tr>
      <w:tr>
        <w:trPr>
          <w:trHeight w:val="250"/>
        </w:trPr>
        <w:tc>
          <w:tcPr>
            <w:tcW w:w="29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Operating expenses</w:t>
            </w: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34,319</w:t>
            </w: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29,657</w:t>
            </w:r>
          </w:p>
        </w:tc>
        <w:tc>
          <w:tcPr>
            <w:tcW w:w="1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4.2 %</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4,662</w:t>
            </w:r>
          </w:p>
        </w:tc>
        <w:tc>
          <w:tcPr>
            <w:tcW w:w="12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15.7 %</w:t>
            </w:r>
          </w:p>
        </w:tc>
      </w:tr>
      <w:tr>
        <w:trPr>
          <w:trHeight w:val="284"/>
        </w:trPr>
        <w:tc>
          <w:tcPr>
            <w:tcW w:w="2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62"/>
        </w:trPr>
        <w:tc>
          <w:tcPr>
            <w:tcW w:w="2900" w:type="dxa"/>
            <w:vAlign w:val="bottom"/>
            <w:gridSpan w:val="2"/>
          </w:tcPr>
          <w:p>
            <w:pPr>
              <w:ind w:left="40"/>
              <w:spacing w:after="0"/>
              <w:rPr>
                <w:sz w:val="20"/>
                <w:szCs w:val="20"/>
                <w:color w:val="auto"/>
              </w:rPr>
            </w:pPr>
            <w:r>
              <w:rPr>
                <w:rFonts w:ascii="Arial" w:cs="Arial" w:eastAsia="Arial" w:hAnsi="Arial"/>
                <w:sz w:val="16"/>
                <w:szCs w:val="16"/>
                <w:color w:val="auto"/>
              </w:rPr>
              <w:t>Operating income</w:t>
            </w:r>
          </w:p>
        </w:tc>
        <w:tc>
          <w:tcPr>
            <w:tcW w:w="220" w:type="dxa"/>
            <w:vAlign w:val="bottom"/>
          </w:tcPr>
          <w:p>
            <w:pPr>
              <w:spacing w:after="0"/>
              <w:rPr>
                <w:sz w:val="22"/>
                <w:szCs w:val="22"/>
                <w:color w:val="auto"/>
              </w:rPr>
            </w:pP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42,508</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color w:val="auto"/>
              </w:rPr>
              <w:t>45,631</w:t>
            </w:r>
          </w:p>
        </w:tc>
        <w:tc>
          <w:tcPr>
            <w:tcW w:w="1400" w:type="dxa"/>
            <w:vAlign w:val="bottom"/>
          </w:tcPr>
          <w:p>
            <w:pPr>
              <w:jc w:val="right"/>
              <w:ind w:right="99"/>
              <w:spacing w:after="0"/>
              <w:rPr>
                <w:sz w:val="20"/>
                <w:szCs w:val="20"/>
                <w:color w:val="auto"/>
              </w:rPr>
            </w:pPr>
            <w:r>
              <w:rPr>
                <w:rFonts w:ascii="Arial" w:cs="Arial" w:eastAsia="Arial" w:hAnsi="Arial"/>
                <w:sz w:val="16"/>
                <w:szCs w:val="16"/>
                <w:color w:val="auto"/>
              </w:rPr>
              <w:t>6.5 %</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(3,123)</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(6.8)%</w:t>
            </w:r>
          </w:p>
        </w:tc>
      </w:tr>
      <w:tr>
        <w:trPr>
          <w:trHeight w:val="271"/>
        </w:trPr>
        <w:tc>
          <w:tcPr>
            <w:tcW w:w="29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Non-operating income</w:t>
            </w: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35</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752</w:t>
            </w:r>
          </w:p>
        </w:tc>
        <w:tc>
          <w:tcPr>
            <w:tcW w:w="1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0.1 %</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(717)</w:t>
            </w: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(95.3)%</w:t>
            </w:r>
          </w:p>
        </w:tc>
      </w:tr>
      <w:tr>
        <w:trPr>
          <w:trHeight w:val="249"/>
        </w:trPr>
        <w:tc>
          <w:tcPr>
            <w:tcW w:w="2900" w:type="dxa"/>
            <w:vAlign w:val="bottom"/>
            <w:gridSpan w:val="2"/>
          </w:tcPr>
          <w:p>
            <w:pPr>
              <w:ind w:left="40"/>
              <w:spacing w:after="0"/>
              <w:rPr>
                <w:sz w:val="20"/>
                <w:szCs w:val="20"/>
                <w:color w:val="auto"/>
              </w:rPr>
            </w:pPr>
            <w:r>
              <w:rPr>
                <w:rFonts w:ascii="Arial" w:cs="Arial" w:eastAsia="Arial" w:hAnsi="Arial"/>
                <w:sz w:val="16"/>
                <w:szCs w:val="16"/>
                <w:color w:val="auto"/>
              </w:rPr>
              <w:t>Income before income taxes</w:t>
            </w:r>
          </w:p>
        </w:tc>
        <w:tc>
          <w:tcPr>
            <w:tcW w:w="2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42,543</w:t>
            </w:r>
          </w:p>
        </w:tc>
        <w:tc>
          <w:tcPr>
            <w:tcW w:w="13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46,383</w:t>
            </w:r>
          </w:p>
        </w:tc>
        <w:tc>
          <w:tcPr>
            <w:tcW w:w="14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6.6 %</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(3,840)</w:t>
            </w:r>
          </w:p>
        </w:tc>
        <w:tc>
          <w:tcPr>
            <w:tcW w:w="12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(8.3)%</w:t>
            </w:r>
          </w:p>
        </w:tc>
      </w:tr>
      <w:tr>
        <w:trPr>
          <w:trHeight w:val="271"/>
        </w:trPr>
        <w:tc>
          <w:tcPr>
            <w:tcW w:w="29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Provision for taxes</w:t>
            </w:r>
          </w:p>
        </w:tc>
        <w:tc>
          <w:tcPr>
            <w:tcW w:w="2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13,050</w:t>
            </w: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14,259</w:t>
            </w:r>
          </w:p>
        </w:tc>
        <w:tc>
          <w:tcPr>
            <w:tcW w:w="14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2.0 %</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(1,209)</w:t>
            </w:r>
          </w:p>
        </w:tc>
        <w:tc>
          <w:tcPr>
            <w:tcW w:w="12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(8.5)%</w:t>
            </w:r>
          </w:p>
        </w:tc>
      </w:tr>
      <w:tr>
        <w:trPr>
          <w:trHeight w:val="282"/>
        </w:trPr>
        <w:tc>
          <w:tcPr>
            <w:tcW w:w="29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income</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29,493</w:t>
            </w: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32,124</w:t>
            </w:r>
          </w:p>
        </w:tc>
        <w:tc>
          <w:tcPr>
            <w:tcW w:w="1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4.6 %</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(2,631)</w:t>
            </w: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(8.2)%</w:t>
            </w:r>
          </w:p>
        </w:tc>
      </w:tr>
      <w:tr>
        <w:trPr>
          <w:trHeight w:val="265"/>
        </w:trPr>
        <w:tc>
          <w:tcPr>
            <w:tcW w:w="2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62"/>
        </w:trPr>
        <w:tc>
          <w:tcPr>
            <w:tcW w:w="2900" w:type="dxa"/>
            <w:vAlign w:val="bottom"/>
            <w:gridSpan w:val="2"/>
          </w:tcPr>
          <w:p>
            <w:pPr>
              <w:ind w:left="40"/>
              <w:spacing w:after="0"/>
              <w:rPr>
                <w:sz w:val="20"/>
                <w:szCs w:val="20"/>
                <w:color w:val="auto"/>
              </w:rPr>
            </w:pPr>
            <w:r>
              <w:rPr>
                <w:rFonts w:ascii="Arial" w:cs="Arial" w:eastAsia="Arial" w:hAnsi="Arial"/>
                <w:sz w:val="16"/>
                <w:szCs w:val="16"/>
                <w:color w:val="auto"/>
              </w:rPr>
              <w:t>Diluted income per share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1.09</w:t>
            </w: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9"/>
              <w:spacing w:after="0"/>
              <w:rPr>
                <w:sz w:val="20"/>
                <w:szCs w:val="20"/>
                <w:color w:val="auto"/>
              </w:rPr>
            </w:pPr>
            <w:r>
              <w:rPr>
                <w:rFonts w:ascii="Arial" w:cs="Arial" w:eastAsia="Arial" w:hAnsi="Arial"/>
                <w:sz w:val="16"/>
                <w:szCs w:val="16"/>
                <w:color w:val="auto"/>
              </w:rPr>
              <w:t>1.16</w:t>
            </w: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(0.07)</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(6.0)%</w:t>
            </w:r>
          </w:p>
        </w:tc>
      </w:tr>
      <w:tr>
        <w:trPr>
          <w:trHeight w:val="278"/>
        </w:trPr>
        <w:tc>
          <w:tcPr>
            <w:tcW w:w="29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Diluted average shares outstanding</w:t>
            </w: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27,042</w:t>
            </w: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27,666</w:t>
            </w: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(624)</w:t>
            </w: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(2.3)%</w:t>
            </w:r>
          </w:p>
        </w:tc>
      </w:tr>
    </w:tbl>
    <w:p>
      <w:pPr>
        <w:spacing w:after="0" w:line="28" w:lineRule="exact"/>
        <w:rPr>
          <w:sz w:val="20"/>
          <w:szCs w:val="20"/>
          <w:color w:val="auto"/>
        </w:rPr>
      </w:pPr>
    </w:p>
    <w:p>
      <w:pPr>
        <w:ind w:left="160" w:hanging="152"/>
        <w:spacing w:after="0"/>
        <w:tabs>
          <w:tab w:leader="none" w:pos="160"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Percentages may not add due to rounding differences.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1"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84"/>
        </w:trPr>
        <w:tc>
          <w:tcPr>
            <w:tcW w:w="2900" w:type="dxa"/>
            <w:vAlign w:val="bottom"/>
            <w:gridSpan w:val="3"/>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Table of Contents</w:t>
              </w:r>
            </w:hyperlink>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4440" w:type="dxa"/>
            <w:vAlign w:val="bottom"/>
            <w:gridSpan w:val="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464"/>
        </w:trPr>
        <w:tc>
          <w:tcPr>
            <w:tcW w:w="5700" w:type="dxa"/>
            <w:vAlign w:val="bottom"/>
            <w:gridSpan w:val="7"/>
          </w:tcPr>
          <w:p>
            <w:pPr>
              <w:spacing w:after="0"/>
              <w:rPr>
                <w:sz w:val="20"/>
                <w:szCs w:val="20"/>
                <w:color w:val="auto"/>
              </w:rPr>
            </w:pPr>
            <w:r>
              <w:rPr>
                <w:rFonts w:ascii="Arial" w:cs="Arial" w:eastAsia="Arial" w:hAnsi="Arial"/>
                <w:sz w:val="16"/>
                <w:szCs w:val="16"/>
                <w:color w:val="auto"/>
              </w:rPr>
              <w:t>Unit deliveries and ASP, net of discounts, consisted of the following:</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03"/>
        </w:trPr>
        <w:tc>
          <w:tcPr>
            <w:tcW w:w="1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3"/>
          </w:tcPr>
          <w:p>
            <w:pPr>
              <w:ind w:left="480"/>
              <w:spacing w:after="0"/>
              <w:rPr>
                <w:sz w:val="20"/>
                <w:szCs w:val="20"/>
                <w:color w:val="auto"/>
              </w:rPr>
            </w:pPr>
            <w:r>
              <w:rPr>
                <w:rFonts w:ascii="Arial" w:cs="Arial" w:eastAsia="Arial" w:hAnsi="Arial"/>
                <w:sz w:val="16"/>
                <w:szCs w:val="16"/>
                <w:b w:val="1"/>
                <w:bCs w:val="1"/>
                <w:color w:val="auto"/>
              </w:rPr>
              <w:t>Nine Months Ended</w:t>
            </w: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93"/>
        </w:trPr>
        <w:tc>
          <w:tcPr>
            <w:tcW w:w="12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ind w:right="419"/>
              <w:spacing w:after="0"/>
              <w:rPr>
                <w:sz w:val="20"/>
                <w:szCs w:val="20"/>
                <w:color w:val="auto"/>
              </w:rPr>
            </w:pPr>
            <w:r>
              <w:rPr>
                <w:rFonts w:ascii="Arial" w:cs="Arial" w:eastAsia="Arial" w:hAnsi="Arial"/>
                <w:sz w:val="16"/>
                <w:szCs w:val="16"/>
                <w:b w:val="1"/>
                <w:bCs w:val="1"/>
                <w:color w:val="auto"/>
              </w:rPr>
              <w:t>May 30,</w:t>
            </w:r>
          </w:p>
        </w:tc>
        <w:tc>
          <w:tcPr>
            <w:tcW w:w="1400" w:type="dxa"/>
            <w:vAlign w:val="bottom"/>
            <w:gridSpan w:val="2"/>
          </w:tcPr>
          <w:p>
            <w:pPr>
              <w:ind w:left="260"/>
              <w:spacing w:after="0"/>
              <w:rPr>
                <w:sz w:val="20"/>
                <w:szCs w:val="20"/>
                <w:color w:val="auto"/>
              </w:rPr>
            </w:pPr>
            <w:r>
              <w:rPr>
                <w:rFonts w:ascii="Arial" w:cs="Arial" w:eastAsia="Arial" w:hAnsi="Arial"/>
                <w:sz w:val="16"/>
                <w:szCs w:val="16"/>
                <w:b w:val="1"/>
                <w:bCs w:val="1"/>
                <w:color w:val="auto"/>
              </w:rPr>
              <w:t>Product</w:t>
            </w:r>
          </w:p>
        </w:tc>
        <w:tc>
          <w:tcPr>
            <w:tcW w:w="240" w:type="dxa"/>
            <w:vAlign w:val="bottom"/>
          </w:tcPr>
          <w:p>
            <w:pPr>
              <w:spacing w:after="0"/>
              <w:rPr>
                <w:sz w:val="16"/>
                <w:szCs w:val="16"/>
                <w:color w:val="auto"/>
              </w:rPr>
            </w:pPr>
          </w:p>
        </w:tc>
        <w:tc>
          <w:tcPr>
            <w:tcW w:w="1260" w:type="dxa"/>
            <w:vAlign w:val="bottom"/>
          </w:tcPr>
          <w:p>
            <w:pPr>
              <w:jc w:val="right"/>
              <w:ind w:right="479"/>
              <w:spacing w:after="0"/>
              <w:rPr>
                <w:sz w:val="20"/>
                <w:szCs w:val="20"/>
                <w:color w:val="auto"/>
              </w:rPr>
            </w:pPr>
            <w:r>
              <w:rPr>
                <w:rFonts w:ascii="Arial" w:cs="Arial" w:eastAsia="Arial" w:hAnsi="Arial"/>
                <w:sz w:val="16"/>
                <w:szCs w:val="16"/>
                <w:b w:val="1"/>
                <w:bCs w:val="1"/>
                <w:color w:val="auto"/>
              </w:rPr>
              <w:t>May 31,</w:t>
            </w:r>
          </w:p>
        </w:tc>
        <w:tc>
          <w:tcPr>
            <w:tcW w:w="1400" w:type="dxa"/>
            <w:vAlign w:val="bottom"/>
            <w:gridSpan w:val="2"/>
          </w:tcPr>
          <w:p>
            <w:pPr>
              <w:ind w:left="260"/>
              <w:spacing w:after="0"/>
              <w:rPr>
                <w:sz w:val="20"/>
                <w:szCs w:val="20"/>
                <w:color w:val="auto"/>
              </w:rPr>
            </w:pPr>
            <w:r>
              <w:rPr>
                <w:rFonts w:ascii="Arial" w:cs="Arial" w:eastAsia="Arial" w:hAnsi="Arial"/>
                <w:sz w:val="16"/>
                <w:szCs w:val="16"/>
                <w:b w:val="1"/>
                <w:bCs w:val="1"/>
                <w:color w:val="auto"/>
              </w:rPr>
              <w:t>Product</w:t>
            </w:r>
          </w:p>
        </w:tc>
        <w:tc>
          <w:tcPr>
            <w:tcW w:w="240" w:type="dxa"/>
            <w:vAlign w:val="bottom"/>
          </w:tcPr>
          <w:p>
            <w:pPr>
              <w:spacing w:after="0"/>
              <w:rPr>
                <w:sz w:val="16"/>
                <w:szCs w:val="16"/>
                <w:color w:val="auto"/>
              </w:rPr>
            </w:pPr>
          </w:p>
        </w:tc>
        <w:tc>
          <w:tcPr>
            <w:tcW w:w="1320" w:type="dxa"/>
            <w:vAlign w:val="bottom"/>
          </w:tcPr>
          <w:p>
            <w:pPr>
              <w:jc w:val="right"/>
              <w:ind w:right="299"/>
              <w:spacing w:after="0"/>
              <w:rPr>
                <w:sz w:val="20"/>
                <w:szCs w:val="20"/>
                <w:color w:val="auto"/>
              </w:rPr>
            </w:pPr>
            <w:r>
              <w:rPr>
                <w:rFonts w:ascii="Arial" w:cs="Arial" w:eastAsia="Arial" w:hAnsi="Arial"/>
                <w:sz w:val="16"/>
                <w:szCs w:val="16"/>
                <w:b w:val="1"/>
                <w:bCs w:val="1"/>
                <w:color w:val="auto"/>
              </w:rPr>
              <w:t>(Decrease)</w:t>
            </w:r>
          </w:p>
        </w:tc>
        <w:tc>
          <w:tcPr>
            <w:tcW w:w="1260" w:type="dxa"/>
            <w:vAlign w:val="bottom"/>
          </w:tcPr>
          <w:p>
            <w:pPr>
              <w:jc w:val="right"/>
              <w:ind w:right="499"/>
              <w:spacing w:after="0"/>
              <w:rPr>
                <w:sz w:val="20"/>
                <w:szCs w:val="20"/>
                <w:color w:val="auto"/>
              </w:rPr>
            </w:pPr>
            <w:r>
              <w:rPr>
                <w:rFonts w:ascii="Arial" w:cs="Arial" w:eastAsia="Arial" w:hAnsi="Arial"/>
                <w:sz w:val="16"/>
                <w:szCs w:val="16"/>
                <w:b w:val="1"/>
                <w:bCs w:val="1"/>
                <w:color w:val="auto"/>
              </w:rPr>
              <w:t>%</w:t>
            </w:r>
          </w:p>
        </w:tc>
      </w:tr>
      <w:tr>
        <w:trPr>
          <w:trHeight w:val="236"/>
        </w:trPr>
        <w:tc>
          <w:tcPr>
            <w:tcW w:w="28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units)</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2015</w:t>
            </w:r>
          </w:p>
        </w:tc>
        <w:tc>
          <w:tcPr>
            <w:tcW w:w="1280" w:type="dxa"/>
            <w:vAlign w:val="bottom"/>
            <w:tcBorders>
              <w:bottom w:val="single" w:sz="8" w:color="auto"/>
            </w:tcBorders>
          </w:tcPr>
          <w:p>
            <w:pPr>
              <w:jc w:val="right"/>
              <w:ind w:right="319"/>
              <w:spacing w:after="0" w:line="236"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2014</w:t>
            </w:r>
          </w:p>
        </w:tc>
        <w:tc>
          <w:tcPr>
            <w:tcW w:w="1280" w:type="dxa"/>
            <w:vAlign w:val="bottom"/>
            <w:tcBorders>
              <w:bottom w:val="single" w:sz="8" w:color="auto"/>
            </w:tcBorders>
          </w:tcPr>
          <w:p>
            <w:pPr>
              <w:ind w:left="260"/>
              <w:spacing w:after="0" w:line="236"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Increase</w:t>
            </w:r>
          </w:p>
        </w:tc>
        <w:tc>
          <w:tcPr>
            <w:tcW w:w="12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264"/>
        </w:trPr>
        <w:tc>
          <w:tcPr>
            <w:tcW w:w="29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Motorhomes:</w:t>
            </w:r>
          </w:p>
        </w:tc>
        <w:tc>
          <w:tcPr>
            <w:tcW w:w="2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62"/>
        </w:trPr>
        <w:tc>
          <w:tcPr>
            <w:tcW w:w="2900" w:type="dxa"/>
            <w:vAlign w:val="bottom"/>
            <w:gridSpan w:val="3"/>
          </w:tcPr>
          <w:p>
            <w:pPr>
              <w:ind w:left="180"/>
              <w:spacing w:after="0"/>
              <w:rPr>
                <w:sz w:val="20"/>
                <w:szCs w:val="20"/>
                <w:color w:val="auto"/>
              </w:rPr>
            </w:pPr>
            <w:r>
              <w:rPr>
                <w:rFonts w:ascii="Arial" w:cs="Arial" w:eastAsia="Arial" w:hAnsi="Arial"/>
                <w:sz w:val="16"/>
                <w:szCs w:val="16"/>
                <w:color w:val="auto"/>
              </w:rPr>
              <w:t>Class A gas</w:t>
            </w:r>
          </w:p>
        </w:tc>
        <w:tc>
          <w:tcPr>
            <w:tcW w:w="220" w:type="dxa"/>
            <w:vAlign w:val="bottom"/>
          </w:tcPr>
          <w:p>
            <w:pPr>
              <w:spacing w:after="0"/>
              <w:rPr>
                <w:sz w:val="22"/>
                <w:szCs w:val="22"/>
                <w:color w:val="auto"/>
              </w:rPr>
            </w:pP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1,740</w:t>
            </w: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25.9%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ind w:right="179"/>
              <w:spacing w:after="0"/>
              <w:rPr>
                <w:sz w:val="20"/>
                <w:szCs w:val="20"/>
                <w:color w:val="auto"/>
              </w:rPr>
            </w:pPr>
            <w:r>
              <w:rPr>
                <w:rFonts w:ascii="Arial" w:cs="Arial" w:eastAsia="Arial" w:hAnsi="Arial"/>
                <w:sz w:val="16"/>
                <w:szCs w:val="16"/>
                <w:color w:val="auto"/>
              </w:rPr>
              <w:t>2,085</w:t>
            </w: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32.6%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tcPr>
          <w:p>
            <w:pPr>
              <w:jc w:val="right"/>
              <w:ind w:right="219"/>
              <w:spacing w:after="0"/>
              <w:rPr>
                <w:sz w:val="20"/>
                <w:szCs w:val="20"/>
                <w:color w:val="auto"/>
              </w:rPr>
            </w:pPr>
            <w:r>
              <w:rPr>
                <w:rFonts w:ascii="Arial" w:cs="Arial" w:eastAsia="Arial" w:hAnsi="Arial"/>
                <w:sz w:val="16"/>
                <w:szCs w:val="16"/>
                <w:color w:val="auto"/>
              </w:rPr>
              <w:t>(345)</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(16.5)%</w:t>
            </w:r>
          </w:p>
        </w:tc>
      </w:tr>
      <w:tr>
        <w:trPr>
          <w:trHeight w:val="271"/>
        </w:trPr>
        <w:tc>
          <w:tcPr>
            <w:tcW w:w="290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Class A diesel</w:t>
            </w:r>
          </w:p>
        </w:tc>
        <w:tc>
          <w:tcPr>
            <w:tcW w:w="2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883</w:t>
            </w:r>
          </w:p>
        </w:tc>
        <w:tc>
          <w:tcPr>
            <w:tcW w:w="12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13.1%</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1,133</w:t>
            </w:r>
          </w:p>
        </w:tc>
        <w:tc>
          <w:tcPr>
            <w:tcW w:w="12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17.7%</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(250)</w:t>
            </w:r>
          </w:p>
        </w:tc>
        <w:tc>
          <w:tcPr>
            <w:tcW w:w="1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(22.1)%</w:t>
            </w:r>
          </w:p>
        </w:tc>
      </w:tr>
      <w:tr>
        <w:trPr>
          <w:trHeight w:val="249"/>
        </w:trPr>
        <w:tc>
          <w:tcPr>
            <w:tcW w:w="2900" w:type="dxa"/>
            <w:vAlign w:val="bottom"/>
            <w:gridSpan w:val="3"/>
          </w:tcPr>
          <w:p>
            <w:pPr>
              <w:ind w:left="180"/>
              <w:spacing w:after="0"/>
              <w:rPr>
                <w:sz w:val="20"/>
                <w:szCs w:val="20"/>
                <w:color w:val="auto"/>
              </w:rPr>
            </w:pPr>
            <w:r>
              <w:rPr>
                <w:rFonts w:ascii="Arial" w:cs="Arial" w:eastAsia="Arial" w:hAnsi="Arial"/>
                <w:sz w:val="16"/>
                <w:szCs w:val="16"/>
                <w:color w:val="auto"/>
              </w:rPr>
              <w:t>Total Class A</w:t>
            </w:r>
          </w:p>
        </w:tc>
        <w:tc>
          <w:tcPr>
            <w:tcW w:w="220" w:type="dxa"/>
            <w:vAlign w:val="bottom"/>
          </w:tcPr>
          <w:p>
            <w:pPr>
              <w:spacing w:after="0"/>
              <w:rPr>
                <w:sz w:val="21"/>
                <w:szCs w:val="21"/>
                <w:color w:val="auto"/>
              </w:rPr>
            </w:pP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2,623</w:t>
            </w: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39.0%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79"/>
              <w:spacing w:after="0"/>
              <w:rPr>
                <w:sz w:val="20"/>
                <w:szCs w:val="20"/>
                <w:color w:val="auto"/>
              </w:rPr>
            </w:pPr>
            <w:r>
              <w:rPr>
                <w:rFonts w:ascii="Arial" w:cs="Arial" w:eastAsia="Arial" w:hAnsi="Arial"/>
                <w:sz w:val="16"/>
                <w:szCs w:val="16"/>
                <w:color w:val="auto"/>
              </w:rPr>
              <w:t>3,218</w:t>
            </w: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50.4%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219"/>
              <w:spacing w:after="0"/>
              <w:rPr>
                <w:sz w:val="20"/>
                <w:szCs w:val="20"/>
                <w:color w:val="auto"/>
              </w:rPr>
            </w:pPr>
            <w:r>
              <w:rPr>
                <w:rFonts w:ascii="Arial" w:cs="Arial" w:eastAsia="Arial" w:hAnsi="Arial"/>
                <w:sz w:val="16"/>
                <w:szCs w:val="16"/>
                <w:color w:val="auto"/>
              </w:rPr>
              <w:t>(595)</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(18.5)%</w:t>
            </w:r>
          </w:p>
        </w:tc>
      </w:tr>
      <w:tr>
        <w:trPr>
          <w:trHeight w:val="278"/>
        </w:trPr>
        <w:tc>
          <w:tcPr>
            <w:tcW w:w="290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Class B</w:t>
            </w: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735</w:t>
            </w:r>
          </w:p>
        </w:tc>
        <w:tc>
          <w:tcPr>
            <w:tcW w:w="12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10.9%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524</w:t>
            </w:r>
          </w:p>
        </w:tc>
        <w:tc>
          <w:tcPr>
            <w:tcW w:w="12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8.2%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211</w:t>
            </w: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40.3 %</w:t>
            </w:r>
          </w:p>
        </w:tc>
      </w:tr>
      <w:tr>
        <w:trPr>
          <w:trHeight w:val="264"/>
        </w:trPr>
        <w:tc>
          <w:tcPr>
            <w:tcW w:w="2900" w:type="dxa"/>
            <w:vAlign w:val="bottom"/>
            <w:tcBorders>
              <w:bottom w:val="single" w:sz="8" w:color="CCEEFF"/>
            </w:tcBorders>
            <w:gridSpan w:val="3"/>
          </w:tcPr>
          <w:p>
            <w:pPr>
              <w:ind w:left="180"/>
              <w:spacing w:after="0"/>
              <w:rPr>
                <w:sz w:val="20"/>
                <w:szCs w:val="20"/>
                <w:color w:val="auto"/>
              </w:rPr>
            </w:pPr>
            <w:r>
              <w:rPr>
                <w:rFonts w:ascii="Arial" w:cs="Arial" w:eastAsia="Arial" w:hAnsi="Arial"/>
                <w:sz w:val="16"/>
                <w:szCs w:val="16"/>
                <w:color w:val="auto"/>
              </w:rPr>
              <w:t>Class C</w:t>
            </w: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3,373</w:t>
            </w: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50.1%</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2,649</w:t>
            </w: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41.4%</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724</w:t>
            </w: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27.3 %</w:t>
            </w:r>
          </w:p>
        </w:tc>
      </w:tr>
      <w:tr>
        <w:trPr>
          <w:trHeight w:val="243"/>
        </w:trPr>
        <w:tc>
          <w:tcPr>
            <w:tcW w:w="29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6"/>
                <w:szCs w:val="16"/>
                <w:color w:val="auto"/>
              </w:rPr>
              <w:t xml:space="preserve">Total motorhome deliveries </w:t>
            </w:r>
            <w:r>
              <w:rPr>
                <w:rFonts w:ascii="Arial" w:cs="Arial" w:eastAsia="Arial" w:hAnsi="Arial"/>
                <w:sz w:val="21"/>
                <w:szCs w:val="21"/>
                <w:color w:val="auto"/>
                <w:vertAlign w:val="superscript"/>
              </w:rPr>
              <w:t>(2)</w:t>
            </w:r>
          </w:p>
        </w:tc>
        <w:tc>
          <w:tcPr>
            <w:tcW w:w="2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6,731</w:t>
            </w:r>
          </w:p>
        </w:tc>
        <w:tc>
          <w:tcPr>
            <w:tcW w:w="12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6,391</w:t>
            </w:r>
          </w:p>
        </w:tc>
        <w:tc>
          <w:tcPr>
            <w:tcW w:w="12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340</w:t>
            </w:r>
          </w:p>
        </w:tc>
        <w:tc>
          <w:tcPr>
            <w:tcW w:w="12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5.3 %</w:t>
            </w:r>
          </w:p>
        </w:tc>
      </w:tr>
      <w:tr>
        <w:trPr>
          <w:trHeight w:val="20"/>
        </w:trPr>
        <w:tc>
          <w:tcPr>
            <w:tcW w:w="1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64"/>
        </w:trPr>
        <w:tc>
          <w:tcPr>
            <w:tcW w:w="12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0"/>
        </w:trPr>
        <w:tc>
          <w:tcPr>
            <w:tcW w:w="290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ASP (in thousands)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96.1</w:t>
            </w: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98.1</w:t>
            </w: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(2.0)</w:t>
            </w: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(2.1)%</w:t>
            </w:r>
          </w:p>
        </w:tc>
      </w:tr>
      <w:tr>
        <w:trPr>
          <w:trHeight w:val="284"/>
        </w:trPr>
        <w:tc>
          <w:tcPr>
            <w:tcW w:w="1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0"/>
        </w:trPr>
        <w:tc>
          <w:tcPr>
            <w:tcW w:w="29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Towables:</w:t>
            </w: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62"/>
        </w:trPr>
        <w:tc>
          <w:tcPr>
            <w:tcW w:w="2900" w:type="dxa"/>
            <w:vAlign w:val="bottom"/>
            <w:gridSpan w:val="3"/>
          </w:tcPr>
          <w:p>
            <w:pPr>
              <w:ind w:left="180"/>
              <w:spacing w:after="0"/>
              <w:rPr>
                <w:sz w:val="20"/>
                <w:szCs w:val="20"/>
                <w:color w:val="auto"/>
              </w:rPr>
            </w:pPr>
            <w:r>
              <w:rPr>
                <w:rFonts w:ascii="Arial" w:cs="Arial" w:eastAsia="Arial" w:hAnsi="Arial"/>
                <w:sz w:val="16"/>
                <w:szCs w:val="16"/>
                <w:color w:val="auto"/>
              </w:rPr>
              <w:t>Travel trailer</w:t>
            </w:r>
          </w:p>
        </w:tc>
        <w:tc>
          <w:tcPr>
            <w:tcW w:w="220" w:type="dxa"/>
            <w:vAlign w:val="bottom"/>
          </w:tcPr>
          <w:p>
            <w:pPr>
              <w:spacing w:after="0"/>
              <w:rPr>
                <w:sz w:val="22"/>
                <w:szCs w:val="22"/>
                <w:color w:val="auto"/>
              </w:rPr>
            </w:pP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1,567</w:t>
            </w: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82.8%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ind w:right="179"/>
              <w:spacing w:after="0"/>
              <w:rPr>
                <w:sz w:val="20"/>
                <w:szCs w:val="20"/>
                <w:color w:val="auto"/>
              </w:rPr>
            </w:pPr>
            <w:r>
              <w:rPr>
                <w:rFonts w:ascii="Arial" w:cs="Arial" w:eastAsia="Arial" w:hAnsi="Arial"/>
                <w:sz w:val="16"/>
                <w:szCs w:val="16"/>
                <w:color w:val="auto"/>
              </w:rPr>
              <w:t>1,468</w:t>
            </w: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82.2%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tcPr>
          <w:p>
            <w:pPr>
              <w:jc w:val="right"/>
              <w:ind w:right="279"/>
              <w:spacing w:after="0"/>
              <w:rPr>
                <w:sz w:val="20"/>
                <w:szCs w:val="20"/>
                <w:color w:val="auto"/>
              </w:rPr>
            </w:pPr>
            <w:r>
              <w:rPr>
                <w:rFonts w:ascii="Arial" w:cs="Arial" w:eastAsia="Arial" w:hAnsi="Arial"/>
                <w:sz w:val="16"/>
                <w:szCs w:val="16"/>
                <w:color w:val="auto"/>
              </w:rPr>
              <w:t>99</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6.7 %</w:t>
            </w:r>
          </w:p>
        </w:tc>
      </w:tr>
      <w:tr>
        <w:trPr>
          <w:trHeight w:val="271"/>
        </w:trPr>
        <w:tc>
          <w:tcPr>
            <w:tcW w:w="290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Fifth wheel</w:t>
            </w:r>
          </w:p>
        </w:tc>
        <w:tc>
          <w:tcPr>
            <w:tcW w:w="2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326</w:t>
            </w:r>
          </w:p>
        </w:tc>
        <w:tc>
          <w:tcPr>
            <w:tcW w:w="12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17.2%</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318</w:t>
            </w:r>
          </w:p>
        </w:tc>
        <w:tc>
          <w:tcPr>
            <w:tcW w:w="12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17.8%</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8</w:t>
            </w:r>
          </w:p>
        </w:tc>
        <w:tc>
          <w:tcPr>
            <w:tcW w:w="12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2.5 %</w:t>
            </w:r>
          </w:p>
        </w:tc>
      </w:tr>
      <w:tr>
        <w:trPr>
          <w:trHeight w:val="282"/>
        </w:trPr>
        <w:tc>
          <w:tcPr>
            <w:tcW w:w="2900" w:type="dxa"/>
            <w:vAlign w:val="bottom"/>
            <w:tcBorders>
              <w:bottom w:val="single" w:sz="8" w:color="CCEEFF"/>
            </w:tcBorders>
            <w:gridSpan w:val="3"/>
          </w:tcPr>
          <w:p>
            <w:pPr>
              <w:ind w:left="180"/>
              <w:spacing w:after="0"/>
              <w:rPr>
                <w:sz w:val="20"/>
                <w:szCs w:val="20"/>
                <w:color w:val="auto"/>
              </w:rPr>
            </w:pPr>
            <w:r>
              <w:rPr>
                <w:rFonts w:ascii="Arial" w:cs="Arial" w:eastAsia="Arial" w:hAnsi="Arial"/>
                <w:sz w:val="16"/>
                <w:szCs w:val="16"/>
                <w:color w:val="auto"/>
              </w:rPr>
              <w:t>Total towable deliveries</w:t>
            </w: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1,893</w:t>
            </w: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1,786</w:t>
            </w: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107</w:t>
            </w: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6.0 %</w:t>
            </w:r>
          </w:p>
        </w:tc>
      </w:tr>
      <w:tr>
        <w:trPr>
          <w:trHeight w:val="265"/>
        </w:trPr>
        <w:tc>
          <w:tcPr>
            <w:tcW w:w="126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55"/>
        </w:trPr>
        <w:tc>
          <w:tcPr>
            <w:tcW w:w="2900" w:type="dxa"/>
            <w:vAlign w:val="bottom"/>
            <w:gridSpan w:val="3"/>
          </w:tcPr>
          <w:p>
            <w:pPr>
              <w:ind w:left="180"/>
              <w:spacing w:after="0"/>
              <w:rPr>
                <w:sz w:val="20"/>
                <w:szCs w:val="20"/>
                <w:color w:val="auto"/>
              </w:rPr>
            </w:pPr>
            <w:r>
              <w:rPr>
                <w:rFonts w:ascii="Arial" w:cs="Arial" w:eastAsia="Arial" w:hAnsi="Arial"/>
                <w:sz w:val="16"/>
                <w:szCs w:val="16"/>
                <w:color w:val="auto"/>
              </w:rPr>
              <w:t>ASP (in thousands)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26.0</w:t>
            </w: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79"/>
              <w:spacing w:after="0"/>
              <w:rPr>
                <w:sz w:val="20"/>
                <w:szCs w:val="20"/>
                <w:color w:val="auto"/>
              </w:rPr>
            </w:pPr>
            <w:r>
              <w:rPr>
                <w:rFonts w:ascii="Arial" w:cs="Arial" w:eastAsia="Arial" w:hAnsi="Arial"/>
                <w:sz w:val="16"/>
                <w:szCs w:val="16"/>
                <w:color w:val="auto"/>
              </w:rPr>
              <w:t>23.3</w:t>
            </w: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79"/>
              <w:spacing w:after="0"/>
              <w:rPr>
                <w:sz w:val="20"/>
                <w:szCs w:val="20"/>
                <w:color w:val="auto"/>
              </w:rPr>
            </w:pPr>
            <w:r>
              <w:rPr>
                <w:rFonts w:ascii="Arial" w:cs="Arial" w:eastAsia="Arial" w:hAnsi="Arial"/>
                <w:sz w:val="16"/>
                <w:szCs w:val="16"/>
                <w:color w:val="auto"/>
              </w:rPr>
              <w:t>2.7</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11.6 %</w:t>
            </w:r>
          </w:p>
        </w:tc>
      </w:tr>
    </w:tbl>
    <w:p>
      <w:pPr>
        <w:ind w:left="160" w:hanging="152"/>
        <w:spacing w:after="0" w:line="227" w:lineRule="auto"/>
        <w:tabs>
          <w:tab w:leader="none" w:pos="160" w:val="left"/>
        </w:tabs>
        <w:numPr>
          <w:ilvl w:val="0"/>
          <w:numId w:val="19"/>
        </w:numPr>
        <w:rPr>
          <w:rFonts w:ascii="Arial" w:cs="Arial" w:eastAsia="Arial" w:hAnsi="Arial"/>
          <w:sz w:val="18"/>
          <w:szCs w:val="18"/>
          <w:color w:val="auto"/>
          <w:vertAlign w:val="superscript"/>
        </w:rPr>
      </w:pPr>
      <w:r>
        <w:rPr>
          <w:rFonts w:ascii="Arial" w:cs="Arial" w:eastAsia="Arial" w:hAnsi="Arial"/>
          <w:sz w:val="14"/>
          <w:szCs w:val="14"/>
          <w:color w:val="auto"/>
        </w:rPr>
        <w:t>Percentages may not add due to rounding differences.</w:t>
      </w:r>
    </w:p>
    <w:p>
      <w:pPr>
        <w:ind w:left="180" w:right="360" w:hanging="172"/>
        <w:spacing w:after="0" w:line="217" w:lineRule="auto"/>
        <w:tabs>
          <w:tab w:leader="none" w:pos="180" w:val="left"/>
        </w:tabs>
        <w:numPr>
          <w:ilvl w:val="0"/>
          <w:numId w:val="19"/>
        </w:numPr>
        <w:rPr>
          <w:rFonts w:ascii="Arial" w:cs="Arial" w:eastAsia="Arial" w:hAnsi="Arial"/>
          <w:sz w:val="21"/>
          <w:szCs w:val="21"/>
          <w:color w:val="auto"/>
          <w:vertAlign w:val="superscript"/>
        </w:rPr>
      </w:pPr>
      <w:r>
        <w:rPr>
          <w:rFonts w:ascii="Arial" w:cs="Arial" w:eastAsia="Arial" w:hAnsi="Arial"/>
          <w:sz w:val="14"/>
          <w:szCs w:val="14"/>
          <w:color w:val="auto"/>
        </w:rPr>
        <w:t>An additional 343 motorhomes were delivered in Fiscal 2014 but not included in wholesale deliveries as presented in the table above as the units are subject to repurchase option. See Note 5 to the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Net revenues consisted of the following:</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3"/>
          </w:tcPr>
          <w:p>
            <w:pPr>
              <w:ind w:left="340"/>
              <w:spacing w:after="0"/>
              <w:rPr>
                <w:sz w:val="20"/>
                <w:szCs w:val="20"/>
                <w:color w:val="auto"/>
              </w:rPr>
            </w:pPr>
            <w:r>
              <w:rPr>
                <w:rFonts w:ascii="Arial" w:cs="Arial" w:eastAsia="Arial" w:hAnsi="Arial"/>
                <w:sz w:val="16"/>
                <w:szCs w:val="16"/>
                <w:b w:val="1"/>
                <w:bCs w:val="1"/>
                <w:color w:val="auto"/>
              </w:rPr>
              <w:t>Nine Months Ended</w:t>
            </w: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193"/>
        </w:trPr>
        <w:tc>
          <w:tcPr>
            <w:tcW w:w="2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b w:val="1"/>
                <w:bCs w:val="1"/>
                <w:color w:val="auto"/>
              </w:rPr>
              <w:t>May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20" w:type="dxa"/>
            <w:vAlign w:val="bottom"/>
          </w:tcPr>
          <w:p>
            <w:pPr>
              <w:jc w:val="right"/>
              <w:ind w:right="99"/>
              <w:spacing w:after="0"/>
              <w:rPr>
                <w:sz w:val="20"/>
                <w:szCs w:val="20"/>
                <w:color w:val="auto"/>
              </w:rPr>
            </w:pPr>
            <w:r>
              <w:rPr>
                <w:rFonts w:ascii="Arial" w:cs="Arial" w:eastAsia="Arial" w:hAnsi="Arial"/>
                <w:sz w:val="16"/>
                <w:szCs w:val="16"/>
                <w:b w:val="1"/>
                <w:bCs w:val="1"/>
                <w:color w:val="auto"/>
              </w:rPr>
              <w:t>May 31,</w:t>
            </w: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ind w:right="419"/>
              <w:spacing w:after="0"/>
              <w:rPr>
                <w:sz w:val="20"/>
                <w:szCs w:val="20"/>
                <w:color w:val="auto"/>
              </w:rPr>
            </w:pPr>
            <w:r>
              <w:rPr>
                <w:rFonts w:ascii="Arial" w:cs="Arial" w:eastAsia="Arial" w:hAnsi="Arial"/>
                <w:sz w:val="16"/>
                <w:szCs w:val="16"/>
                <w:b w:val="1"/>
                <w:bCs w:val="1"/>
                <w:color w:val="auto"/>
              </w:rPr>
              <w:t>Increase</w:t>
            </w:r>
          </w:p>
        </w:tc>
        <w:tc>
          <w:tcPr>
            <w:tcW w:w="1260" w:type="dxa"/>
            <w:vAlign w:val="bottom"/>
          </w:tcPr>
          <w:p>
            <w:pPr>
              <w:jc w:val="right"/>
              <w:ind w:right="539"/>
              <w:spacing w:after="0"/>
              <w:rPr>
                <w:sz w:val="20"/>
                <w:szCs w:val="20"/>
                <w:color w:val="auto"/>
              </w:rPr>
            </w:pPr>
            <w:r>
              <w:rPr>
                <w:rFonts w:ascii="Arial" w:cs="Arial" w:eastAsia="Arial" w:hAnsi="Arial"/>
                <w:sz w:val="16"/>
                <w:szCs w:val="16"/>
                <w:b w:val="1"/>
                <w:bCs w:val="1"/>
                <w:color w:val="auto"/>
              </w:rPr>
              <w:t>%</w:t>
            </w:r>
          </w:p>
        </w:tc>
      </w:tr>
      <w:tr>
        <w:trPr>
          <w:trHeight w:val="232"/>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2015</w:t>
            </w: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2014</w:t>
            </w:r>
          </w:p>
        </w:tc>
        <w:tc>
          <w:tcPr>
            <w:tcW w:w="88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(Decrease)</w:t>
            </w:r>
          </w:p>
        </w:tc>
        <w:tc>
          <w:tcPr>
            <w:tcW w:w="12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Change</w:t>
            </w:r>
          </w:p>
        </w:tc>
      </w:tr>
      <w:tr>
        <w:trPr>
          <w:trHeight w:val="254"/>
        </w:trPr>
        <w:tc>
          <w:tcPr>
            <w:tcW w:w="28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Motorhomes </w:t>
            </w:r>
            <w:r>
              <w:rPr>
                <w:rFonts w:ascii="Arial" w:cs="Arial" w:eastAsia="Arial" w:hAnsi="Arial"/>
                <w:sz w:val="21"/>
                <w:szCs w:val="21"/>
                <w:color w:val="auto"/>
                <w:vertAlign w:val="superscript"/>
              </w:rPr>
              <w:t>(1)</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652,919</w:t>
            </w: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90.0%</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632,982</w:t>
            </w: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90.5%</w:t>
            </w: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19,937</w:t>
            </w: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3.1 %</w:t>
            </w:r>
          </w:p>
        </w:tc>
      </w:tr>
      <w:tr>
        <w:trPr>
          <w:trHeight w:val="270"/>
        </w:trPr>
        <w:tc>
          <w:tcPr>
            <w:tcW w:w="2840" w:type="dxa"/>
            <w:vAlign w:val="bottom"/>
            <w:gridSpan w:val="2"/>
          </w:tcPr>
          <w:p>
            <w:pPr>
              <w:ind w:left="40"/>
              <w:spacing w:after="0"/>
              <w:rPr>
                <w:sz w:val="20"/>
                <w:szCs w:val="20"/>
                <w:color w:val="auto"/>
              </w:rPr>
            </w:pPr>
            <w:r>
              <w:rPr>
                <w:rFonts w:ascii="Arial" w:cs="Arial" w:eastAsia="Arial" w:hAnsi="Arial"/>
                <w:sz w:val="16"/>
                <w:szCs w:val="16"/>
                <w:color w:val="auto"/>
              </w:rPr>
              <w:t xml:space="preserve">Towables </w:t>
            </w:r>
            <w:r>
              <w:rPr>
                <w:rFonts w:ascii="Arial" w:cs="Arial" w:eastAsia="Arial" w:hAnsi="Arial"/>
                <w:sz w:val="21"/>
                <w:szCs w:val="21"/>
                <w:color w:val="auto"/>
                <w:vertAlign w:val="superscript"/>
              </w:rPr>
              <w:t>(2)</w:t>
            </w:r>
          </w:p>
        </w:tc>
        <w:tc>
          <w:tcPr>
            <w:tcW w:w="360" w:type="dxa"/>
            <w:vAlign w:val="bottom"/>
          </w:tcPr>
          <w:p>
            <w:pPr>
              <w:spacing w:after="0"/>
              <w:rPr>
                <w:sz w:val="23"/>
                <w:szCs w:val="23"/>
                <w:color w:val="auto"/>
              </w:rPr>
            </w:pPr>
          </w:p>
        </w:tc>
        <w:tc>
          <w:tcPr>
            <w:tcW w:w="1380" w:type="dxa"/>
            <w:vAlign w:val="bottom"/>
          </w:tcPr>
          <w:p>
            <w:pPr>
              <w:jc w:val="right"/>
              <w:ind w:right="499"/>
              <w:spacing w:after="0"/>
              <w:rPr>
                <w:sz w:val="20"/>
                <w:szCs w:val="20"/>
                <w:color w:val="auto"/>
              </w:rPr>
            </w:pPr>
            <w:r>
              <w:rPr>
                <w:rFonts w:ascii="Arial" w:cs="Arial" w:eastAsia="Arial" w:hAnsi="Arial"/>
                <w:sz w:val="16"/>
                <w:szCs w:val="16"/>
                <w:color w:val="auto"/>
              </w:rPr>
              <w:t>48,859</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20" w:type="dxa"/>
            <w:vAlign w:val="bottom"/>
          </w:tcPr>
          <w:p>
            <w:pPr>
              <w:jc w:val="right"/>
              <w:ind w:right="459"/>
              <w:spacing w:after="0"/>
              <w:rPr>
                <w:sz w:val="20"/>
                <w:szCs w:val="20"/>
                <w:color w:val="auto"/>
              </w:rPr>
            </w:pPr>
            <w:r>
              <w:rPr>
                <w:rFonts w:ascii="Arial" w:cs="Arial" w:eastAsia="Arial" w:hAnsi="Arial"/>
                <w:sz w:val="16"/>
                <w:szCs w:val="16"/>
                <w:color w:val="auto"/>
              </w:rPr>
              <w:t>41,431</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5.9%</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20" w:type="dxa"/>
            <w:vAlign w:val="bottom"/>
          </w:tcPr>
          <w:p>
            <w:pPr>
              <w:jc w:val="right"/>
              <w:ind w:right="259"/>
              <w:spacing w:after="0"/>
              <w:rPr>
                <w:sz w:val="20"/>
                <w:szCs w:val="20"/>
                <w:color w:val="auto"/>
              </w:rPr>
            </w:pPr>
            <w:r>
              <w:rPr>
                <w:rFonts w:ascii="Arial" w:cs="Arial" w:eastAsia="Arial" w:hAnsi="Arial"/>
                <w:sz w:val="16"/>
                <w:szCs w:val="16"/>
                <w:color w:val="auto"/>
              </w:rPr>
              <w:t>7,428</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17.9 %</w:t>
            </w:r>
          </w:p>
        </w:tc>
      </w:tr>
      <w:tr>
        <w:trPr>
          <w:trHeight w:val="264"/>
        </w:trPr>
        <w:tc>
          <w:tcPr>
            <w:tcW w:w="28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 manufactured products</w:t>
            </w:r>
          </w:p>
        </w:tc>
        <w:tc>
          <w:tcPr>
            <w:tcW w:w="36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color w:val="auto"/>
              </w:rPr>
              <w:t>23,678</w:t>
            </w: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24,815</w:t>
            </w:r>
          </w:p>
        </w:tc>
        <w:tc>
          <w:tcPr>
            <w:tcW w:w="8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3.6%</w:t>
            </w:r>
          </w:p>
        </w:tc>
        <w:tc>
          <w:tcPr>
            <w:tcW w:w="2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(1,137)</w:t>
            </w:r>
          </w:p>
        </w:tc>
        <w:tc>
          <w:tcPr>
            <w:tcW w:w="1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(4.6)%</w:t>
            </w:r>
          </w:p>
        </w:tc>
      </w:tr>
      <w:tr>
        <w:trPr>
          <w:trHeight w:val="241"/>
        </w:trPr>
        <w:tc>
          <w:tcPr>
            <w:tcW w:w="2840" w:type="dxa"/>
            <w:vAlign w:val="bottom"/>
            <w:gridSpan w:val="2"/>
          </w:tcPr>
          <w:p>
            <w:pPr>
              <w:ind w:left="40"/>
              <w:spacing w:after="0"/>
              <w:rPr>
                <w:sz w:val="20"/>
                <w:szCs w:val="20"/>
                <w:color w:val="auto"/>
              </w:rPr>
            </w:pPr>
            <w:r>
              <w:rPr>
                <w:rFonts w:ascii="Arial" w:cs="Arial" w:eastAsia="Arial" w:hAnsi="Arial"/>
                <w:sz w:val="16"/>
                <w:szCs w:val="16"/>
                <w:color w:val="auto"/>
              </w:rPr>
              <w:t>Total net revenues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499"/>
              <w:spacing w:after="0"/>
              <w:rPr>
                <w:sz w:val="20"/>
                <w:szCs w:val="20"/>
                <w:color w:val="auto"/>
              </w:rPr>
            </w:pPr>
            <w:r>
              <w:rPr>
                <w:rFonts w:ascii="Arial" w:cs="Arial" w:eastAsia="Arial" w:hAnsi="Arial"/>
                <w:sz w:val="16"/>
                <w:szCs w:val="16"/>
                <w:color w:val="auto"/>
              </w:rPr>
              <w:t>725,456</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459"/>
              <w:spacing w:after="0"/>
              <w:rPr>
                <w:sz w:val="20"/>
                <w:szCs w:val="20"/>
                <w:color w:val="auto"/>
              </w:rPr>
            </w:pPr>
            <w:r>
              <w:rPr>
                <w:rFonts w:ascii="Arial" w:cs="Arial" w:eastAsia="Arial" w:hAnsi="Arial"/>
                <w:sz w:val="16"/>
                <w:szCs w:val="16"/>
                <w:color w:val="auto"/>
              </w:rPr>
              <w:t>699,228</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100.0%</w:t>
            </w:r>
          </w:p>
        </w:tc>
        <w:tc>
          <w:tcPr>
            <w:tcW w:w="2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59"/>
              <w:spacing w:after="0"/>
              <w:rPr>
                <w:sz w:val="20"/>
                <w:szCs w:val="20"/>
                <w:color w:val="auto"/>
              </w:rPr>
            </w:pPr>
            <w:r>
              <w:rPr>
                <w:rFonts w:ascii="Arial" w:cs="Arial" w:eastAsia="Arial" w:hAnsi="Arial"/>
                <w:sz w:val="16"/>
                <w:szCs w:val="16"/>
                <w:color w:val="auto"/>
              </w:rPr>
              <w:t>26,228</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3.8 %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1805940</wp:posOffset>
            </wp:positionH>
            <wp:positionV relativeFrom="paragraph">
              <wp:posOffset>1270</wp:posOffset>
            </wp:positionV>
            <wp:extent cx="531685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16855" cy="26035"/>
                    </a:xfrm>
                    <a:prstGeom prst="rect">
                      <a:avLst/>
                    </a:prstGeom>
                    <a:noFill/>
                  </pic:spPr>
                </pic:pic>
              </a:graphicData>
            </a:graphic>
          </wp:anchor>
        </w:drawing>
      </w:r>
    </w:p>
    <w:p>
      <w:pPr>
        <w:ind w:left="260" w:hanging="238"/>
        <w:spacing w:after="0"/>
        <w:tabs>
          <w:tab w:leader="none" w:pos="260"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Includes motorhome units, parts and services.</w:t>
      </w:r>
    </w:p>
    <w:p>
      <w:pPr>
        <w:ind w:left="260" w:hanging="238"/>
        <w:spacing w:after="0" w:line="204" w:lineRule="auto"/>
        <w:tabs>
          <w:tab w:leader="none" w:pos="260"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Includes towable units and parts.</w:t>
      </w:r>
    </w:p>
    <w:p>
      <w:pPr>
        <w:spacing w:after="0" w:line="152"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The increase in motorhome net revenues of $19.9 million or 3.1% was attributed primarily to a 5.3% increase in unit deliveries in the first nine months of Fiscal 2015 as compared to the first nine months of Fiscal 2014.</w:t>
      </w:r>
    </w:p>
    <w:p>
      <w:pPr>
        <w:spacing w:after="0" w:line="1" w:lineRule="exact"/>
        <w:rPr>
          <w:sz w:val="20"/>
          <w:szCs w:val="20"/>
          <w:color w:val="auto"/>
        </w:rPr>
      </w:pPr>
    </w:p>
    <w:p>
      <w:pPr>
        <w:ind w:left="340" w:right="100" w:hanging="332"/>
        <w:spacing w:after="0" w:line="246"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Approximately $11 million of the incremental revenues was due to the change in our sales agreement with Apollo, a US RV rental company. During the third quarter of Fiscal 2015 we delivered 360 rental units to Apollo. During the third quarter of Fiscal 2014 we delivered 520 rental units to Apollo, of which only 177 were reported as motorhome sales; the remaining 343 were recorded as operating leases due to a repurchase obligation in Fiscal 2014.</w:t>
      </w:r>
    </w:p>
    <w:p>
      <w:pPr>
        <w:spacing w:after="0" w:line="1" w:lineRule="exact"/>
        <w:rPr>
          <w:rFonts w:ascii="Arial" w:cs="Arial" w:eastAsia="Arial" w:hAnsi="Arial"/>
          <w:sz w:val="16"/>
          <w:szCs w:val="16"/>
          <w:color w:val="auto"/>
        </w:rPr>
      </w:pPr>
    </w:p>
    <w:p>
      <w:pPr>
        <w:ind w:left="340" w:right="260" w:hanging="332"/>
        <w:spacing w:after="0" w:line="265"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Motorhome ASP decreased 2.1% as compared to the first nine months of Fiscal 2014. The decrease in ASP was primarily due to a lower percentage of class A gas and diesel unit sales in the first nine months of Fiscal 2015.</w:t>
      </w:r>
    </w:p>
    <w:p>
      <w:pPr>
        <w:spacing w:after="0" w:line="141"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color w:val="auto"/>
        </w:rPr>
        <w:t>Towables revenues increased 17.9%, and were $48.9 million in the first nine months of Fiscal 2015, compared to $41.4 million in the first nine months of Fiscal 2014. The increase in revenues was a result of an 11.6% increase in ASP due to a mix of travel trailers and fifth wheels at higher price points and a 6.0% increase in unit deliveries.</w:t>
      </w:r>
    </w:p>
    <w:p>
      <w:pPr>
        <w:spacing w:after="0" w:line="138"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Cost of goods sold was $648.6 million, or 89.4% of net revenues for the first nine months of Fiscal 2015 compared to $623.9 million, or 89.2% of net revenues for the first nine months of Fiscal 2014 due to the following:</w:t>
      </w:r>
    </w:p>
    <w:p>
      <w:pPr>
        <w:spacing w:after="0" w:line="1" w:lineRule="exact"/>
        <w:rPr>
          <w:sz w:val="20"/>
          <w:szCs w:val="20"/>
          <w:color w:val="auto"/>
        </w:rPr>
      </w:pPr>
    </w:p>
    <w:p>
      <w:pPr>
        <w:ind w:left="340" w:right="60" w:hanging="332"/>
        <w:spacing w:after="0" w:line="264" w:lineRule="auto"/>
        <w:tabs>
          <w:tab w:leader="none" w:pos="34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6"/>
          <w:szCs w:val="16"/>
          <w:color w:val="auto"/>
        </w:rPr>
        <w:t xml:space="preserve">Total variable costs (materials, direct labor, variable overhead, delivery expense and warranty), as a percent of net revenues, increased to 84.1% </w:t>
      </w:r>
      <w:r>
        <w:rPr>
          <w:rFonts w:ascii="Arial" w:cs="Arial" w:eastAsia="Arial" w:hAnsi="Arial"/>
          <w:sz w:val="18"/>
          <w:szCs w:val="18"/>
          <w:color w:val="auto"/>
        </w:rPr>
        <w:t>in</w:t>
      </w:r>
      <w:r>
        <w:rPr>
          <w:rFonts w:ascii="Arial" w:cs="Arial" w:eastAsia="Arial" w:hAnsi="Arial"/>
          <w:sz w:val="16"/>
          <w:szCs w:val="16"/>
          <w:color w:val="auto"/>
        </w:rPr>
        <w:t xml:space="preserve"> Fiscal 2015 compared to 83.9% in Fiscal 2014. The increase is primarily due to higher manufacturing inefficiencies in Fiscal 2015.</w:t>
      </w:r>
    </w:p>
    <w:p>
      <w:pPr>
        <w:ind w:left="340" w:right="640" w:hanging="332"/>
        <w:spacing w:after="0" w:line="265" w:lineRule="auto"/>
        <w:tabs>
          <w:tab w:leader="none" w:pos="34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6"/>
          <w:szCs w:val="16"/>
          <w:color w:val="auto"/>
        </w:rPr>
        <w:t>Fixed overhead (manufacturing support labor, depreciation and facility costs) and research and development-related costs were flat at 5.3% of net revenues in both periods.</w:t>
      </w: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6"/>
          <w:szCs w:val="16"/>
          <w:color w:val="auto"/>
        </w:rPr>
        <w:t>All factors considered, gross profit decreased to 10.6% from 10.8% of net revenues.</w:t>
      </w:r>
    </w:p>
    <w:p>
      <w:pPr>
        <w:spacing w:after="0" w:line="155" w:lineRule="exact"/>
        <w:rPr>
          <w:sz w:val="20"/>
          <w:szCs w:val="20"/>
          <w:color w:val="auto"/>
        </w:rPr>
      </w:pPr>
    </w:p>
    <w:p>
      <w:pPr>
        <w:ind w:right="300"/>
        <w:spacing w:after="0" w:line="291" w:lineRule="auto"/>
        <w:rPr>
          <w:sz w:val="20"/>
          <w:szCs w:val="20"/>
          <w:color w:val="auto"/>
        </w:rPr>
      </w:pPr>
      <w:r>
        <w:rPr>
          <w:rFonts w:ascii="Arial" w:cs="Arial" w:eastAsia="Arial" w:hAnsi="Arial"/>
          <w:sz w:val="16"/>
          <w:szCs w:val="16"/>
          <w:color w:val="auto"/>
        </w:rPr>
        <w:t>Selling expenses were $14.7 million and $13.7 million in the first nine months of Fiscal 2015 and Fiscal 2014, respectively, and were 2.0% of net revenue in both periods. The increase was primarily related to advertising and product promotions.</w:t>
      </w:r>
    </w:p>
    <w:p>
      <w:pPr>
        <w:sectPr>
          <w:pgSz w:w="11900" w:h="16838" w:orient="portrait"/>
          <w:cols w:equalWidth="0" w:num="1">
            <w:col w:w="11420"/>
          </w:cols>
          <w:pgMar w:left="240" w:top="118" w:right="239" w:bottom="1440" w:gutter="0" w:footer="0" w:header="0"/>
        </w:sect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18" w:right="239" w:bottom="1440" w:gutter="0" w:footer="0" w:header="0"/>
          <w:type w:val="continuous"/>
        </w:sectPr>
      </w:pPr>
    </w:p>
    <w:bookmarkStart w:id="21" w:name="page22"/>
    <w:bookmarkEnd w:id="2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jc w:val="both"/>
        <w:ind w:right="200"/>
        <w:spacing w:after="0" w:line="269" w:lineRule="auto"/>
        <w:rPr>
          <w:sz w:val="20"/>
          <w:szCs w:val="20"/>
          <w:color w:val="auto"/>
        </w:rPr>
      </w:pPr>
      <w:r>
        <w:rPr>
          <w:rFonts w:ascii="Arial" w:cs="Arial" w:eastAsia="Arial" w:hAnsi="Arial"/>
          <w:sz w:val="16"/>
          <w:szCs w:val="16"/>
          <w:color w:val="auto"/>
        </w:rPr>
        <w:t>General and administrative expenses were 2.6% and 2.4% of net revenues in the first nine months of Fiscal 2015 and Fiscal 2014, respectively. General and administrative expenses increased $2.6 million, or 15.5% in the first nine months of Fiscal 2015 compared to the same period in Fiscal 2014. The increase is primarily related to $2.4 million in ERP implementation and the strategic sourcing project.</w:t>
      </w:r>
    </w:p>
    <w:p>
      <w:pPr>
        <w:spacing w:after="0" w:line="111" w:lineRule="exact"/>
        <w:rPr>
          <w:sz w:val="20"/>
          <w:szCs w:val="20"/>
          <w:color w:val="auto"/>
        </w:rPr>
      </w:pPr>
    </w:p>
    <w:p>
      <w:pPr>
        <w:ind w:right="400"/>
        <w:spacing w:after="0" w:line="291" w:lineRule="auto"/>
        <w:rPr>
          <w:sz w:val="20"/>
          <w:szCs w:val="20"/>
          <w:color w:val="auto"/>
        </w:rPr>
      </w:pPr>
      <w:r>
        <w:rPr>
          <w:rFonts w:ascii="Arial" w:cs="Arial" w:eastAsia="Arial" w:hAnsi="Arial"/>
          <w:sz w:val="16"/>
          <w:szCs w:val="16"/>
          <w:color w:val="auto"/>
        </w:rPr>
        <w:t>During the third quarter of Fiscal 2015 we recorded an asset impairment of $462,000 on our corporate plane. During the second quarter of Fiscal 2014 we realized a gain of $629,000 on the sale of a leased warehouse facility.</w:t>
      </w:r>
    </w:p>
    <w:p>
      <w:pPr>
        <w:spacing w:after="0" w:line="94"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Non-operating income of $752,000 in the first nine months of Fiscal 2014 was primarily due to proceeds from our COLI policies. We had no COLI proceeds in the same period in Fiscal 2015.</w:t>
      </w:r>
    </w:p>
    <w:p>
      <w:pPr>
        <w:spacing w:after="0" w:line="175" w:lineRule="exact"/>
        <w:rPr>
          <w:sz w:val="20"/>
          <w:szCs w:val="20"/>
          <w:color w:val="auto"/>
        </w:rPr>
      </w:pPr>
    </w:p>
    <w:p>
      <w:pPr>
        <w:ind w:right="140"/>
        <w:spacing w:after="0" w:line="257" w:lineRule="auto"/>
        <w:rPr>
          <w:sz w:val="20"/>
          <w:szCs w:val="20"/>
          <w:color w:val="auto"/>
        </w:rPr>
      </w:pPr>
      <w:r>
        <w:rPr>
          <w:rFonts w:ascii="Arial" w:cs="Arial" w:eastAsia="Arial" w:hAnsi="Arial"/>
          <w:sz w:val="16"/>
          <w:szCs w:val="16"/>
          <w:color w:val="auto"/>
        </w:rPr>
        <w:t>The overall effective income tax rate for the first nine months of Fiscal 2015 was 30.7% compared to the effective income tax rate of 30.7% for the first nine months of Fiscal 2014. Although the components making up the rate in Fiscal 2015 are slightly different from the components comprising the rate in Fiscal 2014, the differences between the two years are not significant. The legislation for various applicable tax credits expired on December 31, 2014; therefore the projected benefits for these credits are limited to four months of our fiscal year. If the applicable credits are extended, this could potentially reduce our annual tax rate by approximately 0.50% to 0.75%.</w:t>
      </w:r>
    </w:p>
    <w:p>
      <w:pPr>
        <w:spacing w:after="0" w:line="122" w:lineRule="exact"/>
        <w:rPr>
          <w:sz w:val="20"/>
          <w:szCs w:val="20"/>
          <w:color w:val="auto"/>
        </w:rPr>
      </w:pPr>
    </w:p>
    <w:p>
      <w:pPr>
        <w:jc w:val="both"/>
        <w:ind w:right="40"/>
        <w:spacing w:after="0" w:line="269" w:lineRule="auto"/>
        <w:rPr>
          <w:sz w:val="20"/>
          <w:szCs w:val="20"/>
          <w:color w:val="auto"/>
        </w:rPr>
      </w:pPr>
      <w:r>
        <w:rPr>
          <w:rFonts w:ascii="Arial" w:cs="Arial" w:eastAsia="Arial" w:hAnsi="Arial"/>
          <w:sz w:val="16"/>
          <w:szCs w:val="16"/>
          <w:color w:val="auto"/>
        </w:rPr>
        <w:t>Net income and diluted income per share were $29.5 million and $1.09 per share, respectively, for the first nine months of Fiscal 2015. In the first nine months of Fiscal 2014, net income was $32.1 million and diluted net income was $1.16 per share. The impact of stock repurchases in the last twelve months on diluted net income per share was an increase of $0.01 for the first nine months of Fiscal 2015. See Part II, Item 2.</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Analysis of Financial Condition, Liquidity and Resources</w:t>
      </w:r>
    </w:p>
    <w:p>
      <w:pPr>
        <w:spacing w:after="0" w:line="169"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Cash and cash equivalents decreased $8.6 million during the first nine months of Fiscal 2015 and totaled $49.2 million as of May 30, 2015. Significant liquidity events that occurred during the first nine months of Fiscal 2015 were:</w:t>
      </w:r>
    </w:p>
    <w:p>
      <w:pPr>
        <w:spacing w:after="0" w:line="94"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Generation of net income of $29.5 million</w:t>
      </w:r>
    </w:p>
    <w:p>
      <w:pPr>
        <w:spacing w:after="0" w:line="25" w:lineRule="exact"/>
        <w:rPr>
          <w:rFonts w:ascii="Arial" w:cs="Arial" w:eastAsia="Arial" w:hAnsi="Arial"/>
          <w:sz w:val="16"/>
          <w:szCs w:val="16"/>
          <w:color w:val="auto"/>
        </w:rPr>
      </w:pPr>
    </w:p>
    <w:p>
      <w:pPr>
        <w:ind w:left="340" w:hanging="332"/>
        <w:spacing w:after="0"/>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Purchases of property and equipment of $14.2 million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Increase in inventory of $10.8 million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Dividend payments of $7.3 million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Stock repurchases of $6.2 million</w:t>
      </w:r>
    </w:p>
    <w:p>
      <w:pPr>
        <w:spacing w:after="0" w:line="174" w:lineRule="exact"/>
        <w:rPr>
          <w:sz w:val="20"/>
          <w:szCs w:val="20"/>
          <w:color w:val="auto"/>
        </w:rPr>
      </w:pPr>
    </w:p>
    <w:p>
      <w:pPr>
        <w:ind w:right="80"/>
        <w:spacing w:after="0" w:line="269" w:lineRule="auto"/>
        <w:rPr>
          <w:sz w:val="20"/>
          <w:szCs w:val="20"/>
          <w:color w:val="auto"/>
        </w:rPr>
      </w:pPr>
      <w:r>
        <w:rPr>
          <w:rFonts w:ascii="Arial" w:cs="Arial" w:eastAsia="Arial" w:hAnsi="Arial"/>
          <w:sz w:val="16"/>
          <w:szCs w:val="16"/>
          <w:color w:val="auto"/>
        </w:rPr>
        <w:t>As noted in Note 7, through our Amended Credit Agreement with GECC, we have the ability to borrow $35.0 million through a revolving credit facility based on our eligible inventory and certain receivables. In addition, the Amended Credit Agreement also includes a framework to expand the size of the facility up to $50.0 million, based on mutually agreeable terms at the time of the expansion.</w:t>
      </w:r>
    </w:p>
    <w:p>
      <w:pPr>
        <w:spacing w:after="0" w:line="192" w:lineRule="exact"/>
        <w:rPr>
          <w:sz w:val="20"/>
          <w:szCs w:val="20"/>
          <w:color w:val="auto"/>
        </w:rPr>
      </w:pPr>
    </w:p>
    <w:p>
      <w:pPr>
        <w:ind w:right="140"/>
        <w:spacing w:after="0" w:line="261" w:lineRule="auto"/>
        <w:rPr>
          <w:sz w:val="20"/>
          <w:szCs w:val="20"/>
          <w:color w:val="auto"/>
        </w:rPr>
      </w:pPr>
      <w:r>
        <w:rPr>
          <w:rFonts w:ascii="Arial" w:cs="Arial" w:eastAsia="Arial" w:hAnsi="Arial"/>
          <w:sz w:val="16"/>
          <w:szCs w:val="16"/>
          <w:color w:val="auto"/>
        </w:rPr>
        <w:t>We filed a Registration Statement on Form S-3, which was declared effective by the SEC on May 9, 2013. Subject to market conditions, we have the ability to offer and sell up to $35.0 million of our common stock in one or more offerings pursuant to the Registration Statement. The Registration Statement will be available for use for three years from its effective date. We currently have no plans to offer and sell the common stock registered under the Registration Statement; however, it does provide another potential source of liquidity in addition to the alternatives already in place.</w:t>
      </w:r>
    </w:p>
    <w:p>
      <w:pPr>
        <w:spacing w:after="0" w:line="199"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Working capital at May 30, 2015 and August 30, 2014 was $177.4 million and $172.0 million, respectively, an increase of $5.4 million. We currently expect cash on hand, cash collected on receivables, funds generated from operations and the availability under a credit facility to be sufficient to cover both short-term and long-term operating requirements for Fiscal 2015. We anticipate capital expenditures in the fourth quarter of Fiscal 2015 to be approximately $3-5 million, primarily for manufacturing equipment and facilities and IT upgrades.</w:t>
      </w:r>
    </w:p>
    <w:p>
      <w:pPr>
        <w:spacing w:after="0" w:line="199" w:lineRule="exact"/>
        <w:rPr>
          <w:sz w:val="20"/>
          <w:szCs w:val="20"/>
          <w:color w:val="auto"/>
        </w:rPr>
      </w:pPr>
    </w:p>
    <w:p>
      <w:pPr>
        <w:ind w:right="140"/>
        <w:spacing w:after="0" w:line="269" w:lineRule="auto"/>
        <w:rPr>
          <w:sz w:val="20"/>
          <w:szCs w:val="20"/>
          <w:color w:val="auto"/>
        </w:rPr>
      </w:pPr>
      <w:r>
        <w:rPr>
          <w:rFonts w:ascii="Arial" w:cs="Arial" w:eastAsia="Arial" w:hAnsi="Arial"/>
          <w:sz w:val="16"/>
          <w:szCs w:val="16"/>
          <w:color w:val="auto"/>
        </w:rPr>
        <w:t>We made share repurchases of $6.2 million in the first nine months of Fiscal 2015. If we believe the common stock is trading at attractive levels and reflects a prudent use of our capital, subject to compliance with our agreement with GECC, we may purchase additional shares in the remainder of Fiscal 2015. At May 30, 2015 we have $7.4 million remaining on our board repurchase authorization. See Part II, Item 2 of this Form 10-Q.</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Activities</w:t>
      </w:r>
    </w:p>
    <w:p>
      <w:pPr>
        <w:spacing w:after="0" w:line="165"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color w:val="auto"/>
        </w:rPr>
        <w:t>Cash provided by operating activities was $18.6 million for the nine months ended May 30, 2015 compared to $10.2 million for the nine months ended May 31, 2014. In Fiscal 2015 the combination of net income of $29.5 million and changes in non-cash charges (e.g., depreciation, LIFO, stock-based compensation, deferred income taxes) provided $37.5 million of operating cash. Changes in assets and liabilities (primarily an increase in inventories and a decrease in accrued expenses) used $19.0 million of operating cash. In the first nine months of Fiscal 2014, the combination of net income of $32.1 million and changes in non-cash charges (e.g., depreciation, LIFO, stock-based compensation, deferred income taxes) provided $35.3 million of operating cash. Changes in assets and liabilities (primarily increases in inventories) used $25.1 million of operating cash.</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Investing Activities</w:t>
      </w:r>
    </w:p>
    <w:p>
      <w:pPr>
        <w:spacing w:after="0" w:line="246"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color w:val="auto"/>
        </w:rPr>
        <w:t>Cash used in investing activities of $13.7 million for the nine months ended May 30, 2015 was due primarily to capital expenditures of $14.2 million. In the nine months ended May 31, 2014, cash used in investing activities of $1.6 million was due primarily to capital expenditures of $7.0 million partially offset by proceeds from the sale of investments of $2.4 million and proceeds from the sale of property of $2.4 million.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Activities</w:t>
      </w:r>
    </w:p>
    <w:p>
      <w:pPr>
        <w:spacing w:after="0" w:line="165" w:lineRule="exact"/>
        <w:rPr>
          <w:sz w:val="20"/>
          <w:szCs w:val="20"/>
          <w:color w:val="auto"/>
        </w:rPr>
      </w:pPr>
    </w:p>
    <w:p>
      <w:pPr>
        <w:ind w:right="240"/>
        <w:spacing w:after="0" w:line="261" w:lineRule="auto"/>
        <w:rPr>
          <w:sz w:val="20"/>
          <w:szCs w:val="20"/>
          <w:color w:val="auto"/>
        </w:rPr>
      </w:pPr>
      <w:r>
        <w:rPr>
          <w:rFonts w:ascii="Arial" w:cs="Arial" w:eastAsia="Arial" w:hAnsi="Arial"/>
          <w:sz w:val="16"/>
          <w:szCs w:val="16"/>
          <w:color w:val="auto"/>
        </w:rPr>
        <w:t>Cash used in financing activities of $13.5 million for the nine months ended May 30, 2015 was primarily due to $7.3 million for the payment of dividends and $6.2 million in repurchases of our stock. We borrowed and repaid $22.0 million on our line of credit in the nine months ended May 30, 2015. Cash used in financing activities of $22.3 million for the nine months ended May 31, 2014 was primarily due to repurchases of our stock of $24.3 million partially offset by proceeds from the exercise of stock options of $2.1 million.</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Significant Accounting Policies</w:t>
      </w:r>
    </w:p>
    <w:p>
      <w:pPr>
        <w:spacing w:after="0" w:line="196" w:lineRule="exact"/>
        <w:rPr>
          <w:sz w:val="20"/>
          <w:szCs w:val="20"/>
          <w:color w:val="auto"/>
        </w:rPr>
      </w:pPr>
    </w:p>
    <w:p>
      <w:pPr>
        <w:ind w:right="140"/>
        <w:spacing w:after="0" w:line="257" w:lineRule="auto"/>
        <w:rPr>
          <w:sz w:val="20"/>
          <w:szCs w:val="20"/>
          <w:color w:val="auto"/>
        </w:rPr>
      </w:pPr>
      <w:r>
        <w:rPr>
          <w:rFonts w:ascii="Arial" w:cs="Arial" w:eastAsia="Arial" w:hAnsi="Arial"/>
          <w:sz w:val="16"/>
          <w:szCs w:val="16"/>
          <w:color w:val="auto"/>
        </w:rPr>
        <w:t xml:space="preserve">We describe our significant accounting policies in Note 1,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of the Notes to Consolidated Financial Statements included in our Annual Report on Form 10-K for the fiscal year ended August 30, 2014. We discuss our critical accounting estimates in Item 7, </w:t>
      </w:r>
      <w:r>
        <w:rPr>
          <w:rFonts w:ascii="Arial" w:cs="Arial" w:eastAsia="Arial" w:hAnsi="Arial"/>
          <w:sz w:val="16"/>
          <w:szCs w:val="16"/>
          <w:i w:val="1"/>
          <w:iCs w:val="1"/>
          <w:color w:val="auto"/>
        </w:rPr>
        <w:t>Management's</w:t>
      </w:r>
      <w:r>
        <w:rPr>
          <w:rFonts w:ascii="Arial" w:cs="Arial" w:eastAsia="Arial" w:hAnsi="Arial"/>
          <w:sz w:val="16"/>
          <w:szCs w:val="16"/>
          <w:color w:val="auto"/>
        </w:rPr>
        <w:t xml:space="preserve"> </w:t>
      </w:r>
      <w:r>
        <w:rPr>
          <w:rFonts w:ascii="Arial" w:cs="Arial" w:eastAsia="Arial" w:hAnsi="Arial"/>
          <w:sz w:val="16"/>
          <w:szCs w:val="16"/>
          <w:i w:val="1"/>
          <w:iCs w:val="1"/>
          <w:color w:val="auto"/>
        </w:rPr>
        <w:t>Discussion and Analysis of Financial Condition and Results of Operations</w:t>
      </w:r>
      <w:r>
        <w:rPr>
          <w:rFonts w:ascii="Arial" w:cs="Arial" w:eastAsia="Arial" w:hAnsi="Arial"/>
          <w:sz w:val="16"/>
          <w:szCs w:val="16"/>
          <w:color w:val="auto"/>
        </w:rPr>
        <w:t>, in our Annual Report on Form 10-K for the fiscal year ended August 30, 2014. We</w:t>
      </w:r>
      <w:r>
        <w:rPr>
          <w:rFonts w:ascii="Arial" w:cs="Arial" w:eastAsia="Arial" w:hAnsi="Arial"/>
          <w:sz w:val="16"/>
          <w:szCs w:val="16"/>
          <w:i w:val="1"/>
          <w:iCs w:val="1"/>
          <w:color w:val="auto"/>
        </w:rPr>
        <w:t xml:space="preserve"> </w:t>
      </w:r>
      <w:r>
        <w:rPr>
          <w:rFonts w:ascii="Arial" w:cs="Arial" w:eastAsia="Arial" w:hAnsi="Arial"/>
          <w:sz w:val="16"/>
          <w:szCs w:val="16"/>
          <w:color w:val="auto"/>
        </w:rPr>
        <w:t>refer to these disclosures for a detailed explanation of our significant accounting policies and critical accounting estimates. There has been no significant change in our significant accounting policies or critical accounting estimates since the end of Fiscal 2014.</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3. </w:t>
      </w:r>
      <w:r>
        <w:rPr>
          <w:rFonts w:ascii="Arial" w:cs="Arial" w:eastAsia="Arial" w:hAnsi="Arial"/>
          <w:sz w:val="16"/>
          <w:szCs w:val="16"/>
          <w:color w:val="auto"/>
        </w:rPr>
        <w:t>Quantitative and Qualitative Disclosures About Market Risk</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4. </w:t>
      </w:r>
      <w:r>
        <w:rPr>
          <w:rFonts w:ascii="Arial" w:cs="Arial" w:eastAsia="Arial" w:hAnsi="Arial"/>
          <w:sz w:val="16"/>
          <w:szCs w:val="16"/>
          <w:color w:val="auto"/>
        </w:rPr>
        <w:t>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Evaluation of Disclosure Controls and Procedures</w:t>
      </w:r>
    </w:p>
    <w:p>
      <w:pPr>
        <w:spacing w:after="0" w:line="23" w:lineRule="exact"/>
        <w:rPr>
          <w:sz w:val="20"/>
          <w:szCs w:val="20"/>
          <w:color w:val="auto"/>
        </w:rPr>
      </w:pPr>
    </w:p>
    <w:p>
      <w:pPr>
        <w:jc w:val="both"/>
        <w:ind w:right="220"/>
        <w:spacing w:after="0" w:line="246" w:lineRule="auto"/>
        <w:rPr>
          <w:sz w:val="20"/>
          <w:szCs w:val="20"/>
          <w:color w:val="auto"/>
        </w:rPr>
      </w:pPr>
      <w:r>
        <w:rPr>
          <w:rFonts w:ascii="Arial" w:cs="Arial" w:eastAsia="Arial" w:hAnsi="Arial"/>
          <w:sz w:val="16"/>
          <w:szCs w:val="16"/>
          <w:color w:val="auto"/>
        </w:rPr>
        <w:t>We maintain "disclosure controls and procedures", as such term is defined under Securities Exchange Act of 1934, as amended ("Exchange Act") Rule 13a-15(e), that are designed to ensure that information required to be disclosed in our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w:t>
      </w:r>
    </w:p>
    <w:p>
      <w:pPr>
        <w:spacing w:after="0" w:line="2" w:lineRule="exact"/>
        <w:rPr>
          <w:sz w:val="20"/>
          <w:szCs w:val="20"/>
          <w:color w:val="auto"/>
        </w:rPr>
      </w:pPr>
    </w:p>
    <w:p>
      <w:pPr>
        <w:ind w:right="300"/>
        <w:spacing w:after="0" w:line="265" w:lineRule="auto"/>
        <w:rPr>
          <w:sz w:val="20"/>
          <w:szCs w:val="20"/>
          <w:color w:val="auto"/>
        </w:rPr>
      </w:pPr>
      <w:r>
        <w:rPr>
          <w:rFonts w:ascii="Arial" w:cs="Arial" w:eastAsia="Arial" w:hAnsi="Arial"/>
          <w:sz w:val="16"/>
          <w:szCs w:val="16"/>
          <w:color w:val="auto"/>
        </w:rPr>
        <w:t>Management necessarily applied its judgment in assessing the costs and benefits of such controls and procedures, which, by their nature, can provide only reasonable assurance regarding management's disclosure control objectives.</w:t>
      </w:r>
    </w:p>
    <w:p>
      <w:pPr>
        <w:spacing w:after="0" w:line="141" w:lineRule="exact"/>
        <w:rPr>
          <w:sz w:val="20"/>
          <w:szCs w:val="20"/>
          <w:color w:val="auto"/>
        </w:rPr>
      </w:pPr>
    </w:p>
    <w:p>
      <w:pPr>
        <w:ind w:right="200"/>
        <w:spacing w:after="0" w:line="261" w:lineRule="auto"/>
        <w:rPr>
          <w:sz w:val="20"/>
          <w:szCs w:val="20"/>
          <w:color w:val="auto"/>
        </w:rPr>
      </w:pPr>
      <w:r>
        <w:rPr>
          <w:rFonts w:ascii="Arial" w:cs="Arial" w:eastAsia="Arial" w:hAnsi="Arial"/>
          <w:sz w:val="16"/>
          <w:szCs w:val="16"/>
          <w:color w:val="auto"/>
        </w:rPr>
        <w:t>We have carried out an evaluation, under the supervision and with the participation of our management, including our Chief Executive Officer and Chief Financial Officer, of the effectiveness of the design and operation of our disclosure controls and procedures, required by Exchange Act Rule 13a-15(b), as of the end of the period covered by this Report (the "Evaluation Date"). Based on this evaluation, the Chief Executive Officer and Chief Financial Officer have concluded that our disclosure controls and procedures were effective as of the Evaluation Date.</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in Internal Control Over Financial Reporting</w:t>
      </w:r>
    </w:p>
    <w:p>
      <w:pPr>
        <w:spacing w:after="0" w:line="23"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There were no changes in our internal control over financial reporting as defined in Exchange Act Rule 13a-15(f) that occurred during our last fiscal quarter that have materially affected, or are reasonably likely to materially affect, our internal control over financial reporting.</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 OTHER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 </w:t>
      </w:r>
      <w:r>
        <w:rPr>
          <w:rFonts w:ascii="Arial" w:cs="Arial" w:eastAsia="Arial" w:hAnsi="Arial"/>
          <w:sz w:val="16"/>
          <w:szCs w:val="16"/>
          <w:color w:val="auto"/>
        </w:rPr>
        <w:t>Legal Proceedings</w:t>
      </w:r>
    </w:p>
    <w:p>
      <w:pPr>
        <w:spacing w:after="0" w:line="169" w:lineRule="exact"/>
        <w:rPr>
          <w:sz w:val="20"/>
          <w:szCs w:val="20"/>
          <w:color w:val="auto"/>
        </w:rPr>
      </w:pPr>
    </w:p>
    <w:p>
      <w:pPr>
        <w:jc w:val="both"/>
        <w:ind w:right="740"/>
        <w:spacing w:after="0" w:line="269" w:lineRule="auto"/>
        <w:rPr>
          <w:sz w:val="20"/>
          <w:szCs w:val="20"/>
          <w:color w:val="auto"/>
        </w:rPr>
      </w:pPr>
      <w:r>
        <w:rPr>
          <w:rFonts w:ascii="Arial" w:cs="Arial" w:eastAsia="Arial" w:hAnsi="Arial"/>
          <w:sz w:val="16"/>
          <w:szCs w:val="16"/>
          <w:color w:val="auto"/>
        </w:rPr>
        <w:t>We are involved in various legal proceedings which are ordinary litigation incidental to our business, some of which are covered in whole or in part by insurance. We believe, while the final resolution of any such litigation may have an impact on our results for a particular reporting period, the ultimate disposition of such litigation will not have any material adverse effect on our financial position, results of operations or liquidity.</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1A. </w:t>
      </w:r>
      <w:r>
        <w:rPr>
          <w:rFonts w:ascii="Arial" w:cs="Arial" w:eastAsia="Arial" w:hAnsi="Arial"/>
          <w:sz w:val="16"/>
          <w:szCs w:val="16"/>
          <w:color w:val="auto"/>
        </w:rPr>
        <w:t>Risk Factors</w:t>
      </w:r>
    </w:p>
    <w:p>
      <w:pPr>
        <w:spacing w:after="0" w:line="174" w:lineRule="exact"/>
        <w:rPr>
          <w:sz w:val="20"/>
          <w:szCs w:val="20"/>
          <w:color w:val="auto"/>
        </w:rPr>
      </w:pPr>
    </w:p>
    <w:p>
      <w:pPr>
        <w:ind w:right="100"/>
        <w:spacing w:after="0" w:line="215" w:lineRule="exact"/>
        <w:rPr>
          <w:sz w:val="20"/>
          <w:szCs w:val="20"/>
          <w:color w:val="auto"/>
        </w:rPr>
      </w:pPr>
      <w:r>
        <w:rPr>
          <w:rFonts w:ascii="Arial" w:cs="Arial" w:eastAsia="Arial" w:hAnsi="Arial"/>
          <w:sz w:val="16"/>
          <w:szCs w:val="16"/>
          <w:color w:val="auto"/>
        </w:rPr>
        <w:t>There have been no material changes from the risk factors previously disclosed in Part I, Item 1A of our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fiscal year ended August 30, 2014.</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00"/>
          </w:cols>
          <w:pgMar w:left="240" w:top="121" w:right="25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2. </w:t>
      </w:r>
      <w:r>
        <w:rPr>
          <w:rFonts w:ascii="Arial" w:cs="Arial" w:eastAsia="Arial" w:hAnsi="Arial"/>
          <w:sz w:val="16"/>
          <w:szCs w:val="16"/>
          <w:color w:val="auto"/>
        </w:rPr>
        <w:t>Unregistered Sales of Equity Securities and Use of Proceeds</w:t>
      </w:r>
    </w:p>
    <w:p>
      <w:pPr>
        <w:spacing w:after="0" w:line="169"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On December 19, 2007, the Board of Directors authorized the repurchase of outstanding shares of our common stock, depending on market conditions, for an aggregate consideration of up to $60 million. There is no time restriction on this authorization. During the third quarter of Fiscal 2015, 1,195 shares were repurchased under the authorization, at an aggregate cost of $25,000. All of these shares were repurchased from employees who vested in Winnebago Industries shares during the third quarter of Fiscal 2015 and elected to pay their payroll tax via shares as opposed to cash. As of May 30, 2015, there was approximately $7.4 million remaining under this authorization.</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Purchases of our common stock during each fiscal month of the third quarter of Fiscal 2015 were: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1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Arial" w:cs="Arial" w:eastAsia="Arial" w:hAnsi="Arial"/>
                <w:sz w:val="16"/>
                <w:szCs w:val="16"/>
                <w:b w:val="1"/>
                <w:bCs w:val="1"/>
                <w:color w:val="auto"/>
              </w:rPr>
              <w:t>Number of Shares</w:t>
            </w:r>
          </w:p>
        </w:tc>
        <w:tc>
          <w:tcPr>
            <w:tcW w:w="2520" w:type="dxa"/>
            <w:vAlign w:val="bottom"/>
            <w:gridSpan w:val="2"/>
          </w:tcPr>
          <w:p>
            <w:pPr>
              <w:jc w:val="center"/>
              <w:spacing w:after="0"/>
              <w:rPr>
                <w:sz w:val="20"/>
                <w:szCs w:val="20"/>
                <w:color w:val="auto"/>
              </w:rPr>
            </w:pPr>
            <w:r>
              <w:rPr>
                <w:rFonts w:ascii="Arial" w:cs="Arial" w:eastAsia="Arial" w:hAnsi="Arial"/>
                <w:sz w:val="16"/>
                <w:szCs w:val="16"/>
                <w:b w:val="1"/>
                <w:bCs w:val="1"/>
                <w:color w:val="auto"/>
              </w:rPr>
              <w:t>Approximate Dollar Value</w:t>
            </w:r>
          </w:p>
        </w:tc>
      </w:tr>
      <w:tr>
        <w:trPr>
          <w:trHeight w:val="189"/>
        </w:trPr>
        <w:tc>
          <w:tcPr>
            <w:tcW w:w="310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rPr>
              <w:t>Total Number</w:t>
            </w:r>
          </w:p>
        </w:tc>
        <w:tc>
          <w:tcPr>
            <w:tcW w:w="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Arial" w:cs="Arial" w:eastAsia="Arial" w:hAnsi="Arial"/>
                <w:sz w:val="16"/>
                <w:szCs w:val="16"/>
                <w:b w:val="1"/>
                <w:bCs w:val="1"/>
                <w:color w:val="auto"/>
              </w:rPr>
              <w:t>Purchased as Part of</w:t>
            </w:r>
          </w:p>
        </w:tc>
        <w:tc>
          <w:tcPr>
            <w:tcW w:w="2520" w:type="dxa"/>
            <w:vAlign w:val="bottom"/>
            <w:gridSpan w:val="2"/>
          </w:tcPr>
          <w:p>
            <w:pPr>
              <w:jc w:val="center"/>
              <w:ind w:right="19"/>
              <w:spacing w:after="0"/>
              <w:rPr>
                <w:sz w:val="20"/>
                <w:szCs w:val="20"/>
                <w:color w:val="auto"/>
              </w:rPr>
            </w:pPr>
            <w:r>
              <w:rPr>
                <w:rFonts w:ascii="Arial" w:cs="Arial" w:eastAsia="Arial" w:hAnsi="Arial"/>
                <w:sz w:val="16"/>
                <w:szCs w:val="16"/>
                <w:b w:val="1"/>
                <w:bCs w:val="1"/>
                <w:color w:val="auto"/>
              </w:rPr>
              <w:t>of Shares That May Yet Be</w:t>
            </w:r>
          </w:p>
        </w:tc>
      </w:tr>
      <w:tr>
        <w:trPr>
          <w:trHeight w:val="189"/>
        </w:trPr>
        <w:tc>
          <w:tcPr>
            <w:tcW w:w="310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rPr>
              <w:t>of Shares</w:t>
            </w:r>
          </w:p>
        </w:tc>
        <w:tc>
          <w:tcPr>
            <w:tcW w:w="280" w:type="dxa"/>
            <w:vAlign w:val="bottom"/>
          </w:tcPr>
          <w:p>
            <w:pPr>
              <w:spacing w:after="0"/>
              <w:rPr>
                <w:sz w:val="16"/>
                <w:szCs w:val="16"/>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b w:val="1"/>
                <w:bCs w:val="1"/>
                <w:color w:val="auto"/>
              </w:rPr>
              <w:t>Average Price</w:t>
            </w:r>
          </w:p>
        </w:tc>
        <w:tc>
          <w:tcPr>
            <w:tcW w:w="2180" w:type="dxa"/>
            <w:vAlign w:val="bottom"/>
          </w:tcPr>
          <w:p>
            <w:pPr>
              <w:jc w:val="center"/>
              <w:spacing w:after="0"/>
              <w:rPr>
                <w:sz w:val="20"/>
                <w:szCs w:val="20"/>
                <w:color w:val="auto"/>
              </w:rPr>
            </w:pPr>
            <w:r>
              <w:rPr>
                <w:rFonts w:ascii="Arial" w:cs="Arial" w:eastAsia="Arial" w:hAnsi="Arial"/>
                <w:sz w:val="16"/>
                <w:szCs w:val="16"/>
                <w:b w:val="1"/>
                <w:bCs w:val="1"/>
                <w:color w:val="auto"/>
              </w:rPr>
              <w:t>Publicly Announced</w:t>
            </w:r>
          </w:p>
        </w:tc>
        <w:tc>
          <w:tcPr>
            <w:tcW w:w="380" w:type="dxa"/>
            <w:vAlign w:val="bottom"/>
          </w:tcPr>
          <w:p>
            <w:pPr>
              <w:spacing w:after="0"/>
              <w:rPr>
                <w:sz w:val="16"/>
                <w:szCs w:val="16"/>
                <w:color w:val="auto"/>
              </w:rPr>
            </w:pPr>
          </w:p>
        </w:tc>
        <w:tc>
          <w:tcPr>
            <w:tcW w:w="2140" w:type="dxa"/>
            <w:vAlign w:val="bottom"/>
          </w:tcPr>
          <w:p>
            <w:pPr>
              <w:jc w:val="center"/>
              <w:ind w:right="379"/>
              <w:spacing w:after="0"/>
              <w:rPr>
                <w:sz w:val="20"/>
                <w:szCs w:val="20"/>
                <w:color w:val="auto"/>
              </w:rPr>
            </w:pPr>
            <w:r>
              <w:rPr>
                <w:rFonts w:ascii="Arial" w:cs="Arial" w:eastAsia="Arial" w:hAnsi="Arial"/>
                <w:sz w:val="16"/>
                <w:szCs w:val="16"/>
                <w:b w:val="1"/>
                <w:bCs w:val="1"/>
                <w:color w:val="auto"/>
              </w:rPr>
              <w:t>Purchased Under the</w:t>
            </w:r>
          </w:p>
        </w:tc>
      </w:tr>
      <w:tr>
        <w:trPr>
          <w:trHeight w:val="232"/>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Period</w:t>
            </w: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Purchased</w:t>
            </w:r>
          </w:p>
        </w:tc>
        <w:tc>
          <w:tcPr>
            <w:tcW w:w="2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99"/>
              </w:rPr>
              <w:t>Paid per Share</w:t>
            </w: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Plans or Programs</w:t>
            </w:r>
          </w:p>
        </w:tc>
        <w:tc>
          <w:tcPr>
            <w:tcW w:w="38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jc w:val="center"/>
              <w:ind w:right="379"/>
              <w:spacing w:after="0"/>
              <w:rPr>
                <w:sz w:val="20"/>
                <w:szCs w:val="20"/>
                <w:color w:val="auto"/>
              </w:rPr>
            </w:pPr>
            <w:r>
              <w:rPr>
                <w:rFonts w:ascii="Arial" w:cs="Arial" w:eastAsia="Arial" w:hAnsi="Arial"/>
                <w:sz w:val="16"/>
                <w:szCs w:val="16"/>
                <w:b w:val="1"/>
                <w:bCs w:val="1"/>
                <w:color w:val="auto"/>
              </w:rPr>
              <w:t>Plans or Programs</w:t>
            </w:r>
          </w:p>
        </w:tc>
      </w:tr>
      <w:tr>
        <w:trPr>
          <w:trHeight w:val="267"/>
        </w:trPr>
        <w:tc>
          <w:tcPr>
            <w:tcW w:w="3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03/01/15 - 04/04/15</w:t>
            </w:r>
          </w:p>
        </w:tc>
        <w:tc>
          <w:tcPr>
            <w:tcW w:w="1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2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1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7,442,000</w:t>
            </w:r>
          </w:p>
        </w:tc>
      </w:tr>
      <w:tr>
        <w:trPr>
          <w:trHeight w:val="262"/>
        </w:trPr>
        <w:tc>
          <w:tcPr>
            <w:tcW w:w="3100" w:type="dxa"/>
            <w:vAlign w:val="bottom"/>
          </w:tcPr>
          <w:p>
            <w:pPr>
              <w:ind w:left="40"/>
              <w:spacing w:after="0"/>
              <w:rPr>
                <w:sz w:val="20"/>
                <w:szCs w:val="20"/>
                <w:color w:val="auto"/>
              </w:rPr>
            </w:pPr>
            <w:r>
              <w:rPr>
                <w:rFonts w:ascii="Arial" w:cs="Arial" w:eastAsia="Arial" w:hAnsi="Arial"/>
                <w:sz w:val="16"/>
                <w:szCs w:val="16"/>
                <w:color w:val="auto"/>
              </w:rPr>
              <w:t>04/05/15 - 05/02/15</w:t>
            </w:r>
          </w:p>
        </w:tc>
        <w:tc>
          <w:tcPr>
            <w:tcW w:w="1900" w:type="dxa"/>
            <w:vAlign w:val="bottom"/>
          </w:tcPr>
          <w:p>
            <w:pPr>
              <w:jc w:val="right"/>
              <w:ind w:right="99"/>
              <w:spacing w:after="0"/>
              <w:rPr>
                <w:sz w:val="20"/>
                <w:szCs w:val="20"/>
                <w:color w:val="auto"/>
              </w:rPr>
            </w:pPr>
            <w:r>
              <w:rPr>
                <w:rFonts w:ascii="Arial" w:cs="Arial" w:eastAsia="Arial" w:hAnsi="Arial"/>
                <w:sz w:val="16"/>
                <w:szCs w:val="16"/>
                <w:color w:val="auto"/>
              </w:rPr>
              <w:t>787</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79"/>
              <w:spacing w:after="0"/>
              <w:rPr>
                <w:sz w:val="20"/>
                <w:szCs w:val="20"/>
                <w:color w:val="auto"/>
              </w:rPr>
            </w:pPr>
            <w:r>
              <w:rPr>
                <w:rFonts w:ascii="Arial" w:cs="Arial" w:eastAsia="Arial" w:hAnsi="Arial"/>
                <w:sz w:val="16"/>
                <w:szCs w:val="16"/>
                <w:color w:val="auto"/>
              </w:rPr>
              <w:t>21.00</w:t>
            </w:r>
          </w:p>
        </w:tc>
        <w:tc>
          <w:tcPr>
            <w:tcW w:w="2180" w:type="dxa"/>
            <w:vAlign w:val="bottom"/>
          </w:tcPr>
          <w:p>
            <w:pPr>
              <w:jc w:val="right"/>
              <w:ind w:right="119"/>
              <w:spacing w:after="0"/>
              <w:rPr>
                <w:sz w:val="20"/>
                <w:szCs w:val="20"/>
                <w:color w:val="auto"/>
              </w:rPr>
            </w:pPr>
            <w:r>
              <w:rPr>
                <w:rFonts w:ascii="Arial" w:cs="Arial" w:eastAsia="Arial" w:hAnsi="Arial"/>
                <w:sz w:val="16"/>
                <w:szCs w:val="16"/>
                <w:color w:val="auto"/>
              </w:rPr>
              <w:t>787</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2140" w:type="dxa"/>
            <w:vAlign w:val="bottom"/>
          </w:tcPr>
          <w:p>
            <w:pPr>
              <w:jc w:val="right"/>
              <w:ind w:right="359"/>
              <w:spacing w:after="0"/>
              <w:rPr>
                <w:sz w:val="20"/>
                <w:szCs w:val="20"/>
                <w:color w:val="auto"/>
              </w:rPr>
            </w:pPr>
            <w:r>
              <w:rPr>
                <w:rFonts w:ascii="Arial" w:cs="Arial" w:eastAsia="Arial" w:hAnsi="Arial"/>
                <w:sz w:val="16"/>
                <w:szCs w:val="16"/>
                <w:color w:val="auto"/>
              </w:rPr>
              <w:t>7,425,000</w:t>
            </w:r>
          </w:p>
        </w:tc>
      </w:tr>
      <w:tr>
        <w:trPr>
          <w:trHeight w:val="271"/>
        </w:trPr>
        <w:tc>
          <w:tcPr>
            <w:tcW w:w="3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05/03/15 - 05/30/15</w:t>
            </w:r>
          </w:p>
        </w:tc>
        <w:tc>
          <w:tcPr>
            <w:tcW w:w="19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408</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21.21</w:t>
            </w:r>
          </w:p>
        </w:tc>
        <w:tc>
          <w:tcPr>
            <w:tcW w:w="21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408</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1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7,417,000</w:t>
            </w:r>
          </w:p>
        </w:tc>
      </w:tr>
      <w:tr>
        <w:trPr>
          <w:trHeight w:val="269"/>
        </w:trPr>
        <w:tc>
          <w:tcPr>
            <w:tcW w:w="3100" w:type="dxa"/>
            <w:vAlign w:val="bottom"/>
          </w:tcPr>
          <w:p>
            <w:pPr>
              <w:ind w:left="40"/>
              <w:spacing w:after="0"/>
              <w:rPr>
                <w:sz w:val="20"/>
                <w:szCs w:val="20"/>
                <w:color w:val="auto"/>
              </w:rPr>
            </w:pPr>
            <w:r>
              <w:rPr>
                <w:rFonts w:ascii="Arial" w:cs="Arial" w:eastAsia="Arial" w:hAnsi="Arial"/>
                <w:sz w:val="16"/>
                <w:szCs w:val="16"/>
                <w:color w:val="auto"/>
              </w:rPr>
              <w:t>Total</w:t>
            </w:r>
          </w:p>
        </w:tc>
        <w:tc>
          <w:tcPr>
            <w:tcW w:w="19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1,195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21.07</w:t>
            </w:r>
          </w:p>
        </w:tc>
        <w:tc>
          <w:tcPr>
            <w:tcW w:w="2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1,195</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1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7,417,000</w:t>
            </w:r>
          </w:p>
        </w:tc>
      </w:tr>
      <w:tr>
        <w:trPr>
          <w:trHeight w:val="20"/>
        </w:trPr>
        <w:tc>
          <w:tcPr>
            <w:tcW w:w="3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Our Credit Agreement contains covenants that limit our ability, among other things, to pay certain cash dividends. See Note 7 to the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Exhibits</w:t>
      </w:r>
    </w:p>
    <w:p>
      <w:pPr>
        <w:spacing w:after="0" w:line="169" w:lineRule="exact"/>
        <w:rPr>
          <w:sz w:val="20"/>
          <w:szCs w:val="20"/>
          <w:color w:val="auto"/>
        </w:rPr>
      </w:pPr>
    </w:p>
    <w:p>
      <w:pPr>
        <w:spacing w:after="0"/>
        <w:tabs>
          <w:tab w:leader="none" w:pos="960" w:val="left"/>
        </w:tabs>
        <w:rPr>
          <w:sz w:val="20"/>
          <w:szCs w:val="20"/>
          <w:color w:val="auto"/>
        </w:rPr>
      </w:pPr>
      <w:r>
        <w:rPr>
          <w:rFonts w:ascii="Arial" w:cs="Arial" w:eastAsia="Arial" w:hAnsi="Arial"/>
          <w:sz w:val="16"/>
          <w:szCs w:val="16"/>
          <w:color w:val="auto"/>
        </w:rPr>
        <w:t>31.1</w:t>
      </w:r>
      <w:r>
        <w:rPr>
          <w:sz w:val="20"/>
          <w:szCs w:val="20"/>
          <w:color w:val="auto"/>
        </w:rPr>
        <w:tab/>
      </w:r>
      <w:r>
        <w:rPr>
          <w:rFonts w:ascii="Arial" w:cs="Arial" w:eastAsia="Arial" w:hAnsi="Arial"/>
          <w:sz w:val="16"/>
          <w:szCs w:val="16"/>
          <w:color w:val="auto"/>
        </w:rPr>
        <w:t>Certification by the Chief Executive Officer pursuant to Section 302 of the Sarbanes-Oxley Act of 2002 dated June 26, 2015.</w:t>
      </w:r>
    </w:p>
    <w:p>
      <w:pPr>
        <w:spacing w:after="0" w:line="167" w:lineRule="exact"/>
        <w:rPr>
          <w:sz w:val="20"/>
          <w:szCs w:val="20"/>
          <w:color w:val="auto"/>
        </w:rPr>
      </w:pPr>
    </w:p>
    <w:p>
      <w:pPr>
        <w:spacing w:after="0"/>
        <w:tabs>
          <w:tab w:leader="none" w:pos="960" w:val="left"/>
        </w:tabs>
        <w:rPr>
          <w:sz w:val="20"/>
          <w:szCs w:val="20"/>
          <w:color w:val="auto"/>
        </w:rPr>
      </w:pPr>
      <w:r>
        <w:rPr>
          <w:rFonts w:ascii="Arial" w:cs="Arial" w:eastAsia="Arial" w:hAnsi="Arial"/>
          <w:sz w:val="16"/>
          <w:szCs w:val="16"/>
          <w:color w:val="auto"/>
        </w:rPr>
        <w:t>31.2</w:t>
      </w:r>
      <w:r>
        <w:rPr>
          <w:sz w:val="20"/>
          <w:szCs w:val="20"/>
          <w:color w:val="auto"/>
        </w:rPr>
        <w:tab/>
      </w:r>
      <w:r>
        <w:rPr>
          <w:rFonts w:ascii="Arial" w:cs="Arial" w:eastAsia="Arial" w:hAnsi="Arial"/>
          <w:sz w:val="16"/>
          <w:szCs w:val="16"/>
          <w:color w:val="auto"/>
        </w:rPr>
        <w:t>Certification by the Chief Financial Officer pursuant to Section 302 of the Sarbanes-Oxley Act of 2002 dated June 26, 2015.</w:t>
      </w:r>
    </w:p>
    <w:p>
      <w:pPr>
        <w:spacing w:after="0" w:line="167" w:lineRule="exact"/>
        <w:rPr>
          <w:sz w:val="20"/>
          <w:szCs w:val="20"/>
          <w:color w:val="auto"/>
        </w:rPr>
      </w:pPr>
    </w:p>
    <w:p>
      <w:pPr>
        <w:ind w:left="980" w:right="380" w:hanging="971"/>
        <w:spacing w:after="0" w:line="291" w:lineRule="auto"/>
        <w:tabs>
          <w:tab w:leader="none" w:pos="960" w:val="left"/>
        </w:tabs>
        <w:rPr>
          <w:sz w:val="20"/>
          <w:szCs w:val="20"/>
          <w:color w:val="auto"/>
        </w:rPr>
      </w:pPr>
      <w:r>
        <w:rPr>
          <w:rFonts w:ascii="Arial" w:cs="Arial" w:eastAsia="Arial" w:hAnsi="Arial"/>
          <w:sz w:val="16"/>
          <w:szCs w:val="16"/>
          <w:color w:val="auto"/>
        </w:rPr>
        <w:t>32.1</w:t>
      </w:r>
      <w:r>
        <w:rPr>
          <w:sz w:val="20"/>
          <w:szCs w:val="20"/>
          <w:color w:val="auto"/>
        </w:rPr>
        <w:tab/>
      </w:r>
      <w:r>
        <w:rPr>
          <w:rFonts w:ascii="Arial" w:cs="Arial" w:eastAsia="Arial" w:hAnsi="Arial"/>
          <w:sz w:val="16"/>
          <w:szCs w:val="16"/>
          <w:color w:val="auto"/>
        </w:rPr>
        <w:t>Certification by the Chief Executive Officer pursuant to Section 1350, as adopted pursuant to Section 906 of the Sarbanes-Oxley Act of 2002 dated June 26, 2015.</w:t>
      </w:r>
    </w:p>
    <w:p>
      <w:pPr>
        <w:spacing w:after="0" w:line="94" w:lineRule="exact"/>
        <w:rPr>
          <w:sz w:val="20"/>
          <w:szCs w:val="20"/>
          <w:color w:val="auto"/>
        </w:rPr>
      </w:pPr>
    </w:p>
    <w:p>
      <w:pPr>
        <w:ind w:left="980" w:right="440" w:hanging="971"/>
        <w:spacing w:after="0" w:line="291" w:lineRule="auto"/>
        <w:tabs>
          <w:tab w:leader="none" w:pos="960" w:val="left"/>
        </w:tabs>
        <w:rPr>
          <w:sz w:val="20"/>
          <w:szCs w:val="20"/>
          <w:color w:val="auto"/>
        </w:rPr>
      </w:pPr>
      <w:r>
        <w:rPr>
          <w:rFonts w:ascii="Arial" w:cs="Arial" w:eastAsia="Arial" w:hAnsi="Arial"/>
          <w:sz w:val="16"/>
          <w:szCs w:val="16"/>
          <w:color w:val="auto"/>
        </w:rPr>
        <w:t>32.2</w:t>
      </w:r>
      <w:r>
        <w:rPr>
          <w:sz w:val="20"/>
          <w:szCs w:val="20"/>
          <w:color w:val="auto"/>
        </w:rPr>
        <w:tab/>
      </w:r>
      <w:r>
        <w:rPr>
          <w:rFonts w:ascii="Arial" w:cs="Arial" w:eastAsia="Arial" w:hAnsi="Arial"/>
          <w:sz w:val="16"/>
          <w:szCs w:val="16"/>
          <w:color w:val="auto"/>
        </w:rPr>
        <w:t>Certification by the Chief Financial Officer pursuant to Section 1350, as adopted pursuant to Section 906 of the Sarbanes-Oxley Act of 2002 dated June 26, 2015.</w:t>
      </w:r>
    </w:p>
    <w:p>
      <w:pPr>
        <w:sectPr>
          <w:pgSz w:w="11900" w:h="16838" w:orient="portrait"/>
          <w:cols w:equalWidth="0" w:num="1">
            <w:col w:w="11420"/>
          </w:cols>
          <w:pgMar w:left="240" w:top="121" w:right="239" w:bottom="1440" w:gutter="0" w:footer="0" w:header="0"/>
        </w:sectPr>
      </w:pP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101.INS*</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XBRL Instance Document</w:t>
      </w:r>
    </w:p>
    <w:p>
      <w:pPr>
        <w:spacing w:after="0" w:line="167" w:lineRule="exact"/>
        <w:rPr>
          <w:sz w:val="20"/>
          <w:szCs w:val="20"/>
          <w:color w:val="auto"/>
        </w:rPr>
      </w:pPr>
    </w:p>
    <w:p>
      <w:pPr>
        <w:sectPr>
          <w:pgSz w:w="11900" w:h="16838" w:orient="portrait"/>
          <w:cols w:equalWidth="0" w:num="2">
            <w:col w:w="660" w:space="320"/>
            <w:col w:w="10440"/>
          </w:cols>
          <w:pgMar w:left="240" w:top="121" w:right="239" w:bottom="1440" w:gutter="0" w:footer="0" w:header="0"/>
          <w:type w:val="continuous"/>
        </w:sectPr>
      </w:pPr>
    </w:p>
    <w:p>
      <w:pPr>
        <w:spacing w:after="0"/>
        <w:rPr>
          <w:sz w:val="20"/>
          <w:szCs w:val="20"/>
          <w:color w:val="auto"/>
        </w:rPr>
      </w:pPr>
      <w:r>
        <w:rPr>
          <w:rFonts w:ascii="Arial" w:cs="Arial" w:eastAsia="Arial" w:hAnsi="Arial"/>
          <w:sz w:val="16"/>
          <w:szCs w:val="16"/>
          <w:color w:val="auto"/>
        </w:rPr>
        <w:t>101.SCH*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Schema Document</w:t>
      </w:r>
    </w:p>
    <w:p>
      <w:pPr>
        <w:spacing w:after="0" w:line="167" w:lineRule="exact"/>
        <w:rPr>
          <w:sz w:val="20"/>
          <w:szCs w:val="20"/>
          <w:color w:val="auto"/>
        </w:rPr>
      </w:pPr>
    </w:p>
    <w:p>
      <w:pPr>
        <w:sectPr>
          <w:pgSz w:w="11900" w:h="16838" w:orient="portrait"/>
          <w:cols w:equalWidth="0" w:num="2">
            <w:col w:w="720" w:space="260"/>
            <w:col w:w="10440"/>
          </w:cols>
          <w:pgMar w:left="240" w:top="121" w:right="239" w:bottom="1440" w:gutter="0" w:footer="0" w:header="0"/>
          <w:type w:val="continuous"/>
        </w:sectPr>
      </w:pPr>
    </w:p>
    <w:p>
      <w:pPr>
        <w:spacing w:after="0"/>
        <w:rPr>
          <w:sz w:val="20"/>
          <w:szCs w:val="20"/>
          <w:color w:val="auto"/>
        </w:rPr>
      </w:pPr>
      <w:r>
        <w:rPr>
          <w:rFonts w:ascii="Arial" w:cs="Arial" w:eastAsia="Arial" w:hAnsi="Arial"/>
          <w:sz w:val="16"/>
          <w:szCs w:val="16"/>
          <w:color w:val="auto"/>
        </w:rPr>
        <w:t>101.CAL*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Calculation Linkbase Document</w:t>
      </w:r>
    </w:p>
    <w:p>
      <w:pPr>
        <w:spacing w:after="0" w:line="167" w:lineRule="exact"/>
        <w:rPr>
          <w:sz w:val="20"/>
          <w:szCs w:val="20"/>
          <w:color w:val="auto"/>
        </w:rPr>
      </w:pPr>
    </w:p>
    <w:p>
      <w:pPr>
        <w:sectPr>
          <w:pgSz w:w="11900" w:h="16838" w:orient="portrait"/>
          <w:cols w:equalWidth="0" w:num="2">
            <w:col w:w="700" w:space="280"/>
            <w:col w:w="10440"/>
          </w:cols>
          <w:pgMar w:left="240" w:top="121" w:right="239" w:bottom="1440" w:gutter="0" w:footer="0" w:header="0"/>
          <w:type w:val="continuous"/>
        </w:sectPr>
      </w:pPr>
    </w:p>
    <w:p>
      <w:pPr>
        <w:spacing w:after="0"/>
        <w:rPr>
          <w:sz w:val="20"/>
          <w:szCs w:val="20"/>
          <w:color w:val="auto"/>
        </w:rPr>
      </w:pPr>
      <w:r>
        <w:rPr>
          <w:rFonts w:ascii="Arial" w:cs="Arial" w:eastAsia="Arial" w:hAnsi="Arial"/>
          <w:sz w:val="16"/>
          <w:szCs w:val="16"/>
          <w:color w:val="auto"/>
        </w:rPr>
        <w:t>101.DEF*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Definitions Linkbase Document</w:t>
      </w:r>
    </w:p>
    <w:p>
      <w:pPr>
        <w:spacing w:after="0" w:line="167" w:lineRule="exact"/>
        <w:rPr>
          <w:sz w:val="20"/>
          <w:szCs w:val="20"/>
          <w:color w:val="auto"/>
        </w:rPr>
      </w:pPr>
    </w:p>
    <w:p>
      <w:pPr>
        <w:sectPr>
          <w:pgSz w:w="11900" w:h="16838" w:orient="portrait"/>
          <w:cols w:equalWidth="0" w:num="2">
            <w:col w:w="720" w:space="260"/>
            <w:col w:w="10440"/>
          </w:cols>
          <w:pgMar w:left="240" w:top="121" w:right="239" w:bottom="1440" w:gutter="0" w:footer="0" w:header="0"/>
          <w:type w:val="continuous"/>
        </w:sectPr>
      </w:pPr>
    </w:p>
    <w:p>
      <w:pPr>
        <w:spacing w:after="0"/>
        <w:rPr>
          <w:sz w:val="20"/>
          <w:szCs w:val="20"/>
          <w:color w:val="auto"/>
        </w:rPr>
      </w:pPr>
      <w:r>
        <w:rPr>
          <w:rFonts w:ascii="Arial" w:cs="Arial" w:eastAsia="Arial" w:hAnsi="Arial"/>
          <w:sz w:val="16"/>
          <w:szCs w:val="16"/>
          <w:color w:val="auto"/>
        </w:rPr>
        <w:t>101.LAB*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Label Linkbase Document</w:t>
      </w:r>
    </w:p>
    <w:p>
      <w:pPr>
        <w:spacing w:after="0" w:line="167" w:lineRule="exact"/>
        <w:rPr>
          <w:sz w:val="20"/>
          <w:szCs w:val="20"/>
          <w:color w:val="auto"/>
        </w:rPr>
      </w:pPr>
    </w:p>
    <w:p>
      <w:pPr>
        <w:sectPr>
          <w:pgSz w:w="11900" w:h="16838" w:orient="portrait"/>
          <w:cols w:equalWidth="0" w:num="2">
            <w:col w:w="700" w:space="280"/>
            <w:col w:w="10440"/>
          </w:cols>
          <w:pgMar w:left="240" w:top="121" w:right="239" w:bottom="1440" w:gutter="0" w:footer="0" w:header="0"/>
          <w:type w:val="continuous"/>
        </w:sectPr>
      </w:pPr>
    </w:p>
    <w:p>
      <w:pPr>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Presentation Linkbase Document</w:t>
      </w:r>
    </w:p>
    <w:p>
      <w:pPr>
        <w:spacing w:after="0" w:line="167" w:lineRule="exact"/>
        <w:rPr>
          <w:sz w:val="20"/>
          <w:szCs w:val="20"/>
          <w:color w:val="auto"/>
        </w:rPr>
      </w:pPr>
    </w:p>
    <w:p>
      <w:pPr>
        <w:sectPr>
          <w:pgSz w:w="11900" w:h="16838" w:orient="portrait"/>
          <w:cols w:equalWidth="0" w:num="2">
            <w:col w:w="720" w:space="260"/>
            <w:col w:w="10440"/>
          </w:cols>
          <w:pgMar w:left="240" w:top="121" w:right="239" w:bottom="1440" w:gutter="0" w:footer="0" w:header="0"/>
          <w:type w:val="continuous"/>
        </w:sectPr>
      </w:pPr>
    </w:p>
    <w:p>
      <w:pPr>
        <w:ind w:right="60"/>
        <w:spacing w:after="0" w:line="261" w:lineRule="auto"/>
        <w:rPr>
          <w:sz w:val="20"/>
          <w:szCs w:val="20"/>
          <w:color w:val="auto"/>
        </w:rPr>
      </w:pPr>
      <w:r>
        <w:rPr>
          <w:rFonts w:ascii="Arial" w:cs="Arial" w:eastAsia="Arial" w:hAnsi="Arial"/>
          <w:sz w:val="16"/>
          <w:szCs w:val="16"/>
          <w:color w:val="auto"/>
        </w:rPr>
        <w:t>*Attached as Exhibit 101 to this report are the following financial statements from our Quarterly Report on Form 10-Q for the quarter ended May 30, 2015 formatted in XBRL: (i) the Unaudited Consolidated Balance Sheets, (ii) the Unaudited Consolidated Statements of Operations and Comprehensive Income, (iii) the Unaudited Consolidated Statement of Cash Flows, and (iv) related notes to these financial statements. Such exhibits are deemed furnished and not filed pursuant to Rule 406T of Regulation S-T.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1" w:right="239" w:bottom="1440" w:gutter="0" w:footer="0" w:header="0"/>
          <w:type w:val="continuous"/>
        </w:sectPr>
      </w:pPr>
    </w:p>
    <w:bookmarkStart w:id="24" w:name="page25"/>
    <w:bookmarkEnd w:id="2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SIGNATURES</w:t>
      </w:r>
    </w:p>
    <w:p>
      <w:pPr>
        <w:spacing w:after="0" w:line="16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21"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54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7620" w:type="dxa"/>
            <w:vAlign w:val="bottom"/>
            <w:gridSpan w:val="2"/>
          </w:tcPr>
          <w:p>
            <w:pPr>
              <w:ind w:left="1840"/>
              <w:spacing w:after="0"/>
              <w:rPr>
                <w:sz w:val="20"/>
                <w:szCs w:val="20"/>
                <w:color w:val="auto"/>
              </w:rPr>
            </w:pPr>
            <w:r>
              <w:rPr>
                <w:rFonts w:ascii="Arial" w:cs="Arial" w:eastAsia="Arial" w:hAnsi="Arial"/>
                <w:sz w:val="16"/>
                <w:szCs w:val="16"/>
                <w:color w:val="auto"/>
              </w:rPr>
              <w:t>WINNEBAGO INDUSTRIES, INC.</w:t>
            </w:r>
          </w:p>
        </w:tc>
      </w:tr>
      <w:tr>
        <w:trPr>
          <w:trHeight w:val="549"/>
        </w:trPr>
        <w:tc>
          <w:tcPr>
            <w:tcW w:w="540" w:type="dxa"/>
            <w:vAlign w:val="bottom"/>
          </w:tcPr>
          <w:p>
            <w:pPr>
              <w:spacing w:after="0"/>
              <w:rPr>
                <w:sz w:val="20"/>
                <w:szCs w:val="20"/>
                <w:color w:val="auto"/>
              </w:rPr>
            </w:pPr>
            <w:r>
              <w:rPr>
                <w:rFonts w:ascii="Arial" w:cs="Arial" w:eastAsia="Arial" w:hAnsi="Arial"/>
                <w:sz w:val="16"/>
                <w:szCs w:val="16"/>
                <w:color w:val="auto"/>
              </w:rPr>
              <w:t>Date:</w:t>
            </w:r>
          </w:p>
        </w:tc>
        <w:tc>
          <w:tcPr>
            <w:tcW w:w="3000" w:type="dxa"/>
            <w:vAlign w:val="bottom"/>
          </w:tcPr>
          <w:p>
            <w:pPr>
              <w:ind w:left="140"/>
              <w:spacing w:after="0"/>
              <w:rPr>
                <w:sz w:val="20"/>
                <w:szCs w:val="20"/>
                <w:color w:val="auto"/>
              </w:rPr>
            </w:pPr>
            <w:r>
              <w:rPr>
                <w:rFonts w:ascii="Arial" w:cs="Arial" w:eastAsia="Arial" w:hAnsi="Arial"/>
                <w:sz w:val="16"/>
                <w:szCs w:val="16"/>
                <w:color w:val="auto"/>
              </w:rPr>
              <w:t>June 26, 2015</w:t>
            </w:r>
          </w:p>
        </w:tc>
        <w:tc>
          <w:tcPr>
            <w:tcW w:w="7620" w:type="dxa"/>
            <w:vAlign w:val="bottom"/>
            <w:gridSpan w:val="2"/>
          </w:tcPr>
          <w:p>
            <w:pPr>
              <w:ind w:left="184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i w:val="1"/>
                <w:iCs w:val="1"/>
                <w:color w:val="auto"/>
              </w:rPr>
              <w:t>/s/ Randy J. Potts</w:t>
            </w:r>
          </w:p>
        </w:tc>
      </w:tr>
      <w:tr>
        <w:trPr>
          <w:trHeight w:val="241"/>
        </w:trPr>
        <w:tc>
          <w:tcPr>
            <w:tcW w:w="54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3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Randy J. Potts</w:t>
            </w:r>
          </w:p>
        </w:tc>
      </w:tr>
      <w:tr>
        <w:trPr>
          <w:trHeight w:val="270"/>
        </w:trPr>
        <w:tc>
          <w:tcPr>
            <w:tcW w:w="54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6"/>
                <w:szCs w:val="16"/>
                <w:color w:val="auto"/>
              </w:rPr>
              <w:t>Chief Executive Officer, President, Chairman of the Board</w:t>
            </w:r>
          </w:p>
        </w:tc>
      </w:tr>
      <w:tr>
        <w:trPr>
          <w:trHeight w:val="270"/>
        </w:trPr>
        <w:tc>
          <w:tcPr>
            <w:tcW w:w="54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6"/>
                <w:szCs w:val="16"/>
                <w:color w:val="auto"/>
              </w:rPr>
              <w:t>(Principal Executive Officer)</w:t>
            </w:r>
          </w:p>
        </w:tc>
      </w:tr>
      <w:tr>
        <w:trPr>
          <w:trHeight w:val="549"/>
        </w:trPr>
        <w:tc>
          <w:tcPr>
            <w:tcW w:w="540" w:type="dxa"/>
            <w:vAlign w:val="bottom"/>
          </w:tcPr>
          <w:p>
            <w:pPr>
              <w:spacing w:after="0"/>
              <w:rPr>
                <w:sz w:val="20"/>
                <w:szCs w:val="20"/>
                <w:color w:val="auto"/>
              </w:rPr>
            </w:pPr>
            <w:r>
              <w:rPr>
                <w:rFonts w:ascii="Arial" w:cs="Arial" w:eastAsia="Arial" w:hAnsi="Arial"/>
                <w:sz w:val="16"/>
                <w:szCs w:val="16"/>
                <w:color w:val="auto"/>
              </w:rPr>
              <w:t>Date:</w:t>
            </w:r>
          </w:p>
        </w:tc>
        <w:tc>
          <w:tcPr>
            <w:tcW w:w="3000" w:type="dxa"/>
            <w:vAlign w:val="bottom"/>
          </w:tcPr>
          <w:p>
            <w:pPr>
              <w:ind w:left="140"/>
              <w:spacing w:after="0"/>
              <w:rPr>
                <w:sz w:val="20"/>
                <w:szCs w:val="20"/>
                <w:color w:val="auto"/>
              </w:rPr>
            </w:pPr>
            <w:r>
              <w:rPr>
                <w:rFonts w:ascii="Arial" w:cs="Arial" w:eastAsia="Arial" w:hAnsi="Arial"/>
                <w:sz w:val="16"/>
                <w:szCs w:val="16"/>
                <w:color w:val="auto"/>
              </w:rPr>
              <w:t>June 26, 2015</w:t>
            </w:r>
          </w:p>
        </w:tc>
        <w:tc>
          <w:tcPr>
            <w:tcW w:w="7620" w:type="dxa"/>
            <w:vAlign w:val="bottom"/>
            <w:gridSpan w:val="2"/>
          </w:tcPr>
          <w:p>
            <w:pPr>
              <w:ind w:left="184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i w:val="1"/>
                <w:iCs w:val="1"/>
                <w:color w:val="auto"/>
              </w:rPr>
              <w:t>/s/ Sarah N. Nielsen</w:t>
            </w:r>
          </w:p>
        </w:tc>
      </w:tr>
      <w:tr>
        <w:trPr>
          <w:trHeight w:val="241"/>
        </w:trPr>
        <w:tc>
          <w:tcPr>
            <w:tcW w:w="54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3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Sarah N. Nielsen</w:t>
            </w:r>
          </w:p>
        </w:tc>
      </w:tr>
      <w:tr>
        <w:trPr>
          <w:trHeight w:val="270"/>
        </w:trPr>
        <w:tc>
          <w:tcPr>
            <w:tcW w:w="54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6"/>
                <w:szCs w:val="16"/>
                <w:color w:val="auto"/>
              </w:rPr>
              <w:t>Vice President, Chief Financial Officer</w:t>
            </w:r>
          </w:p>
        </w:tc>
      </w:tr>
      <w:tr>
        <w:trPr>
          <w:trHeight w:val="270"/>
        </w:trPr>
        <w:tc>
          <w:tcPr>
            <w:tcW w:w="54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6"/>
                <w:szCs w:val="16"/>
                <w:color w:val="auto"/>
              </w:rPr>
              <w:t>(Principal Financial and Accounting Officer)</w:t>
            </w:r>
          </w:p>
        </w:tc>
      </w:tr>
      <w:tr>
        <w:trPr>
          <w:trHeight w:val="675"/>
        </w:trPr>
        <w:tc>
          <w:tcPr>
            <w:tcW w:w="5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260" w:type="dxa"/>
            <w:vAlign w:val="bottom"/>
          </w:tcPr>
          <w:p>
            <w:pPr>
              <w:jc w:val="right"/>
              <w:spacing w:after="0"/>
              <w:rPr>
                <w:sz w:val="20"/>
                <w:szCs w:val="20"/>
                <w:color w:val="auto"/>
              </w:rPr>
            </w:pPr>
            <w:r>
              <w:rPr>
                <w:rFonts w:ascii="Arial" w:cs="Arial" w:eastAsia="Arial" w:hAnsi="Arial"/>
                <w:sz w:val="16"/>
                <w:szCs w:val="16"/>
                <w:color w:val="auto"/>
              </w:rPr>
              <w:t>23</w:t>
            </w:r>
          </w:p>
        </w:tc>
        <w:tc>
          <w:tcPr>
            <w:tcW w:w="5360" w:type="dxa"/>
            <w:vAlign w:val="bottom"/>
          </w:tcPr>
          <w:p>
            <w:pPr>
              <w:spacing w:after="0"/>
              <w:rPr>
                <w:sz w:val="24"/>
                <w:szCs w:val="24"/>
                <w:color w:val="auto"/>
              </w:rPr>
            </w:pPr>
          </w:p>
        </w:tc>
      </w:tr>
    </w:tbl>
    <w:p>
      <w:pPr>
        <w:sectPr>
          <w:pgSz w:w="11900" w:h="16838" w:orient="portrait"/>
          <w:cols w:equalWidth="0" w:num="1">
            <w:col w:w="11340"/>
          </w:cols>
          <w:pgMar w:left="240" w:top="121" w:right="31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t>Exhibit 31.1</w:t>
      </w: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BY CHIEF EXECUTIVE OFFICER</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 SECTION 302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THE SARBANES-OXLEY ACT OF 2002</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I, Randy J. Potts, Chief Executive Officer of Winnebago Industries, Inc., certify that:</w:t>
      </w:r>
    </w:p>
    <w:p>
      <w:pPr>
        <w:spacing w:after="0" w:line="86"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Winnebago Industries, Inc. (the "Registrant");</w:t>
      </w:r>
    </w:p>
    <w:p>
      <w:pPr>
        <w:spacing w:after="0" w:line="315" w:lineRule="exact"/>
        <w:rPr>
          <w:rFonts w:ascii="Arial" w:cs="Arial" w:eastAsia="Arial" w:hAnsi="Arial"/>
          <w:sz w:val="16"/>
          <w:szCs w:val="16"/>
          <w:color w:val="auto"/>
        </w:rPr>
      </w:pPr>
    </w:p>
    <w:p>
      <w:pPr>
        <w:ind w:left="340" w:right="60" w:hanging="332"/>
        <w:spacing w:after="0" w:line="291"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Arial" w:cs="Arial" w:eastAsia="Arial" w:hAnsi="Arial"/>
          <w:sz w:val="16"/>
          <w:szCs w:val="16"/>
          <w:color w:val="auto"/>
        </w:rPr>
      </w:pPr>
    </w:p>
    <w:p>
      <w:pPr>
        <w:ind w:left="340" w:right="120" w:hanging="332"/>
        <w:spacing w:after="0" w:line="291"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Arial" w:cs="Arial" w:eastAsia="Arial" w:hAnsi="Arial"/>
          <w:sz w:val="16"/>
          <w:szCs w:val="16"/>
          <w:color w:val="auto"/>
        </w:rPr>
      </w:pPr>
    </w:p>
    <w:p>
      <w:pPr>
        <w:ind w:left="340" w:right="100" w:hanging="332"/>
        <w:spacing w:after="0" w:line="269"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7" w:lineRule="exact"/>
        <w:rPr>
          <w:rFonts w:ascii="Arial" w:cs="Arial" w:eastAsia="Arial" w:hAnsi="Arial"/>
          <w:sz w:val="16"/>
          <w:szCs w:val="16"/>
          <w:color w:val="auto"/>
        </w:rPr>
      </w:pPr>
    </w:p>
    <w:p>
      <w:pPr>
        <w:ind w:left="660" w:right="100" w:hanging="328"/>
        <w:spacing w:after="0" w:line="269" w:lineRule="auto"/>
        <w:tabs>
          <w:tab w:leader="none" w:pos="660" w:val="left"/>
        </w:tabs>
        <w:numPr>
          <w:ilvl w:val="1"/>
          <w:numId w:val="2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7" w:lineRule="exact"/>
        <w:rPr>
          <w:rFonts w:ascii="Arial" w:cs="Arial" w:eastAsia="Arial" w:hAnsi="Arial"/>
          <w:sz w:val="16"/>
          <w:szCs w:val="16"/>
          <w:color w:val="auto"/>
        </w:rPr>
      </w:pPr>
    </w:p>
    <w:p>
      <w:pPr>
        <w:ind w:left="660" w:hanging="328"/>
        <w:spacing w:after="0" w:line="269" w:lineRule="auto"/>
        <w:tabs>
          <w:tab w:leader="none" w:pos="660" w:val="left"/>
        </w:tabs>
        <w:numPr>
          <w:ilvl w:val="1"/>
          <w:numId w:val="2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7" w:lineRule="exact"/>
        <w:rPr>
          <w:rFonts w:ascii="Arial" w:cs="Arial" w:eastAsia="Arial" w:hAnsi="Arial"/>
          <w:sz w:val="16"/>
          <w:szCs w:val="16"/>
          <w:color w:val="auto"/>
        </w:rPr>
      </w:pPr>
    </w:p>
    <w:p>
      <w:pPr>
        <w:jc w:val="both"/>
        <w:ind w:left="660" w:right="920" w:hanging="328"/>
        <w:spacing w:after="0" w:line="291" w:lineRule="auto"/>
        <w:tabs>
          <w:tab w:leader="none" w:pos="66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Arial" w:cs="Arial" w:eastAsia="Arial" w:hAnsi="Arial"/>
          <w:sz w:val="16"/>
          <w:szCs w:val="16"/>
          <w:color w:val="auto"/>
        </w:rPr>
      </w:pPr>
    </w:p>
    <w:p>
      <w:pPr>
        <w:ind w:left="660" w:right="20" w:hanging="328"/>
        <w:spacing w:after="0" w:line="269" w:lineRule="auto"/>
        <w:tabs>
          <w:tab w:leader="none" w:pos="660" w:val="left"/>
        </w:tabs>
        <w:numPr>
          <w:ilvl w:val="1"/>
          <w:numId w:val="2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third fiscal quarter in this case) that has materially affected, or is reasonably likely to materially affect, the Registrant's internal control over financial reporting; and</w:t>
      </w:r>
    </w:p>
    <w:p>
      <w:pPr>
        <w:spacing w:after="0" w:line="137" w:lineRule="exact"/>
        <w:rPr>
          <w:rFonts w:ascii="Arial" w:cs="Arial" w:eastAsia="Arial" w:hAnsi="Arial"/>
          <w:sz w:val="16"/>
          <w:szCs w:val="16"/>
          <w:color w:val="auto"/>
        </w:rPr>
      </w:pPr>
    </w:p>
    <w:p>
      <w:pPr>
        <w:ind w:left="340" w:right="620" w:hanging="332"/>
        <w:spacing w:after="0" w:line="291"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21" w:lineRule="exact"/>
        <w:rPr>
          <w:rFonts w:ascii="Arial" w:cs="Arial" w:eastAsia="Arial" w:hAnsi="Arial"/>
          <w:sz w:val="16"/>
          <w:szCs w:val="16"/>
          <w:color w:val="auto"/>
        </w:rPr>
      </w:pPr>
    </w:p>
    <w:p>
      <w:pPr>
        <w:ind w:left="660" w:right="60" w:hanging="328"/>
        <w:spacing w:after="0" w:line="291" w:lineRule="auto"/>
        <w:tabs>
          <w:tab w:leader="none" w:pos="66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Arial" w:cs="Arial" w:eastAsia="Arial" w:hAnsi="Arial"/>
          <w:sz w:val="16"/>
          <w:szCs w:val="16"/>
          <w:color w:val="auto"/>
        </w:rPr>
      </w:pPr>
    </w:p>
    <w:p>
      <w:pPr>
        <w:ind w:left="660" w:right="160" w:hanging="328"/>
        <w:spacing w:after="0" w:line="291" w:lineRule="auto"/>
        <w:tabs>
          <w:tab w:leader="none" w:pos="66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any fraud, whether or not material, that involved management or other employees who have a significant role in the Registrant's internal control over financial reporting.</w:t>
      </w:r>
    </w:p>
    <w:p>
      <w:pPr>
        <w:spacing w:after="0" w:line="310" w:lineRule="exact"/>
        <w:rPr>
          <w:sz w:val="20"/>
          <w:szCs w:val="20"/>
          <w:color w:val="auto"/>
        </w:rPr>
      </w:pPr>
    </w:p>
    <w:p>
      <w:pPr>
        <w:ind w:left="40"/>
        <w:spacing w:after="0"/>
        <w:tabs>
          <w:tab w:leader="none" w:pos="940" w:val="left"/>
          <w:tab w:leader="none" w:pos="6180" w:val="left"/>
          <w:tab w:leader="none" w:pos="71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June 26, 2015</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Randy J.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31750</wp:posOffset>
            </wp:positionV>
            <wp:extent cx="27527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6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Randy J. Potts</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Chief Executive Officer, President,</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Chairman of the Board</w:t>
      </w:r>
    </w:p>
    <w:p>
      <w:pPr>
        <w:sectPr>
          <w:pgSz w:w="11900" w:h="16838" w:orient="portrait"/>
          <w:cols w:equalWidth="0" w:num="1">
            <w:col w:w="11420"/>
          </w:cols>
          <w:pgMar w:left="240" w:top="628" w:right="23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t>Exhibit 31.2</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BY CHIEF FINANCIAL OFFICER</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 SECTION 302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THE SARBANES-OXLEY ACT OF 2002</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I, Sarah N. Nielsen, Chief Financial Officer of Winnebago Industries, Inc., certify that:</w:t>
      </w:r>
    </w:p>
    <w:p>
      <w:pPr>
        <w:spacing w:after="0" w:line="86"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Winnebago Industries, Inc. (the "Registrant");</w:t>
      </w:r>
    </w:p>
    <w:p>
      <w:pPr>
        <w:spacing w:after="0" w:line="315" w:lineRule="exact"/>
        <w:rPr>
          <w:rFonts w:ascii="Arial" w:cs="Arial" w:eastAsia="Arial" w:hAnsi="Arial"/>
          <w:sz w:val="16"/>
          <w:szCs w:val="16"/>
          <w:color w:val="auto"/>
        </w:rPr>
      </w:pPr>
    </w:p>
    <w:p>
      <w:pPr>
        <w:ind w:left="340" w:right="60" w:hanging="332"/>
        <w:spacing w:after="0" w:line="291" w:lineRule="auto"/>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Arial" w:cs="Arial" w:eastAsia="Arial" w:hAnsi="Arial"/>
          <w:sz w:val="16"/>
          <w:szCs w:val="16"/>
          <w:color w:val="auto"/>
        </w:rPr>
      </w:pPr>
    </w:p>
    <w:p>
      <w:pPr>
        <w:ind w:left="340" w:right="120" w:hanging="332"/>
        <w:spacing w:after="0" w:line="291" w:lineRule="auto"/>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Arial" w:cs="Arial" w:eastAsia="Arial" w:hAnsi="Arial"/>
          <w:sz w:val="16"/>
          <w:szCs w:val="16"/>
          <w:color w:val="auto"/>
        </w:rPr>
      </w:pPr>
    </w:p>
    <w:p>
      <w:pPr>
        <w:ind w:left="340" w:right="100" w:hanging="332"/>
        <w:spacing w:after="0" w:line="269" w:lineRule="auto"/>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7" w:lineRule="exact"/>
        <w:rPr>
          <w:rFonts w:ascii="Arial" w:cs="Arial" w:eastAsia="Arial" w:hAnsi="Arial"/>
          <w:sz w:val="16"/>
          <w:szCs w:val="16"/>
          <w:color w:val="auto"/>
        </w:rPr>
      </w:pPr>
    </w:p>
    <w:p>
      <w:pPr>
        <w:ind w:left="660" w:right="100" w:hanging="328"/>
        <w:spacing w:after="0" w:line="269" w:lineRule="auto"/>
        <w:tabs>
          <w:tab w:leader="none" w:pos="660" w:val="left"/>
        </w:tabs>
        <w:numPr>
          <w:ilvl w:val="1"/>
          <w:numId w:val="2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7" w:lineRule="exact"/>
        <w:rPr>
          <w:rFonts w:ascii="Arial" w:cs="Arial" w:eastAsia="Arial" w:hAnsi="Arial"/>
          <w:sz w:val="16"/>
          <w:szCs w:val="16"/>
          <w:color w:val="auto"/>
        </w:rPr>
      </w:pPr>
    </w:p>
    <w:p>
      <w:pPr>
        <w:ind w:left="660" w:hanging="328"/>
        <w:spacing w:after="0" w:line="269" w:lineRule="auto"/>
        <w:tabs>
          <w:tab w:leader="none" w:pos="660" w:val="left"/>
        </w:tabs>
        <w:numPr>
          <w:ilvl w:val="1"/>
          <w:numId w:val="2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7" w:lineRule="exact"/>
        <w:rPr>
          <w:rFonts w:ascii="Arial" w:cs="Arial" w:eastAsia="Arial" w:hAnsi="Arial"/>
          <w:sz w:val="16"/>
          <w:szCs w:val="16"/>
          <w:color w:val="auto"/>
        </w:rPr>
      </w:pPr>
    </w:p>
    <w:p>
      <w:pPr>
        <w:jc w:val="both"/>
        <w:ind w:left="660" w:right="920" w:hanging="328"/>
        <w:spacing w:after="0" w:line="291" w:lineRule="auto"/>
        <w:tabs>
          <w:tab w:leader="none" w:pos="66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Arial" w:cs="Arial" w:eastAsia="Arial" w:hAnsi="Arial"/>
          <w:sz w:val="16"/>
          <w:szCs w:val="16"/>
          <w:color w:val="auto"/>
        </w:rPr>
      </w:pPr>
    </w:p>
    <w:p>
      <w:pPr>
        <w:ind w:left="660" w:right="20" w:hanging="328"/>
        <w:spacing w:after="0" w:line="269" w:lineRule="auto"/>
        <w:tabs>
          <w:tab w:leader="none" w:pos="660" w:val="left"/>
        </w:tabs>
        <w:numPr>
          <w:ilvl w:val="1"/>
          <w:numId w:val="2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third fiscal quarter in this case) that has materially affected, or is reasonably likely to materially affect, the Registrant's internal control over financial reporting; and</w:t>
      </w:r>
    </w:p>
    <w:p>
      <w:pPr>
        <w:spacing w:after="0" w:line="137" w:lineRule="exact"/>
        <w:rPr>
          <w:rFonts w:ascii="Arial" w:cs="Arial" w:eastAsia="Arial" w:hAnsi="Arial"/>
          <w:sz w:val="16"/>
          <w:szCs w:val="16"/>
          <w:color w:val="auto"/>
        </w:rPr>
      </w:pPr>
    </w:p>
    <w:p>
      <w:pPr>
        <w:ind w:left="340" w:right="620" w:hanging="332"/>
        <w:spacing w:after="0" w:line="291" w:lineRule="auto"/>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21" w:lineRule="exact"/>
        <w:rPr>
          <w:rFonts w:ascii="Arial" w:cs="Arial" w:eastAsia="Arial" w:hAnsi="Arial"/>
          <w:sz w:val="16"/>
          <w:szCs w:val="16"/>
          <w:color w:val="auto"/>
        </w:rPr>
      </w:pPr>
    </w:p>
    <w:p>
      <w:pPr>
        <w:ind w:left="660" w:right="60" w:hanging="328"/>
        <w:spacing w:after="0" w:line="291" w:lineRule="auto"/>
        <w:tabs>
          <w:tab w:leader="none" w:pos="66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Arial" w:cs="Arial" w:eastAsia="Arial" w:hAnsi="Arial"/>
          <w:sz w:val="16"/>
          <w:szCs w:val="16"/>
          <w:color w:val="auto"/>
        </w:rPr>
      </w:pPr>
    </w:p>
    <w:p>
      <w:pPr>
        <w:ind w:left="660" w:right="160" w:hanging="328"/>
        <w:spacing w:after="0" w:line="291" w:lineRule="auto"/>
        <w:tabs>
          <w:tab w:leader="none" w:pos="66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any fraud, whether or not material, that involved management or other employees who have a significant role in the Registrant's internal control over financial reporting.</w:t>
      </w:r>
    </w:p>
    <w:p>
      <w:pPr>
        <w:spacing w:after="0" w:line="310" w:lineRule="exact"/>
        <w:rPr>
          <w:sz w:val="20"/>
          <w:szCs w:val="20"/>
          <w:color w:val="auto"/>
        </w:rPr>
      </w:pPr>
    </w:p>
    <w:p>
      <w:pPr>
        <w:ind w:left="40"/>
        <w:spacing w:after="0"/>
        <w:tabs>
          <w:tab w:leader="none" w:pos="940" w:val="left"/>
          <w:tab w:leader="none" w:pos="6180" w:val="left"/>
          <w:tab w:leader="none" w:pos="71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June 26, 2015</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Sarah 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31750</wp:posOffset>
            </wp:positionV>
            <wp:extent cx="27527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6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Sarah N. Nielsen</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Vice President, Chief Financial Officer</w:t>
      </w:r>
    </w:p>
    <w:p>
      <w:pPr>
        <w:sectPr>
          <w:pgSz w:w="11900" w:h="16838" w:orient="portrait"/>
          <w:cols w:equalWidth="0" w:num="1">
            <w:col w:w="11420"/>
          </w:cols>
          <w:pgMar w:left="240" w:top="574" w:right="239" w:bottom="1440" w:gutter="0" w:footer="0" w:header="0"/>
        </w:sectPr>
      </w:pPr>
    </w:p>
    <w:bookmarkStart w:id="27" w:name="page28"/>
    <w:bookmarkEnd w:id="27"/>
    <w:p>
      <w:pPr>
        <w:jc w:val="center"/>
        <w:ind w:right="-59"/>
        <w:spacing w:after="0"/>
        <w:rPr>
          <w:sz w:val="20"/>
          <w:szCs w:val="20"/>
          <w:color w:val="auto"/>
        </w:rPr>
      </w:pPr>
      <w:r>
        <w:rPr>
          <w:rFonts w:ascii="Arial" w:cs="Arial" w:eastAsia="Arial" w:hAnsi="Arial"/>
          <w:sz w:val="18"/>
          <w:szCs w:val="18"/>
          <w:b w:val="1"/>
          <w:bCs w:val="1"/>
          <w:color w:val="auto"/>
        </w:rPr>
        <w:t>Exhibit 32.1</w:t>
      </w: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 SECTION 906</w:t>
      </w:r>
    </w:p>
    <w:p>
      <w:pPr>
        <w:spacing w:after="0" w:line="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 THE SARBANES-OXLEY ACT OF 2002</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(18 U.S.C. SECTION 1350)</w:t>
      </w:r>
    </w:p>
    <w:p>
      <w:pPr>
        <w:spacing w:after="0" w:line="181" w:lineRule="exact"/>
        <w:rPr>
          <w:sz w:val="20"/>
          <w:szCs w:val="20"/>
          <w:color w:val="auto"/>
        </w:rPr>
      </w:pPr>
    </w:p>
    <w:p>
      <w:pPr>
        <w:ind w:right="80"/>
        <w:spacing w:after="0" w:line="269" w:lineRule="auto"/>
        <w:rPr>
          <w:sz w:val="20"/>
          <w:szCs w:val="20"/>
          <w:color w:val="auto"/>
        </w:rPr>
      </w:pPr>
      <w:r>
        <w:rPr>
          <w:rFonts w:ascii="Arial" w:cs="Arial" w:eastAsia="Arial" w:hAnsi="Arial"/>
          <w:sz w:val="16"/>
          <w:szCs w:val="16"/>
          <w:color w:val="auto"/>
        </w:rPr>
        <w:t>In connection with this Quarterly Report on Form 10-Q of Winnebago Industries, Inc. for the quarter ended May 30, 2015, I, Randy J. Potts, Chief Executive Officer and President of Winnebago Industries, Inc., certify that pursuant to 18 U.S.C. §1350 as adopted pursuant to §906 of the Sarbanes-Oxley Act of 2002, that:</w:t>
      </w:r>
    </w:p>
    <w:p>
      <w:pPr>
        <w:spacing w:after="0" w:line="138" w:lineRule="exact"/>
        <w:rPr>
          <w:sz w:val="20"/>
          <w:szCs w:val="20"/>
          <w:color w:val="auto"/>
        </w:rPr>
      </w:pPr>
    </w:p>
    <w:p>
      <w:pPr>
        <w:jc w:val="both"/>
        <w:ind w:left="660" w:right="80" w:hanging="328"/>
        <w:spacing w:after="0" w:line="269"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This Quarterly Report on Form 10-Q (“periodic report”) of Winnebago Industries, Inc. (the “issuer”), for the fiscal quarter ended May 30, 2015 as filed with the Securities and Exchange Commission on the date of this certificate, which this statement accompanies, fully complies with the requirements of Section 13(a) or 15(d) of the Securities Exchange Act of 1934, and</w:t>
      </w:r>
    </w:p>
    <w:p>
      <w:pPr>
        <w:spacing w:after="0" w:line="137" w:lineRule="exact"/>
        <w:rPr>
          <w:rFonts w:ascii="Arial" w:cs="Arial" w:eastAsia="Arial" w:hAnsi="Arial"/>
          <w:sz w:val="16"/>
          <w:szCs w:val="16"/>
          <w:color w:val="auto"/>
        </w:rPr>
      </w:pPr>
    </w:p>
    <w:p>
      <w:pPr>
        <w:ind w:left="660" w:hanging="328"/>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information contained in this periodic report fairly represents, in all material respects, the financial condition and results of operations of the issuer.</w:t>
      </w:r>
    </w:p>
    <w:p>
      <w:pPr>
        <w:spacing w:after="0" w:line="200" w:lineRule="exact"/>
        <w:rPr>
          <w:sz w:val="20"/>
          <w:szCs w:val="20"/>
          <w:color w:val="auto"/>
        </w:rPr>
      </w:pPr>
    </w:p>
    <w:p>
      <w:pPr>
        <w:spacing w:after="0" w:line="264" w:lineRule="exact"/>
        <w:rPr>
          <w:sz w:val="20"/>
          <w:szCs w:val="20"/>
          <w:color w:val="auto"/>
        </w:rPr>
      </w:pPr>
    </w:p>
    <w:p>
      <w:pPr>
        <w:ind w:left="40"/>
        <w:spacing w:after="0"/>
        <w:tabs>
          <w:tab w:leader="none" w:pos="940" w:val="left"/>
          <w:tab w:leader="none" w:pos="6180" w:val="left"/>
          <w:tab w:leader="none" w:pos="71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June 26, 2015</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Randy J.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31750</wp:posOffset>
            </wp:positionV>
            <wp:extent cx="27527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6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Randy J. Potts</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Chief Executive Officer, President,</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Chairman of the Board</w:t>
      </w:r>
    </w:p>
    <w:p>
      <w:pPr>
        <w:sectPr>
          <w:pgSz w:w="11900" w:h="16838" w:orient="portrait"/>
          <w:cols w:equalWidth="0" w:num="1">
            <w:col w:w="11360"/>
          </w:cols>
          <w:pgMar w:left="240" w:top="628" w:right="299" w:bottom="1440" w:gutter="0" w:footer="0" w:header="0"/>
        </w:sectPr>
      </w:pPr>
    </w:p>
    <w:bookmarkStart w:id="28" w:name="page29"/>
    <w:bookmarkEnd w:id="28"/>
    <w:p>
      <w:pPr>
        <w:jc w:val="center"/>
        <w:ind w:right="-59"/>
        <w:spacing w:after="0"/>
        <w:rPr>
          <w:sz w:val="20"/>
          <w:szCs w:val="20"/>
          <w:color w:val="auto"/>
        </w:rPr>
      </w:pPr>
      <w:r>
        <w:rPr>
          <w:rFonts w:ascii="Arial" w:cs="Arial" w:eastAsia="Arial" w:hAnsi="Arial"/>
          <w:sz w:val="18"/>
          <w:szCs w:val="18"/>
          <w:b w:val="1"/>
          <w:bCs w:val="1"/>
          <w:color w:val="auto"/>
        </w:rPr>
        <w:t>Exhibit 32.2</w:t>
      </w: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 SECTION 906</w:t>
      </w:r>
    </w:p>
    <w:p>
      <w:pPr>
        <w:spacing w:after="0" w:line="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 THE SARBANES-OXLEY ACT OF 2002</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(18 U.S.C. SECTION 1350)</w:t>
      </w:r>
    </w:p>
    <w:p>
      <w:pPr>
        <w:spacing w:after="0" w:line="181"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In connection with this Quarterly Report on Form 10-Q of Winnebago Industries, Inc. for the quarter ended May 30, 2015, I, Sarah N. Nielsen, Vice President, Chief Financial Officer of Winnebago Industries, Inc., certify that pursuant to 18 U.S.C. §1350 as adopted pursuant to §906 of the Sarbanes-Oxley Act of 2002, that:</w:t>
      </w:r>
    </w:p>
    <w:p>
      <w:pPr>
        <w:spacing w:after="0" w:line="138" w:lineRule="exact"/>
        <w:rPr>
          <w:sz w:val="20"/>
          <w:szCs w:val="20"/>
          <w:color w:val="auto"/>
        </w:rPr>
      </w:pPr>
    </w:p>
    <w:p>
      <w:pPr>
        <w:jc w:val="both"/>
        <w:ind w:left="660" w:right="80" w:hanging="328"/>
        <w:spacing w:after="0" w:line="269"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This Quarterly Report on Form 10-Q (“periodic report”) of Winnebago Industries, Inc. (the “issuer”), for the fiscal quarter ended May 30, 2015 as filed with the Securities and Exchange Commission on the date of this certificate, which this statement accompanies, fully complies with the requirements of Section 13(a) or 15(d) of the Securities Exchange Act of 1934, and</w:t>
      </w:r>
    </w:p>
    <w:p>
      <w:pPr>
        <w:spacing w:after="0" w:line="137" w:lineRule="exact"/>
        <w:rPr>
          <w:rFonts w:ascii="Arial" w:cs="Arial" w:eastAsia="Arial" w:hAnsi="Arial"/>
          <w:sz w:val="16"/>
          <w:szCs w:val="16"/>
          <w:color w:val="auto"/>
        </w:rPr>
      </w:pPr>
    </w:p>
    <w:p>
      <w:pPr>
        <w:ind w:left="660" w:hanging="328"/>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information contained in this periodic report fairly represents, in all material respects, the financial condition and results of operations of the issuer.</w:t>
      </w:r>
    </w:p>
    <w:p>
      <w:pPr>
        <w:spacing w:after="0" w:line="200" w:lineRule="exact"/>
        <w:rPr>
          <w:sz w:val="20"/>
          <w:szCs w:val="20"/>
          <w:color w:val="auto"/>
        </w:rPr>
      </w:pPr>
    </w:p>
    <w:p>
      <w:pPr>
        <w:spacing w:after="0" w:line="264" w:lineRule="exact"/>
        <w:rPr>
          <w:sz w:val="20"/>
          <w:szCs w:val="20"/>
          <w:color w:val="auto"/>
        </w:rPr>
      </w:pPr>
    </w:p>
    <w:p>
      <w:pPr>
        <w:ind w:left="40"/>
        <w:spacing w:after="0"/>
        <w:tabs>
          <w:tab w:leader="none" w:pos="940" w:val="left"/>
          <w:tab w:leader="none" w:pos="6180" w:val="left"/>
          <w:tab w:leader="none" w:pos="71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June 26, 2015</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Sarah 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31750</wp:posOffset>
            </wp:positionV>
            <wp:extent cx="27527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6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Sarah N. Nielsen</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Vice President, Chief Financial Officer</w:t>
      </w:r>
    </w:p>
    <w:sectPr>
      <w:pgSz w:w="11900" w:h="16838" w:orient="portrait"/>
      <w:cols w:equalWidth="0" w:num="1">
        <w:col w:w="11360"/>
      </w:cols>
      <w:pgMar w:left="240" w:top="628"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x"/>
      <w:numFmt w:val="bullet"/>
      <w:start w:val="1"/>
    </w:lvl>
  </w:abstractNum>
  <w:abstractNum w:abstractNumId="1">
    <w:nsid w:val="7FDCC233"/>
    <w:multiLevelType w:val="hybridMultilevel"/>
    <w:lvl w:ilvl="0">
      <w:lvlJc w:val="left"/>
      <w:lvlText w:val="o"/>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decimal"/>
      <w:start w:val="3"/>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1)"/>
      <w:numFmt w:val="decimal"/>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1)"/>
      <w:numFmt w:val="decimal"/>
      <w:start w:val="1"/>
    </w:lvl>
  </w:abstractNum>
  <w:abstractNum w:abstractNumId="14">
    <w:nsid w:val="628C895D"/>
    <w:multiLevelType w:val="hybridMultilevel"/>
    <w:lvl w:ilvl="0">
      <w:lvlJc w:val="left"/>
      <w:lvlText w:val="(%1)"/>
      <w:numFmt w:val="decimal"/>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1)"/>
      <w:numFmt w:val="decimal"/>
      <w:start w:val="1"/>
    </w:lvl>
  </w:abstractNum>
  <w:abstractNum w:abstractNumId="19">
    <w:nsid w:val="6763845E"/>
    <w:multiLevelType w:val="hybridMultilevel"/>
    <w:lvl w:ilvl="0">
      <w:lvlJc w:val="left"/>
      <w:lvlText w:val="(%1)"/>
      <w:numFmt w:val="decimal"/>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lowerLetter"/>
      <w:start w:val="1"/>
    </w:lvl>
  </w:abstractNum>
  <w:abstractNum w:abstractNumId="26">
    <w:nsid w:val="54E49EB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2019-12-29T16:20:42Z</dcterms:created>
  <dcterms:modified xsi:type="dcterms:W3CDTF">2019-12-29T16:20:42Z</dcterms:modified>
</cp:coreProperties>
</file>