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1140" w:right="42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(b) and (c) On June 21, 2011,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the election of Randy J. Potts to the position of Chief Executive Officer, in addition to his current position of President, effective immediately. Robert J. Olson will remain an officer and continue serving as Chairman of the Board. Information regarding Mr. Potts's tenure with the Company and his business experience can be found in the Company's Annual Report on Form 10-K filed with the Securities and Exchange Commission on October 26, 2010, the descriptions of which are incorporated herein by reference. On June 22, 2011, the Company issued a press release announcing the election of Mr. Potts to the position of Chief Executive Officer of the Company. The press release is filed as Exhibit 99.1 to this Current Report on Form 8-K.</w:t>
      </w:r>
    </w:p>
    <w:p>
      <w:pPr>
        <w:spacing w:after="0" w:line="2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a meeting of the Board of Directors held June 21, 2011, John V. Hanson, 69, and Gerald C. Kitch, 73, each notified the Company of his respective decision not to stand for re-election and retire from the Board of Directors, effective as of the date of the Company's Annual Meeting following its 2011 fiscal year, scheduled for December 13, 2011. Neither Mr. Hanson or Mr. Kitch are retiring as a result of any disagreement with the Company on any matter relating to the Company's operations, policies or practices.</w:t>
      </w:r>
    </w:p>
    <w:p>
      <w:pPr>
        <w:spacing w:after="0" w:line="231" w:lineRule="exact"/>
        <w:rPr>
          <w:sz w:val="20"/>
          <w:szCs w:val="20"/>
          <w:color w:val="auto"/>
        </w:rPr>
      </w:pPr>
    </w:p>
    <w:p>
      <w:pPr>
        <w:ind w:firstLine="8"/>
        <w:spacing w:after="0" w:line="216" w:lineRule="exact"/>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June 21, 2011, the Board of Directors of the Company, upon the recommendation of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approved effective August 28, 2011, the beginning of the Company's 2012 fiscal year, (i) the Officers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Plan-Fiscal Period 2012 (the </w:t>
      </w:r>
      <w:r>
        <w:rPr>
          <w:rFonts w:ascii="Arial" w:cs="Arial" w:eastAsia="Arial" w:hAnsi="Arial"/>
          <w:sz w:val="18"/>
          <w:szCs w:val="18"/>
          <w:i w:val="1"/>
          <w:iCs w:val="1"/>
          <w:color w:val="auto"/>
        </w:rPr>
        <w:t>“2012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2012, 2013 and 2014 (the </w:t>
      </w:r>
      <w:r>
        <w:rPr>
          <w:rFonts w:ascii="Arial" w:cs="Arial" w:eastAsia="Arial" w:hAnsi="Arial"/>
          <w:sz w:val="18"/>
          <w:szCs w:val="18"/>
          <w:i w:val="1"/>
          <w:iCs w:val="1"/>
          <w:color w:val="auto"/>
        </w:rPr>
        <w:t>“LTIP 2012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2014”</w:t>
      </w:r>
      <w:r>
        <w:rPr>
          <w:rFonts w:ascii="Arial" w:cs="Arial" w:eastAsia="Arial" w:hAnsi="Arial"/>
          <w:sz w:val="18"/>
          <w:szCs w:val="18"/>
          <w:color w:val="auto"/>
        </w:rPr>
        <w:t xml:space="preserve">). Robert J. Olson (Chairman of the Board), Randy J. Potts (Chief Executive Officer and President), Raymond M. Beebe (Vice President, General Counsel and Secretary), Sarah N. Nielsen (Vice President, Chief Financial Officer), William J. O'Leary (Vice President, Product Development) and Roger W. Martin (Vice President, Sales and Marketing) (collectively, the </w:t>
      </w:r>
      <w:r>
        <w:rPr>
          <w:rFonts w:ascii="Arial" w:cs="Arial" w:eastAsia="Arial" w:hAnsi="Arial"/>
          <w:sz w:val="18"/>
          <w:szCs w:val="18"/>
          <w:i w:val="1"/>
          <w:iCs w:val="1"/>
          <w:color w:val="auto"/>
        </w:rPr>
        <w:t>“Named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will participate in both the 2012 Incentive Compensation Plan and the LTIP 2012</w:t>
      </w:r>
      <w:r>
        <w:rPr>
          <w:rFonts w:ascii="MS PGothic" w:cs="MS PGothic" w:eastAsia="MS PGothic" w:hAnsi="MS PGothic"/>
          <w:sz w:val="18"/>
          <w:szCs w:val="18"/>
          <w:color w:val="auto"/>
        </w:rPr>
        <w:t>‑</w:t>
      </w:r>
      <w:r>
        <w:rPr>
          <w:rFonts w:ascii="Arial" w:cs="Arial" w:eastAsia="Arial" w:hAnsi="Arial"/>
          <w:sz w:val="18"/>
          <w:szCs w:val="18"/>
          <w:color w:val="auto"/>
        </w:rPr>
        <w:t>2014.</w:t>
      </w:r>
    </w:p>
    <w:p>
      <w:pPr>
        <w:spacing w:after="0" w:line="24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2012 Incentive Compensation Plan provides for an annual incentive award based upon financial performance of the Company. The purpose of the 2012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2012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applicable measures). Under the 2012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2012 Incentive Compensation Plan provides for a bonus (Target) of 90% (for the Chairman of the Board) 75% (for the Chief Executive Officer and President)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2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2012 Incentive Compensation Plan, the Board of Directors reserves the right to modify the Financial Factor used in determining the incentive compensation by plus or minus 20% based upon strategic organizational goals and priorities established by the Board of Directors. Strategic performance is evaluated annually by the Committee and submitted for approval by the Board of Directors. On June 21, 2011, the Board of Directors approved the following strategic factors for the 2012 Incentive Plan: industry performance; market share; product quality; business diversity initiatives; planning and succession planning.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performance measurement or measurements and the threshold, target and maximum performance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580" w:right="259" w:bottom="1440" w:gutter="0" w:footer="0" w:header="0"/>
        </w:sectPr>
      </w:pPr>
    </w:p>
    <w:bookmarkStart w:id="2" w:name="page3"/>
    <w:bookmarkEnd w:id="2"/>
    <w:p>
      <w:pPr>
        <w:spacing w:after="0" w:line="262" w:lineRule="auto"/>
        <w:rPr>
          <w:sz w:val="20"/>
          <w:szCs w:val="20"/>
          <w:color w:val="auto"/>
        </w:rPr>
      </w:pPr>
      <w:r>
        <w:rPr>
          <w:rFonts w:ascii="Arial" w:cs="Arial" w:eastAsia="Arial" w:hAnsi="Arial"/>
          <w:sz w:val="18"/>
          <w:szCs w:val="18"/>
          <w:color w:val="auto"/>
        </w:rPr>
        <w:t>levels for which bonuses will be paid pursuant to the 2012 Incentive Compensation Plan have not yet been established by the Committee or the Board.</w:t>
      </w:r>
    </w:p>
    <w:p>
      <w:pPr>
        <w:spacing w:after="0" w:line="22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In the event of a “Change in Control” (as defined in the 2012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29" w:lineRule="exact"/>
        <w:rPr>
          <w:sz w:val="20"/>
          <w:szCs w:val="20"/>
          <w:color w:val="auto"/>
        </w:rPr>
      </w:pPr>
    </w:p>
    <w:p>
      <w:pPr>
        <w:ind w:right="80"/>
        <w:spacing w:after="0" w:line="216" w:lineRule="exact"/>
        <w:rPr>
          <w:sz w:val="20"/>
          <w:szCs w:val="20"/>
          <w:color w:val="auto"/>
        </w:rPr>
      </w:pPr>
      <w:r>
        <w:rPr>
          <w:rFonts w:ascii="Arial" w:cs="Arial" w:eastAsia="Arial" w:hAnsi="Arial"/>
          <w:sz w:val="18"/>
          <w:szCs w:val="18"/>
          <w:color w:val="auto"/>
        </w:rPr>
        <w:t>The Named Executive Officers are also eligible for incentive awards under the LTIP 2012</w:t>
      </w:r>
      <w:r>
        <w:rPr>
          <w:rFonts w:ascii="MS PGothic" w:cs="MS PGothic" w:eastAsia="MS PGothic" w:hAnsi="MS PGothic"/>
          <w:sz w:val="18"/>
          <w:szCs w:val="18"/>
          <w:color w:val="auto"/>
        </w:rPr>
        <w:t>‑</w:t>
      </w:r>
      <w:r>
        <w:rPr>
          <w:rFonts w:ascii="Arial" w:cs="Arial" w:eastAsia="Arial" w:hAnsi="Arial"/>
          <w:sz w:val="18"/>
          <w:szCs w:val="18"/>
          <w:color w:val="auto"/>
        </w:rPr>
        <w:t>2014. The purpose of the LTIP 2012</w:t>
      </w:r>
      <w:r>
        <w:rPr>
          <w:rFonts w:ascii="MS PGothic" w:cs="MS PGothic" w:eastAsia="MS PGothic" w:hAnsi="MS PGothic"/>
          <w:sz w:val="18"/>
          <w:szCs w:val="18"/>
          <w:color w:val="auto"/>
        </w:rPr>
        <w:t>‑</w:t>
      </w:r>
      <w:r>
        <w:rPr>
          <w:rFonts w:ascii="Arial" w:cs="Arial" w:eastAsia="Arial" w:hAnsi="Arial"/>
          <w:sz w:val="18"/>
          <w:szCs w:val="18"/>
          <w:color w:val="auto"/>
        </w:rPr>
        <w:t>2014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2012</w:t>
      </w:r>
      <w:r>
        <w:rPr>
          <w:rFonts w:ascii="MS PGothic" w:cs="MS PGothic" w:eastAsia="MS PGothic" w:hAnsi="MS PGothic"/>
          <w:sz w:val="18"/>
          <w:szCs w:val="18"/>
          <w:color w:val="auto"/>
        </w:rPr>
        <w:t>‑</w:t>
      </w:r>
      <w:r>
        <w:rPr>
          <w:rFonts w:ascii="Arial" w:cs="Arial" w:eastAsia="Arial" w:hAnsi="Arial"/>
          <w:sz w:val="18"/>
          <w:szCs w:val="18"/>
          <w:color w:val="auto"/>
        </w:rPr>
        <w:t>2014 provides for incentive awards consisting of performance stock grants made in restricted shares of the Company's Common Stock. The awards under the LTIP 2012</w:t>
      </w:r>
      <w:r>
        <w:rPr>
          <w:rFonts w:ascii="MS PGothic" w:cs="MS PGothic" w:eastAsia="MS PGothic" w:hAnsi="MS PGothic"/>
          <w:sz w:val="18"/>
          <w:szCs w:val="18"/>
          <w:color w:val="auto"/>
        </w:rPr>
        <w:t>‑</w:t>
      </w:r>
      <w:r>
        <w:rPr>
          <w:rFonts w:ascii="Arial" w:cs="Arial" w:eastAsia="Arial" w:hAnsi="Arial"/>
          <w:sz w:val="18"/>
          <w:szCs w:val="18"/>
          <w:color w:val="auto"/>
        </w:rPr>
        <w:t>2014 are based upon the Company's financial performance as measured against the Company's financial results at the end of the three year fiscal period. The Named Executive Officers must be employed by the Company at the end of fiscal 2014 to be eligible for an incentive award under the LTIP 2012</w:t>
      </w:r>
      <w:r>
        <w:rPr>
          <w:rFonts w:ascii="MS PGothic" w:cs="MS PGothic" w:eastAsia="MS PGothic" w:hAnsi="MS PGothic"/>
          <w:sz w:val="18"/>
          <w:szCs w:val="18"/>
          <w:color w:val="auto"/>
        </w:rPr>
        <w:t>‑</w:t>
      </w:r>
      <w:r>
        <w:rPr>
          <w:rFonts w:ascii="Arial" w:cs="Arial" w:eastAsia="Arial" w:hAnsi="Arial"/>
          <w:sz w:val="18"/>
          <w:szCs w:val="18"/>
          <w:color w:val="auto"/>
        </w:rPr>
        <w:t>2014, except upon a Change in Control as described below.</w:t>
      </w:r>
    </w:p>
    <w:p>
      <w:pPr>
        <w:spacing w:after="0" w:line="246"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Under the LTIP 2012-2014,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2012-2014 and approved by the Committee will be awarded as soon as practical after the Company's year-end accounting following the 2014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247"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September 2011.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2012-2014 have not yet been established by the Committee or the Board.</w:t>
      </w:r>
    </w:p>
    <w:p>
      <w:pPr>
        <w:spacing w:after="0" w:line="223"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In the event of a “Change in Control” (as defined in the LTIP 2012-2014)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2012-2014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2012 Incentive Compensation Plan or the LTIP 2012-2014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841" w:right="239" w:bottom="1440" w:gutter="0" w:footer="0" w:header="0"/>
        </w:sectPr>
      </w:pPr>
    </w:p>
    <w:bookmarkStart w:id="3" w:name="page4"/>
    <w:bookmarkEnd w:id="3"/>
    <w:p>
      <w:pPr>
        <w:ind w:right="200"/>
        <w:spacing w:after="0" w:line="217" w:lineRule="exact"/>
        <w:rPr>
          <w:sz w:val="20"/>
          <w:szCs w:val="20"/>
          <w:color w:val="auto"/>
        </w:rPr>
      </w:pPr>
      <w:r>
        <w:rPr>
          <w:rFonts w:ascii="Arial" w:cs="Arial" w:eastAsia="Arial" w:hAnsi="Arial"/>
          <w:sz w:val="18"/>
          <w:szCs w:val="18"/>
          <w:color w:val="auto"/>
        </w:rPr>
        <w:t>Reference is made to each of the 2012 Incentive Compensation Plan and the LTIP 2012</w:t>
      </w:r>
      <w:r>
        <w:rPr>
          <w:rFonts w:ascii="MS PGothic" w:cs="MS PGothic" w:eastAsia="MS PGothic" w:hAnsi="MS PGothic"/>
          <w:sz w:val="18"/>
          <w:szCs w:val="18"/>
          <w:color w:val="auto"/>
        </w:rPr>
        <w:t>‑</w:t>
      </w:r>
      <w:r>
        <w:rPr>
          <w:rFonts w:ascii="Arial" w:cs="Arial" w:eastAsia="Arial" w:hAnsi="Arial"/>
          <w:sz w:val="18"/>
          <w:szCs w:val="18"/>
          <w:color w:val="auto"/>
        </w:rPr>
        <w:t>2014 filed as Exhibits 99.2 and 99.3, respectively, to this Report and are incorporated herein by this reference.</w:t>
      </w:r>
    </w:p>
    <w:p>
      <w:pPr>
        <w:spacing w:after="0" w:line="200" w:lineRule="exact"/>
        <w:rPr>
          <w:sz w:val="20"/>
          <w:szCs w:val="20"/>
          <w:color w:val="auto"/>
        </w:rPr>
      </w:pPr>
    </w:p>
    <w:p>
      <w:pPr>
        <w:spacing w:after="0" w:line="213"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8" w:lineRule="exact"/>
        <w:rPr>
          <w:sz w:val="20"/>
          <w:szCs w:val="20"/>
          <w:color w:val="auto"/>
        </w:rPr>
      </w:pPr>
    </w:p>
    <w:p>
      <w:pPr>
        <w:ind w:left="1520" w:hanging="864"/>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900" w:right="180" w:hanging="789"/>
        <w:spacing w:after="0" w:line="246" w:lineRule="auto"/>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Announcing Election of Randy J. Potts to the position of Chief Executive Officer, dated June 22, 2011.</w:t>
      </w:r>
    </w:p>
    <w:p>
      <w:pPr>
        <w:spacing w:after="0" w:line="359"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Incentive Compensation Plan—Fiscal Period 2012</w:t>
      </w:r>
    </w:p>
    <w:p>
      <w:pPr>
        <w:spacing w:after="0" w:line="374"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7"/>
          <w:szCs w:val="17"/>
          <w:color w:val="auto"/>
        </w:rPr>
        <w:t>Officers Long-Term Incentive Plan-Fiscal Three—Year Period 2012, 2013 and 2014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2640" w:type="dxa"/>
            <w:vAlign w:val="bottom"/>
          </w:tcPr>
          <w:p>
            <w:pPr>
              <w:ind w:left="200"/>
              <w:spacing w:after="0"/>
              <w:rPr>
                <w:sz w:val="20"/>
                <w:szCs w:val="20"/>
                <w:color w:val="auto"/>
              </w:rPr>
            </w:pPr>
            <w:r>
              <w:rPr>
                <w:rFonts w:ascii="Arial" w:cs="Arial" w:eastAsia="Arial" w:hAnsi="Arial"/>
                <w:sz w:val="18"/>
                <w:szCs w:val="18"/>
                <w:color w:val="auto"/>
              </w:rPr>
              <w:t>June 27, 2011</w:t>
            </w:r>
          </w:p>
        </w:tc>
        <w:tc>
          <w:tcPr>
            <w:tcW w:w="8020" w:type="dxa"/>
            <w:vAlign w:val="bottom"/>
            <w:gridSpan w:val="2"/>
          </w:tcPr>
          <w:p>
            <w:pPr>
              <w:ind w:left="1300"/>
              <w:spacing w:after="0"/>
              <w:rPr>
                <w:sz w:val="20"/>
                <w:szCs w:val="20"/>
                <w:color w:val="auto"/>
              </w:rPr>
            </w:pPr>
            <w:r>
              <w:rPr>
                <w:rFonts w:ascii="Arial" w:cs="Arial" w:eastAsia="Arial" w:hAnsi="Arial"/>
                <w:sz w:val="18"/>
                <w:szCs w:val="18"/>
                <w:color w:val="auto"/>
              </w:rPr>
              <w:t>WINNEBAGO INDUSTRIES, INC.</w:t>
            </w:r>
          </w:p>
        </w:tc>
      </w:tr>
      <w:tr>
        <w:trPr>
          <w:trHeight w:val="831"/>
        </w:trPr>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20" w:type="dxa"/>
            <w:vAlign w:val="bottom"/>
          </w:tcPr>
          <w:p>
            <w:pPr>
              <w:ind w:left="132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7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20" w:type="dxa"/>
            <w:vAlign w:val="bottom"/>
          </w:tcPr>
          <w:p>
            <w:pPr>
              <w:ind w:left="1320"/>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7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220" w:type="dxa"/>
            <w:vAlign w:val="bottom"/>
          </w:tcPr>
          <w:p>
            <w:pPr>
              <w:ind w:left="1320"/>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434"/>
        </w:trPr>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0" w:type="dxa"/>
            <w:vAlign w:val="bottom"/>
          </w:tcPr>
          <w:p>
            <w:pPr>
              <w:jc w:val="right"/>
              <w:ind w:right="5574"/>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20"/>
          </w:cols>
          <w:pgMar w:left="240" w:top="841" w:right="239" w:bottom="1440" w:gutter="0" w:footer="0" w:header="0"/>
        </w:sectPr>
      </w:pPr>
    </w:p>
    <w:bookmarkStart w:id="4" w:name="page5"/>
    <w:bookmarkEnd w:id="4"/>
    <w:p>
      <w:pPr>
        <w:ind w:left="38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860" w:hanging="721"/>
        <w:spacing w:after="0" w:line="246" w:lineRule="auto"/>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Announcing Election of Randy J. Potts to the position of Chief Executive Officer, dated June 22, 2011.</w:t>
      </w:r>
    </w:p>
    <w:p>
      <w:pPr>
        <w:spacing w:after="0" w:line="359"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Incentive Compensation Plan—Fiscal Period 2012</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7"/>
          <w:szCs w:val="17"/>
          <w:color w:val="auto"/>
        </w:rPr>
        <w:t>Officers Long-Term Incentive Plan-Fiscal Three—Year Period 2012, 2013 and 2014</w:t>
      </w:r>
    </w:p>
    <w:p>
      <w:pPr>
        <w:spacing w:after="0" w:line="200" w:lineRule="exact"/>
        <w:rPr>
          <w:sz w:val="20"/>
          <w:szCs w:val="20"/>
          <w:color w:val="auto"/>
        </w:rPr>
      </w:pPr>
    </w:p>
    <w:p>
      <w:pPr>
        <w:spacing w:after="0" w:line="28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900"/>
          </w:cols>
          <w:pgMar w:left="1440" w:top="576"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more information, contact: Kelli Harms - 641/585-6731 - kharms@winnebagoind.com</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RANDY POTTS ELECTED CEO OF WINNEBAGO INDUSTRIES, INC.</w:t>
      </w:r>
    </w:p>
    <w:p>
      <w:pPr>
        <w:spacing w:after="0" w:line="200" w:lineRule="exact"/>
        <w:rPr>
          <w:sz w:val="20"/>
          <w:szCs w:val="20"/>
          <w:color w:val="auto"/>
        </w:rPr>
      </w:pP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FOREST CITY, IOWA, June 22, 2011 – Winnebago Industries, Inc. (NYSE: WGO), a leading United States (U.S.) recreation vehicle manufacturer, today announced the Board of Directors elected Randy Potts to the position of Chief Executive Officer. This is in addition to his current position of President that was effective in January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Bob Olson will retain his position as Chairman of the Board in order to focus on the Company’s overall direction.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27-year veteran of Winnebago Industries, Potts, 52, joined the Company in 1983 as a senior tool designer. He has served in various engineering and management positions since that time. In November 2009, he was promoted to the position of Senior Vice President, Strategic Planning and was responsible for new business development for the Company. Previously, Potts had served as Vice President, Manufacturing, a position he held from 2006 to 2009.</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“Randy has been instrumental in helping to guide our Company through challenging times and expanding our business footprint with the recent acquisition of SunnyBrook RV, Inc.” said Olson. “His experience and vision make him uniquely qualified to assume the additional duties of CEO and I look forward to continuing to work with him in his new role.”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Potts is a graduate of Hawkeye Institute of Technology in Waterloo, Iowa.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Winnebago Industries, Inc., The Most Recognized Name In Motor Homes®,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598"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1512570</wp:posOffset>
            </wp:positionV>
            <wp:extent cx="1895475" cy="823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440" w:right="1440" w:bottom="1440" w:gutter="0" w:footer="0" w:header="0"/>
          <w:type w:val="continuous"/>
        </w:sectPr>
      </w:pPr>
    </w:p>
    <w:bookmarkStart w:id="7" w:name="page8"/>
    <w:bookmarkEnd w:id="7"/>
    <w:p>
      <w:pPr>
        <w:jc w:val="center"/>
        <w:ind w:right="-1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10"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Fiscal Period 2012</w:t>
      </w:r>
    </w:p>
    <w:p>
      <w:pPr>
        <w:spacing w:after="0" w:line="200" w:lineRule="exact"/>
        <w:rPr>
          <w:sz w:val="20"/>
          <w:szCs w:val="20"/>
          <w:color w:val="auto"/>
        </w:rPr>
      </w:pPr>
    </w:p>
    <w:p>
      <w:pPr>
        <w:spacing w:after="0" w:line="250" w:lineRule="exact"/>
        <w:rPr>
          <w:sz w:val="20"/>
          <w:szCs w:val="20"/>
          <w:color w:val="auto"/>
        </w:rPr>
      </w:pPr>
    </w:p>
    <w:p>
      <w:pPr>
        <w:jc w:val="both"/>
        <w:ind w:left="332" w:right="200" w:hanging="332"/>
        <w:spacing w:after="0" w:line="239"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234" w:lineRule="exact"/>
        <w:rPr>
          <w:rFonts w:ascii="Arial" w:cs="Arial" w:eastAsia="Arial" w:hAnsi="Arial"/>
          <w:sz w:val="22"/>
          <w:szCs w:val="22"/>
          <w:color w:val="auto"/>
        </w:rPr>
      </w:pPr>
    </w:p>
    <w:p>
      <w:pPr>
        <w:ind w:left="372" w:hanging="372"/>
        <w:spacing w:after="0"/>
        <w:tabs>
          <w:tab w:leader="none" w:pos="37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p>
    <w:p>
      <w:pPr>
        <w:spacing w:after="0" w:line="14" w:lineRule="exact"/>
        <w:rPr>
          <w:rFonts w:ascii="Arial" w:cs="Arial" w:eastAsia="Arial" w:hAnsi="Arial"/>
          <w:sz w:val="22"/>
          <w:szCs w:val="22"/>
          <w:color w:val="auto"/>
        </w:rPr>
      </w:pPr>
    </w:p>
    <w:p>
      <w:pPr>
        <w:ind w:left="972" w:right="300" w:hanging="324"/>
        <w:spacing w:after="0" w:line="237"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Human Resources Committee</w:t>
      </w:r>
      <w:r>
        <w:rPr>
          <w:rFonts w:ascii="Arial" w:cs="Arial" w:eastAsia="Arial" w:hAnsi="Arial"/>
          <w:sz w:val="22"/>
          <w:szCs w:val="22"/>
          <w:color w:val="auto"/>
        </w:rPr>
        <w:t>. The Plan shall be administered by a Committee (the “Committee”) appointed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w:t>
      </w:r>
    </w:p>
    <w:p>
      <w:pPr>
        <w:spacing w:after="0" w:line="219" w:lineRule="exact"/>
        <w:rPr>
          <w:rFonts w:ascii="Arial" w:cs="Arial" w:eastAsia="Arial" w:hAnsi="Arial"/>
          <w:sz w:val="22"/>
          <w:szCs w:val="22"/>
          <w:color w:val="auto"/>
        </w:rPr>
      </w:pPr>
    </w:p>
    <w:p>
      <w:pPr>
        <w:ind w:left="972" w:right="100" w:hanging="324"/>
        <w:spacing w:after="0" w:line="236"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 w:lineRule="exact"/>
        <w:rPr>
          <w:rFonts w:ascii="Arial" w:cs="Arial" w:eastAsia="Arial" w:hAnsi="Arial"/>
          <w:sz w:val="22"/>
          <w:szCs w:val="22"/>
          <w:color w:val="auto"/>
        </w:rPr>
      </w:pPr>
    </w:p>
    <w:p>
      <w:pPr>
        <w:ind w:left="972" w:hanging="324"/>
        <w:spacing w:after="0"/>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must approve the Plan prior to the beginning of each new fiscal year.</w:t>
      </w:r>
    </w:p>
    <w:p>
      <w:pPr>
        <w:spacing w:after="0" w:line="236" w:lineRule="exact"/>
        <w:rPr>
          <w:rFonts w:ascii="Arial" w:cs="Arial" w:eastAsia="Arial" w:hAnsi="Arial"/>
          <w:sz w:val="22"/>
          <w:szCs w:val="22"/>
          <w:color w:val="auto"/>
        </w:rPr>
      </w:pPr>
    </w:p>
    <w:p>
      <w:pPr>
        <w:ind w:left="372" w:hanging="372"/>
        <w:spacing w:after="0"/>
        <w:tabs>
          <w:tab w:leader="none" w:pos="372"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14" w:lineRule="exact"/>
        <w:rPr>
          <w:rFonts w:ascii="Arial" w:cs="Arial" w:eastAsia="Arial" w:hAnsi="Arial"/>
          <w:sz w:val="22"/>
          <w:szCs w:val="22"/>
          <w:b w:val="1"/>
          <w:bCs w:val="1"/>
          <w:color w:val="auto"/>
        </w:rPr>
      </w:pPr>
    </w:p>
    <w:p>
      <w:pPr>
        <w:ind w:left="972" w:hanging="324"/>
        <w:spacing w:after="0" w:line="237" w:lineRule="auto"/>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225" w:lineRule="exact"/>
        <w:rPr>
          <w:rFonts w:ascii="Arial" w:cs="Arial" w:eastAsia="Arial" w:hAnsi="Arial"/>
          <w:sz w:val="22"/>
          <w:szCs w:val="22"/>
          <w:color w:val="auto"/>
        </w:rPr>
      </w:pPr>
    </w:p>
    <w:p>
      <w:pPr>
        <w:ind w:left="972" w:hanging="324"/>
        <w:spacing w:after="0"/>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46" w:lineRule="exact"/>
        <w:rPr>
          <w:rFonts w:ascii="Arial" w:cs="Arial" w:eastAsia="Arial" w:hAnsi="Arial"/>
          <w:sz w:val="22"/>
          <w:szCs w:val="22"/>
          <w:color w:val="auto"/>
        </w:rPr>
      </w:pPr>
    </w:p>
    <w:p>
      <w:pPr>
        <w:ind w:left="972" w:right="60" w:hanging="324"/>
        <w:spacing w:after="0"/>
        <w:tabs>
          <w:tab w:leader="none" w:pos="97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pacing w:after="0" w:line="234" w:lineRule="exact"/>
        <w:rPr>
          <w:rFonts w:ascii="Arial" w:cs="Arial" w:eastAsia="Arial" w:hAnsi="Arial"/>
          <w:sz w:val="22"/>
          <w:szCs w:val="22"/>
          <w:color w:val="auto"/>
        </w:rPr>
      </w:pPr>
    </w:p>
    <w:p>
      <w:pPr>
        <w:ind w:left="332" w:right="220" w:hanging="332"/>
        <w:spacing w:after="0" w:line="256" w:lineRule="auto"/>
        <w:tabs>
          <w:tab w:leader="none" w:pos="386"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the Plan</w:t>
      </w:r>
      <w:r>
        <w:rPr>
          <w:rFonts w:ascii="Arial" w:cs="Arial" w:eastAsia="Arial" w:hAnsi="Arial"/>
          <w:sz w:val="22"/>
          <w:szCs w:val="22"/>
          <w:color w:val="auto"/>
        </w:rPr>
        <w:t>. The incentive award is based upon financial performance of the Corporation. The Plan is an annual</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that provides for annual measurements of financial performance and an opportunity for an annual incentive payment based on performance results.</w:t>
      </w:r>
    </w:p>
    <w:p>
      <w:pPr>
        <w:spacing w:after="0" w:line="223" w:lineRule="exact"/>
        <w:rPr>
          <w:sz w:val="20"/>
          <w:szCs w:val="20"/>
          <w:color w:val="auto"/>
        </w:rPr>
      </w:pPr>
    </w:p>
    <w:p>
      <w:pPr>
        <w:jc w:val="both"/>
        <w:ind w:left="332" w:right="100"/>
        <w:spacing w:after="0" w:line="261" w:lineRule="exact"/>
        <w:rPr>
          <w:sz w:val="20"/>
          <w:szCs w:val="20"/>
          <w:color w:val="auto"/>
        </w:rPr>
      </w:pPr>
      <w:r>
        <w:rPr>
          <w:rFonts w:ascii="Arial" w:cs="Arial" w:eastAsia="Arial" w:hAnsi="Arial"/>
          <w:sz w:val="22"/>
          <w:szCs w:val="22"/>
          <w:color w:val="auto"/>
        </w:rPr>
        <w:t>The financial performance measurements for this Plan will be based upon one or more pre</w:t>
      </w:r>
      <w:r>
        <w:rPr>
          <w:rFonts w:ascii="MS PGothic" w:cs="MS PGothic" w:eastAsia="MS PGothic" w:hAnsi="MS PGothic"/>
          <w:sz w:val="22"/>
          <w:szCs w:val="22"/>
          <w:color w:val="auto"/>
        </w:rPr>
        <w:t>‑</w:t>
      </w:r>
      <w:r>
        <w:rPr>
          <w:rFonts w:ascii="Arial" w:cs="Arial" w:eastAsia="Arial" w:hAnsi="Arial"/>
          <w:sz w:val="22"/>
          <w:szCs w:val="22"/>
          <w:color w:val="auto"/>
        </w:rPr>
        <w:t>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236" w:lineRule="exact"/>
        <w:rPr>
          <w:sz w:val="20"/>
          <w:szCs w:val="20"/>
          <w:color w:val="auto"/>
        </w:rPr>
      </w:pPr>
    </w:p>
    <w:p>
      <w:pPr>
        <w:ind w:left="332" w:right="40" w:hanging="332"/>
        <w:spacing w:after="0" w:line="269" w:lineRule="auto"/>
        <w:tabs>
          <w:tab w:leader="none" w:pos="386"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The amount of the participants' incentive compensation for the fiscal year shall be in direct proportion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financial performance expressed as a percentage (Financial</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1008" w:right="259" w:bottom="1440" w:gutter="0" w:footer="0" w:header="0"/>
        </w:sectPr>
      </w:pPr>
    </w:p>
    <w:bookmarkStart w:id="8" w:name="page9"/>
    <w:bookmarkEnd w:id="8"/>
    <w:p>
      <w:pPr>
        <w:ind w:left="332" w:right="920"/>
        <w:spacing w:after="0" w:line="343" w:lineRule="auto"/>
        <w:rPr>
          <w:sz w:val="20"/>
          <w:szCs w:val="20"/>
          <w:color w:val="auto"/>
        </w:rPr>
      </w:pPr>
      <w:r>
        <w:rPr>
          <w:rFonts w:ascii="Arial" w:cs="Arial" w:eastAsia="Arial" w:hAnsi="Arial"/>
          <w:sz w:val="19"/>
          <w:szCs w:val="19"/>
          <w:color w:val="auto"/>
        </w:rPr>
        <w:t>Factor) against predetermined compensation targets for each participant. The results for the fiscal year will be used in identifying the Financial Factor to be used when calculating the participants incentive compensation.</w:t>
      </w:r>
    </w:p>
    <w:p>
      <w:pPr>
        <w:spacing w:after="0" w:line="145" w:lineRule="exact"/>
        <w:rPr>
          <w:sz w:val="20"/>
          <w:szCs w:val="20"/>
          <w:color w:val="auto"/>
        </w:rPr>
      </w:pPr>
    </w:p>
    <w:p>
      <w:pPr>
        <w:ind w:left="332" w:right="20"/>
        <w:spacing w:after="0" w:line="286" w:lineRule="auto"/>
        <w:rPr>
          <w:sz w:val="20"/>
          <w:szCs w:val="20"/>
          <w:color w:val="auto"/>
        </w:rPr>
      </w:pPr>
      <w:r>
        <w:rPr>
          <w:rFonts w:ascii="Arial" w:cs="Arial" w:eastAsia="Arial" w:hAnsi="Arial"/>
          <w:sz w:val="19"/>
          <w:szCs w:val="19"/>
          <w:color w:val="auto"/>
        </w:rPr>
        <w:t>The incentive for the executive officers except for the Chairman of the Board and for the President and Chief Executive Officer, provides for a 60% incentive (Target) opportunity of base pay, comprised of a mix of (2/3) cash and (1/3) restricted stock at 100% achievement of the financial objectives. The incentive for the Chairman of the Board provides for a 90% incentive (Target) opportunity expressed as a percentage of base salary comprised of a mix of (2/3) cash and (1/3) restricted stock at</w:t>
      </w:r>
    </w:p>
    <w:p>
      <w:pPr>
        <w:spacing w:after="0" w:line="3" w:lineRule="exact"/>
        <w:rPr>
          <w:sz w:val="20"/>
          <w:szCs w:val="20"/>
          <w:color w:val="auto"/>
        </w:rPr>
      </w:pPr>
    </w:p>
    <w:p>
      <w:pPr>
        <w:ind w:left="332"/>
        <w:spacing w:after="0" w:line="295" w:lineRule="auto"/>
        <w:rPr>
          <w:sz w:val="20"/>
          <w:szCs w:val="20"/>
          <w:color w:val="auto"/>
        </w:rPr>
      </w:pPr>
      <w:r>
        <w:rPr>
          <w:rFonts w:ascii="Arial" w:cs="Arial" w:eastAsia="Arial" w:hAnsi="Arial"/>
          <w:sz w:val="19"/>
          <w:szCs w:val="19"/>
          <w:color w:val="auto"/>
        </w:rPr>
        <w:t>100% achievement of the financial objectives respectively. The incentive for the President and Chief Executive Officer provides for a 75% incentive (Target) opportunity expressed as a percentage of base salary comprised of a mix of (2/3) cash and (1/3) restricted stock at 100% achievement of the financial objectives. The Committee delegates to the CEO the authority to establish the incentive (Target) for officers other than executive officers subject to the provisions set forth in this Plan.</w:t>
      </w:r>
    </w:p>
    <w:p>
      <w:pPr>
        <w:spacing w:after="0" w:line="191" w:lineRule="exact"/>
        <w:rPr>
          <w:sz w:val="20"/>
          <w:szCs w:val="20"/>
          <w:color w:val="auto"/>
        </w:rPr>
      </w:pPr>
    </w:p>
    <w:p>
      <w:pPr>
        <w:ind w:left="332" w:right="560"/>
        <w:spacing w:after="0" w:line="263" w:lineRule="auto"/>
        <w:rPr>
          <w:sz w:val="20"/>
          <w:szCs w:val="20"/>
          <w:color w:val="auto"/>
        </w:rPr>
      </w:pPr>
      <w:r>
        <w:rPr>
          <w:rFonts w:ascii="Arial" w:cs="Arial" w:eastAsia="Arial" w:hAnsi="Arial"/>
          <w:sz w:val="22"/>
          <w:szCs w:val="22"/>
          <w:color w:val="auto"/>
        </w:rPr>
        <w:t>A participant must be employed by Winnebago Industries, Inc. at the end of the fiscal year to be eligible for any incentive payment except as waived by the Committee for retirement, disability or death.</w:t>
      </w:r>
    </w:p>
    <w:p>
      <w:pPr>
        <w:spacing w:after="0" w:line="209" w:lineRule="exact"/>
        <w:rPr>
          <w:sz w:val="20"/>
          <w:szCs w:val="20"/>
          <w:color w:val="auto"/>
        </w:rPr>
      </w:pPr>
    </w:p>
    <w:p>
      <w:pPr>
        <w:ind w:left="332" w:right="240" w:hanging="332"/>
        <w:spacing w:after="0" w:line="315" w:lineRule="auto"/>
        <w:tabs>
          <w:tab w:leader="none" w:pos="386"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Strategic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Human Resources Committee, on an annual basis, completes a formal evaluation of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identified specific strategic organizational goals and priorities established by the Board of Directors. The Human Resources Committee will provide its evaluation of the strategic factors to the Board of Directors for approval.</w:t>
      </w:r>
    </w:p>
    <w:p>
      <w:pPr>
        <w:spacing w:after="0" w:line="172" w:lineRule="exact"/>
        <w:rPr>
          <w:sz w:val="20"/>
          <w:szCs w:val="20"/>
          <w:color w:val="auto"/>
        </w:rPr>
      </w:pPr>
    </w:p>
    <w:p>
      <w:pPr>
        <w:ind w:left="332" w:right="1160"/>
        <w:spacing w:after="0" w:line="263" w:lineRule="auto"/>
        <w:rPr>
          <w:sz w:val="20"/>
          <w:szCs w:val="20"/>
          <w:color w:val="auto"/>
        </w:rPr>
      </w:pPr>
      <w:r>
        <w:rPr>
          <w:rFonts w:ascii="Arial" w:cs="Arial" w:eastAsia="Arial" w:hAnsi="Arial"/>
          <w:sz w:val="22"/>
          <w:szCs w:val="22"/>
          <w:color w:val="auto"/>
        </w:rPr>
        <w:t>The Board of Directors may adjust the core incentive eligibility by plus or minus 20% as determined by the formal evaluation results of those strategic organizational goals and priorities.</w:t>
      </w:r>
    </w:p>
    <w:p>
      <w:pPr>
        <w:spacing w:after="0" w:line="215" w:lineRule="exact"/>
        <w:rPr>
          <w:sz w:val="20"/>
          <w:szCs w:val="20"/>
          <w:color w:val="auto"/>
        </w:rPr>
      </w:pPr>
    </w:p>
    <w:p>
      <w:pPr>
        <w:ind w:left="332" w:right="400"/>
        <w:spacing w:after="0" w:line="263" w:lineRule="auto"/>
        <w:rPr>
          <w:sz w:val="20"/>
          <w:szCs w:val="20"/>
          <w:color w:val="auto"/>
        </w:rPr>
      </w:pPr>
      <w:r>
        <w:rPr>
          <w:rFonts w:ascii="Arial" w:cs="Arial" w:eastAsia="Arial" w:hAnsi="Arial"/>
          <w:sz w:val="22"/>
          <w:szCs w:val="22"/>
          <w:color w:val="auto"/>
        </w:rPr>
        <w:t>Strategic goals and priorities selected by the Board of Directors may focus on one or more of the following strategic factors but are not limited to those stated:</w:t>
      </w:r>
    </w:p>
    <w:p>
      <w:pPr>
        <w:sectPr>
          <w:pgSz w:w="11900" w:h="16838" w:orient="portrait"/>
          <w:cols w:equalWidth="0" w:num="1">
            <w:col w:w="11412"/>
          </w:cols>
          <w:pgMar w:left="248" w:top="591" w:right="239" w:bottom="1440" w:gutter="0" w:footer="0" w:header="0"/>
        </w:sectPr>
      </w:pPr>
    </w:p>
    <w:p>
      <w:pPr>
        <w:spacing w:after="0" w:line="107" w:lineRule="exact"/>
        <w:rPr>
          <w:sz w:val="20"/>
          <w:szCs w:val="20"/>
          <w:color w:val="auto"/>
        </w:rPr>
      </w:pPr>
    </w:p>
    <w:p>
      <w:pPr>
        <w:ind w:left="169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Customer Satisfaction</w:t>
      </w:r>
    </w:p>
    <w:p>
      <w:pPr>
        <w:spacing w:after="0" w:line="79" w:lineRule="exact"/>
        <w:rPr>
          <w:sz w:val="20"/>
          <w:szCs w:val="20"/>
          <w:color w:val="auto"/>
        </w:rPr>
      </w:pPr>
    </w:p>
    <w:p>
      <w:pPr>
        <w:sectPr>
          <w:pgSz w:w="11900" w:h="16838" w:orient="portrait"/>
          <w:cols w:equalWidth="0" w:num="2">
            <w:col w:w="5312" w:space="720"/>
            <w:col w:w="5380"/>
          </w:cols>
          <w:pgMar w:left="248" w:top="591" w:right="239" w:bottom="1440" w:gutter="0" w:footer="0" w:header="0"/>
          <w:type w:val="continuous"/>
        </w:sectPr>
      </w:pPr>
    </w:p>
    <w:p>
      <w:pPr>
        <w:ind w:left="169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5312" w:space="720"/>
            <w:col w:w="5380"/>
          </w:cols>
          <w:pgMar w:left="248" w:top="591" w:right="239" w:bottom="1440" w:gutter="0" w:footer="0" w:header="0"/>
          <w:type w:val="continuous"/>
        </w:sectPr>
      </w:pPr>
    </w:p>
    <w:p>
      <w:pPr>
        <w:ind w:left="169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5312" w:space="720"/>
            <w:col w:w="5380"/>
          </w:cols>
          <w:pgMar w:left="248" w:top="591" w:right="239" w:bottom="1440" w:gutter="0" w:footer="0" w:header="0"/>
          <w:type w:val="continuous"/>
        </w:sectPr>
      </w:pPr>
    </w:p>
    <w:p>
      <w:pPr>
        <w:ind w:left="169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5312" w:space="720"/>
            <w:col w:w="5380"/>
          </w:cols>
          <w:pgMar w:left="248" w:top="591" w:right="239" w:bottom="1440" w:gutter="0" w:footer="0" w:header="0"/>
          <w:type w:val="continuous"/>
        </w:sectPr>
      </w:pPr>
    </w:p>
    <w:p>
      <w:pPr>
        <w:ind w:left="169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Iniatives</w:t>
      </w:r>
    </w:p>
    <w:p>
      <w:pPr>
        <w:spacing w:after="0" w:line="200" w:lineRule="exact"/>
        <w:rPr>
          <w:sz w:val="20"/>
          <w:szCs w:val="20"/>
          <w:color w:val="auto"/>
        </w:rPr>
      </w:pPr>
    </w:p>
    <w:p>
      <w:pPr>
        <w:sectPr>
          <w:pgSz w:w="11900" w:h="16838" w:orient="portrait"/>
          <w:cols w:equalWidth="0" w:num="2">
            <w:col w:w="5312" w:space="720"/>
            <w:col w:w="5380"/>
          </w:cols>
          <w:pgMar w:left="248" w:top="591" w:right="239" w:bottom="1440" w:gutter="0" w:footer="0" w:header="0"/>
          <w:type w:val="continuous"/>
        </w:sectPr>
      </w:pPr>
    </w:p>
    <w:p>
      <w:pPr>
        <w:spacing w:after="0" w:line="102" w:lineRule="exact"/>
        <w:rPr>
          <w:sz w:val="20"/>
          <w:szCs w:val="20"/>
          <w:color w:val="auto"/>
        </w:rPr>
      </w:pPr>
    </w:p>
    <w:p>
      <w:pPr>
        <w:ind w:left="332" w:right="120" w:hanging="332"/>
        <w:spacing w:after="0" w:line="278" w:lineRule="auto"/>
        <w:tabs>
          <w:tab w:leader="none" w:pos="332"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One-third (1/3) of the officers' earned incentive for the year, pursuant to Paragraph 5 of the Plan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awarded in the form of a grant made in restricted shares of common stock to encourage stock ownership and promote the long-term growth and profitability of Winnebago Industries, Inc. The annual restricted stock grant shall be awarded as soon as practical after the final year-end compensation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86" w:lineRule="exact"/>
        <w:rPr>
          <w:rFonts w:ascii="Arial" w:cs="Arial" w:eastAsia="Arial" w:hAnsi="Arial"/>
          <w:sz w:val="19"/>
          <w:szCs w:val="19"/>
          <w:color w:val="auto"/>
        </w:rPr>
      </w:pPr>
    </w:p>
    <w:p>
      <w:pPr>
        <w:ind w:left="332" w:hanging="332"/>
        <w:spacing w:after="0"/>
        <w:tabs>
          <w:tab w:leader="none" w:pos="332"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the Company undergoes a change in control during the Plan year</w:t>
      </w:r>
    </w:p>
    <w:p>
      <w:pPr>
        <w:spacing w:after="0" w:line="24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591" w:right="239" w:bottom="1440" w:gutter="0" w:footer="0" w:header="0"/>
          <w:type w:val="continuous"/>
        </w:sectPr>
      </w:pPr>
    </w:p>
    <w:bookmarkStart w:id="9" w:name="page10"/>
    <w:bookmarkEnd w:id="9"/>
    <w:p>
      <w:pPr>
        <w:spacing w:after="0" w:line="277" w:lineRule="auto"/>
        <w:rPr>
          <w:sz w:val="20"/>
          <w:szCs w:val="20"/>
          <w:color w:val="auto"/>
        </w:rPr>
      </w:pPr>
      <w:r>
        <w:rPr>
          <w:rFonts w:ascii="Arial" w:cs="Arial" w:eastAsia="Arial" w:hAnsi="Arial"/>
          <w:sz w:val="19"/>
          <w:szCs w:val="19"/>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201"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for the purposes of the Officers Incentive Compensation Plan shall mean the time when (i)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 of the definition “Change of Control:”</w:t>
      </w:r>
    </w:p>
    <w:p>
      <w:pPr>
        <w:spacing w:after="0" w:line="260" w:lineRule="exact"/>
        <w:rPr>
          <w:sz w:val="20"/>
          <w:szCs w:val="20"/>
          <w:color w:val="auto"/>
        </w:rPr>
      </w:pPr>
    </w:p>
    <w:p>
      <w:pPr>
        <w:ind w:left="640" w:right="80" w:hanging="324"/>
        <w:spacing w:after="0" w:line="260" w:lineRule="auto"/>
        <w:tabs>
          <w:tab w:leader="none" w:pos="772" w:val="left"/>
        </w:tabs>
        <w:numPr>
          <w:ilvl w:val="0"/>
          <w:numId w:val="8"/>
        </w:numPr>
        <w:rPr>
          <w:rFonts w:ascii="Arial" w:cs="Arial" w:eastAsia="Arial" w:hAnsi="Arial"/>
          <w:sz w:val="21"/>
          <w:szCs w:val="21"/>
          <w:color w:val="auto"/>
        </w:rPr>
      </w:pPr>
      <w:r>
        <w:rPr>
          <w:rFonts w:ascii="Arial" w:cs="Arial" w:eastAsia="Arial" w:hAnsi="Arial"/>
          <w:sz w:val="21"/>
          <w:szCs w:val="2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21" w:lineRule="exact"/>
        <w:rPr>
          <w:rFonts w:ascii="Arial" w:cs="Arial" w:eastAsia="Arial" w:hAnsi="Arial"/>
          <w:sz w:val="21"/>
          <w:szCs w:val="21"/>
          <w:color w:val="auto"/>
        </w:rPr>
      </w:pPr>
    </w:p>
    <w:p>
      <w:pPr>
        <w:ind w:left="640" w:right="320" w:hanging="324"/>
        <w:spacing w:after="0" w:line="253" w:lineRule="auto"/>
        <w:tabs>
          <w:tab w:leader="none" w:pos="784" w:val="left"/>
        </w:tabs>
        <w:numPr>
          <w:ilvl w:val="0"/>
          <w:numId w:val="8"/>
        </w:numPr>
        <w:rPr>
          <w:rFonts w:ascii="Arial" w:cs="Arial" w:eastAsia="Arial" w:hAnsi="Arial"/>
          <w:sz w:val="22"/>
          <w:szCs w:val="22"/>
          <w:color w:val="auto"/>
        </w:rPr>
      </w:pPr>
      <w:r>
        <w:rPr>
          <w:rFonts w:ascii="Arial" w:cs="Arial" w:eastAsia="Arial" w:hAnsi="Arial"/>
          <w:sz w:val="22"/>
          <w:szCs w:val="22"/>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226" w:lineRule="exact"/>
        <w:rPr>
          <w:rFonts w:ascii="Arial" w:cs="Arial" w:eastAsia="Arial" w:hAnsi="Arial"/>
          <w:sz w:val="22"/>
          <w:szCs w:val="22"/>
          <w:color w:val="auto"/>
        </w:rPr>
      </w:pPr>
    </w:p>
    <w:p>
      <w:pPr>
        <w:ind w:left="640" w:right="140" w:hanging="324"/>
        <w:spacing w:after="0" w:line="263" w:lineRule="auto"/>
        <w:tabs>
          <w:tab w:leader="none" w:pos="772" w:val="left"/>
        </w:tabs>
        <w:numPr>
          <w:ilvl w:val="0"/>
          <w:numId w:val="8"/>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ind w:left="640" w:hanging="324"/>
        <w:spacing w:after="0" w:line="263" w:lineRule="auto"/>
        <w:tabs>
          <w:tab w:leader="none" w:pos="784" w:val="left"/>
        </w:tabs>
        <w:numPr>
          <w:ilvl w:val="0"/>
          <w:numId w:val="8"/>
        </w:numPr>
        <w:rPr>
          <w:rFonts w:ascii="Arial" w:cs="Arial" w:eastAsia="Arial" w:hAnsi="Arial"/>
          <w:sz w:val="21"/>
          <w:szCs w:val="21"/>
          <w:color w:val="auto"/>
        </w:rPr>
      </w:pPr>
      <w:r>
        <w:rPr>
          <w:rFonts w:ascii="Arial" w:cs="Arial" w:eastAsia="Arial" w:hAnsi="Arial"/>
          <w:sz w:val="21"/>
          <w:szCs w:val="21"/>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580" w:top="577" w:right="239" w:bottom="1440" w:gutter="0" w:footer="0" w:header="0"/>
        </w:sectPr>
      </w:pPr>
    </w:p>
    <w:bookmarkStart w:id="10" w:name="page11"/>
    <w:bookmarkEnd w:id="10"/>
    <w:p>
      <w:pPr>
        <w:ind w:left="980" w:right="340"/>
        <w:spacing w:after="0" w:line="263" w:lineRule="auto"/>
        <w:rPr>
          <w:sz w:val="20"/>
          <w:szCs w:val="20"/>
          <w:color w:val="auto"/>
        </w:rPr>
      </w:pPr>
      <w:r>
        <w:rPr>
          <w:rFonts w:ascii="Arial" w:cs="Arial" w:eastAsia="Arial" w:hAnsi="Arial"/>
          <w:sz w:val="22"/>
          <w:szCs w:val="22"/>
          <w:color w:val="auto"/>
        </w:rPr>
        <w:t>person, or any relative of such spouse, or (4) any investment company for which such person or any Affiliate of such person serves as investment advisor.</w:t>
      </w:r>
    </w:p>
    <w:p>
      <w:pPr>
        <w:spacing w:after="0" w:line="215" w:lineRule="exact"/>
        <w:rPr>
          <w:sz w:val="20"/>
          <w:szCs w:val="20"/>
          <w:color w:val="auto"/>
        </w:rPr>
      </w:pPr>
    </w:p>
    <w:p>
      <w:pPr>
        <w:ind w:left="1120" w:hanging="464"/>
        <w:spacing w:after="0"/>
        <w:tabs>
          <w:tab w:leader="none" w:pos="1120" w:val="left"/>
        </w:tabs>
        <w:numPr>
          <w:ilvl w:val="1"/>
          <w:numId w:val="9"/>
        </w:numPr>
        <w:rPr>
          <w:rFonts w:ascii="Arial" w:cs="Arial" w:eastAsia="Arial" w:hAnsi="Arial"/>
          <w:sz w:val="22"/>
          <w:szCs w:val="22"/>
          <w:color w:val="auto"/>
        </w:rPr>
      </w:pPr>
      <w:r>
        <w:rPr>
          <w:rFonts w:ascii="Arial" w:cs="Arial" w:eastAsia="Arial" w:hAnsi="Arial"/>
          <w:sz w:val="22"/>
          <w:szCs w:val="22"/>
          <w:color w:val="auto"/>
        </w:rPr>
        <w:t>“Company” means Winnebago Industries, Inc., an Iowa corporation.</w:t>
      </w:r>
    </w:p>
    <w:p>
      <w:pPr>
        <w:spacing w:after="0" w:line="260" w:lineRule="exact"/>
        <w:rPr>
          <w:rFonts w:ascii="Arial" w:cs="Arial" w:eastAsia="Arial" w:hAnsi="Arial"/>
          <w:sz w:val="22"/>
          <w:szCs w:val="22"/>
          <w:color w:val="auto"/>
        </w:rPr>
      </w:pPr>
    </w:p>
    <w:p>
      <w:pPr>
        <w:ind w:left="980" w:right="320" w:hanging="324"/>
        <w:spacing w:after="0" w:line="263" w:lineRule="auto"/>
        <w:tabs>
          <w:tab w:leader="none" w:pos="1088" w:val="left"/>
        </w:tabs>
        <w:numPr>
          <w:ilvl w:val="1"/>
          <w:numId w:val="9"/>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195" w:lineRule="exact"/>
        <w:rPr>
          <w:rFonts w:ascii="Arial" w:cs="Arial" w:eastAsia="Arial" w:hAnsi="Arial"/>
          <w:sz w:val="22"/>
          <w:szCs w:val="22"/>
          <w:color w:val="auto"/>
        </w:rPr>
      </w:pPr>
    </w:p>
    <w:p>
      <w:pPr>
        <w:ind w:left="660" w:hanging="328"/>
        <w:spacing w:after="0" w:line="273"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Recoupment of Incentive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Committee reasonably determines that the performance certified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Committee, and any payment made to a participant with respect to the Plan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as required under any rules or regulations adopted by the Securities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 Any determination made by the Board of Directors or the Committee under this provision shall be final, binding and conclusive on the participant.</w:t>
      </w:r>
    </w:p>
    <w:p>
      <w:pPr>
        <w:spacing w:after="0" w:line="196" w:lineRule="exact"/>
        <w:rPr>
          <w:rFonts w:ascii="Arial" w:cs="Arial" w:eastAsia="Arial" w:hAnsi="Arial"/>
          <w:sz w:val="19"/>
          <w:szCs w:val="19"/>
          <w:color w:val="auto"/>
        </w:rPr>
      </w:pPr>
    </w:p>
    <w:p>
      <w:pPr>
        <w:ind w:left="660" w:right="720" w:hanging="328"/>
        <w:spacing w:after="0" w:line="256"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203" w:lineRule="exact"/>
        <w:rPr>
          <w:rFonts w:ascii="Arial" w:cs="Arial" w:eastAsia="Arial" w:hAnsi="Arial"/>
          <w:sz w:val="22"/>
          <w:szCs w:val="22"/>
          <w:color w:val="auto"/>
        </w:rPr>
      </w:pPr>
    </w:p>
    <w:p>
      <w:pPr>
        <w:ind w:left="660" w:right="340" w:hanging="328"/>
        <w:spacing w:after="0" w:line="335"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Approved by: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Robert J. Olson</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22, 2011</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Robert J. Olson</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of the Board</w:t>
            </w:r>
          </w:p>
        </w:tc>
        <w:tc>
          <w:tcPr>
            <w:tcW w:w="2280" w:type="dxa"/>
            <w:vAlign w:val="bottom"/>
          </w:tcPr>
          <w:p>
            <w:pPr>
              <w:spacing w:after="0"/>
              <w:rPr>
                <w:sz w:val="24"/>
                <w:szCs w:val="24"/>
                <w:color w:val="auto"/>
              </w:rPr>
            </w:pPr>
          </w:p>
        </w:tc>
      </w:tr>
      <w:tr>
        <w:trPr>
          <w:trHeight w:val="605"/>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Gerald C. Kitch</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22, 2011</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Gerald C. Kitch</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Human Resources Commitee</w:t>
            </w:r>
          </w:p>
        </w:tc>
        <w:tc>
          <w:tcPr>
            <w:tcW w:w="228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of the Winnebago Industries Board of Directors</w:t>
            </w:r>
          </w:p>
        </w:tc>
        <w:tc>
          <w:tcPr>
            <w:tcW w:w="2280" w:type="dxa"/>
            <w:vAlign w:val="bottom"/>
          </w:tcPr>
          <w:p>
            <w:pPr>
              <w:spacing w:after="0"/>
              <w:rPr>
                <w:sz w:val="24"/>
                <w:szCs w:val="24"/>
                <w:color w:val="auto"/>
              </w:rPr>
            </w:pPr>
          </w:p>
        </w:tc>
      </w:tr>
    </w:tbl>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1512570</wp:posOffset>
            </wp:positionV>
            <wp:extent cx="1895475"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820" w:right="819"/>
        <w:spacing w:after="0" w:line="408" w:lineRule="auto"/>
        <w:rPr>
          <w:sz w:val="20"/>
          <w:szCs w:val="20"/>
          <w:color w:val="auto"/>
        </w:rPr>
      </w:pPr>
      <w:r>
        <w:rPr>
          <w:rFonts w:ascii="Arial" w:cs="Arial" w:eastAsia="Arial" w:hAnsi="Arial"/>
          <w:sz w:val="36"/>
          <w:szCs w:val="36"/>
          <w:b w:val="1"/>
          <w:bCs w:val="1"/>
          <w:color w:val="auto"/>
        </w:rPr>
        <w:t>OFFICERS LONG-TERM INCENTIVE PLAN FISCAL THREE-YEAR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2012, 2013 and 2014</w:t>
      </w:r>
    </w:p>
    <w:p>
      <w:pPr>
        <w:sectPr>
          <w:pgSz w:w="11900" w:h="16838" w:orient="portrait"/>
          <w:cols w:equalWidth="0" w:num="1">
            <w:col w:w="9019"/>
          </w:cols>
          <w:pgMar w:left="1440" w:top="1440"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OFFICERS LONG-TERM INCENTIVE PLAN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Fiscal Three-Year Period 2012, 2013 and 2014</w:t>
      </w:r>
    </w:p>
    <w:p>
      <w:pPr>
        <w:spacing w:after="0" w:line="200" w:lineRule="exact"/>
        <w:rPr>
          <w:sz w:val="20"/>
          <w:szCs w:val="20"/>
          <w:color w:val="auto"/>
        </w:rPr>
      </w:pPr>
    </w:p>
    <w:p>
      <w:pPr>
        <w:spacing w:after="0" w:line="209" w:lineRule="exact"/>
        <w:rPr>
          <w:sz w:val="20"/>
          <w:szCs w:val="20"/>
          <w:color w:val="auto"/>
        </w:rPr>
      </w:pPr>
    </w:p>
    <w:p>
      <w:pPr>
        <w:ind w:left="340" w:hanging="332"/>
        <w:spacing w:after="0" w:line="239"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234" w:lineRule="exact"/>
        <w:rPr>
          <w:rFonts w:ascii="Arial" w:cs="Arial" w:eastAsia="Arial" w:hAnsi="Arial"/>
          <w:sz w:val="22"/>
          <w:szCs w:val="22"/>
          <w:color w:val="auto"/>
        </w:rPr>
      </w:pPr>
    </w:p>
    <w:p>
      <w:pPr>
        <w:ind w:left="380" w:hanging="372"/>
        <w:spacing w:after="0"/>
        <w:tabs>
          <w:tab w:leader="none" w:pos="38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p>
    <w:p>
      <w:pPr>
        <w:spacing w:after="0" w:line="14" w:lineRule="exact"/>
        <w:rPr>
          <w:rFonts w:ascii="Arial" w:cs="Arial" w:eastAsia="Arial" w:hAnsi="Arial"/>
          <w:sz w:val="22"/>
          <w:szCs w:val="22"/>
          <w:color w:val="auto"/>
        </w:rPr>
      </w:pPr>
    </w:p>
    <w:p>
      <w:pPr>
        <w:ind w:left="980" w:right="320" w:hanging="324"/>
        <w:spacing w:after="0" w:line="237" w:lineRule="auto"/>
        <w:tabs>
          <w:tab w:leader="none" w:pos="980" w:val="left"/>
        </w:tabs>
        <w:numPr>
          <w:ilvl w:val="2"/>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Human Resources Committee</w:t>
      </w:r>
      <w:r>
        <w:rPr>
          <w:rFonts w:ascii="Arial" w:cs="Arial" w:eastAsia="Arial" w:hAnsi="Arial"/>
          <w:sz w:val="22"/>
          <w:szCs w:val="22"/>
          <w:color w:val="auto"/>
        </w:rPr>
        <w:t>. The Plan shall be administered by a Committee (the “Committee”) appointed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w:t>
      </w:r>
    </w:p>
    <w:p>
      <w:pPr>
        <w:spacing w:after="0" w:line="219" w:lineRule="exact"/>
        <w:rPr>
          <w:rFonts w:ascii="Arial" w:cs="Arial" w:eastAsia="Arial" w:hAnsi="Arial"/>
          <w:sz w:val="22"/>
          <w:szCs w:val="22"/>
          <w:color w:val="auto"/>
        </w:rPr>
      </w:pPr>
    </w:p>
    <w:p>
      <w:pPr>
        <w:ind w:left="980" w:right="120" w:hanging="324"/>
        <w:spacing w:after="0" w:line="239" w:lineRule="auto"/>
        <w:tabs>
          <w:tab w:leader="none" w:pos="980" w:val="left"/>
        </w:tabs>
        <w:numPr>
          <w:ilvl w:val="2"/>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34" w:lineRule="exact"/>
        <w:rPr>
          <w:rFonts w:ascii="Arial" w:cs="Arial" w:eastAsia="Arial" w:hAnsi="Arial"/>
          <w:sz w:val="22"/>
          <w:szCs w:val="22"/>
          <w:color w:val="auto"/>
        </w:rPr>
      </w:pPr>
    </w:p>
    <w:p>
      <w:pPr>
        <w:ind w:left="980" w:right="160" w:hanging="324"/>
        <w:spacing w:after="0" w:line="269" w:lineRule="auto"/>
        <w:tabs>
          <w:tab w:leader="none" w:pos="1022" w:val="left"/>
        </w:tabs>
        <w:numPr>
          <w:ilvl w:val="2"/>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must approve the Plan prior to the beginning of each new fiscal three (3) year plan</w:t>
      </w:r>
      <w:r>
        <w:rPr>
          <w:rFonts w:ascii="Arial" w:cs="Arial" w:eastAsia="Arial" w:hAnsi="Arial"/>
          <w:sz w:val="22"/>
          <w:szCs w:val="22"/>
          <w:b w:val="1"/>
          <w:bCs w:val="1"/>
          <w:color w:val="auto"/>
        </w:rPr>
        <w:t xml:space="preserve"> </w:t>
      </w:r>
      <w:r>
        <w:rPr>
          <w:rFonts w:ascii="Arial" w:cs="Arial" w:eastAsia="Arial" w:hAnsi="Arial"/>
          <w:sz w:val="22"/>
          <w:szCs w:val="22"/>
          <w:color w:val="auto"/>
        </w:rPr>
        <w:t>period. Each year a new plan will be established for a new three-year period.</w:t>
      </w:r>
    </w:p>
    <w:p>
      <w:pPr>
        <w:spacing w:after="0" w:line="189" w:lineRule="exact"/>
        <w:rPr>
          <w:rFonts w:ascii="Arial" w:cs="Arial" w:eastAsia="Arial" w:hAnsi="Arial"/>
          <w:sz w:val="22"/>
          <w:szCs w:val="22"/>
          <w:color w:val="auto"/>
        </w:rPr>
      </w:pPr>
    </w:p>
    <w:p>
      <w:pPr>
        <w:ind w:left="340" w:hanging="332"/>
        <w:spacing w:after="0"/>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14" w:lineRule="exact"/>
        <w:rPr>
          <w:rFonts w:ascii="Arial" w:cs="Arial" w:eastAsia="Arial" w:hAnsi="Arial"/>
          <w:sz w:val="22"/>
          <w:szCs w:val="22"/>
          <w:color w:val="auto"/>
        </w:rPr>
      </w:pPr>
    </w:p>
    <w:p>
      <w:pPr>
        <w:ind w:left="980" w:right="20" w:hanging="324"/>
        <w:spacing w:after="0" w:line="237" w:lineRule="auto"/>
        <w:tabs>
          <w:tab w:leader="none" w:pos="980" w:val="left"/>
        </w:tabs>
        <w:numPr>
          <w:ilvl w:val="2"/>
          <w:numId w:val="11"/>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225" w:lineRule="exact"/>
        <w:rPr>
          <w:rFonts w:ascii="Arial" w:cs="Arial" w:eastAsia="Arial" w:hAnsi="Arial"/>
          <w:sz w:val="22"/>
          <w:szCs w:val="22"/>
          <w:color w:val="auto"/>
        </w:rPr>
      </w:pPr>
    </w:p>
    <w:p>
      <w:pPr>
        <w:ind w:left="980" w:hanging="324"/>
        <w:spacing w:after="0"/>
        <w:tabs>
          <w:tab w:leader="none" w:pos="980"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46" w:lineRule="exact"/>
        <w:rPr>
          <w:rFonts w:ascii="Arial" w:cs="Arial" w:eastAsia="Arial" w:hAnsi="Arial"/>
          <w:sz w:val="22"/>
          <w:szCs w:val="22"/>
          <w:color w:val="auto"/>
        </w:rPr>
      </w:pPr>
    </w:p>
    <w:p>
      <w:pPr>
        <w:ind w:left="980" w:right="300" w:hanging="324"/>
        <w:spacing w:after="0"/>
        <w:tabs>
          <w:tab w:leader="none" w:pos="980"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234" w:lineRule="exact"/>
        <w:rPr>
          <w:rFonts w:ascii="Arial" w:cs="Arial" w:eastAsia="Arial" w:hAnsi="Arial"/>
          <w:sz w:val="22"/>
          <w:szCs w:val="22"/>
          <w:color w:val="auto"/>
        </w:rPr>
      </w:pPr>
    </w:p>
    <w:p>
      <w:pPr>
        <w:ind w:left="380" w:hanging="372"/>
        <w:spacing w:after="0"/>
        <w:tabs>
          <w:tab w:leader="none" w:pos="38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long-term incentive award is based upon financial performance of the Corporation. The Plan is a three</w:t>
      </w:r>
    </w:p>
    <w:p>
      <w:pPr>
        <w:spacing w:after="0" w:line="62" w:lineRule="exact"/>
        <w:rPr>
          <w:rFonts w:ascii="Arial" w:cs="Arial" w:eastAsia="Arial" w:hAnsi="Arial"/>
          <w:sz w:val="19"/>
          <w:szCs w:val="19"/>
          <w:color w:val="auto"/>
        </w:rPr>
      </w:pPr>
    </w:p>
    <w:p>
      <w:pPr>
        <w:ind w:left="340" w:right="740" w:hanging="8"/>
        <w:spacing w:after="0" w:line="246" w:lineRule="auto"/>
        <w:tabs>
          <w:tab w:leader="none" w:pos="646" w:val="left"/>
        </w:tabs>
        <w:numPr>
          <w:ilvl w:val="1"/>
          <w:numId w:val="11"/>
        </w:numPr>
        <w:rPr>
          <w:rFonts w:ascii="Arial" w:cs="Arial" w:eastAsia="Arial" w:hAnsi="Arial"/>
          <w:sz w:val="22"/>
          <w:szCs w:val="22"/>
          <w:color w:val="auto"/>
        </w:rPr>
      </w:pPr>
      <w:r>
        <w:rPr>
          <w:rFonts w:ascii="Arial" w:cs="Arial" w:eastAsia="Arial" w:hAnsi="Arial"/>
          <w:sz w:val="22"/>
          <w:szCs w:val="22"/>
          <w:color w:val="auto"/>
        </w:rPr>
        <w:t>year (fiscal) program that provides for an opportunity for an incentive award based on the achievement of long-term financial performance results as measured at the end of the three (3) year fiscal period.</w:t>
      </w:r>
    </w:p>
    <w:p>
      <w:pPr>
        <w:spacing w:after="0" w:line="233" w:lineRule="exact"/>
        <w:rPr>
          <w:sz w:val="20"/>
          <w:szCs w:val="20"/>
          <w:color w:val="auto"/>
        </w:rPr>
      </w:pPr>
    </w:p>
    <w:p>
      <w:pPr>
        <w:jc w:val="both"/>
        <w:ind w:left="340" w:right="120"/>
        <w:spacing w:after="0" w:line="250" w:lineRule="auto"/>
        <w:rPr>
          <w:sz w:val="20"/>
          <w:szCs w:val="20"/>
          <w:color w:val="auto"/>
        </w:rPr>
      </w:pPr>
      <w:r>
        <w:rPr>
          <w:rFonts w:ascii="Arial" w:cs="Arial" w:eastAsia="Arial" w:hAnsi="Arial"/>
          <w:sz w:val="22"/>
          <w:szCs w:val="22"/>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w:t>
      </w:r>
    </w:p>
    <w:p>
      <w:pPr>
        <w:sectPr>
          <w:pgSz w:w="11900" w:h="16838" w:orient="portrait"/>
          <w:cols w:equalWidth="0" w:num="1">
            <w:col w:w="11420"/>
          </w:cols>
          <w:pgMar w:left="240" w:top="792" w:right="239" w:bottom="1440" w:gutter="0" w:footer="0" w:header="0"/>
        </w:sectPr>
      </w:pPr>
    </w:p>
    <w:bookmarkStart w:id="13" w:name="page14"/>
    <w:bookmarkEnd w:id="13"/>
    <w:p>
      <w:pPr>
        <w:ind w:left="332" w:right="180"/>
        <w:spacing w:after="0" w:line="302" w:lineRule="auto"/>
        <w:rPr>
          <w:sz w:val="20"/>
          <w:szCs w:val="20"/>
          <w:color w:val="auto"/>
        </w:rPr>
      </w:pPr>
      <w:r>
        <w:rPr>
          <w:rFonts w:ascii="Arial" w:cs="Arial" w:eastAsia="Arial" w:hAnsi="Arial"/>
          <w:sz w:val="19"/>
          <w:szCs w:val="19"/>
          <w:color w:val="auto"/>
        </w:rPr>
        <w:t>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83" w:lineRule="exact"/>
        <w:rPr>
          <w:sz w:val="20"/>
          <w:szCs w:val="20"/>
          <w:color w:val="auto"/>
        </w:rPr>
      </w:pPr>
    </w:p>
    <w:p>
      <w:pPr>
        <w:ind w:left="332"/>
        <w:spacing w:after="0" w:line="260" w:lineRule="auto"/>
        <w:rPr>
          <w:sz w:val="20"/>
          <w:szCs w:val="20"/>
          <w:color w:val="auto"/>
        </w:rPr>
      </w:pPr>
      <w:r>
        <w:rPr>
          <w:rFonts w:ascii="Arial" w:cs="Arial" w:eastAsia="Arial" w:hAnsi="Arial"/>
          <w:sz w:val="21"/>
          <w:szCs w:val="21"/>
          <w:color w:val="auto"/>
        </w:rPr>
        <w:t>The long-term incentive for the executive officers provides for an opportunity of 25% of the annualized base salary (Target) to be awarded in restricted stock at 100% (Target) achievement of the financial long-term objectives. The Committee delegates to the CEO the authority to establish the incentive (Target) opportunity for officers other than executive officers subject to the limitations set forth in this Plan. The annualized base salary figure used for the three (3) year period beginning Fiscal 2012 shall be the salary in place for each participant as of September 2011. The resultant stock unit share opportunity (Target) will be adjusted up or down as determined by actual financial performance expressed as a percentage (Financial Factor) at the end of the three (3) year fiscal period.</w:t>
      </w:r>
    </w:p>
    <w:p>
      <w:pPr>
        <w:spacing w:after="0" w:line="222" w:lineRule="exact"/>
        <w:rPr>
          <w:sz w:val="20"/>
          <w:szCs w:val="20"/>
          <w:color w:val="auto"/>
        </w:rPr>
      </w:pPr>
    </w:p>
    <w:p>
      <w:pPr>
        <w:ind w:left="332" w:right="80"/>
        <w:spacing w:after="0" w:line="290" w:lineRule="auto"/>
        <w:rPr>
          <w:sz w:val="20"/>
          <w:szCs w:val="20"/>
          <w:color w:val="auto"/>
        </w:rPr>
      </w:pPr>
      <w:r>
        <w:rPr>
          <w:rFonts w:ascii="Arial" w:cs="Arial" w:eastAsia="Arial" w:hAnsi="Arial"/>
          <w:sz w:val="19"/>
          <w:szCs w:val="19"/>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year-end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78" w:lineRule="exact"/>
        <w:rPr>
          <w:sz w:val="20"/>
          <w:szCs w:val="20"/>
          <w:color w:val="auto"/>
        </w:rPr>
      </w:pPr>
    </w:p>
    <w:p>
      <w:pPr>
        <w:ind w:left="332" w:right="200" w:hanging="332"/>
        <w:spacing w:after="0" w:line="276" w:lineRule="auto"/>
        <w:tabs>
          <w:tab w:leader="none" w:pos="332"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Company undergoes a change in control during the fiscal three (3) year plan period</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204" w:lineRule="exact"/>
        <w:rPr>
          <w:rFonts w:ascii="Arial" w:cs="Arial" w:eastAsia="Arial" w:hAnsi="Arial"/>
          <w:sz w:val="19"/>
          <w:szCs w:val="19"/>
          <w:color w:val="auto"/>
        </w:rPr>
      </w:pPr>
    </w:p>
    <w:p>
      <w:pPr>
        <w:ind w:left="332" w:right="80"/>
        <w:spacing w:after="0" w:line="293" w:lineRule="auto"/>
        <w:rPr>
          <w:rFonts w:ascii="Arial" w:cs="Arial" w:eastAsia="Arial" w:hAnsi="Arial"/>
          <w:sz w:val="19"/>
          <w:szCs w:val="19"/>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for the purposes of the Officers Long-Term Incentive Plan shall mean the time when (i)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w:t>
      </w:r>
    </w:p>
    <w:p>
      <w:pPr>
        <w:sectPr>
          <w:pgSz w:w="11900" w:h="16838" w:orient="portrait"/>
          <w:cols w:equalWidth="0" w:num="1">
            <w:col w:w="11392"/>
          </w:cols>
          <w:pgMar w:left="248" w:top="591" w:right="259" w:bottom="1440" w:gutter="0" w:footer="0" w:header="0"/>
        </w:sectPr>
      </w:pPr>
    </w:p>
    <w:bookmarkStart w:id="14" w:name="page15"/>
    <w:bookmarkEnd w:id="14"/>
    <w:p>
      <w:pPr>
        <w:ind w:left="332" w:right="100"/>
        <w:spacing w:after="0" w:line="253" w:lineRule="auto"/>
        <w:rPr>
          <w:sz w:val="20"/>
          <w:szCs w:val="20"/>
          <w:color w:val="auto"/>
        </w:rPr>
      </w:pPr>
      <w:r>
        <w:rPr>
          <w:rFonts w:ascii="Arial" w:cs="Arial" w:eastAsia="Arial" w:hAnsi="Arial"/>
          <w:sz w:val="22"/>
          <w:szCs w:val="22"/>
          <w:color w:val="auto"/>
        </w:rPr>
        <w:t>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26" w:lineRule="exact"/>
        <w:rPr>
          <w:sz w:val="20"/>
          <w:szCs w:val="20"/>
          <w:color w:val="auto"/>
        </w:rPr>
      </w:pPr>
    </w:p>
    <w:p>
      <w:pPr>
        <w:ind w:left="332"/>
        <w:spacing w:after="0"/>
        <w:rPr>
          <w:sz w:val="20"/>
          <w:szCs w:val="20"/>
          <w:color w:val="auto"/>
        </w:rPr>
      </w:pPr>
      <w:r>
        <w:rPr>
          <w:rFonts w:ascii="Arial" w:cs="Arial" w:eastAsia="Arial" w:hAnsi="Arial"/>
          <w:sz w:val="22"/>
          <w:szCs w:val="22"/>
          <w:color w:val="auto"/>
        </w:rPr>
        <w:t>For the purpose of the definition “Change of Control:”</w:t>
      </w:r>
    </w:p>
    <w:p>
      <w:pPr>
        <w:spacing w:after="0" w:line="260" w:lineRule="exact"/>
        <w:rPr>
          <w:sz w:val="20"/>
          <w:szCs w:val="20"/>
          <w:color w:val="auto"/>
        </w:rPr>
      </w:pPr>
    </w:p>
    <w:p>
      <w:pPr>
        <w:ind w:left="972" w:right="80" w:hanging="324"/>
        <w:spacing w:after="0" w:line="260" w:lineRule="auto"/>
        <w:tabs>
          <w:tab w:leader="none" w:pos="1104" w:val="left"/>
        </w:tabs>
        <w:numPr>
          <w:ilvl w:val="1"/>
          <w:numId w:val="13"/>
        </w:numPr>
        <w:rPr>
          <w:rFonts w:ascii="Arial" w:cs="Arial" w:eastAsia="Arial" w:hAnsi="Arial"/>
          <w:sz w:val="21"/>
          <w:szCs w:val="21"/>
          <w:color w:val="auto"/>
        </w:rPr>
      </w:pPr>
      <w:r>
        <w:rPr>
          <w:rFonts w:ascii="Arial" w:cs="Arial" w:eastAsia="Arial" w:hAnsi="Arial"/>
          <w:sz w:val="21"/>
          <w:szCs w:val="21"/>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21" w:lineRule="exact"/>
        <w:rPr>
          <w:rFonts w:ascii="Arial" w:cs="Arial" w:eastAsia="Arial" w:hAnsi="Arial"/>
          <w:sz w:val="21"/>
          <w:szCs w:val="21"/>
          <w:color w:val="auto"/>
        </w:rPr>
      </w:pPr>
    </w:p>
    <w:p>
      <w:pPr>
        <w:ind w:left="972" w:right="320" w:hanging="324"/>
        <w:spacing w:after="0" w:line="253" w:lineRule="auto"/>
        <w:tabs>
          <w:tab w:leader="none" w:pos="1116" w:val="left"/>
        </w:tabs>
        <w:numPr>
          <w:ilvl w:val="1"/>
          <w:numId w:val="13"/>
        </w:numPr>
        <w:rPr>
          <w:rFonts w:ascii="Arial" w:cs="Arial" w:eastAsia="Arial" w:hAnsi="Arial"/>
          <w:sz w:val="22"/>
          <w:szCs w:val="22"/>
          <w:color w:val="auto"/>
        </w:rPr>
      </w:pPr>
      <w:r>
        <w:rPr>
          <w:rFonts w:ascii="Arial" w:cs="Arial" w:eastAsia="Arial" w:hAnsi="Arial"/>
          <w:sz w:val="22"/>
          <w:szCs w:val="22"/>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226" w:lineRule="exact"/>
        <w:rPr>
          <w:rFonts w:ascii="Arial" w:cs="Arial" w:eastAsia="Arial" w:hAnsi="Arial"/>
          <w:sz w:val="22"/>
          <w:szCs w:val="22"/>
          <w:color w:val="auto"/>
        </w:rPr>
      </w:pPr>
    </w:p>
    <w:p>
      <w:pPr>
        <w:ind w:left="972" w:right="140" w:hanging="324"/>
        <w:spacing w:after="0" w:line="263" w:lineRule="auto"/>
        <w:tabs>
          <w:tab w:leader="none" w:pos="1104" w:val="left"/>
        </w:tabs>
        <w:numPr>
          <w:ilvl w:val="1"/>
          <w:numId w:val="13"/>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ind w:left="972" w:hanging="324"/>
        <w:spacing w:after="0" w:line="294" w:lineRule="auto"/>
        <w:tabs>
          <w:tab w:leader="none" w:pos="1116" w:val="left"/>
        </w:tabs>
        <w:numPr>
          <w:ilvl w:val="1"/>
          <w:numId w:val="13"/>
        </w:numPr>
        <w:rPr>
          <w:rFonts w:ascii="Arial" w:cs="Arial" w:eastAsia="Arial" w:hAnsi="Arial"/>
          <w:sz w:val="19"/>
          <w:szCs w:val="19"/>
          <w:color w:val="auto"/>
        </w:rPr>
      </w:pPr>
      <w:r>
        <w:rPr>
          <w:rFonts w:ascii="Arial" w:cs="Arial" w:eastAsia="Arial" w:hAnsi="Arial"/>
          <w:sz w:val="19"/>
          <w:szCs w:val="19"/>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0" w:lineRule="exact"/>
        <w:rPr>
          <w:rFonts w:ascii="Arial" w:cs="Arial" w:eastAsia="Arial" w:hAnsi="Arial"/>
          <w:sz w:val="19"/>
          <w:szCs w:val="19"/>
          <w:color w:val="auto"/>
        </w:rPr>
      </w:pPr>
    </w:p>
    <w:p>
      <w:pPr>
        <w:ind w:left="1112" w:hanging="464"/>
        <w:spacing w:after="0"/>
        <w:tabs>
          <w:tab w:leader="none" w:pos="1112" w:val="left"/>
        </w:tabs>
        <w:numPr>
          <w:ilvl w:val="1"/>
          <w:numId w:val="13"/>
        </w:numPr>
        <w:rPr>
          <w:rFonts w:ascii="Arial" w:cs="Arial" w:eastAsia="Arial" w:hAnsi="Arial"/>
          <w:sz w:val="22"/>
          <w:szCs w:val="22"/>
          <w:color w:val="auto"/>
        </w:rPr>
      </w:pPr>
      <w:r>
        <w:rPr>
          <w:rFonts w:ascii="Arial" w:cs="Arial" w:eastAsia="Arial" w:hAnsi="Arial"/>
          <w:sz w:val="22"/>
          <w:szCs w:val="22"/>
          <w:color w:val="auto"/>
        </w:rPr>
        <w:t>“Company” means Winnebago Industries, Inc., an Iowa corporation.</w:t>
      </w:r>
    </w:p>
    <w:p>
      <w:pPr>
        <w:spacing w:after="0" w:line="260" w:lineRule="exact"/>
        <w:rPr>
          <w:rFonts w:ascii="Arial" w:cs="Arial" w:eastAsia="Arial" w:hAnsi="Arial"/>
          <w:sz w:val="22"/>
          <w:szCs w:val="22"/>
          <w:color w:val="auto"/>
        </w:rPr>
      </w:pPr>
    </w:p>
    <w:p>
      <w:pPr>
        <w:ind w:left="972" w:right="320" w:hanging="324"/>
        <w:spacing w:after="0" w:line="263" w:lineRule="auto"/>
        <w:tabs>
          <w:tab w:leader="none" w:pos="10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195" w:lineRule="exact"/>
        <w:rPr>
          <w:rFonts w:ascii="Arial" w:cs="Arial" w:eastAsia="Arial" w:hAnsi="Arial"/>
          <w:sz w:val="22"/>
          <w:szCs w:val="22"/>
          <w:color w:val="auto"/>
        </w:rPr>
      </w:pPr>
    </w:p>
    <w:p>
      <w:pPr>
        <w:ind w:left="332" w:hanging="332"/>
        <w:spacing w:after="0" w:line="276" w:lineRule="auto"/>
        <w:tabs>
          <w:tab w:leader="none" w:pos="332"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Recoupment of Incentive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the Committee reasonably determines that the performance certified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and any payment made to a participant with respect to the Plan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as required under any rules or regulations adopted by the Securities Exchange Commission under Section 10D(b)(2) of the Securities Exchange Act of 1934, as amended, any rules or standards adopted by a national securities exchange on which the Company's equity securities are listed, any related guidance from a governmental agency which</w:t>
      </w:r>
    </w:p>
    <w:p>
      <w:pPr>
        <w:sectPr>
          <w:pgSz w:w="11900" w:h="16838" w:orient="portrait"/>
          <w:cols w:equalWidth="0" w:num="1">
            <w:col w:w="11412"/>
          </w:cols>
          <w:pgMar w:left="248" w:top="591" w:right="239" w:bottom="1440" w:gutter="0" w:footer="0" w:header="0"/>
        </w:sectPr>
      </w:pPr>
    </w:p>
    <w:bookmarkStart w:id="15" w:name="page16"/>
    <w:bookmarkEnd w:id="15"/>
    <w:p>
      <w:pPr>
        <w:ind w:left="340" w:right="20"/>
        <w:spacing w:after="0" w:line="297" w:lineRule="auto"/>
        <w:rPr>
          <w:sz w:val="20"/>
          <w:szCs w:val="20"/>
          <w:color w:val="auto"/>
        </w:rPr>
      </w:pPr>
      <w:r>
        <w:rPr>
          <w:rFonts w:ascii="Arial" w:cs="Arial" w:eastAsia="Arial" w:hAnsi="Arial"/>
          <w:sz w:val="19"/>
          <w:szCs w:val="19"/>
          <w:color w:val="auto"/>
        </w:rPr>
        <w:t>has jurisdiction over the administration of such provision, any judicial interpretation of such provision and as otherwise may be required under applicable law or Company policy, in each case as determined by the Committee. Any determination made by the Board of Directors or the Committee under this provision shall be final, binding and conclusive on the participant.</w:t>
      </w:r>
    </w:p>
    <w:p>
      <w:pPr>
        <w:spacing w:after="0" w:line="169" w:lineRule="exact"/>
        <w:rPr>
          <w:sz w:val="20"/>
          <w:szCs w:val="20"/>
          <w:color w:val="auto"/>
        </w:rPr>
      </w:pPr>
    </w:p>
    <w:p>
      <w:pPr>
        <w:ind w:left="340" w:right="120" w:hanging="332"/>
        <w:spacing w:after="0" w:line="256" w:lineRule="auto"/>
        <w:tabs>
          <w:tab w:leader="none" w:pos="34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preempted by federal law, the consideration and operation of the Plan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laws of the State of Iowa.</w:t>
      </w:r>
    </w:p>
    <w:p>
      <w:pPr>
        <w:spacing w:after="0" w:line="203" w:lineRule="exact"/>
        <w:rPr>
          <w:rFonts w:ascii="Arial" w:cs="Arial" w:eastAsia="Arial" w:hAnsi="Arial"/>
          <w:sz w:val="22"/>
          <w:szCs w:val="22"/>
          <w:color w:val="auto"/>
        </w:rPr>
      </w:pPr>
    </w:p>
    <w:p>
      <w:pPr>
        <w:ind w:left="340" w:hanging="332"/>
        <w:spacing w:after="0" w:line="335" w:lineRule="auto"/>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Plan shall confer upon any employee the right to continue in the employ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affect the right of the Company to terminate an employee's employment at any time, with or without cause.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Approved by: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Robert J. Olson</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22, 2011</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Robert J. Olson</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of the Board</w:t>
            </w:r>
          </w:p>
        </w:tc>
        <w:tc>
          <w:tcPr>
            <w:tcW w:w="2280" w:type="dxa"/>
            <w:vAlign w:val="bottom"/>
          </w:tcPr>
          <w:p>
            <w:pPr>
              <w:spacing w:after="0"/>
              <w:rPr>
                <w:sz w:val="24"/>
                <w:szCs w:val="24"/>
                <w:color w:val="auto"/>
              </w:rPr>
            </w:pPr>
          </w:p>
        </w:tc>
      </w:tr>
      <w:tr>
        <w:trPr>
          <w:trHeight w:val="59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Gerald C. Kitch</w:t>
            </w:r>
          </w:p>
        </w:tc>
        <w:tc>
          <w:tcPr>
            <w:tcW w:w="68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June 22, 2011</w:t>
            </w:r>
          </w:p>
        </w:tc>
      </w:tr>
      <w:tr>
        <w:trPr>
          <w:trHeight w:val="280"/>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Gerald C. Kitch</w:t>
            </w:r>
          </w:p>
        </w:tc>
        <w:tc>
          <w:tcPr>
            <w:tcW w:w="2280" w:type="dxa"/>
            <w:vAlign w:val="bottom"/>
          </w:tcPr>
          <w:p>
            <w:pPr>
              <w:ind w:left="20"/>
              <w:spacing w:after="0"/>
              <w:rPr>
                <w:sz w:val="20"/>
                <w:szCs w:val="20"/>
                <w:color w:val="auto"/>
              </w:rPr>
            </w:pPr>
            <w:r>
              <w:rPr>
                <w:rFonts w:ascii="Arial" w:cs="Arial" w:eastAsia="Arial" w:hAnsi="Arial"/>
                <w:sz w:val="22"/>
                <w:szCs w:val="22"/>
                <w:color w:val="auto"/>
              </w:rPr>
              <w:t>Dated</w:t>
            </w: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Chairman, Human Resources Commitee</w:t>
            </w:r>
          </w:p>
        </w:tc>
        <w:tc>
          <w:tcPr>
            <w:tcW w:w="228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of the Winnebago Industries Board of Directors</w:t>
            </w:r>
          </w:p>
        </w:tc>
        <w:tc>
          <w:tcPr>
            <w:tcW w:w="2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60"/>
      </w:cols>
      <w:pgMar w:left="240" w:top="5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5"/>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lvl w:ilvl="1">
      <w:lvlJc w:val="left"/>
      <w:lvlText w:val="(%2)"/>
      <w:numFmt w:val="lowerLetter"/>
      <w:start w:val="5"/>
    </w:lvl>
  </w:abstractNum>
  <w:abstractNum w:abstractNumId="9">
    <w:nsid w:val="140E0F76"/>
    <w:multiLevelType w:val="hybridMultilevel"/>
    <w:lvl w:ilvl="0">
      <w:lvlJc w:val="left"/>
      <w:lvlText w:val="%1."/>
      <w:numFmt w:val="decimal"/>
      <w:start w:val="9"/>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
    <w:nsid w:val="109CF92E"/>
    <w:multiLevelType w:val="hybridMultilevel"/>
    <w:lvl w:ilvl="0">
      <w:lvlJc w:val="left"/>
      <w:lvlText w:val="%1."/>
      <w:numFmt w:val="decimal"/>
      <w:start w:val="6"/>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7"/>
    </w:lvl>
    <w:lvl w:ilvl="1">
      <w:lvlJc w:val="left"/>
      <w:lvlText w:val="%2"/>
      <w:numFmt w:val="lowerLetter"/>
      <w:start w:val="1"/>
    </w:lvl>
  </w:abstractNum>
  <w:abstractNum w:abstractNumId="14">
    <w:nsid w:val="1BEFD79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2019-12-10T04:41:23Z</dcterms:created>
  <dcterms:modified xsi:type="dcterms:W3CDTF">2019-12-10T04:41:23Z</dcterms:modified>
</cp:coreProperties>
</file>