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FORM 10-K / A</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(Mark One)</w:t>
      </w:r>
    </w:p>
    <w:p>
      <w:pPr>
        <w:spacing w:after="0" w:line="8" w:lineRule="exact"/>
        <w:rPr>
          <w:sz w:val="24"/>
          <w:szCs w:val="24"/>
          <w:color w:val="auto"/>
        </w:rPr>
      </w:pPr>
    </w:p>
    <w:p>
      <w:pPr>
        <w:ind w:left="5" w:right="5059" w:hanging="5"/>
        <w:spacing w:after="0" w:line="252" w:lineRule="auto"/>
        <w:tabs>
          <w:tab w:leader="none" w:pos="1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 Annual report pursuant to section 13 or 15(d) of the Securities Exchange Act of 1934 (Fee Required) for the fiscal year ended August 28, 1993; or</w:t>
      </w:r>
    </w:p>
    <w:p>
      <w:pPr>
        <w:spacing w:after="0" w:line="175" w:lineRule="exact"/>
        <w:rPr>
          <w:sz w:val="24"/>
          <w:szCs w:val="24"/>
          <w:color w:val="auto"/>
        </w:rPr>
      </w:pPr>
    </w:p>
    <w:p>
      <w:pPr>
        <w:ind w:left="5" w:right="4779" w:hanging="5"/>
        <w:spacing w:after="0" w:line="256" w:lineRule="auto"/>
        <w:tabs>
          <w:tab w:leader="none" w:pos="55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w:t>
      </w:r>
    </w:p>
    <w:p>
      <w:pPr>
        <w:spacing w:after="0" w:line="347"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For the transition period from ___________ to _____________</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Commission File Number 1-6403</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WINNEBAGO INDUSTRIES, INC.</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5"/>
          </w:cols>
          <w:pgMar w:left="235" w:top="591" w:right="1440" w:bottom="75" w:gutter="0" w:footer="0" w:header="0"/>
        </w:sectPr>
      </w:pPr>
    </w:p>
    <w:p>
      <w:pPr>
        <w:spacing w:after="0" w:line="185" w:lineRule="exact"/>
        <w:rPr>
          <w:sz w:val="24"/>
          <w:szCs w:val="24"/>
          <w:color w:val="auto"/>
        </w:rPr>
      </w:pPr>
    </w:p>
    <w:p>
      <w:pPr>
        <w:ind w:left="1385"/>
        <w:spacing w:after="0"/>
        <w:rPr>
          <w:sz w:val="20"/>
          <w:szCs w:val="20"/>
          <w:color w:val="auto"/>
        </w:rPr>
      </w:pPr>
      <w:r>
        <w:rPr>
          <w:rFonts w:ascii="Courier New" w:cs="Courier New" w:eastAsia="Courier New" w:hAnsi="Courier New"/>
          <w:sz w:val="15"/>
          <w:szCs w:val="15"/>
          <w:color w:val="auto"/>
        </w:rPr>
        <w:t>Iowa</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42-0802678</w:t>
      </w:r>
    </w:p>
    <w:p>
      <w:pPr>
        <w:spacing w:after="0" w:line="185" w:lineRule="exact"/>
        <w:rPr>
          <w:sz w:val="24"/>
          <w:szCs w:val="24"/>
          <w:color w:val="auto"/>
        </w:rPr>
      </w:pPr>
    </w:p>
    <w:p>
      <w:pPr>
        <w:sectPr>
          <w:pgSz w:w="11900" w:h="16838" w:orient="portrait"/>
          <w:cols w:equalWidth="0" w:num="2">
            <w:col w:w="4165" w:space="720"/>
            <w:col w:w="5339"/>
          </w:cols>
          <w:pgMar w:left="235" w:top="591" w:right="1440" w:bottom="75" w:gutter="0" w:footer="0" w:header="0"/>
          <w:type w:val="continuous"/>
        </w:sectPr>
      </w:pPr>
    </w:p>
    <w:p>
      <w:pPr>
        <w:ind w:left="5" w:right="380"/>
        <w:spacing w:after="0" w:line="253" w:lineRule="auto"/>
        <w:rPr>
          <w:sz w:val="20"/>
          <w:szCs w:val="20"/>
          <w:color w:val="auto"/>
        </w:rPr>
      </w:pPr>
      <w:r>
        <w:rPr>
          <w:rFonts w:ascii="Courier New" w:cs="Courier New" w:eastAsia="Courier New" w:hAnsi="Courier New"/>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10" w:lineRule="exact"/>
        <w:rPr>
          <w:sz w:val="24"/>
          <w:szCs w:val="24"/>
          <w:color w:val="auto"/>
        </w:rPr>
      </w:pPr>
    </w:p>
    <w:p>
      <w:pPr>
        <w:sectPr>
          <w:pgSz w:w="11900" w:h="16838" w:orient="portrait"/>
          <w:cols w:equalWidth="0" w:num="2">
            <w:col w:w="3245" w:space="720"/>
            <w:col w:w="6259"/>
          </w:cols>
          <w:pgMar w:left="235" w:top="591" w:right="1440" w:bottom="75" w:gutter="0" w:footer="0" w:header="0"/>
          <w:type w:val="continuous"/>
        </w:sectPr>
      </w:pPr>
    </w:p>
    <w:p>
      <w:pPr>
        <w:spacing w:after="0" w:line="329" w:lineRule="exact"/>
        <w:rPr>
          <w:sz w:val="24"/>
          <w:szCs w:val="24"/>
          <w:color w:val="auto"/>
        </w:rPr>
      </w:pPr>
    </w:p>
    <w:p>
      <w:pPr>
        <w:ind w:left="5" w:right="480"/>
        <w:spacing w:after="0" w:line="253" w:lineRule="auto"/>
        <w:rPr>
          <w:sz w:val="20"/>
          <w:szCs w:val="20"/>
          <w:color w:val="auto"/>
        </w:rPr>
      </w:pPr>
      <w:r>
        <w:rPr>
          <w:rFonts w:ascii="Courier New" w:cs="Courier New" w:eastAsia="Courier New" w:hAnsi="Courier New"/>
          <w:sz w:val="15"/>
          <w:szCs w:val="15"/>
          <w:color w:val="auto"/>
        </w:rPr>
        <w:t>P.O. Box 152, Forest City, Iowa (Address of Principal executive offices)</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50436</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10" w:lineRule="exact"/>
        <w:rPr>
          <w:sz w:val="24"/>
          <w:szCs w:val="24"/>
          <w:color w:val="auto"/>
        </w:rPr>
      </w:pPr>
    </w:p>
    <w:p>
      <w:pPr>
        <w:sectPr>
          <w:pgSz w:w="11900" w:h="16838" w:orient="portrait"/>
          <w:cols w:equalWidth="0" w:num="2">
            <w:col w:w="4165" w:space="720"/>
            <w:col w:w="5339"/>
          </w:cols>
          <w:pgMar w:left="235" w:top="591" w:right="1440" w:bottom="75" w:gutter="0" w:footer="0" w:header="0"/>
          <w:type w:val="continuous"/>
        </w:sectPr>
      </w:pPr>
    </w:p>
    <w:p>
      <w:pPr>
        <w:spacing w:after="0" w:line="152" w:lineRule="exact"/>
        <w:rPr>
          <w:sz w:val="24"/>
          <w:szCs w:val="24"/>
          <w:color w:val="auto"/>
        </w:rPr>
      </w:pPr>
    </w:p>
    <w:p>
      <w:pPr>
        <w:ind w:left="5"/>
        <w:spacing w:after="0"/>
        <w:tabs>
          <w:tab w:leader="none" w:pos="4865" w:val="left"/>
        </w:tabs>
        <w:rPr>
          <w:sz w:val="20"/>
          <w:szCs w:val="20"/>
          <w:color w:val="auto"/>
        </w:rPr>
      </w:pPr>
      <w:r>
        <w:rPr>
          <w:rFonts w:ascii="Courier New" w:cs="Courier New" w:eastAsia="Courier New" w:hAnsi="Courier New"/>
          <w:sz w:val="15"/>
          <w:szCs w:val="15"/>
          <w:color w:val="auto"/>
        </w:rPr>
        <w:t>Registrant's telephone number, including area code:</w:t>
        <w:tab/>
        <w:t>(515) 582-3535</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85" w:lineRule="exact"/>
        <w:rPr>
          <w:sz w:val="24"/>
          <w:szCs w:val="24"/>
          <w:color w:val="auto"/>
        </w:rPr>
      </w:pPr>
    </w:p>
    <w:p>
      <w:pPr>
        <w:ind w:left="5545"/>
        <w:spacing w:after="0"/>
        <w:rPr>
          <w:sz w:val="20"/>
          <w:szCs w:val="20"/>
          <w:color w:val="auto"/>
        </w:rPr>
      </w:pPr>
      <w:r>
        <w:rPr>
          <w:rFonts w:ascii="Courier New" w:cs="Courier New" w:eastAsia="Courier New" w:hAnsi="Courier New"/>
          <w:sz w:val="15"/>
          <w:szCs w:val="15"/>
          <w:color w:val="auto"/>
        </w:rPr>
        <w:t>NAME OF EACH EXCHANGE ON</w:t>
      </w:r>
    </w:p>
    <w:p>
      <w:pPr>
        <w:sectPr>
          <w:pgSz w:w="11900" w:h="16838" w:orient="portrait"/>
          <w:cols w:equalWidth="0" w:num="1">
            <w:col w:w="10225"/>
          </w:cols>
          <w:pgMar w:left="235" w:top="591" w:right="1440" w:bottom="75" w:gutter="0" w:footer="0" w:header="0"/>
          <w:type w:val="continuous"/>
        </w:sectPr>
      </w:pP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WHICH REGISTERED</w:t>
      </w:r>
    </w:p>
    <w:p>
      <w:pPr>
        <w:spacing w:after="0" w:line="185" w:lineRule="exact"/>
        <w:rPr>
          <w:sz w:val="24"/>
          <w:szCs w:val="24"/>
          <w:color w:val="auto"/>
        </w:rPr>
      </w:pPr>
    </w:p>
    <w:p>
      <w:pPr>
        <w:sectPr>
          <w:pgSz w:w="11900" w:h="16838" w:orient="portrait"/>
          <w:cols w:equalWidth="0" w:num="2">
            <w:col w:w="2965" w:space="720"/>
            <w:col w:w="6539"/>
          </w:cols>
          <w:pgMar w:left="235" w:top="591" w:right="1440" w:bottom="75"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Common Stock ($.50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The New York Stock Exchange, Inc.</w:t>
      </w:r>
    </w:p>
    <w:p>
      <w:pPr>
        <w:spacing w:after="0" w:line="8"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Midwest Stock Exchange, Inc.</w:t>
      </w:r>
    </w:p>
    <w:p>
      <w:pPr>
        <w:spacing w:after="0" w:line="8"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The Pacific Stock Exchange, Inc.</w:t>
      </w:r>
    </w:p>
    <w:p>
      <w:pPr>
        <w:spacing w:after="0" w:line="200" w:lineRule="exact"/>
        <w:rPr>
          <w:sz w:val="24"/>
          <w:szCs w:val="24"/>
          <w:color w:val="auto"/>
        </w:rPr>
      </w:pPr>
    </w:p>
    <w:p>
      <w:pPr>
        <w:sectPr>
          <w:pgSz w:w="11900" w:h="16838" w:orient="portrait"/>
          <w:cols w:equalWidth="0" w:num="2">
            <w:col w:w="2685" w:space="360"/>
            <w:col w:w="7179"/>
          </w:cols>
          <w:pgMar w:left="235" w:top="591" w:right="1440" w:bottom="75" w:gutter="0" w:footer="0" w:header="0"/>
          <w:type w:val="continuous"/>
        </w:sectPr>
      </w:pPr>
    </w:p>
    <w:p>
      <w:pPr>
        <w:spacing w:after="0" w:line="162"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85" w:lineRule="exact"/>
        <w:rPr>
          <w:sz w:val="24"/>
          <w:szCs w:val="24"/>
          <w:color w:val="auto"/>
        </w:rPr>
      </w:pPr>
    </w:p>
    <w:p>
      <w:pPr>
        <w:ind w:left="3885"/>
        <w:spacing w:after="0"/>
        <w:rPr>
          <w:sz w:val="20"/>
          <w:szCs w:val="20"/>
          <w:color w:val="auto"/>
        </w:rPr>
      </w:pPr>
      <w:r>
        <w:rPr>
          <w:rFonts w:ascii="Courier New" w:cs="Courier New" w:eastAsia="Courier New" w:hAnsi="Courier New"/>
          <w:sz w:val="15"/>
          <w:szCs w:val="15"/>
          <w:color w:val="auto"/>
        </w:rPr>
        <w:t>None</w:t>
      </w:r>
    </w:p>
    <w:p>
      <w:pPr>
        <w:spacing w:after="0" w:line="362" w:lineRule="exact"/>
        <w:rPr>
          <w:sz w:val="24"/>
          <w:szCs w:val="24"/>
          <w:color w:val="auto"/>
        </w:rPr>
      </w:pPr>
    </w:p>
    <w:p>
      <w:pPr>
        <w:ind w:left="5" w:right="4499"/>
        <w:spacing w:after="0" w:line="250"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w:t>
      </w:r>
    </w:p>
    <w:p>
      <w:pPr>
        <w:spacing w:after="0" w:line="1" w:lineRule="exact"/>
        <w:rPr>
          <w:sz w:val="24"/>
          <w:szCs w:val="24"/>
          <w:color w:val="auto"/>
        </w:rPr>
      </w:pPr>
    </w:p>
    <w:p>
      <w:pPr>
        <w:ind w:left="5" w:right="4419"/>
        <w:spacing w:after="0" w:line="252" w:lineRule="auto"/>
        <w:rPr>
          <w:sz w:val="20"/>
          <w:szCs w:val="20"/>
          <w:color w:val="auto"/>
        </w:rPr>
      </w:pPr>
      <w:r>
        <w:rPr>
          <w:rFonts w:ascii="Courier New" w:cs="Courier New" w:eastAsia="Courier New" w:hAnsi="Courier New"/>
          <w:sz w:val="15"/>
          <w:szCs w:val="15"/>
          <w:color w:val="auto"/>
        </w:rPr>
        <w:t>(or for such shorter period that the registrant was required to file such reports), and (2) has been subject to such filing requirements for the past 90 days. Yes X No ___</w:t>
      </w:r>
    </w:p>
    <w:p>
      <w:pPr>
        <w:spacing w:after="0" w:line="175" w:lineRule="exact"/>
        <w:rPr>
          <w:sz w:val="24"/>
          <w:szCs w:val="24"/>
          <w:color w:val="auto"/>
        </w:rPr>
      </w:pPr>
    </w:p>
    <w:p>
      <w:pPr>
        <w:ind w:left="5" w:right="4039"/>
        <w:spacing w:after="0" w:line="251"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definite proxy or information statements incorporated by reference in Part III of this Annual Report on Form 10-K or any amendment to this Annual Report on Form 10-K ____.</w:t>
      </w:r>
    </w:p>
    <w:p>
      <w:pPr>
        <w:spacing w:after="0" w:line="176"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Aggregate market value of the common stock held by</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non-affiliates of the Registrant on October 18, 1993:</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$100,420,404 (13,169,889 shares at closing price on New York</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Stock Exchange of $7.625).</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Common stock outstanding on November 19, 1993, 25,143,699 shares.</w:t>
      </w:r>
    </w:p>
    <w:p>
      <w:pPr>
        <w:spacing w:after="0" w:line="362" w:lineRule="exact"/>
        <w:rPr>
          <w:sz w:val="24"/>
          <w:szCs w:val="24"/>
          <w:color w:val="auto"/>
        </w:rPr>
      </w:pPr>
    </w:p>
    <w:p>
      <w:pPr>
        <w:ind w:left="5" w:right="4779"/>
        <w:spacing w:after="0" w:line="251" w:lineRule="auto"/>
        <w:rPr>
          <w:sz w:val="20"/>
          <w:szCs w:val="20"/>
          <w:color w:val="auto"/>
        </w:rPr>
      </w:pPr>
      <w:r>
        <w:rPr>
          <w:rFonts w:ascii="Courier New" w:cs="Courier New" w:eastAsia="Courier New" w:hAnsi="Courier New"/>
          <w:sz w:val="15"/>
          <w:szCs w:val="15"/>
          <w:color w:val="auto"/>
        </w:rPr>
        <w:t>Exhibit 10n., Schedule - Incentive Compensation Plan - Quarterly Bonus Formula 1994 Fiscal formerly filed with the Registrant's Annual Report on Form 10-K for the fiscal year ended August 28, 1993 is hereby replaced with the attached Schedule - RV Incentive Compensation Plan - Quarterly Bonus Formula 1994 Fiscal.</w:t>
      </w:r>
    </w:p>
    <w:p>
      <w:pPr>
        <w:spacing w:after="0" w:line="353" w:lineRule="exact"/>
        <w:rPr>
          <w:sz w:val="24"/>
          <w:szCs w:val="24"/>
          <w:color w:val="auto"/>
        </w:rPr>
      </w:pPr>
    </w:p>
    <w:p>
      <w:pPr>
        <w:ind w:left="360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4"/>
          <w:szCs w:val="24"/>
          <w:color w:val="auto"/>
        </w:rPr>
      </w:pPr>
    </w:p>
    <w:p>
      <w:pPr>
        <w:ind w:left="5" w:right="3579"/>
        <w:spacing w:after="0" w:line="25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Annual Report on Form 10k/A for the year ended August 28, 1993, to be signed on its behalf by the undersigned thereunto duly authorized.</w:t>
      </w:r>
    </w:p>
    <w:p>
      <w:pPr>
        <w:spacing w:after="0" w:line="176" w:lineRule="exact"/>
        <w:rPr>
          <w:sz w:val="24"/>
          <w:szCs w:val="24"/>
          <w:color w:val="auto"/>
        </w:rPr>
      </w:pPr>
    </w:p>
    <w:p>
      <w:pPr>
        <w:ind w:left="3685"/>
        <w:spacing w:after="0"/>
        <w:rPr>
          <w:sz w:val="20"/>
          <w:szCs w:val="20"/>
          <w:color w:val="auto"/>
        </w:rPr>
      </w:pPr>
      <w:r>
        <w:rPr>
          <w:rFonts w:ascii="Courier New" w:cs="Courier New" w:eastAsia="Courier New" w:hAnsi="Courier New"/>
          <w:sz w:val="15"/>
          <w:szCs w:val="15"/>
          <w:color w:val="auto"/>
        </w:rPr>
        <w:t>WINNEBAGO INDUSTRIES, INC.</w:t>
      </w:r>
    </w:p>
    <w:p>
      <w:pPr>
        <w:sectPr>
          <w:pgSz w:w="11900" w:h="16838" w:orient="portrait"/>
          <w:cols w:equalWidth="0" w:num="1">
            <w:col w:w="10225"/>
          </w:cols>
          <w:pgMar w:left="235" w:top="591" w:right="1440" w:bottom="75" w:gutter="0" w:footer="0" w:header="0"/>
          <w:type w:val="continuous"/>
        </w:sectPr>
      </w:pPr>
    </w:p>
    <w:bookmarkStart w:id="1" w:name="page2"/>
    <w:bookmarkEnd w:id="1"/>
    <w:p>
      <w:pPr>
        <w:spacing w:after="0"/>
        <w:tabs>
          <w:tab w:leader="none" w:pos="720" w:val="left"/>
          <w:tab w:leader="none" w:pos="3660" w:val="left"/>
        </w:tabs>
        <w:rPr>
          <w:sz w:val="20"/>
          <w:szCs w:val="20"/>
          <w:color w:val="auto"/>
        </w:rPr>
      </w:pPr>
      <w:r>
        <w:rPr>
          <w:rFonts w:ascii="Courier New" w:cs="Courier New" w:eastAsia="Courier New" w:hAnsi="Courier New"/>
          <w:sz w:val="15"/>
          <w:szCs w:val="15"/>
          <w:color w:val="auto"/>
        </w:rPr>
        <w:t>Dated:</w:t>
        <w:tab/>
        <w:t>January 6, 1994</w:t>
      </w:r>
      <w:r>
        <w:rPr>
          <w:sz w:val="20"/>
          <w:szCs w:val="20"/>
          <w:color w:val="auto"/>
        </w:rPr>
        <w:tab/>
      </w:r>
      <w:r>
        <w:rPr>
          <w:rFonts w:ascii="Courier New" w:cs="Courier New" w:eastAsia="Courier New" w:hAnsi="Courier New"/>
          <w:sz w:val="15"/>
          <w:szCs w:val="15"/>
          <w:color w:val="auto"/>
        </w:rPr>
        <w:t>By------------------------</w:t>
      </w:r>
    </w:p>
    <w:p>
      <w:pPr>
        <w:spacing w:after="0" w:line="8" w:lineRule="exact"/>
        <w:rPr>
          <w:sz w:val="20"/>
          <w:szCs w:val="20"/>
          <w:color w:val="auto"/>
        </w:rPr>
      </w:pPr>
    </w:p>
    <w:p>
      <w:pPr>
        <w:ind w:left="7100"/>
        <w:spacing w:after="0"/>
        <w:rPr>
          <w:sz w:val="20"/>
          <w:szCs w:val="20"/>
          <w:color w:val="auto"/>
        </w:rPr>
      </w:pPr>
      <w:r>
        <w:rPr>
          <w:rFonts w:ascii="Courier New" w:cs="Courier New" w:eastAsia="Courier New" w:hAnsi="Courier New"/>
          <w:sz w:val="15"/>
          <w:szCs w:val="15"/>
          <w:color w:val="auto"/>
        </w:rPr>
        <w:t>Ed Barker</w:t>
      </w:r>
    </w:p>
    <w:p>
      <w:pPr>
        <w:spacing w:after="0" w:line="8" w:lineRule="exact"/>
        <w:rPr>
          <w:sz w:val="20"/>
          <w:szCs w:val="20"/>
          <w:color w:val="auto"/>
        </w:rPr>
      </w:pPr>
    </w:p>
    <w:p>
      <w:pPr>
        <w:ind w:left="7200"/>
        <w:spacing w:after="0"/>
        <w:rPr>
          <w:sz w:val="20"/>
          <w:szCs w:val="20"/>
          <w:color w:val="auto"/>
        </w:rPr>
      </w:pPr>
      <w:r>
        <w:rPr>
          <w:rFonts w:ascii="Courier New" w:cs="Courier New" w:eastAsia="Courier New" w:hAnsi="Courier New"/>
          <w:sz w:val="15"/>
          <w:szCs w:val="15"/>
          <w:color w:val="auto"/>
        </w:rPr>
        <w:t>Vice President, Controller</w:t>
      </w:r>
    </w:p>
    <w:p>
      <w:pPr>
        <w:spacing w:after="0" w:line="8" w:lineRule="exact"/>
        <w:rPr>
          <w:sz w:val="20"/>
          <w:szCs w:val="20"/>
          <w:color w:val="auto"/>
        </w:rPr>
      </w:pPr>
    </w:p>
    <w:p>
      <w:pPr>
        <w:ind w:left="7280"/>
        <w:spacing w:after="0"/>
        <w:rPr>
          <w:sz w:val="20"/>
          <w:szCs w:val="20"/>
          <w:color w:val="auto"/>
        </w:rPr>
      </w:pPr>
      <w:r>
        <w:rPr>
          <w:rFonts w:ascii="Courier New" w:cs="Courier New" w:eastAsia="Courier New" w:hAnsi="Courier New"/>
          <w:sz w:val="15"/>
          <w:szCs w:val="15"/>
          <w:color w:val="auto"/>
        </w:rPr>
        <w:t>and Chief Financial Officer</w:t>
      </w:r>
    </w:p>
    <w:p>
      <w:pPr>
        <w:spacing w:after="0" w:line="8" w:lineRule="exact"/>
        <w:rPr>
          <w:sz w:val="20"/>
          <w:szCs w:val="20"/>
          <w:color w:val="auto"/>
        </w:rPr>
      </w:pPr>
    </w:p>
    <w:p>
      <w:pPr>
        <w:ind w:left="7200"/>
        <w:spacing w:after="0"/>
        <w:rPr>
          <w:sz w:val="20"/>
          <w:szCs w:val="20"/>
          <w:color w:val="auto"/>
        </w:rPr>
      </w:pPr>
      <w:r>
        <w:rPr>
          <w:rFonts w:ascii="Courier New" w:cs="Courier New" w:eastAsia="Courier New" w:hAnsi="Courier New"/>
          <w:sz w:val="15"/>
          <w:szCs w:val="15"/>
          <w:color w:val="auto"/>
        </w:rPr>
        <w:t>(As duly authorized officer and</w:t>
      </w:r>
    </w:p>
    <w:p>
      <w:pPr>
        <w:spacing w:after="0" w:line="8" w:lineRule="exact"/>
        <w:rPr>
          <w:sz w:val="20"/>
          <w:szCs w:val="20"/>
          <w:color w:val="auto"/>
        </w:rPr>
      </w:pPr>
    </w:p>
    <w:p>
      <w:pPr>
        <w:ind w:left="7280"/>
        <w:spacing w:after="0"/>
        <w:rPr>
          <w:sz w:val="20"/>
          <w:szCs w:val="20"/>
          <w:color w:val="auto"/>
        </w:rPr>
      </w:pPr>
      <w:r>
        <w:rPr>
          <w:rFonts w:ascii="Courier New" w:cs="Courier New" w:eastAsia="Courier New" w:hAnsi="Courier New"/>
          <w:sz w:val="15"/>
          <w:szCs w:val="15"/>
          <w:color w:val="auto"/>
        </w:rPr>
        <w:t>as the principal financial and</w:t>
      </w:r>
    </w:p>
    <w:p>
      <w:pPr>
        <w:spacing w:after="0" w:line="8" w:lineRule="exact"/>
        <w:rPr>
          <w:sz w:val="20"/>
          <w:szCs w:val="20"/>
          <w:color w:val="auto"/>
        </w:rPr>
      </w:pPr>
    </w:p>
    <w:p>
      <w:pPr>
        <w:ind w:left="7280"/>
        <w:spacing w:after="0"/>
        <w:rPr>
          <w:sz w:val="20"/>
          <w:szCs w:val="20"/>
          <w:color w:val="auto"/>
        </w:rPr>
      </w:pPr>
      <w:r>
        <w:rPr>
          <w:rFonts w:ascii="Courier New" w:cs="Courier New" w:eastAsia="Courier New" w:hAnsi="Courier New"/>
          <w:sz w:val="15"/>
          <w:szCs w:val="15"/>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540" w:type="dxa"/>
        <w:tblCellMar>
          <w:top w:w="0" w:type="dxa"/>
          <w:left w:w="0" w:type="dxa"/>
          <w:bottom w:w="0" w:type="dxa"/>
          <w:right w:w="0" w:type="dxa"/>
        </w:tblCellMar>
      </w:tblPr>
      <w:tr>
        <w:trPr>
          <w:trHeight w:val="172"/>
        </w:trPr>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August 11, 1993</w:t>
            </w: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7"/>
        </w:trPr>
        <w:tc>
          <w:tcPr>
            <w:tcW w:w="1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1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RV INCENTIVE COMPENSATION PLAN</w:t>
            </w:r>
          </w:p>
        </w:tc>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1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100" w:type="dxa"/>
            <w:vAlign w:val="bottom"/>
            <w:gridSpan w:val="2"/>
          </w:tcPr>
          <w:p>
            <w:pPr>
              <w:jc w:val="right"/>
              <w:ind w:right="443"/>
              <w:spacing w:after="0"/>
              <w:rPr>
                <w:sz w:val="20"/>
                <w:szCs w:val="20"/>
                <w:color w:val="auto"/>
              </w:rPr>
            </w:pPr>
            <w:r>
              <w:rPr>
                <w:rFonts w:ascii="Courier New" w:cs="Courier New" w:eastAsia="Courier New" w:hAnsi="Courier New"/>
                <w:sz w:val="15"/>
                <w:szCs w:val="15"/>
                <w:color w:val="auto"/>
              </w:rPr>
              <w:t>Quarterly Bonus Formula</w:t>
            </w:r>
          </w:p>
        </w:tc>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1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100" w:type="dxa"/>
            <w:vAlign w:val="bottom"/>
            <w:gridSpan w:val="2"/>
          </w:tcPr>
          <w:p>
            <w:pPr>
              <w:jc w:val="right"/>
              <w:ind w:right="983"/>
              <w:spacing w:after="0"/>
              <w:rPr>
                <w:sz w:val="20"/>
                <w:szCs w:val="20"/>
                <w:color w:val="auto"/>
              </w:rPr>
            </w:pPr>
            <w:r>
              <w:rPr>
                <w:rFonts w:ascii="Courier New" w:cs="Courier New" w:eastAsia="Courier New" w:hAnsi="Courier New"/>
                <w:sz w:val="15"/>
                <w:szCs w:val="15"/>
                <w:color w:val="auto"/>
              </w:rPr>
              <w:t>1994 Fiscal</w:t>
            </w:r>
          </w:p>
        </w:tc>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710"/>
        </w:trPr>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Percent of</w:t>
            </w:r>
          </w:p>
        </w:tc>
        <w:tc>
          <w:tcPr>
            <w:tcW w:w="1020" w:type="dxa"/>
            <w:vAlign w:val="bottom"/>
          </w:tcPr>
          <w:p>
            <w:pPr>
              <w:spacing w:after="0"/>
              <w:rPr>
                <w:sz w:val="24"/>
                <w:szCs w:val="24"/>
                <w:color w:val="auto"/>
              </w:rPr>
            </w:pPr>
          </w:p>
        </w:tc>
        <w:tc>
          <w:tcPr>
            <w:tcW w:w="1440" w:type="dxa"/>
            <w:vAlign w:val="bottom"/>
          </w:tcPr>
          <w:p>
            <w:pPr>
              <w:ind w:left="740"/>
              <w:spacing w:after="0"/>
              <w:rPr>
                <w:sz w:val="20"/>
                <w:szCs w:val="20"/>
                <w:color w:val="auto"/>
              </w:rPr>
            </w:pPr>
            <w:r>
              <w:rPr>
                <w:rFonts w:ascii="Courier New" w:cs="Courier New" w:eastAsia="Courier New" w:hAnsi="Courier New"/>
                <w:sz w:val="15"/>
                <w:szCs w:val="15"/>
                <w:color w:val="auto"/>
              </w:rPr>
              <w:t>Bonus %</w:t>
            </w:r>
          </w:p>
        </w:tc>
        <w:tc>
          <w:tcPr>
            <w:tcW w:w="1660" w:type="dxa"/>
            <w:vAlign w:val="bottom"/>
          </w:tcPr>
          <w:p>
            <w:pPr>
              <w:spacing w:after="0"/>
              <w:rPr>
                <w:sz w:val="24"/>
                <w:szCs w:val="24"/>
                <w:color w:val="auto"/>
              </w:rPr>
            </w:pPr>
          </w:p>
        </w:tc>
        <w:tc>
          <w:tcPr>
            <w:tcW w:w="1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Percent of</w:t>
            </w:r>
          </w:p>
        </w:tc>
        <w:tc>
          <w:tcPr>
            <w:tcW w:w="980" w:type="dxa"/>
            <w:vAlign w:val="bottom"/>
          </w:tcPr>
          <w:p>
            <w:pPr>
              <w:spacing w:after="0"/>
              <w:rPr>
                <w:sz w:val="24"/>
                <w:szCs w:val="24"/>
                <w:color w:val="auto"/>
              </w:rPr>
            </w:pP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Bonus %</w:t>
            </w:r>
          </w:p>
        </w:tc>
        <w:tc>
          <w:tcPr>
            <w:tcW w:w="1200" w:type="dxa"/>
            <w:vAlign w:val="bottom"/>
          </w:tcPr>
          <w:p>
            <w:pPr>
              <w:spacing w:after="0"/>
              <w:rPr>
                <w:sz w:val="24"/>
                <w:szCs w:val="24"/>
                <w:color w:val="auto"/>
              </w:rPr>
            </w:pPr>
          </w:p>
        </w:tc>
      </w:tr>
      <w:tr>
        <w:trPr>
          <w:trHeight w:val="177"/>
        </w:trPr>
        <w:tc>
          <w:tcPr>
            <w:tcW w:w="16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Operating Profit</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Officer</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Executive</w:t>
            </w:r>
          </w:p>
        </w:tc>
        <w:tc>
          <w:tcPr>
            <w:tcW w:w="166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Management</w:t>
            </w:r>
          </w:p>
        </w:tc>
        <w:tc>
          <w:tcPr>
            <w:tcW w:w="1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Operating Profit</w:t>
            </w:r>
          </w:p>
        </w:tc>
        <w:tc>
          <w:tcPr>
            <w:tcW w:w="9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Officer</w:t>
            </w:r>
          </w:p>
        </w:tc>
        <w:tc>
          <w:tcPr>
            <w:tcW w:w="12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Executive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Management</w:t>
            </w:r>
          </w:p>
        </w:tc>
      </w:tr>
      <w:tr>
        <w:trPr>
          <w:trHeight w:val="532"/>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80.0</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7.50</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5.0</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40</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30.00</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20.0</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80.7</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8.25</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5.5</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100.7</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41</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30.75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20.5</w:t>
            </w:r>
          </w:p>
        </w:tc>
      </w:tr>
      <w:tr>
        <w:trPr>
          <w:trHeight w:val="355"/>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81.3</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9.00</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6.0</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101.3</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42</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31.50</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21.0</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82.0</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9.75</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6.5</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102.0</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43</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32.25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21.5</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82.7</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10.50</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7.0</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102.7</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44</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33.00</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22.0</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83.3</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11.25</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7.5</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103.3</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45</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33.75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22.5</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84.0</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12.00</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8.0</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104.0</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46</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34.50</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23.0</w:t>
            </w:r>
          </w:p>
        </w:tc>
      </w:tr>
      <w:tr>
        <w:trPr>
          <w:trHeight w:val="355"/>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84.7</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17</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12.75</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8.5</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104.7</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47</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35.25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23.5</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85.3</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18</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13.50</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9.0</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105.3</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48</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36.00</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24.0</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86.0</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14.25</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9.5</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106.0</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49</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36.75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24.5</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86.7</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15.00</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10.0</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106.7</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50</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37.50</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25.0</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87.3</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21</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15.75</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10.5</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107.3</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51</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38.25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25.5</w:t>
            </w:r>
          </w:p>
        </w:tc>
      </w:tr>
      <w:tr>
        <w:trPr>
          <w:trHeight w:val="355"/>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88.0</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22</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16.50</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11.0</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108.0</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52</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39.00</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26.0</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88.7</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23</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17.25</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11.5</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108.7</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53</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39.75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26.0</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89.3</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24</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18.00</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12.0</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109.3</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54</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40.50</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27.0</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90.0</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25</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18.75</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12.5</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110.0</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55</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41.25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27.5</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90.7</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26</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19.50</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13.0</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110.7</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56</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42.00</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28.0</w:t>
            </w:r>
          </w:p>
        </w:tc>
      </w:tr>
      <w:tr>
        <w:trPr>
          <w:trHeight w:val="355"/>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91.3</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27</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20.25</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13.5</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111.3</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57</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42.75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28.5</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92.0</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28</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21.00</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14.0</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112.0</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58</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43.50</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29.0</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92.7</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29</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21.75</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14.5</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112.7</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59</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44.25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29.5</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93.3</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22.50</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15.0</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113.3</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60</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45.00</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30.0</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94.0</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31</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23.25</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15.5</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114.0</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61</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45.75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30.5</w:t>
            </w:r>
          </w:p>
        </w:tc>
      </w:tr>
      <w:tr>
        <w:trPr>
          <w:trHeight w:val="355"/>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94.7</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32</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24.00</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16.0</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114.7</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62</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46.50</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31.0</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95.3</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33</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24.75</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16.5</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115.3</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63</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47.25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31.5</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96.0</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34</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25.50</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17.0</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116.0</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64</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48.00</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32.0</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96.7</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26.25</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17.5</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116.7</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65</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48.75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32.5</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97.3</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36</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27.00</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18.0</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117.3</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66</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49.50</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33.0</w:t>
            </w:r>
          </w:p>
        </w:tc>
      </w:tr>
      <w:tr>
        <w:trPr>
          <w:trHeight w:val="355"/>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98.0</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37</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27.75</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18.5</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118.0</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67</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50.25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33.5</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98.7</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38</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28.50</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19.0</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118.7</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68</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51.00</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34.0</w:t>
            </w:r>
          </w:p>
        </w:tc>
      </w:tr>
      <w:tr>
        <w:trPr>
          <w:trHeight w:val="177"/>
        </w:trPr>
        <w:tc>
          <w:tcPr>
            <w:tcW w:w="166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99.3</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39</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29.25</w:t>
            </w:r>
          </w:p>
        </w:tc>
        <w:tc>
          <w:tcPr>
            <w:tcW w:w="16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19.5</w:t>
            </w: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119.3</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69</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51.75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34.5</w:t>
            </w:r>
          </w:p>
        </w:tc>
      </w:tr>
      <w:tr>
        <w:trPr>
          <w:trHeight w:val="177"/>
        </w:trPr>
        <w:tc>
          <w:tcPr>
            <w:tcW w:w="1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120.0</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70</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52.50</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35.0</w:t>
            </w:r>
          </w:p>
        </w:tc>
      </w:tr>
    </w:tbl>
    <w:p>
      <w:pPr>
        <w:spacing w:after="0" w:line="1" w:lineRule="exact"/>
        <w:rPr>
          <w:sz w:val="20"/>
          <w:szCs w:val="20"/>
          <w:color w:val="auto"/>
        </w:rPr>
      </w:pPr>
    </w:p>
    <w:sectPr>
      <w:pgSz w:w="11900" w:h="16838" w:orient="portrait"/>
      <w:cols w:equalWidth="0" w:num="1">
        <w:col w:w="11520"/>
      </w:cols>
      <w:pgMar w:left="240" w:top="142"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2019-12-13T08:25:41Z</dcterms:created>
  <dcterms:modified xsi:type="dcterms:W3CDTF">2019-12-13T08:25:41Z</dcterms:modified>
</cp:coreProperties>
</file>