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02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02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Potts Randy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10/15/2013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Chrmn, CEO &amp;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2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10/15/2013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11,395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62,528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10/15/2013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5,806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27.7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56,722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10/15/2013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2,843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59,565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10/15/2013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1,449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27.7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58,116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10/16/2013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13,000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(3)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71,116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jc w:val="center"/>
              <w:ind w:lef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Granted under the Winnebago Industries, Inc. 2004 Incentive Compensation Plan which provides for stock grants to Executive Officers under the Officers' Incentive Compensation Plan for Fiscal Year 2013.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Granted under the Winnebago Industries, Inc. 2004 Incentive Compensation Plan which provides for stock grants to Executive Officers under the Officers' Long-Term Incentive Plan for Fiscal Three-Year Period 2011, 2012 and 2013.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Granted under the Winnebago Industries, Inc. 2004 Incentive Compensation Plan. Restricted shares vest in annual increments of one-third beginning 10/16/2014.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19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10/17/2013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12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791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2019-12-16T07:28:37Z</dcterms:created>
  <dcterms:modified xsi:type="dcterms:W3CDTF">2019-12-16T07:28:37Z</dcterms:modified>
</cp:coreProperties>
</file>