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960" w:right="2319" w:hanging="952"/>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ectPr>
          <w:pgSz w:w="11900" w:h="16838" w:orient="portrait"/>
          <w:cols w:equalWidth="0" w:num="1">
            <w:col w:w="10219"/>
          </w:cols>
          <w:pgMar w:left="240" w:top="649" w:right="1440" w:bottom="24" w:gutter="0" w:footer="0" w:header="0"/>
        </w:sect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November 30, 1996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160" w:space="120"/>
            <w:col w:w="6939"/>
          </w:cols>
          <w:pgMar w:left="240" w:top="649" w:right="1440" w:bottom="24" w:gutter="0" w:footer="0" w:header="0"/>
          <w:type w:val="continuous"/>
        </w:sectPr>
      </w:pPr>
    </w:p>
    <w:p>
      <w:pPr>
        <w:spacing w:after="0" w:line="24"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649" w:right="1440" w:bottom="24" w:gutter="0" w:footer="0" w:header="0"/>
          <w:type w:val="continuous"/>
        </w:sectPr>
      </w:pPr>
    </w:p>
    <w:p>
      <w:pPr>
        <w:spacing w:after="0" w:line="224" w:lineRule="exact"/>
        <w:rPr>
          <w:sz w:val="24"/>
          <w:szCs w:val="24"/>
          <w:color w:val="auto"/>
        </w:rPr>
      </w:pPr>
    </w:p>
    <w:p>
      <w:pPr>
        <w:ind w:left="960" w:right="2199" w:hanging="952"/>
        <w:spacing w:after="0" w:line="235" w:lineRule="auto"/>
        <w:tabs>
          <w:tab w:leader="none" w:pos="22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 _____________________ to _____________________</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1-6403</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ind w:left="1380"/>
              <w:spacing w:after="0"/>
              <w:rPr>
                <w:sz w:val="20"/>
                <w:szCs w:val="20"/>
                <w:color w:val="auto"/>
              </w:rPr>
            </w:pPr>
            <w:r>
              <w:rPr>
                <w:rFonts w:ascii="Courier New" w:cs="Courier New" w:eastAsia="Courier New" w:hAnsi="Courier New"/>
                <w:sz w:val="18"/>
                <w:szCs w:val="18"/>
                <w:color w:val="auto"/>
              </w:rPr>
              <w:t>IOWA</w:t>
            </w:r>
          </w:p>
        </w:tc>
        <w:tc>
          <w:tcPr>
            <w:tcW w:w="2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42-0803978</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96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96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608"/>
        </w:trPr>
        <w:tc>
          <w:tcPr>
            <w:tcW w:w="5480" w:type="dxa"/>
            <w:vAlign w:val="bottom"/>
          </w:tcPr>
          <w:p>
            <w:pPr>
              <w:spacing w:after="0"/>
              <w:rPr>
                <w:sz w:val="20"/>
                <w:szCs w:val="20"/>
                <w:color w:val="auto"/>
              </w:rPr>
            </w:pPr>
            <w:r>
              <w:rPr>
                <w:rFonts w:ascii="Courier New" w:cs="Courier New" w:eastAsia="Courier New" w:hAnsi="Courier New"/>
                <w:sz w:val="18"/>
                <w:szCs w:val="18"/>
                <w:color w:val="auto"/>
              </w:rPr>
              <w:t>P. O. Box 152, Forest City, Iowa</w:t>
            </w:r>
          </w:p>
        </w:tc>
        <w:tc>
          <w:tcPr>
            <w:tcW w:w="29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50436</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Registrant's telephone number, including area code:</w:t>
            </w:r>
          </w:p>
        </w:tc>
        <w:tc>
          <w:tcPr>
            <w:tcW w:w="296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(515) 582-3535</w:t>
            </w:r>
          </w:p>
        </w:tc>
      </w:tr>
    </w:tbl>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__X__ No ____.</w:t>
      </w:r>
    </w:p>
    <w:p>
      <w:pPr>
        <w:spacing w:after="0" w:line="209"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There were 25,406,679 shares of $.50 par value common stock outstanding on January 8, 1997.</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6740" w:type="dxa"/>
            <w:vAlign w:val="bottom"/>
          </w:tcPr>
          <w:p>
            <w:pPr>
              <w:ind w:left="1040"/>
              <w:spacing w:after="0"/>
              <w:rPr>
                <w:sz w:val="20"/>
                <w:szCs w:val="20"/>
                <w:color w:val="auto"/>
              </w:rPr>
            </w:pPr>
            <w:r>
              <w:rPr>
                <w:rFonts w:ascii="Courier New" w:cs="Courier New" w:eastAsia="Courier New" w:hAnsi="Courier New"/>
                <w:sz w:val="18"/>
                <w:szCs w:val="18"/>
                <w:color w:val="auto"/>
              </w:rPr>
              <w:t>WINNEBAGO INDUSTRIES, INC. AND SUBSIDIARIES</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6740" w:type="dxa"/>
            <w:vAlign w:val="bottom"/>
          </w:tcPr>
          <w:p>
            <w:pPr>
              <w:ind w:left="1780"/>
              <w:spacing w:after="0"/>
              <w:rPr>
                <w:sz w:val="20"/>
                <w:szCs w:val="20"/>
                <w:color w:val="auto"/>
              </w:rPr>
            </w:pPr>
            <w:r>
              <w:rPr>
                <w:rFonts w:ascii="Courier New" w:cs="Courier New" w:eastAsia="Courier New" w:hAnsi="Courier New"/>
                <w:sz w:val="18"/>
                <w:szCs w:val="18"/>
                <w:color w:val="auto"/>
              </w:rPr>
              <w:t>INDEX TO REPORT ON FORM 10-Q</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5"/>
        </w:trPr>
        <w:tc>
          <w:tcPr>
            <w:tcW w:w="960" w:type="dxa"/>
            <w:vAlign w:val="bottom"/>
          </w:tcPr>
          <w:p>
            <w:pPr>
              <w:spacing w:after="0"/>
              <w:rPr>
                <w:sz w:val="24"/>
                <w:szCs w:val="24"/>
                <w:color w:val="auto"/>
              </w:rPr>
            </w:pPr>
          </w:p>
        </w:tc>
        <w:tc>
          <w:tcPr>
            <w:tcW w:w="7480" w:type="dxa"/>
            <w:vAlign w:val="bottom"/>
            <w:gridSpan w:val="3"/>
          </w:tcPr>
          <w:p>
            <w:pPr>
              <w:ind w:left="6320"/>
              <w:spacing w:after="0"/>
              <w:rPr>
                <w:sz w:val="20"/>
                <w:szCs w:val="20"/>
                <w:color w:val="auto"/>
              </w:rPr>
            </w:pPr>
            <w:r>
              <w:rPr>
                <w:rFonts w:ascii="Courier New" w:cs="Courier New" w:eastAsia="Courier New" w:hAnsi="Courier New"/>
                <w:sz w:val="18"/>
                <w:szCs w:val="18"/>
                <w:color w:val="auto"/>
                <w:w w:val="95"/>
              </w:rPr>
              <w:t>Page Number</w:t>
            </w:r>
          </w:p>
        </w:tc>
      </w:tr>
      <w:tr>
        <w:trPr>
          <w:trHeight w:val="203"/>
        </w:trPr>
        <w:tc>
          <w:tcPr>
            <w:tcW w:w="960" w:type="dxa"/>
            <w:vAlign w:val="bottom"/>
          </w:tcPr>
          <w:p>
            <w:pPr>
              <w:spacing w:after="0"/>
              <w:rPr>
                <w:sz w:val="17"/>
                <w:szCs w:val="17"/>
                <w:color w:val="auto"/>
              </w:rPr>
            </w:pPr>
          </w:p>
        </w:tc>
        <w:tc>
          <w:tcPr>
            <w:tcW w:w="7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6740" w:type="dxa"/>
            <w:vAlign w:val="bottom"/>
          </w:tcPr>
          <w:p>
            <w:pPr>
              <w:ind w:left="100"/>
              <w:spacing w:after="0"/>
              <w:rPr>
                <w:sz w:val="20"/>
                <w:szCs w:val="20"/>
                <w:color w:val="auto"/>
              </w:rPr>
            </w:pPr>
            <w:r>
              <w:rPr>
                <w:rFonts w:ascii="Courier New" w:cs="Courier New" w:eastAsia="Courier New" w:hAnsi="Courier New"/>
                <w:sz w:val="18"/>
                <w:szCs w:val="18"/>
                <w:color w:val="auto"/>
              </w:rPr>
              <w:t>FINANCIAL INFORMATION: (Interim period information unaudited)</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5"/>
        </w:trPr>
        <w:tc>
          <w:tcPr>
            <w:tcW w:w="960" w:type="dxa"/>
            <w:vAlign w:val="bottom"/>
          </w:tcPr>
          <w:p>
            <w:pPr>
              <w:spacing w:after="0"/>
              <w:rPr>
                <w:sz w:val="24"/>
                <w:szCs w:val="24"/>
                <w:color w:val="auto"/>
              </w:rPr>
            </w:pPr>
          </w:p>
        </w:tc>
        <w:tc>
          <w:tcPr>
            <w:tcW w:w="6740" w:type="dxa"/>
            <w:vAlign w:val="bottom"/>
          </w:tcPr>
          <w:p>
            <w:pPr>
              <w:ind w:left="100"/>
              <w:spacing w:after="0"/>
              <w:rPr>
                <w:sz w:val="20"/>
                <w:szCs w:val="20"/>
                <w:color w:val="auto"/>
              </w:rPr>
            </w:pPr>
            <w:r>
              <w:rPr>
                <w:rFonts w:ascii="Courier New" w:cs="Courier New" w:eastAsia="Courier New" w:hAnsi="Courier New"/>
                <w:sz w:val="18"/>
                <w:szCs w:val="18"/>
                <w:color w:val="auto"/>
              </w:rPr>
              <w:t>Consolidated Balance Sheets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&amp; 2</w:t>
            </w:r>
          </w:p>
        </w:tc>
      </w:tr>
      <w:tr>
        <w:trPr>
          <w:trHeight w:val="405"/>
        </w:trPr>
        <w:tc>
          <w:tcPr>
            <w:tcW w:w="960" w:type="dxa"/>
            <w:vAlign w:val="bottom"/>
          </w:tcPr>
          <w:p>
            <w:pPr>
              <w:spacing w:after="0"/>
              <w:rPr>
                <w:sz w:val="24"/>
                <w:szCs w:val="24"/>
                <w:color w:val="auto"/>
              </w:rPr>
            </w:pPr>
          </w:p>
        </w:tc>
        <w:tc>
          <w:tcPr>
            <w:tcW w:w="6740" w:type="dxa"/>
            <w:vAlign w:val="bottom"/>
          </w:tcPr>
          <w:p>
            <w:pPr>
              <w:ind w:left="100"/>
              <w:spacing w:after="0"/>
              <w:rPr>
                <w:sz w:val="20"/>
                <w:szCs w:val="20"/>
                <w:color w:val="auto"/>
              </w:rPr>
            </w:pPr>
            <w:r>
              <w:rPr>
                <w:rFonts w:ascii="Courier New" w:cs="Courier New" w:eastAsia="Courier New" w:hAnsi="Courier New"/>
                <w:sz w:val="18"/>
                <w:szCs w:val="18"/>
                <w:color w:val="auto"/>
              </w:rPr>
              <w:t>Unaudited Consolidated Statements of Operations</w:t>
            </w:r>
          </w:p>
        </w:tc>
        <w:tc>
          <w:tcPr>
            <w:tcW w:w="360" w:type="dxa"/>
            <w:vAlign w:val="bottom"/>
          </w:tcPr>
          <w:p>
            <w:pPr>
              <w:spacing w:after="0"/>
              <w:rPr>
                <w:sz w:val="24"/>
                <w:szCs w:val="24"/>
                <w:color w:val="auto"/>
              </w:rPr>
            </w:pPr>
          </w:p>
        </w:tc>
        <w:tc>
          <w:tcPr>
            <w:tcW w:w="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w:t>
            </w:r>
          </w:p>
        </w:tc>
      </w:tr>
      <w:tr>
        <w:trPr>
          <w:trHeight w:val="405"/>
        </w:trPr>
        <w:tc>
          <w:tcPr>
            <w:tcW w:w="960" w:type="dxa"/>
            <w:vAlign w:val="bottom"/>
          </w:tcPr>
          <w:p>
            <w:pPr>
              <w:spacing w:after="0"/>
              <w:rPr>
                <w:sz w:val="24"/>
                <w:szCs w:val="24"/>
                <w:color w:val="auto"/>
              </w:rPr>
            </w:pPr>
          </w:p>
        </w:tc>
        <w:tc>
          <w:tcPr>
            <w:tcW w:w="6740" w:type="dxa"/>
            <w:vAlign w:val="bottom"/>
          </w:tcPr>
          <w:p>
            <w:pPr>
              <w:ind w:left="100"/>
              <w:spacing w:after="0"/>
              <w:rPr>
                <w:sz w:val="20"/>
                <w:szCs w:val="20"/>
                <w:color w:val="auto"/>
              </w:rPr>
            </w:pPr>
            <w:r>
              <w:rPr>
                <w:rFonts w:ascii="Courier New" w:cs="Courier New" w:eastAsia="Courier New" w:hAnsi="Courier New"/>
                <w:sz w:val="18"/>
                <w:szCs w:val="18"/>
                <w:color w:val="auto"/>
              </w:rPr>
              <w:t>Unaudited Consolidated Condensed Statements of Cash Flows</w:t>
            </w:r>
          </w:p>
        </w:tc>
        <w:tc>
          <w:tcPr>
            <w:tcW w:w="360" w:type="dxa"/>
            <w:vAlign w:val="bottom"/>
          </w:tcPr>
          <w:p>
            <w:pPr>
              <w:spacing w:after="0"/>
              <w:rPr>
                <w:sz w:val="24"/>
                <w:szCs w:val="24"/>
                <w:color w:val="auto"/>
              </w:rPr>
            </w:pPr>
          </w:p>
        </w:tc>
        <w:tc>
          <w:tcPr>
            <w:tcW w:w="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w:t>
            </w:r>
          </w:p>
        </w:tc>
      </w:tr>
      <w:tr>
        <w:trPr>
          <w:trHeight w:val="405"/>
        </w:trPr>
        <w:tc>
          <w:tcPr>
            <w:tcW w:w="960" w:type="dxa"/>
            <w:vAlign w:val="bottom"/>
          </w:tcPr>
          <w:p>
            <w:pPr>
              <w:spacing w:after="0"/>
              <w:rPr>
                <w:sz w:val="24"/>
                <w:szCs w:val="24"/>
                <w:color w:val="auto"/>
              </w:rPr>
            </w:pPr>
          </w:p>
        </w:tc>
        <w:tc>
          <w:tcPr>
            <w:tcW w:w="6740" w:type="dxa"/>
            <w:vAlign w:val="bottom"/>
          </w:tcPr>
          <w:p>
            <w:pPr>
              <w:ind w:left="100"/>
              <w:spacing w:after="0"/>
              <w:rPr>
                <w:sz w:val="20"/>
                <w:szCs w:val="20"/>
                <w:color w:val="auto"/>
              </w:rPr>
            </w:pPr>
            <w:r>
              <w:rPr>
                <w:rFonts w:ascii="Courier New" w:cs="Courier New" w:eastAsia="Courier New" w:hAnsi="Courier New"/>
                <w:sz w:val="18"/>
                <w:szCs w:val="18"/>
                <w:color w:val="auto"/>
                <w:w w:val="98"/>
              </w:rPr>
              <w:t>Unaudited Condensed Notes to Consolidated Financial Statements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&amp; 6</w:t>
            </w:r>
          </w:p>
        </w:tc>
      </w:tr>
      <w:tr>
        <w:trPr>
          <w:trHeight w:val="405"/>
        </w:trPr>
        <w:tc>
          <w:tcPr>
            <w:tcW w:w="960" w:type="dxa"/>
            <w:vAlign w:val="bottom"/>
          </w:tcPr>
          <w:p>
            <w:pPr>
              <w:spacing w:after="0"/>
              <w:rPr>
                <w:sz w:val="24"/>
                <w:szCs w:val="24"/>
                <w:color w:val="auto"/>
              </w:rPr>
            </w:pPr>
          </w:p>
        </w:tc>
        <w:tc>
          <w:tcPr>
            <w:tcW w:w="6740" w:type="dxa"/>
            <w:vAlign w:val="bottom"/>
          </w:tcPr>
          <w:p>
            <w:pPr>
              <w:ind w:left="100"/>
              <w:spacing w:after="0"/>
              <w:rPr>
                <w:sz w:val="20"/>
                <w:szCs w:val="20"/>
                <w:color w:val="auto"/>
              </w:rPr>
            </w:pPr>
            <w:r>
              <w:rPr>
                <w:rFonts w:ascii="Courier New" w:cs="Courier New" w:eastAsia="Courier New" w:hAnsi="Courier New"/>
                <w:sz w:val="18"/>
                <w:szCs w:val="18"/>
                <w:color w:val="auto"/>
              </w:rPr>
              <w:t>Management's Discussion and Analysis of Financial Condition</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Results of Operations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&amp; 8</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6740" w:type="dxa"/>
            <w:vAlign w:val="bottom"/>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 &amp; 10</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Financial Information</w:t>
      </w:r>
    </w:p>
    <w:p>
      <w:pPr>
        <w:sectPr>
          <w:pgSz w:w="11900" w:h="16838" w:orient="portrait"/>
          <w:cols w:equalWidth="0" w:num="1">
            <w:col w:w="10219"/>
          </w:cols>
          <w:pgMar w:left="240" w:top="649" w:right="1440" w:bottom="24" w:gutter="0" w:footer="0" w:header="0"/>
          <w:type w:val="continuous"/>
        </w:sectPr>
      </w:pPr>
    </w:p>
    <w:bookmarkStart w:id="1" w:name="page2"/>
    <w:bookmarkEnd w:id="1"/>
    <w:p>
      <w:pPr>
        <w:jc w:val="center"/>
        <w:ind w:right="2420"/>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2420"/>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020" w:type="dxa"/>
            <w:vAlign w:val="bottom"/>
          </w:tcPr>
          <w:p>
            <w:pPr>
              <w:spacing w:after="0"/>
              <w:rPr>
                <w:sz w:val="17"/>
                <w:szCs w:val="17"/>
                <w:color w:val="auto"/>
              </w:rPr>
            </w:pPr>
          </w:p>
        </w:tc>
        <w:tc>
          <w:tcPr>
            <w:tcW w:w="1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NOVEMBER 30,</w:t>
            </w:r>
          </w:p>
        </w:tc>
        <w:tc>
          <w:tcPr>
            <w:tcW w:w="1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AUGUST 31,</w:t>
            </w:r>
          </w:p>
        </w:tc>
      </w:tr>
      <w:tr>
        <w:trPr>
          <w:trHeight w:val="203"/>
        </w:trPr>
        <w:tc>
          <w:tcPr>
            <w:tcW w:w="602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ASSETS</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1996</w:t>
            </w:r>
          </w:p>
        </w:tc>
        <w:tc>
          <w:tcPr>
            <w:tcW w:w="14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(Unaudited)</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$ 56,620</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797</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729</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4,316</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($650 and $702, respectively)</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31,077</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30,029</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Dealer financing receivables less allowance</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doubtful accounts ($185 and $197, respectively)</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10,824</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11,491</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51,279</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63,103</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3,333</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3,253</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6,343</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6,343</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 of discontinued operations</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7,285</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6020" w:type="dxa"/>
            <w:vAlign w:val="bottom"/>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160,205</w:t>
            </w:r>
          </w:p>
        </w:tc>
        <w:tc>
          <w:tcPr>
            <w:tcW w:w="14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126,617</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1,500</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1,501</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43,968</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43,952</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66,648</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67,456</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7,832</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7,878</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119,948</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120,787</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80,588</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80,858</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6020" w:type="dxa"/>
            <w:vAlign w:val="bottom"/>
          </w:tcPr>
          <w:p>
            <w:pPr>
              <w:ind w:left="540"/>
              <w:spacing w:after="0"/>
              <w:rPr>
                <w:sz w:val="20"/>
                <w:szCs w:val="20"/>
                <w:color w:val="auto"/>
              </w:rPr>
            </w:pPr>
            <w:r>
              <w:rPr>
                <w:rFonts w:ascii="Courier New" w:cs="Courier New" w:eastAsia="Courier New" w:hAnsi="Courier New"/>
                <w:sz w:val="18"/>
                <w:szCs w:val="18"/>
                <w:color w:val="auto"/>
              </w:rPr>
              <w:t>Total property and equipment, net</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39,360</w:t>
            </w:r>
          </w:p>
        </w:tc>
        <w:tc>
          <w:tcPr>
            <w:tcW w:w="14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39,929</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LONG-TERM NOTES RECEIVABLE, less allowances</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($797 and $797, respectively)</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3,982</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3,918</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INVESTMENT IN LIFE INSURANCE</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16,989</w:t>
            </w:r>
          </w:p>
        </w:tc>
        <w:tc>
          <w:tcPr>
            <w:tcW w:w="14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16,821</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DEFERRED INCOME TAXES, NET</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14,548</w:t>
            </w:r>
          </w:p>
        </w:tc>
        <w:tc>
          <w:tcPr>
            <w:tcW w:w="14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14,548</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3,791</w:t>
            </w:r>
          </w:p>
        </w:tc>
        <w:tc>
          <w:tcPr>
            <w:tcW w:w="14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3,906</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LONG-TERM ASSETS OF DISCONTINUED OPERATIONS</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14,857</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$238,875</w:t>
            </w:r>
          </w:p>
        </w:tc>
        <w:tc>
          <w:tcPr>
            <w:tcW w:w="13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9"/>
              </w:rPr>
              <w:t>$220,596</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2420"/>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796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November 30,</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August 31,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3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1996</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3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960" w:type="dxa"/>
            <w:vAlign w:val="bottom"/>
          </w:tcPr>
          <w:p>
            <w:pPr>
              <w:spacing w:after="0"/>
              <w:rPr>
                <w:sz w:val="17"/>
                <w:szCs w:val="17"/>
                <w:color w:val="auto"/>
              </w:rPr>
            </w:pP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(Unaudited)</w:t>
            </w:r>
          </w:p>
        </w:tc>
        <w:tc>
          <w:tcPr>
            <w:tcW w:w="1360" w:type="dxa"/>
            <w:vAlign w:val="bottom"/>
          </w:tcPr>
          <w:p>
            <w:pPr>
              <w:spacing w:after="0"/>
              <w:rPr>
                <w:sz w:val="17"/>
                <w:szCs w:val="17"/>
                <w:color w:val="auto"/>
              </w:rPr>
            </w:pP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157</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  1,866</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3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18,232</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20,232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to minority shareholder of Cycle-Sat</w:t>
            </w:r>
          </w:p>
        </w:tc>
        <w:tc>
          <w:tcPr>
            <w:tcW w:w="3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7,590</w:t>
            </w: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960"/>
          </w:cols>
          <w:pgMar w:left="240" w:top="339" w:right="6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00" w:type="dxa"/>
            <w:vAlign w:val="bottom"/>
          </w:tcPr>
          <w:p>
            <w:pPr>
              <w:spacing w:after="0"/>
              <w:rPr>
                <w:sz w:val="20"/>
                <w:szCs w:val="20"/>
                <w:color w:val="auto"/>
              </w:rPr>
            </w:pPr>
            <w:r>
              <w:rPr>
                <w:rFonts w:ascii="Courier New" w:cs="Courier New" w:eastAsia="Courier New" w:hAnsi="Courier New"/>
                <w:sz w:val="18"/>
                <w:szCs w:val="18"/>
                <w:color w:val="auto"/>
              </w:rPr>
              <w:t>Current liabilities of discontinued operations</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17,532</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loss on disposal of electronic component assembly segment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3,708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4,074</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15,604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Insurance</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3,169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2,947</w:t>
            </w:r>
          </w:p>
        </w:tc>
      </w:tr>
      <w:tr>
        <w:trPr>
          <w:trHeight w:val="203"/>
        </w:trPr>
        <w:tc>
          <w:tcPr>
            <w:tcW w:w="7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Product warranties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3,507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3,489</w:t>
            </w:r>
          </w:p>
        </w:tc>
      </w:tr>
      <w:tr>
        <w:trPr>
          <w:trHeight w:val="203"/>
        </w:trPr>
        <w:tc>
          <w:tcPr>
            <w:tcW w:w="7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Vacation liability</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3,290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3,116</w:t>
            </w:r>
          </w:p>
        </w:tc>
      </w:tr>
      <w:tr>
        <w:trPr>
          <w:trHeight w:val="203"/>
        </w:trPr>
        <w:tc>
          <w:tcPr>
            <w:tcW w:w="7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Promotional</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2,710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2,193</w:t>
            </w:r>
          </w:p>
        </w:tc>
      </w:tr>
      <w:tr>
        <w:trPr>
          <w:trHeight w:val="203"/>
        </w:trPr>
        <w:tc>
          <w:tcPr>
            <w:tcW w:w="7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7,260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9,013</w:t>
            </w:r>
          </w:p>
        </w:tc>
      </w:tr>
      <w:tr>
        <w:trPr>
          <w:trHeight w:val="203"/>
        </w:trPr>
        <w:tc>
          <w:tcPr>
            <w:tcW w:w="7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800" w:type="dxa"/>
            <w:vAlign w:val="bottom"/>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65,227</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64,462</w:t>
            </w:r>
          </w:p>
        </w:tc>
      </w:tr>
      <w:tr>
        <w:trPr>
          <w:trHeight w:val="203"/>
        </w:trPr>
        <w:tc>
          <w:tcPr>
            <w:tcW w:w="7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80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1,622</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1,692</w:t>
            </w:r>
          </w:p>
        </w:tc>
      </w:tr>
      <w:tr>
        <w:trPr>
          <w:trHeight w:val="203"/>
        </w:trPr>
        <w:tc>
          <w:tcPr>
            <w:tcW w:w="7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800" w:type="dxa"/>
            <w:vAlign w:val="bottom"/>
          </w:tcPr>
          <w:p>
            <w:pPr>
              <w:spacing w:after="0"/>
              <w:rPr>
                <w:sz w:val="20"/>
                <w:szCs w:val="20"/>
                <w:color w:val="auto"/>
              </w:rPr>
            </w:pPr>
            <w:r>
              <w:rPr>
                <w:rFonts w:ascii="Courier New" w:cs="Courier New" w:eastAsia="Courier New" w:hAnsi="Courier New"/>
                <w:sz w:val="18"/>
                <w:szCs w:val="18"/>
                <w:color w:val="auto"/>
              </w:rPr>
              <w:t>POSTRETIREMENT HEALTH CARE AND DEFERRED</w:t>
            </w: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COMPENSATION BENEFITS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47,276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46,937</w:t>
            </w:r>
          </w:p>
        </w:tc>
      </w:tr>
      <w:tr>
        <w:trPr>
          <w:trHeight w:val="203"/>
        </w:trPr>
        <w:tc>
          <w:tcPr>
            <w:tcW w:w="7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800" w:type="dxa"/>
            <w:vAlign w:val="bottom"/>
          </w:tcPr>
          <w:p>
            <w:pPr>
              <w:spacing w:after="0"/>
              <w:rPr>
                <w:sz w:val="20"/>
                <w:szCs w:val="20"/>
                <w:color w:val="auto"/>
              </w:rPr>
            </w:pPr>
            <w:r>
              <w:rPr>
                <w:rFonts w:ascii="Courier New" w:cs="Courier New" w:eastAsia="Courier New" w:hAnsi="Courier New"/>
                <w:sz w:val="18"/>
                <w:szCs w:val="18"/>
                <w:color w:val="auto"/>
              </w:rPr>
              <w:t>MINORITY INTEREST IN DISCONTINUED OPERATIONS</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2,194</w:t>
            </w:r>
          </w:p>
        </w:tc>
      </w:tr>
      <w:tr>
        <w:trPr>
          <w:trHeight w:val="203"/>
        </w:trPr>
        <w:tc>
          <w:tcPr>
            <w:tcW w:w="7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8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stock, common, par value $.50; authorized</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60,000,000 shares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12,923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12,920</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23,445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23,723</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rPr>
              <w:t>Reinvested earnings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93,399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74,221</w:t>
            </w:r>
          </w:p>
        </w:tc>
      </w:tr>
      <w:tr>
        <w:trPr>
          <w:trHeight w:val="203"/>
        </w:trPr>
        <w:tc>
          <w:tcPr>
            <w:tcW w:w="7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129,767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110,864</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5,017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5,553</w:t>
            </w:r>
          </w:p>
        </w:tc>
      </w:tr>
      <w:tr>
        <w:trPr>
          <w:trHeight w:val="203"/>
        </w:trPr>
        <w:tc>
          <w:tcPr>
            <w:tcW w:w="7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800" w:type="dxa"/>
            <w:vAlign w:val="bottom"/>
          </w:tcPr>
          <w:p>
            <w:pPr>
              <w:spacing w:after="0"/>
              <w:rPr>
                <w:sz w:val="20"/>
                <w:szCs w:val="20"/>
                <w:color w:val="auto"/>
              </w:rPr>
            </w:pPr>
            <w:r>
              <w:rPr>
                <w:rFonts w:ascii="Courier New" w:cs="Courier New" w:eastAsia="Courier New" w:hAnsi="Courier New"/>
                <w:sz w:val="18"/>
                <w:szCs w:val="18"/>
                <w:color w:val="auto"/>
              </w:rPr>
              <w:t>Total stockholders' equity</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124,750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105,311</w:t>
            </w:r>
          </w:p>
        </w:tc>
      </w:tr>
      <w:tr>
        <w:trPr>
          <w:trHeight w:val="203"/>
        </w:trPr>
        <w:tc>
          <w:tcPr>
            <w:tcW w:w="7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80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$238,875</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$220,596</w:t>
            </w:r>
          </w:p>
        </w:tc>
      </w:tr>
      <w:tr>
        <w:trPr>
          <w:trHeight w:val="203"/>
        </w:trPr>
        <w:tc>
          <w:tcPr>
            <w:tcW w:w="78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ind w:left="1800"/>
        <w:spacing w:after="0" w:line="238" w:lineRule="auto"/>
        <w:rPr>
          <w:sz w:val="20"/>
          <w:szCs w:val="20"/>
          <w:color w:val="auto"/>
        </w:rPr>
      </w:pPr>
      <w:r>
        <w:rPr>
          <w:rFonts w:ascii="Courier New" w:cs="Courier New" w:eastAsia="Courier New" w:hAnsi="Courier New"/>
          <w:sz w:val="18"/>
          <w:szCs w:val="18"/>
          <w:color w:val="auto"/>
        </w:rPr>
        <w:t>UNAUDITED CONSOLIDATED STATEMENTS OF OPERATIONS</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20"/>
                <w:szCs w:val="20"/>
                <w:color w:val="auto"/>
              </w:rPr>
            </w:pPr>
            <w:r>
              <w:rPr>
                <w:rFonts w:ascii="Courier New" w:cs="Courier New" w:eastAsia="Courier New" w:hAnsi="Courier New"/>
                <w:sz w:val="18"/>
                <w:szCs w:val="18"/>
                <w:color w:val="auto"/>
              </w:rPr>
              <w:t>IN THOUSANDS EXCEPT PER SHARE DATA</w:t>
            </w:r>
          </w:p>
        </w:tc>
        <w:tc>
          <w:tcPr>
            <w:tcW w:w="2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THIRTEEN</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FOURTEEN</w:t>
            </w:r>
          </w:p>
        </w:tc>
      </w:tr>
      <w:tr>
        <w:trPr>
          <w:trHeight w:val="203"/>
        </w:trPr>
        <w:tc>
          <w:tcPr>
            <w:tcW w:w="6280" w:type="dxa"/>
            <w:vAlign w:val="bottom"/>
          </w:tcPr>
          <w:p>
            <w:pPr>
              <w:spacing w:after="0"/>
              <w:rPr>
                <w:sz w:val="17"/>
                <w:szCs w:val="17"/>
                <w:color w:val="auto"/>
              </w:rPr>
            </w:pP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WEEKS ENDED</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WEEKS ENDED</w:t>
            </w:r>
          </w:p>
        </w:tc>
      </w:tr>
      <w:tr>
        <w:trPr>
          <w:trHeight w:val="203"/>
        </w:trPr>
        <w:tc>
          <w:tcPr>
            <w:tcW w:w="6280" w:type="dxa"/>
            <w:vAlign w:val="bottom"/>
          </w:tcPr>
          <w:p>
            <w:pPr>
              <w:spacing w:after="0"/>
              <w:rPr>
                <w:sz w:val="17"/>
                <w:szCs w:val="17"/>
                <w:color w:val="auto"/>
              </w:rPr>
            </w:pP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November 30,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2,</w:t>
            </w:r>
          </w:p>
        </w:tc>
      </w:tr>
      <w:tr>
        <w:trPr>
          <w:trHeight w:val="203"/>
        </w:trPr>
        <w:tc>
          <w:tcPr>
            <w:tcW w:w="6280" w:type="dxa"/>
            <w:vAlign w:val="bottom"/>
          </w:tcPr>
          <w:p>
            <w:pPr>
              <w:spacing w:after="0"/>
              <w:rPr>
                <w:sz w:val="17"/>
                <w:szCs w:val="17"/>
                <w:color w:val="auto"/>
              </w:rPr>
            </w:pP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1996</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6280" w:type="dxa"/>
            <w:vAlign w:val="bottom"/>
          </w:tcPr>
          <w:p>
            <w:pPr>
              <w:spacing w:after="0"/>
              <w:rPr>
                <w:sz w:val="17"/>
                <w:szCs w:val="17"/>
                <w:color w:val="auto"/>
              </w:rPr>
            </w:pP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$113,892</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$113,735</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98,813</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97,766</w:t>
            </w:r>
          </w:p>
        </w:tc>
      </w:tr>
      <w:tr>
        <w:trPr>
          <w:trHeight w:val="203"/>
        </w:trPr>
        <w:tc>
          <w:tcPr>
            <w:tcW w:w="6280" w:type="dxa"/>
            <w:vAlign w:val="bottom"/>
          </w:tcPr>
          <w:p>
            <w:pPr>
              <w:spacing w:after="0"/>
              <w:rPr>
                <w:sz w:val="17"/>
                <w:szCs w:val="17"/>
                <w:color w:val="auto"/>
              </w:rPr>
            </w:pP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Gross profit</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15,079</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15,969</w:t>
            </w:r>
          </w:p>
        </w:tc>
      </w:tr>
      <w:tr>
        <w:trPr>
          <w:trHeight w:val="203"/>
        </w:trPr>
        <w:tc>
          <w:tcPr>
            <w:tcW w:w="6280" w:type="dxa"/>
            <w:vAlign w:val="bottom"/>
          </w:tcPr>
          <w:p>
            <w:pPr>
              <w:spacing w:after="0"/>
              <w:rPr>
                <w:sz w:val="17"/>
                <w:szCs w:val="17"/>
                <w:color w:val="auto"/>
              </w:rPr>
            </w:pP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Selling and delivery</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6,338</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6,439</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4,885</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5,563</w:t>
            </w:r>
          </w:p>
        </w:tc>
      </w:tr>
      <w:tr>
        <w:trPr>
          <w:trHeight w:val="203"/>
        </w:trPr>
        <w:tc>
          <w:tcPr>
            <w:tcW w:w="6280" w:type="dxa"/>
            <w:vAlign w:val="bottom"/>
          </w:tcPr>
          <w:p>
            <w:pPr>
              <w:spacing w:after="0"/>
              <w:rPr>
                <w:sz w:val="17"/>
                <w:szCs w:val="17"/>
                <w:color w:val="auto"/>
              </w:rPr>
            </w:pP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11,223</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12,002</w:t>
            </w:r>
          </w:p>
        </w:tc>
      </w:tr>
      <w:tr>
        <w:trPr>
          <w:trHeight w:val="203"/>
        </w:trPr>
        <w:tc>
          <w:tcPr>
            <w:tcW w:w="6280" w:type="dxa"/>
            <w:vAlign w:val="bottom"/>
          </w:tcPr>
          <w:p>
            <w:pPr>
              <w:spacing w:after="0"/>
              <w:rPr>
                <w:sz w:val="17"/>
                <w:szCs w:val="17"/>
                <w:color w:val="auto"/>
              </w:rPr>
            </w:pP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3,856</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3,967</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Financial income</w:t>
            </w: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369</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323</w:t>
            </w:r>
          </w:p>
        </w:tc>
      </w:tr>
      <w:tr>
        <w:trPr>
          <w:trHeight w:val="203"/>
        </w:trPr>
        <w:tc>
          <w:tcPr>
            <w:tcW w:w="6280" w:type="dxa"/>
            <w:vAlign w:val="bottom"/>
          </w:tcPr>
          <w:p>
            <w:pPr>
              <w:spacing w:after="0"/>
              <w:rPr>
                <w:sz w:val="17"/>
                <w:szCs w:val="17"/>
                <w:color w:val="auto"/>
              </w:rPr>
            </w:pP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Income from continuing operations before income taxes</w:t>
            </w: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4,225</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4,290</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Provision for taxes</w:t>
            </w: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1,519</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1,618</w:t>
            </w:r>
          </w:p>
        </w:tc>
      </w:tr>
      <w:tr>
        <w:trPr>
          <w:trHeight w:val="203"/>
        </w:trPr>
        <w:tc>
          <w:tcPr>
            <w:tcW w:w="6280" w:type="dxa"/>
            <w:vAlign w:val="bottom"/>
          </w:tcPr>
          <w:p>
            <w:pPr>
              <w:spacing w:after="0"/>
              <w:rPr>
                <w:sz w:val="17"/>
                <w:szCs w:val="17"/>
                <w:color w:val="auto"/>
              </w:rPr>
            </w:pP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440"/>
          </w:cols>
          <w:pgMar w:left="240" w:top="136" w:right="121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0" w:type="dxa"/>
            <w:vAlign w:val="bottom"/>
          </w:tcPr>
          <w:p>
            <w:pPr>
              <w:spacing w:after="0"/>
              <w:rPr>
                <w:sz w:val="20"/>
                <w:szCs w:val="20"/>
                <w:color w:val="auto"/>
              </w:rPr>
            </w:pPr>
            <w:r>
              <w:rPr>
                <w:rFonts w:ascii="Courier New" w:cs="Courier New" w:eastAsia="Courier New" w:hAnsi="Courier New"/>
                <w:sz w:val="18"/>
                <w:szCs w:val="18"/>
                <w:color w:val="auto"/>
              </w:rPr>
              <w:t>Income from continuing operations</w:t>
            </w:r>
          </w:p>
        </w:tc>
        <w:tc>
          <w:tcPr>
            <w:tcW w:w="520" w:type="dxa"/>
            <w:vAlign w:val="bottom"/>
          </w:tcPr>
          <w:p>
            <w:pPr>
              <w:spacing w:after="0"/>
              <w:rPr>
                <w:sz w:val="17"/>
                <w:szCs w:val="17"/>
                <w:color w:val="auto"/>
              </w:rPr>
            </w:pPr>
          </w:p>
        </w:tc>
        <w:tc>
          <w:tcPr>
            <w:tcW w:w="1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2,706</w:t>
            </w:r>
          </w:p>
        </w:tc>
        <w:tc>
          <w:tcPr>
            <w:tcW w:w="5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2,672</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Discontinued operations: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6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from discontinued Cycle-Sat operations</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applicable income tax provisions of $140)</w:t>
            </w:r>
          </w:p>
        </w:tc>
        <w:tc>
          <w:tcPr>
            <w:tcW w:w="520" w:type="dxa"/>
            <w:vAlign w:val="bottom"/>
          </w:tcPr>
          <w:p>
            <w:pPr>
              <w:spacing w:after="0"/>
              <w:rPr>
                <w:sz w:val="17"/>
                <w:szCs w:val="17"/>
                <w:color w:val="auto"/>
              </w:rPr>
            </w:pP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w:t>
            </w:r>
          </w:p>
        </w:tc>
      </w:tr>
      <w:tr>
        <w:trPr>
          <w:trHeight w:val="405"/>
        </w:trPr>
        <w:tc>
          <w:tcPr>
            <w:tcW w:w="6800" w:type="dxa"/>
            <w:vAlign w:val="bottom"/>
          </w:tcPr>
          <w:p>
            <w:pPr>
              <w:ind w:left="320"/>
              <w:spacing w:after="0"/>
              <w:rPr>
                <w:sz w:val="20"/>
                <w:szCs w:val="20"/>
                <w:color w:val="auto"/>
              </w:rPr>
            </w:pPr>
            <w:r>
              <w:rPr>
                <w:rFonts w:ascii="Courier New" w:cs="Courier New" w:eastAsia="Courier New" w:hAnsi="Courier New"/>
                <w:sz w:val="18"/>
                <w:szCs w:val="18"/>
                <w:color w:val="auto"/>
              </w:rPr>
              <w:t>Gain from sale of discontinued Cycle-Sat subsidiary</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6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(includes a loss on operations of $160,000 less applicable</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 credits of $123,000 and a gain on disposal of</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$16,632,000 less income taxes of $13,462,000)</w:t>
            </w:r>
          </w:p>
        </w:tc>
        <w:tc>
          <w:tcPr>
            <w:tcW w:w="52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16,472</w:t>
            </w:r>
          </w:p>
        </w:tc>
        <w:tc>
          <w:tcPr>
            <w:tcW w:w="52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spacing w:after="0"/>
              <w:rPr>
                <w:sz w:val="17"/>
                <w:szCs w:val="17"/>
                <w:color w:val="auto"/>
              </w:rPr>
            </w:pPr>
          </w:p>
        </w:tc>
        <w:tc>
          <w:tcPr>
            <w:tcW w:w="1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58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$ 19,178</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2,990</w:t>
            </w:r>
          </w:p>
        </w:tc>
      </w:tr>
      <w:tr>
        <w:trPr>
          <w:trHeight w:val="203"/>
        </w:trPr>
        <w:tc>
          <w:tcPr>
            <w:tcW w:w="6800" w:type="dxa"/>
            <w:vAlign w:val="bottom"/>
          </w:tcPr>
          <w:p>
            <w:pPr>
              <w:spacing w:after="0"/>
              <w:rPr>
                <w:sz w:val="17"/>
                <w:szCs w:val="17"/>
                <w:color w:val="auto"/>
              </w:rPr>
            </w:pPr>
          </w:p>
        </w:tc>
        <w:tc>
          <w:tcPr>
            <w:tcW w:w="1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6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from discontinued Cycle-Sat subsidiary</w:t>
            </w:r>
          </w:p>
        </w:tc>
        <w:tc>
          <w:tcPr>
            <w:tcW w:w="520" w:type="dxa"/>
            <w:vAlign w:val="bottom"/>
          </w:tcPr>
          <w:p>
            <w:pPr>
              <w:spacing w:after="0"/>
              <w:rPr>
                <w:sz w:val="17"/>
                <w:szCs w:val="17"/>
                <w:color w:val="auto"/>
              </w:rPr>
            </w:pP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6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Gain from sale of discontinued Cycle-Sat subsidiary</w:t>
            </w:r>
          </w:p>
        </w:tc>
        <w:tc>
          <w:tcPr>
            <w:tcW w:w="52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w:t>
            </w:r>
          </w:p>
        </w:tc>
        <w:tc>
          <w:tcPr>
            <w:tcW w:w="52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spacing w:after="0"/>
              <w:rPr>
                <w:sz w:val="17"/>
                <w:szCs w:val="17"/>
                <w:color w:val="auto"/>
              </w:rPr>
            </w:pPr>
          </w:p>
        </w:tc>
        <w:tc>
          <w:tcPr>
            <w:tcW w:w="1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.76</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800" w:type="dxa"/>
            <w:vAlign w:val="bottom"/>
          </w:tcPr>
          <w:p>
            <w:pPr>
              <w:spacing w:after="0"/>
              <w:rPr>
                <w:sz w:val="17"/>
                <w:szCs w:val="17"/>
                <w:color w:val="auto"/>
              </w:rPr>
            </w:pPr>
          </w:p>
        </w:tc>
        <w:tc>
          <w:tcPr>
            <w:tcW w:w="1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of common stock</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w:t>
            </w:r>
          </w:p>
        </w:tc>
        <w:tc>
          <w:tcPr>
            <w:tcW w:w="52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25,379</w:t>
            </w:r>
          </w:p>
        </w:tc>
        <w:tc>
          <w:tcPr>
            <w:tcW w:w="5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25,346</w:t>
            </w:r>
          </w:p>
        </w:tc>
      </w:tr>
      <w:tr>
        <w:trPr>
          <w:trHeight w:val="203"/>
        </w:trPr>
        <w:tc>
          <w:tcPr>
            <w:tcW w:w="6800" w:type="dxa"/>
            <w:vAlign w:val="bottom"/>
          </w:tcPr>
          <w:p>
            <w:pPr>
              <w:spacing w:after="0"/>
              <w:rPr>
                <w:sz w:val="17"/>
                <w:szCs w:val="17"/>
                <w:color w:val="auto"/>
              </w:rPr>
            </w:pPr>
          </w:p>
        </w:tc>
        <w:tc>
          <w:tcPr>
            <w:tcW w:w="1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680"/>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80"/>
        <w:spacing w:after="0" w:line="238" w:lineRule="auto"/>
        <w:rPr>
          <w:sz w:val="20"/>
          <w:szCs w:val="20"/>
          <w:color w:val="auto"/>
        </w:rPr>
      </w:pPr>
      <w:r>
        <w:rPr>
          <w:rFonts w:ascii="Courier New" w:cs="Courier New" w:eastAsia="Courier New" w:hAnsi="Courier New"/>
          <w:sz w:val="18"/>
          <w:szCs w:val="18"/>
          <w:color w:val="auto"/>
        </w:rPr>
        <w:t>UNAUDITED CONSOLIDATED CONDENSED STATEMENTS OF CASH FLOWS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6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cash and cash equivalents</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THIRTEEN</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FOURTEEN</w:t>
            </w:r>
          </w:p>
        </w:tc>
      </w:tr>
      <w:tr>
        <w:trPr>
          <w:trHeight w:val="203"/>
        </w:trPr>
        <w:tc>
          <w:tcPr>
            <w:tcW w:w="6860" w:type="dxa"/>
            <w:vAlign w:val="bottom"/>
          </w:tcPr>
          <w:p>
            <w:pPr>
              <w:spacing w:after="0"/>
              <w:rPr>
                <w:sz w:val="17"/>
                <w:szCs w:val="17"/>
                <w:color w:val="auto"/>
              </w:rPr>
            </w:pP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WEEKS ENDED</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WEEKS ENDED</w:t>
            </w:r>
          </w:p>
        </w:tc>
      </w:tr>
      <w:tr>
        <w:trPr>
          <w:trHeight w:val="203"/>
        </w:trPr>
        <w:tc>
          <w:tcPr>
            <w:tcW w:w="6860" w:type="dxa"/>
            <w:vAlign w:val="bottom"/>
          </w:tcPr>
          <w:p>
            <w:pPr>
              <w:spacing w:after="0"/>
              <w:rPr>
                <w:sz w:val="17"/>
                <w:szCs w:val="17"/>
                <w:color w:val="auto"/>
              </w:rPr>
            </w:pP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60" w:type="dxa"/>
            <w:vAlign w:val="bottom"/>
          </w:tcPr>
          <w:p>
            <w:pPr>
              <w:spacing w:after="0"/>
              <w:rPr>
                <w:sz w:val="17"/>
                <w:szCs w:val="17"/>
                <w:color w:val="auto"/>
              </w:rPr>
            </w:pP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November 30,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2,</w:t>
            </w:r>
          </w:p>
        </w:tc>
      </w:tr>
      <w:tr>
        <w:trPr>
          <w:trHeight w:val="203"/>
        </w:trPr>
        <w:tc>
          <w:tcPr>
            <w:tcW w:w="6860" w:type="dxa"/>
            <w:vAlign w:val="bottom"/>
          </w:tcPr>
          <w:p>
            <w:pPr>
              <w:spacing w:after="0"/>
              <w:rPr>
                <w:sz w:val="17"/>
                <w:szCs w:val="17"/>
                <w:color w:val="auto"/>
              </w:rPr>
            </w:pPr>
          </w:p>
        </w:tc>
        <w:tc>
          <w:tcPr>
            <w:tcW w:w="20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1996</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6860" w:type="dxa"/>
            <w:vAlign w:val="bottom"/>
          </w:tcPr>
          <w:p>
            <w:pPr>
              <w:spacing w:after="0"/>
              <w:rPr>
                <w:sz w:val="17"/>
                <w:szCs w:val="17"/>
                <w:color w:val="auto"/>
              </w:rPr>
            </w:pP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$ 19,178</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2,990</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to net cash from operating activities:</w:t>
            </w: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Pre-tax gain on sale of Cycle-Sat subsidiary</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(29,811)</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1,665</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1,747</w:t>
            </w: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Realized and unrealized (gains) losses on investments, net</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trading securities</w:t>
            </w: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(2,103)</w:t>
            </w: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trading securities</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3,707</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1,851</w:t>
            </w: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 accounts receivable</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8,042</w:t>
            </w: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(increase) in inventories</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11,824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(3,067)</w:t>
            </w: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accounts payable and accrued expenses</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11,661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5,275</w:t>
            </w: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postretirement benefits</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838</w:t>
            </w: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(338)</w:t>
            </w:r>
          </w:p>
        </w:tc>
      </w:tr>
      <w:tr>
        <w:trPr>
          <w:trHeight w:val="203"/>
        </w:trPr>
        <w:tc>
          <w:tcPr>
            <w:tcW w:w="6860" w:type="dxa"/>
            <w:vAlign w:val="bottom"/>
          </w:tcPr>
          <w:p>
            <w:pPr>
              <w:spacing w:after="0"/>
              <w:rPr>
                <w:sz w:val="17"/>
                <w:szCs w:val="17"/>
                <w:color w:val="auto"/>
              </w:rPr>
            </w:pP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15,177</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15,119</w:t>
            </w:r>
          </w:p>
        </w:tc>
      </w:tr>
      <w:tr>
        <w:trPr>
          <w:trHeight w:val="203"/>
        </w:trPr>
        <w:tc>
          <w:tcPr>
            <w:tcW w:w="6860" w:type="dxa"/>
            <w:vAlign w:val="bottom"/>
          </w:tcPr>
          <w:p>
            <w:pPr>
              <w:spacing w:after="0"/>
              <w:rPr>
                <w:sz w:val="17"/>
                <w:szCs w:val="17"/>
                <w:color w:val="auto"/>
              </w:rPr>
            </w:pP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Cash flows provided (used) by investing activities:</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Gross proceeds from the sale of Cycle-Sat subsidiary*</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55,883</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(1,106)</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(1,959)</w:t>
            </w: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dealer receivables</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(9,128)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(10,719)</w:t>
            </w: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Collections of dealer receivables</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9,807</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7,708</w:t>
            </w: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w:t>
            </w:r>
          </w:p>
        </w:tc>
      </w:tr>
      <w:tr>
        <w:trPr>
          <w:trHeight w:val="203"/>
        </w:trPr>
        <w:tc>
          <w:tcPr>
            <w:tcW w:w="6860" w:type="dxa"/>
            <w:vAlign w:val="bottom"/>
          </w:tcPr>
          <w:p>
            <w:pPr>
              <w:spacing w:after="0"/>
              <w:rPr>
                <w:sz w:val="17"/>
                <w:szCs w:val="17"/>
                <w:color w:val="auto"/>
              </w:rPr>
            </w:pP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(used) by investing activities</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55,384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(4,688)</w:t>
            </w:r>
          </w:p>
        </w:tc>
      </w:tr>
      <w:tr>
        <w:trPr>
          <w:trHeight w:val="203"/>
        </w:trPr>
        <w:tc>
          <w:tcPr>
            <w:tcW w:w="6860" w:type="dxa"/>
            <w:vAlign w:val="bottom"/>
          </w:tcPr>
          <w:p>
            <w:pPr>
              <w:spacing w:after="0"/>
              <w:rPr>
                <w:sz w:val="17"/>
                <w:szCs w:val="17"/>
                <w:color w:val="auto"/>
              </w:rPr>
            </w:pP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flows used by financing activities and capital transactions:</w:t>
      </w:r>
    </w:p>
    <w:p>
      <w:pPr>
        <w:sectPr>
          <w:pgSz w:w="11900" w:h="16838" w:orient="portrait"/>
          <w:cols w:equalWidth="0" w:num="1">
            <w:col w:w="10220"/>
          </w:cols>
          <w:pgMar w:left="240" w:top="339" w:right="14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6600" w:type="dxa"/>
            <w:vAlign w:val="bottom"/>
          </w:tcPr>
          <w:p>
            <w:pPr>
              <w:ind w:left="220"/>
              <w:spacing w:after="0"/>
              <w:rPr>
                <w:sz w:val="20"/>
                <w:szCs w:val="20"/>
                <w:color w:val="auto"/>
              </w:rPr>
            </w:pPr>
            <w:r>
              <w:rPr>
                <w:rFonts w:ascii="Courier New" w:cs="Courier New" w:eastAsia="Courier New" w:hAnsi="Courier New"/>
                <w:sz w:val="18"/>
                <w:szCs w:val="18"/>
                <w:color w:val="auto"/>
              </w:rPr>
              <w:t>Payment of long-term debt of discontinued operation</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(13,220)</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of long-term debt and capital leases</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(1,779)</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261</w:t>
            </w:r>
          </w:p>
        </w:tc>
      </w:tr>
      <w:tr>
        <w:trPr>
          <w:trHeight w:val="203"/>
        </w:trPr>
        <w:tc>
          <w:tcPr>
            <w:tcW w:w="6600" w:type="dxa"/>
            <w:vAlign w:val="bottom"/>
          </w:tcPr>
          <w:p>
            <w:pPr>
              <w:spacing w:after="0"/>
              <w:rPr>
                <w:sz w:val="17"/>
                <w:szCs w:val="17"/>
                <w:color w:val="auto"/>
              </w:rPr>
            </w:pP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by financing activities and</w:t>
            </w:r>
          </w:p>
        </w:tc>
        <w:tc>
          <w:tcPr>
            <w:tcW w:w="1940" w:type="dxa"/>
            <w:vAlign w:val="bottom"/>
          </w:tcPr>
          <w:p>
            <w:pPr>
              <w:spacing w:after="0"/>
              <w:rPr>
                <w:sz w:val="17"/>
                <w:szCs w:val="17"/>
                <w:color w:val="auto"/>
              </w:rPr>
            </w:pP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transactions</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(14,738)</w:t>
            </w:r>
          </w:p>
        </w:tc>
      </w:tr>
      <w:tr>
        <w:trPr>
          <w:trHeight w:val="203"/>
        </w:trPr>
        <w:tc>
          <w:tcPr>
            <w:tcW w:w="6600" w:type="dxa"/>
            <w:vAlign w:val="bottom"/>
          </w:tcPr>
          <w:p>
            <w:pPr>
              <w:spacing w:after="0"/>
              <w:rPr>
                <w:sz w:val="17"/>
                <w:szCs w:val="17"/>
                <w:color w:val="auto"/>
              </w:rPr>
            </w:pP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cash and cash equivalents</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55,823</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Cash and cash equivalents - beginning of period</w:t>
            </w:r>
          </w:p>
        </w:tc>
        <w:tc>
          <w:tcPr>
            <w:tcW w:w="1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797</w:t>
            </w:r>
          </w:p>
        </w:tc>
      </w:tr>
      <w:tr>
        <w:trPr>
          <w:trHeight w:val="203"/>
        </w:trPr>
        <w:tc>
          <w:tcPr>
            <w:tcW w:w="6600" w:type="dxa"/>
            <w:vAlign w:val="bottom"/>
          </w:tcPr>
          <w:p>
            <w:pPr>
              <w:spacing w:after="0"/>
              <w:rPr>
                <w:sz w:val="17"/>
                <w:szCs w:val="17"/>
                <w:color w:val="auto"/>
              </w:rPr>
            </w:pP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Cash and cash equivalents - end of period</w:t>
            </w:r>
          </w:p>
        </w:tc>
        <w:tc>
          <w:tcPr>
            <w:tcW w:w="1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$ 56,620</w:t>
            </w:r>
          </w:p>
        </w:tc>
      </w:tr>
      <w:tr>
        <w:trPr>
          <w:trHeight w:val="203"/>
        </w:trPr>
        <w:tc>
          <w:tcPr>
            <w:tcW w:w="6600" w:type="dxa"/>
            <w:vAlign w:val="bottom"/>
          </w:tcPr>
          <w:p>
            <w:pPr>
              <w:spacing w:after="0"/>
              <w:rPr>
                <w:sz w:val="17"/>
                <w:szCs w:val="17"/>
                <w:color w:val="auto"/>
              </w:rPr>
            </w:pP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right="338" w:hanging="212"/>
        <w:spacing w:after="0" w:line="235"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$7,590,000 paid to the minority shareholders subsequent to November 30, 1996.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ind w:left="960"/>
        <w:spacing w:after="0" w:line="238" w:lineRule="auto"/>
        <w:rPr>
          <w:sz w:val="20"/>
          <w:szCs w:val="20"/>
          <w:color w:val="auto"/>
        </w:rPr>
      </w:pPr>
      <w:r>
        <w:rPr>
          <w:rFonts w:ascii="Courier New" w:cs="Courier New" w:eastAsia="Courier New" w:hAnsi="Courier New"/>
          <w:sz w:val="18"/>
          <w:szCs w:val="18"/>
          <w:color w:val="auto"/>
        </w:rPr>
        <w:t>UNAUDITED CONDENSED NOTES TO CONSOLIDATED FINANCIAL STATEMENTS</w:t>
      </w:r>
    </w:p>
    <w:p>
      <w:pPr>
        <w:spacing w:after="0" w:line="207" w:lineRule="exact"/>
        <w:rPr>
          <w:sz w:val="20"/>
          <w:szCs w:val="20"/>
          <w:color w:val="auto"/>
        </w:rPr>
      </w:pPr>
    </w:p>
    <w:p>
      <w:pPr>
        <w:ind w:left="740" w:right="218" w:hanging="732"/>
        <w:spacing w:after="0" w:line="271" w:lineRule="auto"/>
        <w:tabs>
          <w:tab w:leader="none" w:pos="7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opinion of management, the accompanying unaudited consolidated condensed financial statements contain all adjustments, consisting of normal recurring accruals, necessary to present fairly the consolidated financial position as of November 30, 1996, the consolidated results of operations for the 13 weeks ended November 30, 1996 and the 14 weeks ended December 2, 1995, and the consolidated cash flows for the 13 weeks ended November 30, 1996 and the 14 weeks ended December 2, 1995. The results of operations for the 13 weeks ended November 30, 1996, are not necessarily indicative of the results to be expected for the full year.</w:t>
      </w:r>
    </w:p>
    <w:p>
      <w:pPr>
        <w:spacing w:after="0" w:line="183" w:lineRule="exact"/>
        <w:rPr>
          <w:rFonts w:ascii="Courier New" w:cs="Courier New" w:eastAsia="Courier New" w:hAnsi="Courier New"/>
          <w:sz w:val="16"/>
          <w:szCs w:val="16"/>
          <w:color w:val="auto"/>
        </w:rPr>
      </w:pPr>
    </w:p>
    <w:p>
      <w:pPr>
        <w:ind w:left="740" w:right="218" w:hanging="732"/>
        <w:spacing w:after="0" w:line="236"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are valued at the lower of cost or market, with cost being determined under the last-in, first-out (LIFO) method and market defined as net realizable value.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Inventories are composed of the following (dollars in thousands):</w:t>
      </w: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16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November 30,</w:t>
            </w:r>
          </w:p>
        </w:tc>
        <w:tc>
          <w:tcPr>
            <w:tcW w:w="15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August 31,</w:t>
            </w:r>
          </w:p>
        </w:tc>
      </w:tr>
      <w:tr>
        <w:trPr>
          <w:trHeight w:val="203"/>
        </w:trPr>
        <w:tc>
          <w:tcPr>
            <w:tcW w:w="3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1996</w:t>
            </w:r>
          </w:p>
        </w:tc>
        <w:tc>
          <w:tcPr>
            <w:tcW w:w="640" w:type="dxa"/>
            <w:vAlign w:val="bottom"/>
          </w:tcPr>
          <w:p>
            <w:pPr>
              <w:spacing w:after="0"/>
              <w:rPr>
                <w:sz w:val="17"/>
                <w:szCs w:val="17"/>
                <w:color w:val="auto"/>
              </w:rPr>
            </w:pPr>
          </w:p>
        </w:tc>
        <w:tc>
          <w:tcPr>
            <w:tcW w:w="9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1996</w:t>
            </w:r>
          </w:p>
        </w:tc>
      </w:tr>
      <w:tr>
        <w:trPr>
          <w:trHeight w:val="203"/>
        </w:trPr>
        <w:tc>
          <w:tcPr>
            <w:tcW w:w="3320" w:type="dxa"/>
            <w:vAlign w:val="bottom"/>
          </w:tcPr>
          <w:p>
            <w:pPr>
              <w:spacing w:after="0"/>
              <w:rPr>
                <w:sz w:val="17"/>
                <w:szCs w:val="17"/>
                <w:color w:val="auto"/>
              </w:rPr>
            </w:pPr>
          </w:p>
        </w:tc>
        <w:tc>
          <w:tcPr>
            <w:tcW w:w="168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1540" w:type="dxa"/>
            <w:vAlign w:val="bottom"/>
            <w:gridSpan w:val="2"/>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Finished</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21,175</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28,228</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goods.........................</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w:t>
            </w:r>
          </w:p>
        </w:tc>
        <w:tc>
          <w:tcPr>
            <w:tcW w:w="5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14,899</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13,915</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process.......................</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Raw</w:t>
            </w:r>
          </w:p>
        </w:tc>
        <w:tc>
          <w:tcPr>
            <w:tcW w:w="5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32,014</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37,537</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materials.....................</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68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1540" w:type="dxa"/>
            <w:vAlign w:val="bottom"/>
            <w:gridSpan w:val="2"/>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68,088</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79,680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LIFO</w:t>
            </w:r>
          </w:p>
        </w:tc>
        <w:tc>
          <w:tcPr>
            <w:tcW w:w="5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16,809</w:t>
            </w:r>
          </w:p>
        </w:tc>
        <w:tc>
          <w:tcPr>
            <w:tcW w:w="6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16,577</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reserve......................</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68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1540" w:type="dxa"/>
            <w:vAlign w:val="bottom"/>
            <w:gridSpan w:val="2"/>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32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51,279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63,106</w:t>
            </w:r>
          </w:p>
        </w:tc>
      </w:tr>
      <w:tr>
        <w:trPr>
          <w:trHeight w:val="203"/>
        </w:trPr>
        <w:tc>
          <w:tcPr>
            <w:tcW w:w="3320" w:type="dxa"/>
            <w:vAlign w:val="bottom"/>
          </w:tcPr>
          <w:p>
            <w:pPr>
              <w:spacing w:after="0"/>
              <w:rPr>
                <w:sz w:val="17"/>
                <w:szCs w:val="17"/>
                <w:color w:val="auto"/>
              </w:rPr>
            </w:pPr>
          </w:p>
        </w:tc>
        <w:tc>
          <w:tcPr>
            <w:tcW w:w="168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1540" w:type="dxa"/>
            <w:vAlign w:val="bottom"/>
            <w:gridSpan w:val="2"/>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7" w:lineRule="exact"/>
        <w:rPr>
          <w:sz w:val="20"/>
          <w:szCs w:val="20"/>
          <w:color w:val="auto"/>
        </w:rPr>
      </w:pPr>
    </w:p>
    <w:p>
      <w:pPr>
        <w:ind w:left="740" w:right="218" w:hanging="732"/>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March 1992, the Company has had a financing and security agreement with NationsCredit Corporation (NationsCredit).</w:t>
      </w:r>
    </w:p>
    <w:p>
      <w:pPr>
        <w:spacing w:after="0" w:line="208" w:lineRule="exact"/>
        <w:rPr>
          <w:rFonts w:ascii="Courier New" w:cs="Courier New" w:eastAsia="Courier New" w:hAnsi="Courier New"/>
          <w:sz w:val="18"/>
          <w:szCs w:val="18"/>
          <w:color w:val="auto"/>
        </w:rPr>
      </w:pPr>
    </w:p>
    <w:p>
      <w:pPr>
        <w:ind w:left="740" w:right="118"/>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Terms of the agreement limit borrowings to the lesser of $30,000,000 or 75 percent of eligible inventory (fully manufactured recreation vehicles and motor home chassis and related components). Borrowings are secured by the Company's receivables and inventory. Borrowings under the agreement bear interest at the prime rate, as defined in the agreement, plus 50 basis points. The line of credit is available through March 31, 1997, and continues during successive one-year periods unless either party provides at least 90-days notice prior to the end of the one-year period to the other party that they wish to terminate the line of credit. The agreement also contains certain restrictive covenants including maintenance of minimum net worth, working capital and current ratio. As of November 30, 1996, the Company was in compliance with these covenants. There were no outstanding borrowings under the line of credit at November 30, 1996 or August 31, 1996.</w:t>
      </w:r>
    </w:p>
    <w:p>
      <w:pPr>
        <w:spacing w:after="0" w:line="387"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customary practice for companies in the recreation vehicle industry</w:t>
      </w:r>
    </w:p>
    <w:p>
      <w:pPr>
        <w:spacing w:after="0" w:line="20" w:lineRule="exact"/>
        <w:rPr>
          <w:sz w:val="20"/>
          <w:szCs w:val="20"/>
          <w:color w:val="auto"/>
        </w:rPr>
      </w:pPr>
      <w:r>
        <w:rPr>
          <w:sz w:val="20"/>
          <w:szCs w:val="20"/>
          <w:color w:val="auto"/>
        </w:rPr>
        <w:br w:type="column"/>
      </w:r>
    </w:p>
    <w:p>
      <w:pPr>
        <w:ind w:left="422"/>
        <w:spacing w:after="0"/>
        <w:rPr>
          <w:sz w:val="20"/>
          <w:szCs w:val="20"/>
          <w:color w:val="auto"/>
        </w:rPr>
      </w:pPr>
      <w:r>
        <w:rPr>
          <w:rFonts w:ascii="Courier New" w:cs="Courier New" w:eastAsia="Courier New" w:hAnsi="Courier New"/>
          <w:sz w:val="18"/>
          <w:szCs w:val="18"/>
          <w:color w:val="auto"/>
        </w:rPr>
        <w:t>--</w:t>
      </w:r>
    </w:p>
    <w:p>
      <w:pPr>
        <w:jc w:val="right"/>
        <w:spacing w:after="0" w:line="238" w:lineRule="auto"/>
        <w:rPr>
          <w:sz w:val="20"/>
          <w:szCs w:val="20"/>
          <w:color w:val="auto"/>
        </w:rPr>
      </w:pPr>
      <w:r>
        <w:rPr>
          <w:rFonts w:ascii="Courier New" w:cs="Courier New" w:eastAsia="Courier New" w:hAnsi="Courier New"/>
          <w:sz w:val="18"/>
          <w:szCs w:val="18"/>
          <w:color w:val="auto"/>
        </w:rPr>
        <w:t>(488)</w:t>
      </w:r>
    </w:p>
    <w:p>
      <w:pPr>
        <w:ind w:left="642"/>
        <w:spacing w:after="0"/>
        <w:rPr>
          <w:sz w:val="20"/>
          <w:szCs w:val="20"/>
          <w:color w:val="auto"/>
        </w:rPr>
      </w:pPr>
      <w:r>
        <w:rPr>
          <w:rFonts w:ascii="Courier New" w:cs="Courier New" w:eastAsia="Courier New" w:hAnsi="Courier New"/>
          <w:sz w:val="18"/>
          <w:szCs w:val="18"/>
          <w:color w:val="auto"/>
        </w:rPr>
        <w:t>35</w:t>
      </w:r>
    </w:p>
    <w:p>
      <w:pPr>
        <w:ind w:left="2"/>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2"/>
        <w:spacing w:after="0"/>
        <w:rPr>
          <w:sz w:val="20"/>
          <w:szCs w:val="20"/>
          <w:color w:val="auto"/>
        </w:rPr>
      </w:pPr>
      <w:r>
        <w:rPr>
          <w:rFonts w:ascii="Courier New" w:cs="Courier New" w:eastAsia="Courier New" w:hAnsi="Courier New"/>
          <w:sz w:val="16"/>
          <w:szCs w:val="16"/>
          <w:color w:val="auto"/>
        </w:rPr>
        <w:t>(453)</w:t>
      </w:r>
    </w:p>
    <w:p>
      <w:pPr>
        <w:spacing w:after="0" w:line="16" w:lineRule="exact"/>
        <w:rPr>
          <w:sz w:val="20"/>
          <w:szCs w:val="20"/>
          <w:color w:val="auto"/>
        </w:rPr>
      </w:pPr>
    </w:p>
    <w:p>
      <w:pPr>
        <w:ind w:left="2"/>
        <w:spacing w:after="0"/>
        <w:rPr>
          <w:sz w:val="20"/>
          <w:szCs w:val="20"/>
          <w:color w:val="auto"/>
        </w:rPr>
      </w:pPr>
      <w:r>
        <w:rPr>
          <w:rFonts w:ascii="Courier New" w:cs="Courier New" w:eastAsia="Courier New" w:hAnsi="Courier New"/>
          <w:sz w:val="18"/>
          <w:szCs w:val="18"/>
          <w:color w:val="auto"/>
        </w:rPr>
        <w:t>--------</w:t>
      </w:r>
    </w:p>
    <w:p>
      <w:pPr>
        <w:ind w:left="322"/>
        <w:spacing w:after="0" w:line="238" w:lineRule="auto"/>
        <w:rPr>
          <w:sz w:val="20"/>
          <w:szCs w:val="20"/>
          <w:color w:val="auto"/>
        </w:rPr>
      </w:pPr>
      <w:r>
        <w:rPr>
          <w:rFonts w:ascii="Courier New" w:cs="Courier New" w:eastAsia="Courier New" w:hAnsi="Courier New"/>
          <w:sz w:val="18"/>
          <w:szCs w:val="18"/>
          <w:color w:val="auto"/>
        </w:rPr>
        <w:t>9,978</w:t>
      </w:r>
    </w:p>
    <w:p>
      <w:pPr>
        <w:spacing w:after="0" w:line="202" w:lineRule="exact"/>
        <w:rPr>
          <w:sz w:val="20"/>
          <w:szCs w:val="20"/>
          <w:color w:val="auto"/>
        </w:rPr>
      </w:pPr>
    </w:p>
    <w:p>
      <w:pPr>
        <w:ind w:left="322"/>
        <w:spacing w:after="0"/>
        <w:rPr>
          <w:sz w:val="20"/>
          <w:szCs w:val="20"/>
          <w:color w:val="auto"/>
        </w:rPr>
      </w:pPr>
      <w:r>
        <w:rPr>
          <w:rFonts w:ascii="Courier New" w:cs="Courier New" w:eastAsia="Courier New" w:hAnsi="Courier New"/>
          <w:sz w:val="18"/>
          <w:szCs w:val="18"/>
          <w:color w:val="auto"/>
        </w:rPr>
        <w:t>8,508</w:t>
      </w:r>
    </w:p>
    <w:p>
      <w:pPr>
        <w:ind w:left="2"/>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02" w:hanging="202"/>
        <w:spacing w:after="0"/>
        <w:tabs>
          <w:tab w:leader="none" w:pos="20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18,486</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2">
            <w:col w:w="8558" w:space="720"/>
            <w:col w:w="942"/>
          </w:cols>
          <w:pgMar w:left="240" w:top="136" w:right="1439" w:bottom="0" w:gutter="0" w:footer="0" w:header="0"/>
        </w:sectPr>
      </w:pPr>
    </w:p>
    <w:bookmarkStart w:id="5" w:name="page6"/>
    <w:bookmarkEnd w:id="5"/>
    <w:p>
      <w:pPr>
        <w:ind w:left="740"/>
        <w:spacing w:after="0"/>
        <w:rPr>
          <w:sz w:val="20"/>
          <w:szCs w:val="20"/>
          <w:color w:val="auto"/>
        </w:rPr>
      </w:pPr>
      <w:r>
        <w:rPr>
          <w:rFonts w:ascii="Courier New" w:cs="Courier New" w:eastAsia="Courier New" w:hAnsi="Courier New"/>
          <w:sz w:val="16"/>
          <w:szCs w:val="16"/>
          <w:color w:val="auto"/>
        </w:rPr>
        <w:t>to enter into repurchase agreements with lending institutions which have</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provided wholesale floor plan financing to dealers. The Company's</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agreements provide for the repurchase of its products from the financing</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institution in the event of repossession upon a dealer's default. The</w:t>
      </w:r>
    </w:p>
    <w:p>
      <w:pPr>
        <w:ind w:left="740"/>
        <w:spacing w:after="0" w:line="238" w:lineRule="auto"/>
        <w:rPr>
          <w:sz w:val="20"/>
          <w:szCs w:val="20"/>
          <w:color w:val="auto"/>
        </w:rPr>
      </w:pPr>
      <w:r>
        <w:rPr>
          <w:rFonts w:ascii="Courier New" w:cs="Courier New" w:eastAsia="Courier New" w:hAnsi="Courier New"/>
          <w:sz w:val="18"/>
          <w:szCs w:val="18"/>
          <w:color w:val="auto"/>
        </w:rPr>
        <w:t>Company was contingently liable for approximately $130,734,000 and</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$129,135,000 under repurchase agreements with lending institutions as of</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November 30, 1996 and August 31, 1996, respectively. Included in these</w:t>
      </w:r>
    </w:p>
    <w:p>
      <w:pPr>
        <w:ind w:left="740"/>
        <w:spacing w:after="0" w:line="238" w:lineRule="auto"/>
        <w:rPr>
          <w:sz w:val="20"/>
          <w:szCs w:val="20"/>
          <w:color w:val="auto"/>
        </w:rPr>
      </w:pPr>
      <w:r>
        <w:rPr>
          <w:rFonts w:ascii="Courier New" w:cs="Courier New" w:eastAsia="Courier New" w:hAnsi="Courier New"/>
          <w:sz w:val="18"/>
          <w:szCs w:val="18"/>
          <w:color w:val="auto"/>
        </w:rPr>
        <w:t>contingent liabilities as of November 30, 1996 and August 31, 1996 are</w:t>
      </w:r>
    </w:p>
    <w:p>
      <w:pPr>
        <w:ind w:left="740"/>
        <w:spacing w:after="0"/>
        <w:rPr>
          <w:sz w:val="20"/>
          <w:szCs w:val="20"/>
          <w:color w:val="auto"/>
        </w:rPr>
      </w:pPr>
      <w:r>
        <w:rPr>
          <w:rFonts w:ascii="Courier New" w:cs="Courier New" w:eastAsia="Courier New" w:hAnsi="Courier New"/>
          <w:sz w:val="18"/>
          <w:szCs w:val="18"/>
          <w:color w:val="auto"/>
        </w:rPr>
        <w:t>approximately $31,638,000 and $33,216,000, respectively, of certain</w:t>
      </w:r>
    </w:p>
    <w:p>
      <w:pPr>
        <w:spacing w:after="0" w:line="3"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dealer receivables subject to recourse agreements with NationsCredit and</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Green Tree Financial Corporation.</w:t>
      </w:r>
    </w:p>
    <w:p>
      <w:pPr>
        <w:spacing w:after="0" w:line="207" w:lineRule="exact"/>
        <w:rPr>
          <w:sz w:val="20"/>
          <w:szCs w:val="20"/>
          <w:color w:val="auto"/>
        </w:rPr>
      </w:pPr>
    </w:p>
    <w:p>
      <w:pPr>
        <w:ind w:left="740" w:right="1999" w:hanging="732"/>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year-to-date the Company paid cash for the following (dollars in thousands):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Interest</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Income taxes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Thirteen</w:t>
      </w:r>
    </w:p>
    <w:p>
      <w:pPr>
        <w:ind w:left="120"/>
        <w:spacing w:after="0" w:line="238" w:lineRule="auto"/>
        <w:rPr>
          <w:sz w:val="20"/>
          <w:szCs w:val="20"/>
          <w:color w:val="auto"/>
        </w:rPr>
      </w:pPr>
      <w:r>
        <w:rPr>
          <w:rFonts w:ascii="Courier New" w:cs="Courier New" w:eastAsia="Courier New" w:hAnsi="Courier New"/>
          <w:sz w:val="18"/>
          <w:szCs w:val="18"/>
          <w:color w:val="auto"/>
        </w:rPr>
        <w:t>Weeks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November 30,</w:t>
      </w:r>
    </w:p>
    <w:p>
      <w:pPr>
        <w:spacing w:after="0" w:line="1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186</w:t>
      </w:r>
    </w:p>
    <w:p>
      <w:pPr>
        <w:ind w:left="1060"/>
        <w:spacing w:after="0" w:line="238" w:lineRule="auto"/>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Fourteen</w:t>
      </w:r>
    </w:p>
    <w:p>
      <w:pPr>
        <w:spacing w:after="0" w:line="238" w:lineRule="auto"/>
        <w:rPr>
          <w:sz w:val="20"/>
          <w:szCs w:val="20"/>
          <w:color w:val="auto"/>
        </w:rPr>
      </w:pPr>
      <w:r>
        <w:rPr>
          <w:rFonts w:ascii="Courier New" w:cs="Courier New" w:eastAsia="Courier New" w:hAnsi="Courier New"/>
          <w:sz w:val="18"/>
          <w:szCs w:val="18"/>
          <w:color w:val="auto"/>
        </w:rPr>
        <w:t>Weeks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December 2,</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1995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tabs>
          <w:tab w:leader="none" w:pos="8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449</w:t>
      </w:r>
    </w:p>
    <w:p>
      <w:pPr>
        <w:ind w:left="940"/>
        <w:spacing w:after="0" w:line="238" w:lineRule="auto"/>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ectPr>
          <w:pgSz w:w="11900" w:h="16838" w:orient="portrait"/>
          <w:cols w:equalWidth="0" w:num="3">
            <w:col w:w="2860" w:space="720"/>
            <w:col w:w="1380" w:space="640"/>
            <w:col w:w="4619"/>
          </w:cols>
          <w:pgMar w:left="240" w:top="142" w:right="1440" w:bottom="0" w:gutter="0" w:footer="0" w:header="0"/>
          <w:type w:val="continuous"/>
        </w:sectPr>
      </w:pPr>
    </w:p>
    <w:p>
      <w:pPr>
        <w:spacing w:after="0" w:line="7" w:lineRule="exact"/>
        <w:rPr>
          <w:sz w:val="20"/>
          <w:szCs w:val="20"/>
          <w:color w:val="auto"/>
        </w:rPr>
      </w:pPr>
    </w:p>
    <w:p>
      <w:pPr>
        <w:ind w:left="740" w:right="1879" w:hanging="732"/>
        <w:spacing w:after="0" w:line="237"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November 19, 1996, the Company sold all of the assets of its Cycle-Sat, Inc. subsidiary to Vyvx, Inc., a subsidiary of The Williams Companies, Inc., Tulsa, Oklahoma for approximately $57 million in cash. Vyvx, Inc. is a leading provider of integrated satellite and fiber-optic video transmission services. The transaction resulted in an after-tax gain of $16.5 million or $.65 per common share.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 FINANCIAL CONDITION AND</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Thirteen weeks ended November 30, 1996 compared to fourteen weeks ended December 2, 1995.</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revenues for the 13 weeks ended November 30, 1996 were $113,892,000, an increase of $157,000, or 0.1 percent from the 14 week period ended December 2, 1995. Motor home shipments (Classes A and C) were 1,958 units, a decrease of 106 units, or 5.1 percent, during the first quarter of fiscal 1997 compared to the first quarter of fiscal 1996. The Company is encouraged by the positive response it has received on its 1997 product line and the Company's orders are presently running ahead of last year's level.</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Gross profit, as a percent of net revenues, was 13.2 percent for the 13 weeks ended November 30, 1996 compared to 14.0 percent for the 14 weeks ended December 2, 1995. This decrease can be attributed primarily to lower production levels and discounts on selected models.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and delivery expenses were $6,338,000 or 5.6 percent of net revenues during the first quarter of fiscal 1997 compared to $6,439,000 or 5.7 percent of net revenues during the first quarter of fiscal 1996. The decrease in dollars and percentage can be attributed primarily to a reduction in dealer promotional expenses.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General and administrative expenses decreased by $678,000 to $4,885,000 comparing the 13 weeks ended November 30, 1996 to the 14 weeks ended December 2, 1995 and decreased as a percentage of net revenues to 4.3 percent from 4.9 percent. The decreases in dollars and percentage was caused primarily by higher product liability costs incurred during the 14 weeks ended December 2, 1995 and by a reduction in the postretirement benefit obligation caused by revisions in certain assumptions used in estimating the cost of the Company's postretirement health care plan which caused an unrecognized net gain that will be amortized over the average remaining service period of active plan participants. This unrecognized net gain is being recorded starting with fiscal year 1997.</w:t>
      </w:r>
    </w:p>
    <w:p>
      <w:pPr>
        <w:spacing w:after="0" w:line="18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had net financial income of $369,000 for the first quarter of fiscal 1997 compared to income of $323,000 for the comparable quarter of fiscal 1996. During the 13 weeks ended November 30, 1996, the Company recorded $309,000 of interest income, $121,000 of realized and unrealized gains in its trading securities portfolio and losses of $61,000 in foreign currency transactions. During the 14 weeks ended December 2, 1995, the Company recorded $254,000 of interest income, gains of $109,000 in foreign currency transactions and realized and unrealized losses of $40,000 in its trading securities portfolio.</w:t>
      </w:r>
    </w:p>
    <w:p>
      <w:pPr>
        <w:sectPr>
          <w:pgSz w:w="11900" w:h="16838" w:orient="portrait"/>
          <w:cols w:equalWidth="0" w:num="1">
            <w:col w:w="10219"/>
          </w:cols>
          <w:pgMar w:left="240" w:top="142" w:right="1440" w:bottom="0" w:gutter="0" w:footer="0" w:header="0"/>
          <w:type w:val="continuous"/>
        </w:sectPr>
      </w:pPr>
    </w:p>
    <w:bookmarkStart w:id="6" w:name="page7"/>
    <w:bookmarkEnd w:id="6"/>
    <w:p>
      <w:pPr>
        <w:ind w:right="1779"/>
        <w:spacing w:after="0" w:line="272" w:lineRule="auto"/>
        <w:rPr>
          <w:sz w:val="20"/>
          <w:szCs w:val="20"/>
          <w:color w:val="auto"/>
        </w:rPr>
      </w:pPr>
      <w:r>
        <w:rPr>
          <w:rFonts w:ascii="Courier New" w:cs="Courier New" w:eastAsia="Courier New" w:hAnsi="Courier New"/>
          <w:sz w:val="16"/>
          <w:szCs w:val="16"/>
          <w:color w:val="auto"/>
        </w:rPr>
        <w:t>For the 13 weeks ended November 30, 1996, the Company had income from continuing operations before taxes of $4,225,000 and a provision for taxes of $1,519,000 resulting in income from continuing operations of $2,706,000 or $.11 per share. For the 14 weeks ended December 2, 1995, the Company had income from continuing operations before taxes of $4,290,000 and a provision for taxes of $1,618,000 resulting in income from continuing operations of $2,672,000 or $.11 per share.</w:t>
      </w:r>
    </w:p>
    <w:p>
      <w:pPr>
        <w:spacing w:after="0" w:line="18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For the 13 weeks ended November 30, 1996, the Company recorded a gain from the sale of the discontinued Cycle-Sat subsidiary of $16,472,000 (net of income taxes of $13,462,000), or $.65 per share.</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For the first quarter of fiscal 1996, the Company reported income from discontinued Cycle-Sat operations of $318,000 (net of income tax provisions of $140,000), or $.01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During the 13 weeks ended November 30, 1996, the Company had net income of</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$19,178,000, or $.76 per share, compared to $2,990,000, or $.12 per share for the 14 weeks ended December 2,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FINANCIAL CONDITION</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 meets its working capital and capital equipment requirements and cash requirements of subsidiaries with funds generated internally and funds from agreements with financial institutions.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November 30, 1996, working capital was $94,978,000, an increase of</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$32,823,000 from the amount at August 31, 1996. The increase in the Company's working capital was caused primarily by the Company's sale of the Cycle-Sat subsidiary. The Company's principal sources and uses of cash during the 13 weeks ended November 30, 1996 are set forth in the unaudited consolidated condensed statement of cash flows for that period.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Principal known demands at November 30, 1996 on the Company's liquid assets for the remainder of fiscal 1997 include approximately $13,300,000 of income taxes as a result of the gain on the sale of Cycle-Sat, a $7,600,000 payment to the minority shareholder of Cycle-Sat, $5,200,000 of capital expenditures (primarily equipment replacement) and $2,500,000 of cash dividends declared by the Board of Directors on October 17, 1996 (payable January 6, 1997).</w:t>
      </w:r>
    </w:p>
    <w:p>
      <w:pPr>
        <w:spacing w:after="0" w:line="21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Management currently expects its cash on hand, funds from operations and borrowings available under existing credit facilities to be sufficient to cover both short-term and long-term operating requirements.</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exhibits are being filed as a part of this report.</w:t>
      </w:r>
    </w:p>
    <w:p>
      <w:pPr>
        <w:spacing w:after="0" w:line="206" w:lineRule="exact"/>
        <w:rPr>
          <w:rFonts w:ascii="Courier New" w:cs="Courier New" w:eastAsia="Courier New" w:hAnsi="Courier New"/>
          <w:sz w:val="18"/>
          <w:szCs w:val="18"/>
          <w:color w:val="auto"/>
        </w:rPr>
      </w:pPr>
    </w:p>
    <w:p>
      <w:pPr>
        <w:ind w:left="1580" w:right="2419" w:hanging="519"/>
        <w:spacing w:after="0" w:line="235"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reports on Form 8-K during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left="1040"/>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0"/>
          <w:szCs w:val="20"/>
          <w:color w:val="auto"/>
        </w:rPr>
      </w:pPr>
    </w:p>
    <w:p>
      <w:pPr>
        <w:jc w:val="center"/>
        <w:ind w:left="10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04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January 10,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Fred G. Dohrmann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Fred G. Dohrmann</w:t>
      </w:r>
    </w:p>
    <w:p>
      <w:pPr>
        <w:spacing w:after="0" w:line="238" w:lineRule="auto"/>
        <w:rPr>
          <w:sz w:val="20"/>
          <w:szCs w:val="20"/>
          <w:color w:val="auto"/>
        </w:rPr>
      </w:pPr>
      <w:r>
        <w:rPr>
          <w:rFonts w:ascii="Courier New" w:cs="Courier New" w:eastAsia="Courier New" w:hAnsi="Courier New"/>
          <w:sz w:val="18"/>
          <w:szCs w:val="18"/>
          <w:color w:val="auto"/>
        </w:rPr>
        <w:t>Chairman of the Board and Chief</w:t>
      </w:r>
    </w:p>
    <w:p>
      <w:pPr>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ectPr>
          <w:pgSz w:w="11900" w:h="16838" w:orient="portrait"/>
          <w:cols w:equalWidth="0" w:num="3">
            <w:col w:w="420" w:space="120"/>
            <w:col w:w="2760" w:space="720"/>
            <w:col w:w="6199"/>
          </w:cols>
          <w:pgMar w:left="240" w:top="142" w:right="1440" w:bottom="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January 10,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Edwin F. Barker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Edwin F. Barker</w:t>
      </w:r>
    </w:p>
    <w:p>
      <w:pPr>
        <w:sectPr>
          <w:pgSz w:w="11900" w:h="16838" w:orient="portrait"/>
          <w:cols w:equalWidth="0" w:num="3">
            <w:col w:w="420" w:space="120"/>
            <w:col w:w="2760" w:space="720"/>
            <w:col w:w="6199"/>
          </w:cols>
          <w:pgMar w:left="240" w:top="142" w:right="1440" w:bottom="0" w:gutter="0" w:footer="0" w:header="0"/>
          <w:type w:val="continuous"/>
        </w:sectPr>
      </w:pPr>
    </w:p>
    <w:bookmarkStart w:id="7" w:name="page8"/>
    <w:bookmarkEnd w:id="7"/>
    <w:p>
      <w:pPr>
        <w:ind w:left="2820"/>
        <w:spacing w:after="0"/>
        <w:rPr>
          <w:sz w:val="20"/>
          <w:szCs w:val="20"/>
          <w:color w:val="auto"/>
        </w:rPr>
      </w:pPr>
      <w:r>
        <w:rPr>
          <w:rFonts w:ascii="Courier New" w:cs="Courier New" w:eastAsia="Courier New" w:hAnsi="Courier New"/>
          <w:sz w:val="16"/>
          <w:szCs w:val="16"/>
          <w:color w:val="auto"/>
        </w:rPr>
        <w:t>Vice President - Chief Financial Officer</w:t>
      </w:r>
    </w:p>
    <w:p>
      <w:pPr>
        <w:sectPr>
          <w:pgSz w:w="11900" w:h="16838" w:orient="portrait"/>
          <w:cols w:equalWidth="0" w:num="1">
            <w:col w:w="9019"/>
          </w:cols>
          <w:pgMar w:left="1440" w:top="14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AUG-30-1997</w:t>
      </w:r>
    </w:p>
    <w:p>
      <w:pPr>
        <w:ind w:left="3160"/>
        <w:spacing w:after="0"/>
        <w:rPr>
          <w:sz w:val="20"/>
          <w:szCs w:val="20"/>
          <w:color w:val="auto"/>
        </w:rPr>
      </w:pPr>
      <w:r>
        <w:rPr>
          <w:rFonts w:ascii="Courier New" w:cs="Courier New" w:eastAsia="Courier New" w:hAnsi="Courier New"/>
          <w:sz w:val="18"/>
          <w:szCs w:val="18"/>
          <w:color w:val="auto"/>
        </w:rPr>
        <w:t>NOV-30-1996</w:t>
      </w:r>
    </w:p>
    <w:p>
      <w:pPr>
        <w:ind w:left="4320"/>
        <w:spacing w:after="0" w:line="237" w:lineRule="auto"/>
        <w:rPr>
          <w:sz w:val="20"/>
          <w:szCs w:val="20"/>
          <w:color w:val="auto"/>
        </w:rPr>
      </w:pPr>
      <w:r>
        <w:rPr>
          <w:rFonts w:ascii="Courier New" w:cs="Courier New" w:eastAsia="Courier New" w:hAnsi="Courier New"/>
          <w:sz w:val="18"/>
          <w:szCs w:val="18"/>
          <w:color w:val="auto"/>
        </w:rPr>
        <w:t>56,620</w:t>
      </w:r>
    </w:p>
    <w:p>
      <w:pPr>
        <w:ind w:left="4000"/>
        <w:spacing w:after="0" w:line="238" w:lineRule="auto"/>
        <w:rPr>
          <w:sz w:val="20"/>
          <w:szCs w:val="20"/>
          <w:color w:val="auto"/>
        </w:rPr>
      </w:pPr>
      <w:r>
        <w:rPr>
          <w:rFonts w:ascii="Courier New" w:cs="Courier New" w:eastAsia="Courier New" w:hAnsi="Courier New"/>
          <w:sz w:val="18"/>
          <w:szCs w:val="18"/>
          <w:color w:val="auto"/>
        </w:rPr>
        <w:t>729</w:t>
      </w:r>
    </w:p>
    <w:p>
      <w:pPr>
        <w:ind w:left="3580"/>
        <w:spacing w:after="0"/>
        <w:rPr>
          <w:sz w:val="20"/>
          <w:szCs w:val="20"/>
          <w:color w:val="auto"/>
        </w:rPr>
      </w:pPr>
      <w:r>
        <w:rPr>
          <w:rFonts w:ascii="Courier New" w:cs="Courier New" w:eastAsia="Courier New" w:hAnsi="Courier New"/>
          <w:sz w:val="18"/>
          <w:szCs w:val="18"/>
          <w:color w:val="auto"/>
        </w:rPr>
        <w:t>42,736</w:t>
      </w:r>
    </w:p>
    <w:p>
      <w:pPr>
        <w:ind w:left="4000"/>
        <w:spacing w:after="0" w:line="237" w:lineRule="auto"/>
        <w:rPr>
          <w:sz w:val="20"/>
          <w:szCs w:val="20"/>
          <w:color w:val="auto"/>
        </w:rPr>
      </w:pPr>
      <w:r>
        <w:rPr>
          <w:rFonts w:ascii="Courier New" w:cs="Courier New" w:eastAsia="Courier New" w:hAnsi="Courier New"/>
          <w:sz w:val="18"/>
          <w:szCs w:val="18"/>
          <w:color w:val="auto"/>
        </w:rPr>
        <w:t>835</w:t>
      </w:r>
    </w:p>
    <w:p>
      <w:pPr>
        <w:ind w:left="3780"/>
        <w:spacing w:after="0"/>
        <w:rPr>
          <w:sz w:val="20"/>
          <w:szCs w:val="20"/>
          <w:color w:val="auto"/>
        </w:rPr>
      </w:pPr>
      <w:r>
        <w:rPr>
          <w:rFonts w:ascii="Courier New" w:cs="Courier New" w:eastAsia="Courier New" w:hAnsi="Courier New"/>
          <w:sz w:val="18"/>
          <w:szCs w:val="18"/>
          <w:color w:val="auto"/>
        </w:rPr>
        <w:t>51,279</w:t>
      </w:r>
    </w:p>
    <w:p>
      <w:pPr>
        <w:ind w:left="3160"/>
        <w:spacing w:after="0" w:line="237" w:lineRule="auto"/>
        <w:rPr>
          <w:sz w:val="20"/>
          <w:szCs w:val="20"/>
          <w:color w:val="auto"/>
        </w:rPr>
      </w:pPr>
      <w:r>
        <w:rPr>
          <w:rFonts w:ascii="Courier New" w:cs="Courier New" w:eastAsia="Courier New" w:hAnsi="Courier New"/>
          <w:sz w:val="18"/>
          <w:szCs w:val="18"/>
          <w:color w:val="auto"/>
        </w:rPr>
        <w:t>160,209</w:t>
      </w:r>
    </w:p>
    <w:p>
      <w:pPr>
        <w:ind w:left="4200"/>
        <w:spacing w:after="0"/>
        <w:rPr>
          <w:sz w:val="20"/>
          <w:szCs w:val="20"/>
          <w:color w:val="auto"/>
        </w:rPr>
      </w:pPr>
      <w:r>
        <w:rPr>
          <w:rFonts w:ascii="Courier New" w:cs="Courier New" w:eastAsia="Courier New" w:hAnsi="Courier New"/>
          <w:sz w:val="18"/>
          <w:szCs w:val="18"/>
          <w:color w:val="auto"/>
        </w:rPr>
        <w:t>119,948</w:t>
      </w:r>
    </w:p>
    <w:p>
      <w:pPr>
        <w:ind w:left="3460"/>
        <w:spacing w:after="0" w:line="237" w:lineRule="auto"/>
        <w:rPr>
          <w:sz w:val="20"/>
          <w:szCs w:val="20"/>
          <w:color w:val="auto"/>
        </w:rPr>
      </w:pPr>
      <w:r>
        <w:rPr>
          <w:rFonts w:ascii="Courier New" w:cs="Courier New" w:eastAsia="Courier New" w:hAnsi="Courier New"/>
          <w:sz w:val="18"/>
          <w:szCs w:val="18"/>
          <w:color w:val="auto"/>
        </w:rPr>
        <w:t>80,588</w:t>
      </w:r>
    </w:p>
    <w:p>
      <w:pPr>
        <w:ind w:left="3360"/>
        <w:spacing w:after="0" w:line="238" w:lineRule="auto"/>
        <w:rPr>
          <w:sz w:val="20"/>
          <w:szCs w:val="20"/>
          <w:color w:val="auto"/>
        </w:rPr>
      </w:pPr>
      <w:r>
        <w:rPr>
          <w:rFonts w:ascii="Courier New" w:cs="Courier New" w:eastAsia="Courier New" w:hAnsi="Courier New"/>
          <w:sz w:val="18"/>
          <w:szCs w:val="18"/>
          <w:color w:val="auto"/>
        </w:rPr>
        <w:t>238,879</w:t>
      </w:r>
    </w:p>
    <w:p>
      <w:pPr>
        <w:ind w:left="2740"/>
        <w:spacing w:after="0"/>
        <w:rPr>
          <w:sz w:val="20"/>
          <w:szCs w:val="20"/>
          <w:color w:val="auto"/>
        </w:rPr>
      </w:pPr>
      <w:r>
        <w:rPr>
          <w:rFonts w:ascii="Courier New" w:cs="Courier New" w:eastAsia="Courier New" w:hAnsi="Courier New"/>
          <w:sz w:val="18"/>
          <w:szCs w:val="18"/>
          <w:color w:val="auto"/>
        </w:rPr>
        <w:t>65,231</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rPr>
          <w:sz w:val="20"/>
          <w:szCs w:val="20"/>
          <w:color w:val="auto"/>
        </w:rPr>
      </w:pPr>
      <w:r>
        <w:rPr>
          <w:rFonts w:ascii="Courier New" w:cs="Courier New" w:eastAsia="Courier New" w:hAnsi="Courier New"/>
          <w:sz w:val="18"/>
          <w:szCs w:val="18"/>
          <w:color w:val="auto"/>
        </w:rPr>
        <w:t>12,923</w:t>
      </w:r>
    </w:p>
    <w:p>
      <w:pPr>
        <w:ind w:left="3780"/>
        <w:spacing w:after="0" w:line="237" w:lineRule="auto"/>
        <w:rPr>
          <w:sz w:val="20"/>
          <w:szCs w:val="20"/>
          <w:color w:val="auto"/>
        </w:rPr>
      </w:pPr>
      <w:r>
        <w:rPr>
          <w:rFonts w:ascii="Courier New" w:cs="Courier New" w:eastAsia="Courier New" w:hAnsi="Courier New"/>
          <w:sz w:val="18"/>
          <w:szCs w:val="18"/>
          <w:color w:val="auto"/>
        </w:rPr>
        <w:t>111,827</w:t>
      </w:r>
    </w:p>
    <w:p>
      <w:pPr>
        <w:ind w:left="1880"/>
        <w:spacing w:after="0" w:line="238" w:lineRule="auto"/>
        <w:rPr>
          <w:sz w:val="20"/>
          <w:szCs w:val="20"/>
          <w:color w:val="auto"/>
        </w:rPr>
      </w:pPr>
      <w:r>
        <w:rPr>
          <w:rFonts w:ascii="Courier New" w:cs="Courier New" w:eastAsia="Courier New" w:hAnsi="Courier New"/>
          <w:sz w:val="18"/>
          <w:szCs w:val="18"/>
          <w:color w:val="auto"/>
        </w:rPr>
        <w:t>238,879</w:t>
      </w:r>
    </w:p>
    <w:p>
      <w:pPr>
        <w:ind w:left="4100"/>
        <w:spacing w:after="0"/>
        <w:rPr>
          <w:sz w:val="20"/>
          <w:szCs w:val="20"/>
          <w:color w:val="auto"/>
        </w:rPr>
      </w:pPr>
      <w:r>
        <w:rPr>
          <w:rFonts w:ascii="Courier New" w:cs="Courier New" w:eastAsia="Courier New" w:hAnsi="Courier New"/>
          <w:sz w:val="18"/>
          <w:szCs w:val="18"/>
          <w:color w:val="auto"/>
        </w:rPr>
        <w:t>113,892</w:t>
      </w:r>
    </w:p>
    <w:p>
      <w:pPr>
        <w:ind w:left="3160"/>
        <w:spacing w:after="0" w:line="237" w:lineRule="auto"/>
        <w:rPr>
          <w:sz w:val="20"/>
          <w:szCs w:val="20"/>
          <w:color w:val="auto"/>
        </w:rPr>
      </w:pPr>
      <w:r>
        <w:rPr>
          <w:rFonts w:ascii="Courier New" w:cs="Courier New" w:eastAsia="Courier New" w:hAnsi="Courier New"/>
          <w:sz w:val="18"/>
          <w:szCs w:val="18"/>
          <w:color w:val="auto"/>
        </w:rPr>
        <w:t>113,892</w:t>
      </w:r>
    </w:p>
    <w:p>
      <w:pPr>
        <w:jc w:val="right"/>
        <w:ind w:right="5059"/>
        <w:spacing w:after="0"/>
        <w:rPr>
          <w:sz w:val="20"/>
          <w:szCs w:val="20"/>
          <w:color w:val="auto"/>
        </w:rPr>
      </w:pPr>
      <w:r>
        <w:rPr>
          <w:rFonts w:ascii="Courier New" w:cs="Courier New" w:eastAsia="Courier New" w:hAnsi="Courier New"/>
          <w:sz w:val="18"/>
          <w:szCs w:val="18"/>
          <w:color w:val="auto"/>
        </w:rPr>
        <w:t>98,813</w:t>
      </w:r>
    </w:p>
    <w:p>
      <w:pPr>
        <w:ind w:left="3580"/>
        <w:spacing w:after="0" w:line="237" w:lineRule="auto"/>
        <w:rPr>
          <w:sz w:val="20"/>
          <w:szCs w:val="20"/>
          <w:color w:val="auto"/>
        </w:rPr>
      </w:pPr>
      <w:r>
        <w:rPr>
          <w:rFonts w:ascii="Courier New" w:cs="Courier New" w:eastAsia="Courier New" w:hAnsi="Courier New"/>
          <w:sz w:val="18"/>
          <w:szCs w:val="18"/>
          <w:color w:val="auto"/>
        </w:rPr>
        <w:t>98,813</w:t>
      </w:r>
    </w:p>
    <w:p>
      <w:pPr>
        <w:ind w:left="3260"/>
        <w:spacing w:after="0"/>
        <w:rPr>
          <w:sz w:val="20"/>
          <w:szCs w:val="20"/>
          <w:color w:val="auto"/>
        </w:rPr>
      </w:pPr>
      <w:r>
        <w:rPr>
          <w:rFonts w:ascii="Courier New" w:cs="Courier New" w:eastAsia="Courier New" w:hAnsi="Courier New"/>
          <w:sz w:val="18"/>
          <w:szCs w:val="18"/>
          <w:color w:val="auto"/>
        </w:rPr>
        <w:t>11,223</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(369)</w:t>
      </w:r>
    </w:p>
    <w:p>
      <w:pPr>
        <w:ind w:left="3460"/>
        <w:spacing w:after="0" w:line="237" w:lineRule="auto"/>
        <w:rPr>
          <w:sz w:val="20"/>
          <w:szCs w:val="20"/>
          <w:color w:val="auto"/>
        </w:rPr>
      </w:pPr>
      <w:r>
        <w:rPr>
          <w:rFonts w:ascii="Courier New" w:cs="Courier New" w:eastAsia="Courier New" w:hAnsi="Courier New"/>
          <w:sz w:val="18"/>
          <w:szCs w:val="18"/>
          <w:color w:val="auto"/>
        </w:rPr>
        <w:t>4,225</w:t>
      </w:r>
    </w:p>
    <w:p>
      <w:pPr>
        <w:ind w:left="3780"/>
        <w:spacing w:after="0" w:line="238" w:lineRule="auto"/>
        <w:rPr>
          <w:sz w:val="20"/>
          <w:szCs w:val="20"/>
          <w:color w:val="auto"/>
        </w:rPr>
      </w:pPr>
      <w:r>
        <w:rPr>
          <w:rFonts w:ascii="Courier New" w:cs="Courier New" w:eastAsia="Courier New" w:hAnsi="Courier New"/>
          <w:sz w:val="18"/>
          <w:szCs w:val="18"/>
          <w:color w:val="auto"/>
        </w:rPr>
        <w:t>1,519</w:t>
      </w:r>
    </w:p>
    <w:p>
      <w:pPr>
        <w:ind w:left="3040"/>
        <w:spacing w:after="0"/>
        <w:rPr>
          <w:sz w:val="20"/>
          <w:szCs w:val="20"/>
          <w:color w:val="auto"/>
        </w:rPr>
      </w:pPr>
      <w:r>
        <w:rPr>
          <w:rFonts w:ascii="Courier New" w:cs="Courier New" w:eastAsia="Courier New" w:hAnsi="Courier New"/>
          <w:sz w:val="18"/>
          <w:szCs w:val="18"/>
          <w:color w:val="auto"/>
        </w:rPr>
        <w:t>2,706</w:t>
      </w:r>
    </w:p>
    <w:p>
      <w:pPr>
        <w:ind w:left="3460"/>
        <w:spacing w:after="0" w:line="237" w:lineRule="auto"/>
        <w:rPr>
          <w:sz w:val="20"/>
          <w:szCs w:val="20"/>
          <w:color w:val="auto"/>
        </w:rPr>
      </w:pPr>
      <w:r>
        <w:rPr>
          <w:rFonts w:ascii="Courier New" w:cs="Courier New" w:eastAsia="Courier New" w:hAnsi="Courier New"/>
          <w:sz w:val="18"/>
          <w:szCs w:val="18"/>
          <w:color w:val="auto"/>
        </w:rPr>
        <w:t>16,472</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19,178</w:t>
      </w:r>
    </w:p>
    <w:p>
      <w:pPr>
        <w:ind w:left="3900"/>
        <w:spacing w:after="0" w:line="237" w:lineRule="auto"/>
        <w:rPr>
          <w:sz w:val="20"/>
          <w:szCs w:val="20"/>
          <w:color w:val="auto"/>
        </w:rPr>
      </w:pPr>
      <w:r>
        <w:rPr>
          <w:rFonts w:ascii="Courier New" w:cs="Courier New" w:eastAsia="Courier New" w:hAnsi="Courier New"/>
          <w:sz w:val="18"/>
          <w:szCs w:val="18"/>
          <w:color w:val="auto"/>
        </w:rPr>
        <w:t>.76</w:t>
      </w:r>
    </w:p>
    <w:p>
      <w:pPr>
        <w:ind w:left="4100"/>
        <w:spacing w:after="0" w:line="238" w:lineRule="auto"/>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099"/>
      </w:cols>
      <w:pgMar w:left="36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2019-12-13T08:26:36Z</dcterms:created>
  <dcterms:modified xsi:type="dcterms:W3CDTF">2019-12-13T08:26:36Z</dcterms:modified>
</cp:coreProperties>
</file>