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February 24, 2007</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90"/>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color w:val="auto"/>
              </w:rPr>
              <w:t>001-06403</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88"/>
              </w:rPr>
              <w:t>(State or Other Jurisdiction</w:t>
            </w:r>
          </w:p>
        </w:tc>
        <w:tc>
          <w:tcPr>
            <w:tcW w:w="372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88"/>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Registrant’s telephone number, including area code: (641) 585-3535</w:t>
      </w:r>
    </w:p>
    <w:p>
      <w:pPr>
        <w:spacing w:after="0" w:line="233" w:lineRule="exact"/>
        <w:rPr>
          <w:sz w:val="24"/>
          <w:szCs w:val="24"/>
          <w:color w:val="auto"/>
        </w:rPr>
      </w:pPr>
    </w:p>
    <w:p>
      <w:pPr>
        <w:ind w:firstLine="486"/>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b w:val="1"/>
          <w:bCs w:val="1"/>
          <w:color w:val="auto"/>
        </w:rPr>
        <w:t>x</w:t>
      </w:r>
      <w:r>
        <w:rPr>
          <w:rFonts w:ascii="Arial" w:cs="Arial" w:eastAsia="Arial" w:hAnsi="Arial"/>
          <w:sz w:val="21"/>
          <w:szCs w:val="21"/>
          <w:color w:val="auto"/>
        </w:rPr>
        <w:t xml:space="preserve"> No </w:t>
      </w:r>
      <w:r>
        <w:rPr>
          <w:rFonts w:ascii="Arial" w:cs="Arial" w:eastAsia="Arial" w:hAnsi="Arial"/>
          <w:sz w:val="21"/>
          <w:szCs w:val="21"/>
          <w:b w:val="1"/>
          <w:bCs w:val="1"/>
          <w:color w:val="auto"/>
        </w:rPr>
        <w:t>o</w:t>
      </w:r>
    </w:p>
    <w:p>
      <w:pPr>
        <w:spacing w:after="0" w:line="194" w:lineRule="exact"/>
        <w:rPr>
          <w:sz w:val="24"/>
          <w:szCs w:val="24"/>
          <w:color w:val="auto"/>
        </w:rPr>
      </w:pPr>
    </w:p>
    <w:p>
      <w:pPr>
        <w:ind w:right="140" w:firstLine="486"/>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13" w:lineRule="exact"/>
        <w:rPr>
          <w:sz w:val="24"/>
          <w:szCs w:val="24"/>
          <w:color w:val="auto"/>
        </w:rPr>
      </w:pPr>
    </w:p>
    <w:p>
      <w:pPr>
        <w:ind w:right="960" w:firstLine="486"/>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200" w:lineRule="exact"/>
        <w:rPr>
          <w:sz w:val="24"/>
          <w:szCs w:val="24"/>
          <w:color w:val="auto"/>
        </w:rPr>
      </w:pPr>
    </w:p>
    <w:p>
      <w:pPr>
        <w:ind w:left="500"/>
        <w:spacing w:after="0"/>
        <w:rPr>
          <w:sz w:val="20"/>
          <w:szCs w:val="20"/>
          <w:color w:val="auto"/>
        </w:rPr>
      </w:pPr>
      <w:r>
        <w:rPr>
          <w:rFonts w:ascii="Arial" w:cs="Arial" w:eastAsia="Arial" w:hAnsi="Arial"/>
          <w:sz w:val="19"/>
          <w:szCs w:val="19"/>
          <w:color w:val="auto"/>
        </w:rPr>
        <w:t>The number of shares of common stock, par value $0.50 per share, outstanding on March 23, 2007 was 31,594,306.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tbl>
      <w:tblPr>
        <w:tblLayout w:type="fixed"/>
        <w:tblInd w:w="24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98"/>
              </w:rPr>
              <w:t>WINNEBAGO INDUSTRIES, INC.</w:t>
            </w: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97"/>
              </w:rPr>
              <w:t>INDEX TO REPORT ON FORM 10-Q</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98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2160" w:type="dxa"/>
            <w:vAlign w:val="bottom"/>
            <w:gridSpan w:val="2"/>
          </w:tcPr>
          <w:p>
            <w:pPr>
              <w:jc w:val="center"/>
              <w:ind w:left="1112"/>
              <w:spacing w:after="0"/>
              <w:rPr>
                <w:sz w:val="20"/>
                <w:szCs w:val="20"/>
                <w:color w:val="auto"/>
              </w:rPr>
            </w:pPr>
            <w:r>
              <w:rPr>
                <w:rFonts w:ascii="Arial" w:cs="Arial" w:eastAsia="Arial" w:hAnsi="Arial"/>
                <w:sz w:val="18"/>
                <w:szCs w:val="18"/>
                <w:color w:val="auto"/>
                <w:w w:val="86"/>
              </w:rPr>
              <w:t>Page Number</w:t>
            </w:r>
          </w:p>
        </w:tc>
        <w:tc>
          <w:tcPr>
            <w:tcW w:w="0" w:type="dxa"/>
            <w:vAlign w:val="bottom"/>
          </w:tcPr>
          <w:p>
            <w:pPr>
              <w:spacing w:after="0"/>
              <w:rPr>
                <w:sz w:val="1"/>
                <w:szCs w:val="1"/>
                <w:color w:val="auto"/>
              </w:rPr>
            </w:pPr>
          </w:p>
        </w:tc>
      </w:tr>
      <w:tr>
        <w:trPr>
          <w:trHeight w:val="196"/>
        </w:trPr>
        <w:tc>
          <w:tcPr>
            <w:tcW w:w="1180" w:type="dxa"/>
            <w:vAlign w:val="bottom"/>
            <w:vMerge w:val="continue"/>
          </w:tcPr>
          <w:p>
            <w:pPr>
              <w:spacing w:after="0"/>
              <w:rPr>
                <w:sz w:val="17"/>
                <w:szCs w:val="17"/>
                <w:color w:val="auto"/>
              </w:rPr>
            </w:pPr>
          </w:p>
        </w:tc>
        <w:tc>
          <w:tcPr>
            <w:tcW w:w="6980" w:type="dxa"/>
            <w:vAlign w:val="bottom"/>
            <w:gridSpan w:val="6"/>
            <w:vMerge w:val="continue"/>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1.</w:t>
            </w:r>
          </w:p>
        </w:tc>
        <w:tc>
          <w:tcPr>
            <w:tcW w:w="32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Unaudited Consolidated Statements of Income</w:t>
              </w:r>
            </w:hyperlink>
          </w:p>
        </w:tc>
        <w:tc>
          <w:tcPr>
            <w:tcW w:w="3700" w:type="dxa"/>
            <w:vAlign w:val="bottom"/>
            <w:gridSpan w:val="3"/>
          </w:tcPr>
          <w:p>
            <w:pPr>
              <w:spacing w:after="0"/>
              <w:rPr>
                <w:sz w:val="24"/>
                <w:szCs w:val="24"/>
                <w:color w:val="auto"/>
              </w:rPr>
            </w:pPr>
          </w:p>
        </w:tc>
        <w:tc>
          <w:tcPr>
            <w:tcW w:w="2160" w:type="dxa"/>
            <w:vAlign w:val="bottom"/>
            <w:gridSpan w:val="2"/>
          </w:tcPr>
          <w:p>
            <w:pPr>
              <w:jc w:val="center"/>
              <w:ind w:left="11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Consolidated Balance Sheets</w:t>
              </w:r>
            </w:hyperlink>
          </w:p>
        </w:tc>
        <w:tc>
          <w:tcPr>
            <w:tcW w:w="4160" w:type="dxa"/>
            <w:vAlign w:val="bottom"/>
            <w:gridSpan w:val="4"/>
          </w:tcPr>
          <w:p>
            <w:pPr>
              <w:spacing w:after="0"/>
              <w:rPr>
                <w:sz w:val="24"/>
                <w:szCs w:val="24"/>
                <w:color w:val="auto"/>
              </w:rPr>
            </w:pPr>
          </w:p>
        </w:tc>
        <w:tc>
          <w:tcPr>
            <w:tcW w:w="2160" w:type="dxa"/>
            <w:vAlign w:val="bottom"/>
            <w:gridSpan w:val="2"/>
          </w:tcPr>
          <w:p>
            <w:pPr>
              <w:jc w:val="center"/>
              <w:ind w:left="113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Consolidated Statements of Cash Flows</w:t>
              </w:r>
            </w:hyperlink>
          </w:p>
        </w:tc>
        <w:tc>
          <w:tcPr>
            <w:tcW w:w="3400" w:type="dxa"/>
            <w:vAlign w:val="bottom"/>
            <w:gridSpan w:val="2"/>
          </w:tcPr>
          <w:p>
            <w:pPr>
              <w:spacing w:after="0"/>
              <w:rPr>
                <w:sz w:val="24"/>
                <w:szCs w:val="24"/>
                <w:color w:val="auto"/>
              </w:rPr>
            </w:pPr>
          </w:p>
        </w:tc>
        <w:tc>
          <w:tcPr>
            <w:tcW w:w="2160" w:type="dxa"/>
            <w:vAlign w:val="bottom"/>
            <w:gridSpan w:val="2"/>
          </w:tcPr>
          <w:p>
            <w:pPr>
              <w:jc w:val="center"/>
              <w:ind w:left="113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46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2300" w:type="dxa"/>
            <w:vAlign w:val="bottom"/>
          </w:tcPr>
          <w:p>
            <w:pPr>
              <w:spacing w:after="0"/>
              <w:rPr>
                <w:sz w:val="24"/>
                <w:szCs w:val="24"/>
                <w:color w:val="auto"/>
              </w:rPr>
            </w:pPr>
          </w:p>
        </w:tc>
        <w:tc>
          <w:tcPr>
            <w:tcW w:w="2160" w:type="dxa"/>
            <w:vAlign w:val="bottom"/>
            <w:gridSpan w:val="2"/>
          </w:tcPr>
          <w:p>
            <w:pPr>
              <w:jc w:val="center"/>
              <w:ind w:left="113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Management’s Discussion and Analysis of Financial Condition and</w:t>
              </w:r>
            </w:hyperlink>
          </w:p>
        </w:tc>
        <w:tc>
          <w:tcPr>
            <w:tcW w:w="19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20" w:type="dxa"/>
            <w:vAlign w:val="bottom"/>
            <w:gridSpan w:val="1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Results of Operations</w:t>
              </w:r>
            </w:hyperlink>
          </w:p>
        </w:tc>
        <w:tc>
          <w:tcPr>
            <w:tcW w:w="2100" w:type="dxa"/>
            <w:vAlign w:val="bottom"/>
          </w:tcPr>
          <w:p>
            <w:pPr>
              <w:jc w:val="center"/>
              <w:ind w:left="1832"/>
              <w:spacing w:after="0" w:line="182" w:lineRule="exact"/>
              <w:rPr>
                <w:sz w:val="20"/>
                <w:szCs w:val="20"/>
                <w:color w:val="auto"/>
              </w:rPr>
            </w:pPr>
            <w:r>
              <w:rPr>
                <w:rFonts w:ascii="Arial" w:cs="Arial" w:eastAsia="Arial" w:hAnsi="Arial"/>
                <w:sz w:val="18"/>
                <w:szCs w:val="18"/>
                <w:color w:val="auto"/>
                <w:w w:val="99"/>
              </w:rPr>
              <w:t>9</w:t>
            </w:r>
          </w:p>
        </w:tc>
      </w:tr>
      <w:tr>
        <w:trPr>
          <w:trHeight w:val="20"/>
        </w:trPr>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Quantitative and Qualitative Disclosures About Market Risk</w:t>
              </w:r>
            </w:hyperlink>
          </w:p>
        </w:tc>
        <w:tc>
          <w:tcPr>
            <w:tcW w:w="2400" w:type="dxa"/>
            <w:vAlign w:val="bottom"/>
            <w:gridSpan w:val="2"/>
          </w:tcPr>
          <w:p>
            <w:pPr>
              <w:spacing w:after="0"/>
              <w:rPr>
                <w:sz w:val="24"/>
                <w:szCs w:val="24"/>
                <w:color w:val="auto"/>
              </w:rPr>
            </w:pPr>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15</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666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15</w:t>
            </w:r>
          </w:p>
        </w:tc>
      </w:tr>
      <w:tr>
        <w:trPr>
          <w:trHeight w:val="20"/>
        </w:trPr>
        <w:tc>
          <w:tcPr>
            <w:tcW w:w="1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41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Report of Independent Registered Public Accounting Firm</w:t>
              </w:r>
            </w:hyperlink>
          </w:p>
        </w:tc>
        <w:tc>
          <w:tcPr>
            <w:tcW w:w="2540" w:type="dxa"/>
            <w:vAlign w:val="bottom"/>
            <w:gridSpan w:val="4"/>
          </w:tcPr>
          <w:p>
            <w:pPr>
              <w:spacing w:after="0"/>
              <w:rPr>
                <w:sz w:val="24"/>
                <w:szCs w:val="24"/>
                <w:color w:val="auto"/>
              </w:rPr>
            </w:pPr>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16</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PART II.</w:t>
            </w:r>
          </w:p>
        </w:tc>
        <w:tc>
          <w:tcPr>
            <w:tcW w:w="18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OTHER INFORMATION</w:t>
              </w:r>
            </w:hyperlink>
          </w:p>
        </w:tc>
        <w:tc>
          <w:tcPr>
            <w:tcW w:w="4800" w:type="dxa"/>
            <w:vAlign w:val="bottom"/>
            <w:gridSpan w:val="6"/>
          </w:tcPr>
          <w:p>
            <w:pPr>
              <w:spacing w:after="0"/>
              <w:rPr>
                <w:sz w:val="24"/>
                <w:szCs w:val="24"/>
                <w:color w:val="auto"/>
              </w:rPr>
            </w:pPr>
          </w:p>
        </w:tc>
        <w:tc>
          <w:tcPr>
            <w:tcW w:w="2100" w:type="dxa"/>
            <w:vAlign w:val="bottom"/>
          </w:tcPr>
          <w:p>
            <w:pPr>
              <w:spacing w:after="0"/>
              <w:rPr>
                <w:sz w:val="24"/>
                <w:szCs w:val="24"/>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1.</w:t>
            </w:r>
          </w:p>
        </w:tc>
        <w:tc>
          <w:tcPr>
            <w:tcW w:w="6660" w:type="dxa"/>
            <w:vAlign w:val="bottom"/>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17</w:t>
            </w:r>
          </w:p>
        </w:tc>
      </w:tr>
      <w:tr>
        <w:trPr>
          <w:trHeight w:val="20"/>
        </w:trPr>
        <w:tc>
          <w:tcPr>
            <w:tcW w:w="1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66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17</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2"/>
          </w:tcPr>
          <w:p>
            <w:pPr>
              <w:spacing w:after="0"/>
              <w:rPr>
                <w:sz w:val="24"/>
                <w:szCs w:val="24"/>
                <w:color w:val="auto"/>
              </w:rPr>
            </w:pPr>
          </w:p>
        </w:tc>
        <w:tc>
          <w:tcPr>
            <w:tcW w:w="2420" w:type="dxa"/>
            <w:vAlign w:val="bottom"/>
            <w:gridSpan w:val="3"/>
          </w:tcPr>
          <w:p>
            <w:pPr>
              <w:spacing w:after="0"/>
              <w:rPr>
                <w:sz w:val="24"/>
                <w:szCs w:val="24"/>
                <w:color w:val="auto"/>
              </w:rPr>
            </w:pPr>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17</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66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17</w:t>
            </w:r>
          </w:p>
        </w:tc>
      </w:tr>
      <w:tr>
        <w:trPr>
          <w:trHeight w:val="20"/>
        </w:trPr>
        <w:tc>
          <w:tcPr>
            <w:tcW w:w="1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66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18</w:t>
            </w:r>
          </w:p>
        </w:tc>
      </w:tr>
      <w:tr>
        <w:trPr>
          <w:trHeight w:val="20"/>
        </w:trPr>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666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 Index</w:t>
              </w:r>
            </w:hyperlink>
          </w:p>
        </w:tc>
        <w:tc>
          <w:tcPr>
            <w:tcW w:w="2100" w:type="dxa"/>
            <w:vAlign w:val="bottom"/>
          </w:tcPr>
          <w:p>
            <w:pPr>
              <w:jc w:val="center"/>
              <w:ind w:left="1832"/>
              <w:spacing w:after="0"/>
              <w:rPr>
                <w:sz w:val="20"/>
                <w:szCs w:val="20"/>
                <w:color w:val="auto"/>
              </w:rPr>
            </w:pPr>
            <w:r>
              <w:rPr>
                <w:rFonts w:ascii="Arial" w:cs="Arial" w:eastAsia="Arial" w:hAnsi="Arial"/>
                <w:sz w:val="18"/>
                <w:szCs w:val="18"/>
                <w:color w:val="auto"/>
                <w:w w:val="89"/>
              </w:rPr>
              <w:t>19</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1456055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PART I. </w:t>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1. </w:t>
      </w:r>
      <w:r>
        <w:rPr>
          <w:rFonts w:ascii="Arial" w:cs="Arial" w:eastAsia="Arial" w:hAnsi="Arial"/>
          <w:sz w:val="22"/>
          <w:szCs w:val="22"/>
          <w:b w:val="1"/>
          <w:bCs w:val="1"/>
          <w:color w:val="auto"/>
        </w:rPr>
        <w:t>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720" w:type="dxa"/>
            <w:vAlign w:val="bottom"/>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w w:val="98"/>
              </w:rPr>
              <w:t>February 24,</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February 25,</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February 24,</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3"/>
              </w:rPr>
              <w:t>February 25,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D6F3E8"/>
          </w:tcPr>
          <w:p>
            <w:pPr>
              <w:ind w:left="16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199,014</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206,425</w:t>
            </w:r>
          </w:p>
        </w:tc>
        <w:tc>
          <w:tcPr>
            <w:tcW w:w="2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400,779</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438,680</w:t>
            </w:r>
          </w:p>
        </w:tc>
        <w:tc>
          <w:tcPr>
            <w:tcW w:w="2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186,105</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360,430</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387,196</w:t>
            </w:r>
          </w:p>
        </w:tc>
        <w:tc>
          <w:tcPr>
            <w:tcW w:w="0" w:type="dxa"/>
            <w:vAlign w:val="bottom"/>
          </w:tcPr>
          <w:p>
            <w:pPr>
              <w:spacing w:after="0"/>
              <w:rPr>
                <w:sz w:val="1"/>
                <w:szCs w:val="1"/>
                <w:color w:val="auto"/>
              </w:rPr>
            </w:pPr>
          </w:p>
        </w:tc>
      </w:tr>
      <w:tr>
        <w:trPr>
          <w:trHeight w:val="211"/>
        </w:trPr>
        <w:tc>
          <w:tcPr>
            <w:tcW w:w="5500" w:type="dxa"/>
            <w:vAlign w:val="bottom"/>
            <w:tcBorders>
              <w:top w:val="single" w:sz="8" w:color="D6F3E8"/>
            </w:tcBorders>
            <w:gridSpan w:val="2"/>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18,965</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20,320</w:t>
            </w:r>
          </w:p>
        </w:tc>
        <w:tc>
          <w:tcPr>
            <w:tcW w:w="2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40,349</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51,484</w:t>
            </w:r>
          </w:p>
        </w:tc>
        <w:tc>
          <w:tcPr>
            <w:tcW w:w="2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320"/>
              <w:spacing w:after="0"/>
              <w:rPr>
                <w:sz w:val="20"/>
                <w:szCs w:val="20"/>
                <w:color w:val="auto"/>
              </w:rPr>
            </w:pPr>
            <w:r>
              <w:rPr>
                <w:rFonts w:ascii="Arial" w:cs="Arial" w:eastAsia="Arial" w:hAnsi="Arial"/>
                <w:sz w:val="18"/>
                <w:szCs w:val="18"/>
                <w:color w:val="auto"/>
              </w:rPr>
              <w:t>Selling</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4,505</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31"/>
        </w:trPr>
        <w:tc>
          <w:tcPr>
            <w:tcW w:w="550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D6F3E8"/>
          </w:tcPr>
          <w:p>
            <w:pPr>
              <w:spacing w:after="0"/>
              <w:rPr>
                <w:sz w:val="20"/>
                <w:szCs w:val="20"/>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5,290</w:t>
            </w:r>
          </w:p>
        </w:tc>
        <w:tc>
          <w:tcPr>
            <w:tcW w:w="24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5,284</w:t>
            </w:r>
          </w:p>
        </w:tc>
        <w:tc>
          <w:tcPr>
            <w:tcW w:w="140" w:type="dxa"/>
            <w:vAlign w:val="bottom"/>
            <w:shd w:val="clear" w:color="auto" w:fill="D6F3E8"/>
          </w:tcPr>
          <w:p>
            <w:pPr>
              <w:spacing w:after="0"/>
              <w:rPr>
                <w:sz w:val="20"/>
                <w:szCs w:val="20"/>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11,807</w:t>
            </w:r>
          </w:p>
        </w:tc>
        <w:tc>
          <w:tcPr>
            <w:tcW w:w="160" w:type="dxa"/>
            <w:vAlign w:val="bottom"/>
            <w:shd w:val="clear" w:color="auto" w:fill="D6F3E8"/>
          </w:tcPr>
          <w:p>
            <w:pPr>
              <w:spacing w:after="0"/>
              <w:rPr>
                <w:sz w:val="20"/>
                <w:szCs w:val="20"/>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10"/>
        </w:trPr>
        <w:tc>
          <w:tcPr>
            <w:tcW w:w="5500" w:type="dxa"/>
            <w:vAlign w:val="bottom"/>
            <w:gridSpan w:val="2"/>
          </w:tcPr>
          <w:p>
            <w:pPr>
              <w:ind w:left="6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9,360</w:t>
            </w: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10,531</w:t>
            </w:r>
          </w:p>
        </w:tc>
        <w:tc>
          <w:tcPr>
            <w:tcW w:w="14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19,500</w:t>
            </w: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31,973</w:t>
            </w:r>
          </w:p>
        </w:tc>
        <w:tc>
          <w:tcPr>
            <w:tcW w:w="0" w:type="dxa"/>
            <w:vAlign w:val="bottom"/>
          </w:tcPr>
          <w:p>
            <w:pPr>
              <w:spacing w:after="0"/>
              <w:rPr>
                <w:sz w:val="1"/>
                <w:szCs w:val="1"/>
                <w:color w:val="auto"/>
              </w:rPr>
            </w:pPr>
          </w:p>
        </w:tc>
      </w:tr>
      <w:tr>
        <w:trPr>
          <w:trHeight w:val="229"/>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1,314</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1"/>
        </w:trPr>
        <w:tc>
          <w:tcPr>
            <w:tcW w:w="5500" w:type="dxa"/>
            <w:vAlign w:val="bottom"/>
            <w:tcBorders>
              <w:top w:val="single" w:sz="8" w:color="D6F3E8"/>
            </w:tcBorders>
            <w:gridSpan w:val="2"/>
            <w:shd w:val="clear" w:color="auto" w:fill="D6F3E8"/>
          </w:tcPr>
          <w:p>
            <w:pPr>
              <w:ind w:left="160"/>
              <w:spacing w:after="0" w:line="203" w:lineRule="exact"/>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D6F3E8"/>
          </w:tcPr>
          <w:p>
            <w:pPr>
              <w:spacing w:after="0"/>
              <w:rPr>
                <w:sz w:val="18"/>
                <w:szCs w:val="18"/>
                <w:color w:val="auto"/>
              </w:rPr>
            </w:pP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11,845</w:t>
            </w:r>
          </w:p>
        </w:tc>
        <w:tc>
          <w:tcPr>
            <w:tcW w:w="2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34,209</w:t>
            </w:r>
          </w:p>
        </w:tc>
        <w:tc>
          <w:tcPr>
            <w:tcW w:w="2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4,145</w:t>
            </w:r>
          </w:p>
        </w:tc>
        <w:tc>
          <w:tcPr>
            <w:tcW w:w="1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7,197</w:t>
            </w:r>
          </w:p>
        </w:tc>
        <w:tc>
          <w:tcPr>
            <w:tcW w:w="16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11,939</w:t>
            </w:r>
          </w:p>
        </w:tc>
        <w:tc>
          <w:tcPr>
            <w:tcW w:w="0" w:type="dxa"/>
            <w:vAlign w:val="bottom"/>
          </w:tcPr>
          <w:p>
            <w:pPr>
              <w:spacing w:after="0"/>
              <w:rPr>
                <w:sz w:val="1"/>
                <w:szCs w:val="1"/>
                <w:color w:val="auto"/>
              </w:rPr>
            </w:pPr>
          </w:p>
        </w:tc>
      </w:tr>
      <w:tr>
        <w:trPr>
          <w:trHeight w:val="211"/>
        </w:trPr>
        <w:tc>
          <w:tcPr>
            <w:tcW w:w="5500" w:type="dxa"/>
            <w:vAlign w:val="bottom"/>
            <w:tcBorders>
              <w:top w:val="single" w:sz="8" w:color="D6F3E8"/>
              <w:bottom w:val="single" w:sz="8" w:color="D6F3E8"/>
            </w:tcBorders>
            <w:gridSpan w:val="2"/>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7,532</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7,700</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22,270</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Income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50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7"/>
        </w:trPr>
        <w:tc>
          <w:tcPr>
            <w:tcW w:w="5500" w:type="dxa"/>
            <w:vAlign w:val="bottom"/>
            <w:tcBorders>
              <w:top w:val="single" w:sz="8" w:color="D6F3E8"/>
              <w:bottom w:val="single" w:sz="8" w:color="D6F3E8"/>
            </w:tcBorders>
            <w:gridSpan w:val="2"/>
            <w:shd w:val="clear" w:color="auto" w:fill="D6F3E8"/>
          </w:tcPr>
          <w:p>
            <w:pPr>
              <w:ind w:left="320"/>
              <w:spacing w:after="0" w:line="195"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0.24</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0.23</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0.49</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0.67</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5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32,806</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31,354</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31,764</w:t>
            </w: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33,147</w:t>
            </w:r>
          </w:p>
        </w:tc>
        <w:tc>
          <w:tcPr>
            <w:tcW w:w="14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31,666</w:t>
            </w: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33,167</w:t>
            </w:r>
          </w:p>
        </w:tc>
        <w:tc>
          <w:tcPr>
            <w:tcW w:w="0" w:type="dxa"/>
            <w:vAlign w:val="bottom"/>
          </w:tcPr>
          <w:p>
            <w:pPr>
              <w:spacing w:after="0"/>
              <w:rPr>
                <w:sz w:val="1"/>
                <w:szCs w:val="1"/>
                <w:color w:val="auto"/>
              </w:rPr>
            </w:pPr>
          </w:p>
        </w:tc>
      </w:tr>
      <w:tr>
        <w:trPr>
          <w:trHeight w:val="403"/>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Dividends paid per 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ectPr>
          <w:pgSz w:w="11900" w:h="16838" w:orient="portrait"/>
          <w:cols w:equalWidth="0" w:num="1">
            <w:col w:w="11300"/>
          </w:cols>
          <w:pgMar w:left="240" w:top="270" w:right="359" w:bottom="999"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February 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August 26,</w:t>
            </w:r>
          </w:p>
        </w:tc>
        <w:tc>
          <w:tcPr>
            <w:tcW w:w="0" w:type="dxa"/>
            <w:vAlign w:val="bottom"/>
          </w:tcPr>
          <w:p>
            <w:pPr>
              <w:spacing w:after="0"/>
              <w:rPr>
                <w:sz w:val="1"/>
                <w:szCs w:val="1"/>
                <w:color w:val="auto"/>
              </w:rPr>
            </w:pPr>
          </w:p>
        </w:tc>
      </w:tr>
      <w:tr>
        <w:trPr>
          <w:trHeight w:val="161"/>
        </w:trPr>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82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D6F3E8"/>
          </w:tcPr>
          <w:p>
            <w:pPr>
              <w:spacing w:after="0"/>
              <w:rPr>
                <w:sz w:val="18"/>
                <w:szCs w:val="18"/>
                <w:color w:val="auto"/>
              </w:rPr>
            </w:pPr>
          </w:p>
        </w:tc>
        <w:tc>
          <w:tcPr>
            <w:tcW w:w="18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Receivables, less allowance for doubtful accounts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($185 and $164, respectively)</w:t>
            </w:r>
          </w:p>
        </w:tc>
        <w:tc>
          <w:tcPr>
            <w:tcW w:w="22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23,406</w:t>
            </w:r>
          </w:p>
        </w:tc>
        <w:tc>
          <w:tcPr>
            <w:tcW w:w="2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24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4,853</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5,269</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D6F3E8"/>
            </w:tcBorders>
          </w:tcPr>
          <w:p>
            <w:pPr>
              <w:ind w:left="3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D6F3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tcBorders>
              <w:bottom w:val="single" w:sz="8" w:color="D6F3E8"/>
            </w:tcBorders>
          </w:tcPr>
          <w:p>
            <w:pPr>
              <w:spacing w:after="0"/>
              <w:rPr>
                <w:sz w:val="19"/>
                <w:szCs w:val="19"/>
                <w:color w:val="auto"/>
              </w:rPr>
            </w:pPr>
          </w:p>
        </w:tc>
        <w:tc>
          <w:tcPr>
            <w:tcW w:w="2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24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D6F3E8"/>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301,242</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267,160</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tcPr>
          <w:p>
            <w:pPr>
              <w:spacing w:after="0" w:line="188" w:lineRule="exact"/>
              <w:rPr>
                <w:sz w:val="20"/>
                <w:szCs w:val="20"/>
                <w:color w:val="auto"/>
              </w:rPr>
            </w:pPr>
            <w:r>
              <w:rPr>
                <w:rFonts w:ascii="Arial" w:cs="Arial" w:eastAsia="Arial" w:hAnsi="Arial"/>
                <w:sz w:val="18"/>
                <w:szCs w:val="18"/>
                <w:color w:val="auto"/>
              </w:rPr>
              <w:t>Property and equipment, at cost: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2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Buildings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59,398</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59,378</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spacing w:after="0"/>
              <w:rPr>
                <w:sz w:val="19"/>
                <w:szCs w:val="19"/>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9,669</w:t>
            </w:r>
          </w:p>
        </w:tc>
        <w:tc>
          <w:tcPr>
            <w:tcW w:w="2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9,561</w:t>
            </w:r>
          </w:p>
        </w:tc>
        <w:tc>
          <w:tcPr>
            <w:tcW w:w="24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480"/>
              <w:spacing w:after="0" w:line="202" w:lineRule="exact"/>
              <w:rPr>
                <w:sz w:val="20"/>
                <w:szCs w:val="20"/>
                <w:color w:val="auto"/>
              </w:rPr>
            </w:pPr>
            <w:r>
              <w:rPr>
                <w:rFonts w:ascii="Arial" w:cs="Arial" w:eastAsia="Arial" w:hAnsi="Arial"/>
                <w:sz w:val="18"/>
                <w:szCs w:val="18"/>
                <w:color w:val="auto"/>
              </w:rPr>
              <w:t>Total property and equipment, at cost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169,973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(115,693)</w:t>
            </w:r>
          </w:p>
        </w:tc>
        <w:tc>
          <w:tcPr>
            <w:tcW w:w="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(112,817)</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D6F3E8"/>
            </w:tcBorders>
          </w:tcPr>
          <w:p>
            <w:pPr>
              <w:ind w:left="4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D6F3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54,280</w:t>
            </w:r>
          </w:p>
        </w:tc>
        <w:tc>
          <w:tcPr>
            <w:tcW w:w="2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56,907</w:t>
            </w:r>
          </w:p>
        </w:tc>
        <w:tc>
          <w:tcPr>
            <w:tcW w:w="24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Investment in life insurance</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19,524</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spacing w:after="0"/>
              <w:rPr>
                <w:sz w:val="19"/>
                <w:szCs w:val="19"/>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17,095</w:t>
            </w:r>
          </w:p>
        </w:tc>
        <w:tc>
          <w:tcPr>
            <w:tcW w:w="22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14,832</w:t>
            </w:r>
          </w:p>
        </w:tc>
        <w:tc>
          <w:tcPr>
            <w:tcW w:w="24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37,437</w:t>
            </w:r>
          </w:p>
        </w:tc>
        <w:tc>
          <w:tcPr>
            <w:tcW w:w="220" w:type="dxa"/>
            <w:vAlign w:val="bottom"/>
            <w:shd w:val="clear" w:color="auto" w:fill="D6F3E8"/>
          </w:tcPr>
          <w:p>
            <w:pPr>
              <w:spacing w:after="0"/>
              <w:rPr>
                <w:sz w:val="18"/>
                <w:szCs w:val="18"/>
                <w:color w:val="auto"/>
              </w:rPr>
            </w:pPr>
          </w:p>
        </w:tc>
        <w:tc>
          <w:tcPr>
            <w:tcW w:w="18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27,923</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13,047</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12,498</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640"/>
              <w:spacing w:after="0"/>
              <w:rPr>
                <w:sz w:val="20"/>
                <w:szCs w:val="20"/>
                <w:color w:val="auto"/>
              </w:rPr>
            </w:pPr>
            <w:r>
              <w:rPr>
                <w:rFonts w:ascii="Arial" w:cs="Arial" w:eastAsia="Arial" w:hAnsi="Arial"/>
                <w:sz w:val="18"/>
                <w:szCs w:val="18"/>
                <w:color w:val="auto"/>
              </w:rPr>
              <w:t>Product warranties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Self-insurance</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8,529</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7,842</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640"/>
              <w:spacing w:after="0"/>
              <w:rPr>
                <w:sz w:val="20"/>
                <w:szCs w:val="20"/>
                <w:color w:val="auto"/>
              </w:rPr>
            </w:pPr>
            <w:r>
              <w:rPr>
                <w:rFonts w:ascii="Arial" w:cs="Arial" w:eastAsia="Arial" w:hAnsi="Arial"/>
                <w:sz w:val="18"/>
                <w:szCs w:val="18"/>
                <w:color w:val="auto"/>
              </w:rPr>
              <w:t>Promotional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D6F3E8"/>
          </w:tcPr>
          <w:p>
            <w:pPr>
              <w:ind w:left="640"/>
              <w:spacing w:after="0"/>
              <w:rPr>
                <w:sz w:val="20"/>
                <w:szCs w:val="20"/>
                <w:color w:val="auto"/>
              </w:rPr>
            </w:pPr>
            <w:r>
              <w:rPr>
                <w:rFonts w:ascii="Arial" w:cs="Arial" w:eastAsia="Arial" w:hAnsi="Arial"/>
                <w:sz w:val="18"/>
                <w:szCs w:val="18"/>
                <w:color w:val="auto"/>
              </w:rPr>
              <w:t>Accrued dividends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3,153</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3,109</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D6F3E8"/>
            </w:tcBorders>
          </w:tcPr>
          <w:p>
            <w:pPr>
              <w:ind w:left="6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D6F3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w:t>
            </w:r>
          </w:p>
        </w:tc>
        <w:tc>
          <w:tcPr>
            <w:tcW w:w="220" w:type="dxa"/>
            <w:vAlign w:val="bottom"/>
            <w:tcBorders>
              <w:bottom w:val="single" w:sz="8" w:color="D6F3E8"/>
            </w:tcBorders>
          </w:tcPr>
          <w:p>
            <w:pPr>
              <w:spacing w:after="0"/>
              <w:rPr>
                <w:sz w:val="19"/>
                <w:szCs w:val="19"/>
                <w:color w:val="auto"/>
              </w:rPr>
            </w:pPr>
          </w:p>
        </w:tc>
        <w:tc>
          <w:tcPr>
            <w:tcW w:w="2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4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D6F3E8"/>
          </w:tcPr>
          <w:p>
            <w:pPr>
              <w:ind w:left="7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91,923</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20" w:type="dxa"/>
            <w:vAlign w:val="bottom"/>
          </w:tcPr>
          <w:p>
            <w:pPr>
              <w:spacing w:after="0" w:line="201" w:lineRule="exact"/>
              <w:rPr>
                <w:sz w:val="20"/>
                <w:szCs w:val="20"/>
                <w:color w:val="auto"/>
              </w:rPr>
            </w:pPr>
            <w:r>
              <w:rPr>
                <w:rFonts w:ascii="Arial" w:cs="Arial" w:eastAsia="Arial" w:hAnsi="Arial"/>
                <w:sz w:val="18"/>
                <w:szCs w:val="18"/>
                <w:color w:val="auto"/>
              </w:rPr>
              <w:t>Postretirement health care and deferred compensation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340"/>
              <w:spacing w:after="0"/>
              <w:rPr>
                <w:sz w:val="20"/>
                <w:szCs w:val="20"/>
                <w:color w:val="auto"/>
              </w:rPr>
            </w:pPr>
            <w:r>
              <w:rPr>
                <w:rFonts w:ascii="Arial" w:cs="Arial" w:eastAsia="Arial" w:hAnsi="Arial"/>
                <w:sz w:val="18"/>
                <w:szCs w:val="18"/>
                <w:color w:val="auto"/>
              </w:rPr>
              <w:t>benefits, net of current portion</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line="190" w:lineRule="exact"/>
              <w:rPr>
                <w:sz w:val="20"/>
                <w:szCs w:val="20"/>
                <w:color w:val="auto"/>
              </w:rPr>
            </w:pPr>
            <w:r>
              <w:rPr>
                <w:rFonts w:ascii="Arial" w:cs="Arial" w:eastAsia="Arial" w:hAnsi="Arial"/>
                <w:sz w:val="18"/>
                <w:szCs w:val="18"/>
                <w:color w:val="auto"/>
              </w:rPr>
              <w:t>Contingent liabilities and commitments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489,616</w:t>
            </w:r>
          </w:p>
        </w:tc>
        <w:tc>
          <w:tcPr>
            <w:tcW w:w="2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480,446</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(303,629)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(310,280)</w:t>
            </w:r>
          </w:p>
        </w:tc>
        <w:tc>
          <w:tcPr>
            <w:tcW w:w="0" w:type="dxa"/>
            <w:vAlign w:val="bottom"/>
          </w:tcPr>
          <w:p>
            <w:pPr>
              <w:spacing w:after="0"/>
              <w:rPr>
                <w:sz w:val="1"/>
                <w:szCs w:val="1"/>
                <w:color w:val="auto"/>
              </w:rPr>
            </w:pPr>
          </w:p>
        </w:tc>
      </w:tr>
      <w:tr>
        <w:trPr>
          <w:trHeight w:val="223"/>
        </w:trPr>
        <w:tc>
          <w:tcPr>
            <w:tcW w:w="8220" w:type="dxa"/>
            <w:vAlign w:val="bottom"/>
          </w:tcPr>
          <w:p>
            <w:pPr>
              <w:ind w:left="640"/>
              <w:spacing w:after="0"/>
              <w:rPr>
                <w:sz w:val="20"/>
                <w:szCs w:val="20"/>
                <w:color w:val="auto"/>
              </w:rPr>
            </w:pPr>
            <w:r>
              <w:rPr>
                <w:rFonts w:ascii="Arial" w:cs="Arial" w:eastAsia="Arial" w:hAnsi="Arial"/>
                <w:sz w:val="18"/>
                <w:szCs w:val="18"/>
                <w:color w:val="auto"/>
              </w:rPr>
              <w:t>(20,190 and 20,633 shares, respectively)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tcBorders>
              <w:top w:val="single" w:sz="8" w:color="D6F3E8"/>
            </w:tcBorders>
            <w:shd w:val="clear" w:color="auto" w:fill="D6F3E8"/>
          </w:tcPr>
          <w:p>
            <w:pPr>
              <w:ind w:left="3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238,432</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24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47" w:right="239" w:bottom="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47" w:right="239" w:bottom="20" w:gutter="0" w:footer="0" w:header="0"/>
          <w:type w:val="continuous"/>
        </w:sectPr>
      </w:pPr>
    </w:p>
    <w:bookmarkStart w:id="3" w:name="page4"/>
    <w:bookmarkEnd w:id="3"/>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893"/>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458"/>
              <w:spacing w:after="0"/>
              <w:rPr>
                <w:sz w:val="20"/>
                <w:szCs w:val="20"/>
                <w:color w:val="auto"/>
              </w:rPr>
            </w:pPr>
            <w:r>
              <w:rPr>
                <w:rFonts w:ascii="Arial" w:cs="Arial" w:eastAsia="Arial" w:hAnsi="Arial"/>
                <w:sz w:val="14"/>
                <w:szCs w:val="14"/>
                <w:b w:val="1"/>
                <w:bCs w:val="1"/>
                <w:color w:val="auto"/>
              </w:rPr>
              <w:t>February 24,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February 25,</w:t>
            </w:r>
          </w:p>
        </w:tc>
        <w:tc>
          <w:tcPr>
            <w:tcW w:w="0" w:type="dxa"/>
            <w:vAlign w:val="bottom"/>
          </w:tcPr>
          <w:p>
            <w:pPr>
              <w:spacing w:after="0"/>
              <w:rPr>
                <w:sz w:val="1"/>
                <w:szCs w:val="1"/>
                <w:color w:val="auto"/>
              </w:rPr>
            </w:pPr>
          </w:p>
        </w:tc>
      </w:tr>
      <w:tr>
        <w:trPr>
          <w:trHeight w:val="161"/>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80" w:type="dxa"/>
            <w:vAlign w:val="bottom"/>
          </w:tcPr>
          <w:p>
            <w:pPr>
              <w:jc w:val="right"/>
              <w:ind w:right="4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15,468</w:t>
            </w:r>
          </w:p>
        </w:tc>
        <w:tc>
          <w:tcPr>
            <w:tcW w:w="20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22,270</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3,609</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Deferred compensation expense</w:t>
            </w:r>
          </w:p>
        </w:tc>
        <w:tc>
          <w:tcPr>
            <w:tcW w:w="200" w:type="dxa"/>
            <w:vAlign w:val="bottom"/>
          </w:tcPr>
          <w:p>
            <w:pPr>
              <w:spacing w:after="0"/>
              <w:rPr>
                <w:sz w:val="18"/>
                <w:szCs w:val="18"/>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135</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Excess tax benefit of stock options</w:t>
            </w: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(1,587)</w:t>
            </w:r>
          </w:p>
        </w:tc>
        <w:tc>
          <w:tcPr>
            <w:tcW w:w="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440" w:type="dxa"/>
            <w:vAlign w:val="bottom"/>
            <w:gridSpan w:val="3"/>
            <w:shd w:val="clear" w:color="auto" w:fill="D6F3E8"/>
          </w:tcPr>
          <w:p>
            <w:pPr>
              <w:jc w:val="right"/>
              <w:ind w:right="1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Increase in cash surrender value of life insurance policies</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Postretirement benefit income</w:t>
            </w: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(245)</w:t>
            </w:r>
          </w:p>
        </w:tc>
        <w:tc>
          <w:tcPr>
            <w:tcW w:w="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440" w:type="dxa"/>
            <w:vAlign w:val="bottom"/>
            <w:gridSpan w:val="3"/>
            <w:shd w:val="clear" w:color="auto" w:fill="D6F3E8"/>
          </w:tcPr>
          <w:p>
            <w:pPr>
              <w:jc w:val="right"/>
              <w:ind w:right="1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(Gain) loss on disposal of property</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2</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(17,308)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29,767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Receivables and prepaid assets</w:t>
            </w: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(2,266)</w:t>
            </w:r>
          </w:p>
        </w:tc>
        <w:tc>
          <w:tcPr>
            <w:tcW w:w="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10,986</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2"/>
                <w:szCs w:val="22"/>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9,149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4,065</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Postretirement and deferred compensation benefits</w:t>
            </w:r>
          </w:p>
        </w:tc>
        <w:tc>
          <w:tcPr>
            <w:tcW w:w="200" w:type="dxa"/>
            <w:vAlign w:val="bottom"/>
          </w:tcPr>
          <w:p>
            <w:pPr>
              <w:spacing w:after="0"/>
              <w:rPr>
                <w:sz w:val="21"/>
                <w:szCs w:val="21"/>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tcBorders>
              <w:top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13,138</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65,090</w:t>
            </w:r>
          </w:p>
        </w:tc>
        <w:tc>
          <w:tcPr>
            <w:tcW w:w="2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818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(170,399)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(110,100)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Proceeds from the sale or maturity of short-term investments</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145,800</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58,950</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22"/>
                <w:szCs w:val="22"/>
                <w:color w:val="auto"/>
              </w:rPr>
            </w:pP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Proceeds from the sale of property</w:t>
            </w:r>
          </w:p>
        </w:tc>
        <w:tc>
          <w:tcPr>
            <w:tcW w:w="20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216</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tcBorders>
              <w:top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shd w:val="clear" w:color="auto" w:fill="D6F3E8"/>
          </w:tcPr>
          <w:p>
            <w:pPr>
              <w:spacing w:after="0"/>
              <w:rPr>
                <w:sz w:val="19"/>
                <w:szCs w:val="19"/>
                <w:color w:val="auto"/>
              </w:rPr>
            </w:pP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(26,692</w:t>
            </w:r>
          </w:p>
        </w:tc>
        <w:tc>
          <w:tcPr>
            <w:tcW w:w="220" w:type="dxa"/>
            <w:vAlign w:val="bottom"/>
            <w:tcBorders>
              <w:top w:val="single" w:sz="8" w:color="D6F3E8"/>
            </w:tcBorders>
            <w:shd w:val="clear" w:color="auto" w:fill="D6F3E8"/>
          </w:tcPr>
          <w:p>
            <w:pPr>
              <w:jc w:val="right"/>
              <w:ind w:right="78"/>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D6F3E8"/>
            </w:tcBorders>
            <w:shd w:val="clear" w:color="auto" w:fill="D6F3E8"/>
          </w:tcPr>
          <w:p>
            <w:pPr>
              <w:spacing w:after="0"/>
              <w:rPr>
                <w:sz w:val="19"/>
                <w:szCs w:val="19"/>
                <w:color w:val="auto"/>
              </w:rPr>
            </w:pPr>
          </w:p>
        </w:tc>
        <w:tc>
          <w:tcPr>
            <w:tcW w:w="180" w:type="dxa"/>
            <w:vAlign w:val="bottom"/>
            <w:tcBorders>
              <w:top w:val="single" w:sz="8" w:color="auto"/>
              <w:bottom w:val="single" w:sz="8" w:color="auto"/>
            </w:tcBorders>
            <w:shd w:val="clear" w:color="auto" w:fill="D6F3E8"/>
          </w:tcPr>
          <w:p>
            <w:pPr>
              <w:spacing w:after="0"/>
              <w:rPr>
                <w:sz w:val="19"/>
                <w:szCs w:val="19"/>
                <w:color w:val="auto"/>
              </w:rPr>
            </w:pP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(52,844</w:t>
            </w:r>
          </w:p>
        </w:tc>
        <w:tc>
          <w:tcPr>
            <w:tcW w:w="220" w:type="dxa"/>
            <w:vAlign w:val="bottom"/>
            <w:tcBorders>
              <w:top w:val="single" w:sz="8" w:color="D6F3E8"/>
            </w:tcBorders>
            <w:gridSpan w:val="2"/>
            <w:shd w:val="clear" w:color="auto" w:fill="D6F3E8"/>
          </w:tcPr>
          <w:p>
            <w:pPr>
              <w:jc w:val="right"/>
              <w:ind w:right="1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77"/>
        </w:trPr>
        <w:tc>
          <w:tcPr>
            <w:tcW w:w="818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Payments for purchase of common stock</w:t>
            </w:r>
          </w:p>
        </w:tc>
        <w:tc>
          <w:tcPr>
            <w:tcW w:w="200" w:type="dxa"/>
            <w:vAlign w:val="bottom"/>
          </w:tcPr>
          <w:p>
            <w:pPr>
              <w:spacing w:after="0"/>
              <w:rPr>
                <w:sz w:val="22"/>
                <w:szCs w:val="22"/>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Payments of cash dividends</w:t>
            </w: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(6,254)</w:t>
            </w:r>
          </w:p>
        </w:tc>
        <w:tc>
          <w:tcPr>
            <w:tcW w:w="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440" w:type="dxa"/>
            <w:vAlign w:val="bottom"/>
            <w:gridSpan w:val="3"/>
            <w:shd w:val="clear" w:color="auto" w:fill="D6F3E8"/>
          </w:tcPr>
          <w:p>
            <w:pPr>
              <w:jc w:val="right"/>
              <w:ind w:right="180"/>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5,733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Excess tax benefit of stock options</w:t>
            </w:r>
          </w:p>
        </w:tc>
        <w:tc>
          <w:tcPr>
            <w:tcW w:w="200" w:type="dxa"/>
            <w:vAlign w:val="bottom"/>
            <w:shd w:val="clear" w:color="auto" w:fill="D6F3E8"/>
          </w:tcPr>
          <w:p>
            <w:pPr>
              <w:spacing w:after="0"/>
              <w:rPr>
                <w:sz w:val="19"/>
                <w:szCs w:val="19"/>
                <w:color w:val="auto"/>
              </w:rPr>
            </w:pPr>
          </w:p>
        </w:tc>
        <w:tc>
          <w:tcPr>
            <w:tcW w:w="1400" w:type="dxa"/>
            <w:vAlign w:val="bottom"/>
            <w:gridSpan w:val="2"/>
            <w:shd w:val="clear" w:color="auto" w:fill="D6F3E8"/>
          </w:tcPr>
          <w:p>
            <w:pPr>
              <w:jc w:val="right"/>
              <w:ind w:right="138"/>
              <w:spacing w:after="0"/>
              <w:rPr>
                <w:sz w:val="20"/>
                <w:szCs w:val="20"/>
                <w:color w:val="auto"/>
              </w:rPr>
            </w:pPr>
            <w:r>
              <w:rPr>
                <w:rFonts w:ascii="Arial" w:cs="Arial" w:eastAsia="Arial" w:hAnsi="Arial"/>
                <w:sz w:val="18"/>
                <w:szCs w:val="18"/>
                <w:color w:val="auto"/>
              </w:rPr>
              <w:t>1,587</w:t>
            </w:r>
          </w:p>
        </w:tc>
        <w:tc>
          <w:tcPr>
            <w:tcW w:w="2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18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22"/>
        </w:trPr>
        <w:tc>
          <w:tcPr>
            <w:tcW w:w="81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(12,905</w:t>
            </w:r>
          </w:p>
        </w:tc>
        <w:tc>
          <w:tcPr>
            <w:tcW w:w="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(12,488)</w:t>
            </w:r>
          </w:p>
        </w:tc>
        <w:tc>
          <w:tcPr>
            <w:tcW w:w="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440" w:type="dxa"/>
            <w:vAlign w:val="bottom"/>
            <w:gridSpan w:val="3"/>
            <w:shd w:val="clear" w:color="auto" w:fill="D6F3E8"/>
          </w:tcPr>
          <w:p>
            <w:pPr>
              <w:jc w:val="right"/>
              <w:ind w:right="18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818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9"/>
                <w:szCs w:val="19"/>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24,934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19,484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tcBorders>
              <w:top w:val="single" w:sz="8" w:color="D6F3E8"/>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18,825</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Arial" w:cs="Arial" w:eastAsia="Arial" w:hAnsi="Arial"/>
                <w:sz w:val="18"/>
                <w:szCs w:val="18"/>
                <w:color w:val="auto"/>
              </w:rPr>
              <w:t>Income taxes paid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38"/>
              <w:spacing w:after="0"/>
              <w:rPr>
                <w:sz w:val="20"/>
                <w:szCs w:val="20"/>
                <w:color w:val="auto"/>
              </w:rPr>
            </w:pPr>
            <w:r>
              <w:rPr>
                <w:rFonts w:ascii="Arial" w:cs="Arial" w:eastAsia="Arial" w:hAnsi="Arial"/>
                <w:sz w:val="18"/>
                <w:szCs w:val="18"/>
                <w:color w:val="auto"/>
              </w:rPr>
              <w:t>6,154</w:t>
            </w: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w:t>
      </w:r>
    </w:p>
    <w:p>
      <w:pPr>
        <w:sectPr>
          <w:pgSz w:w="11900" w:h="16857" w:orient="portrait"/>
          <w:cols w:equalWidth="0" w:num="1">
            <w:col w:w="11420"/>
          </w:cols>
          <w:pgMar w:left="240" w:top="125" w:right="239" w:bottom="0" w:gutter="0" w:footer="0" w:header="0"/>
        </w:sectPr>
      </w:pPr>
    </w:p>
    <w:bookmarkStart w:id="4" w:name="page5"/>
    <w:bookmarkEnd w:id="4"/>
    <w:p>
      <w:pPr>
        <w:ind w:right="160"/>
        <w:spacing w:after="0" w:line="255" w:lineRule="auto"/>
        <w:rPr>
          <w:sz w:val="20"/>
          <w:szCs w:val="20"/>
          <w:color w:val="auto"/>
        </w:rPr>
      </w:pPr>
      <w:r>
        <w:rPr>
          <w:rFonts w:ascii="Arial" w:cs="Arial" w:eastAsia="Arial" w:hAnsi="Arial"/>
          <w:sz w:val="18"/>
          <w:szCs w:val="18"/>
          <w:color w:val="auto"/>
        </w:rPr>
        <w:t>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February 24, 2007 and the consolidated statements of income for the quarter and six months ended February 24, 2007 and February 25, 2006, and consolidated cash flows for the six months ended February 24, 2007 and February 25, 2006. The consolidated statement of income for the six months ended February 24, 2007 is not necessarily indicative of the results to be expected for the full year. The balance sheet data as of August 26, 2006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26, 2006. Certain prior period information in the unaudited consolidated statements of cash flows has been reclassified to conform to the current year presentation.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Stock-Based Compensation Plans</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 2004 Incentive Compensation Plan, as amended, in place which allows us to grant stock options and other equity compensation to key employees and to nonemployee directors. In prior years, stock-based compensation consisted only of stock options. In Fiscal 2007,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Total stock-based compensation expense included in our statements of income for the quarters ended February 24, 2007 and February 25, 2006 was $792,000 and $1.0 million, respectively. The total stock-based compensation for the six months ended February 24, 2007 and February 25, 2006 was $3.6 million and $2.9 million, respectively. Of the $3.6 million, $2.5 million is related to the October 11, 2006 grant to employees of 99,450 shares and the January 10, 2007 grant to nonemployee directors of 7,000 shares of restricted stock. The remainder is related to the amortization of previously granted employee and nonemployee directors stock options and nonemployee directors stock units issued in lieu of their fees. We will continue to recognize compensation expense over the three-year vesting periods for awards granted prior to adoption of Statement of Financial Accounting Standards (SFAS) No. 123R, but for all awards granted after August 27, 2005, compensation expense will be recognized over the requisite service period of the award or over a period ending with an employee’s eligible retirement date, if earlier.</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New Accounting Pronouncements</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SFAS 109 has been amended by Financial Accounting Standards Interpretations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The amendment establishes a consistent threshold for recognizing current and deferred income taxes and results in increased comparability in how companies report income tax assets and liabilities. The effective date of FIN 48 is for fiscal years beginning after December 15, 2006 (our first quarter of Fiscal 2008). We are currently evaluating the impact of this pronouncement on our future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September 2006, the Financial Accounting Standards Board (FASB) issued Financing Accounting Standards (FAS)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provides a definition of fair value and a consistent basis by which to measure fair value. The statement is effective for fiscal years beginning after November 15, 2007 and for interim periods within those fiscal years (our Fiscal Year 2009). We are currently evaluating the impact of this pronouncement on our future consolidated financial statements.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 –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Statements No. 87, 88, 106, and 132(R) </w:t>
      </w:r>
      <w:r>
        <w:rPr>
          <w:rFonts w:ascii="Arial" w:cs="Arial" w:eastAsia="Arial" w:hAnsi="Arial"/>
          <w:sz w:val="16"/>
          <w:szCs w:val="16"/>
          <w:color w:val="auto"/>
        </w:rPr>
        <w:t>(“SFAS 158”). SFAS 158 requires that we recognize the overfunded or underfunded status of our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and retiree medical plans as an asset or liability in our 2007 year-end balance sheet, with changes in the funded status recognized through comprehensive income in the year in which they occur. SFAS 158 is effective for fiscal years ending after December 15, 2006 (our fourth quarter of Fiscal 2007). We are currently evaluating the impact of adopting SFAS 158 on our consolidated results of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8"/>
              </w:rPr>
              <w:t>February 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August 26,</w:t>
            </w:r>
          </w:p>
        </w:tc>
      </w:tr>
      <w:tr>
        <w:trPr>
          <w:trHeight w:val="161"/>
        </w:trPr>
        <w:tc>
          <w:tcPr>
            <w:tcW w:w="2820" w:type="dxa"/>
            <w:vAlign w:val="bottom"/>
            <w:tcBorders>
              <w:bottom w:val="single" w:sz="8" w:color="D6F3E8"/>
            </w:tcBorders>
          </w:tcPr>
          <w:p>
            <w:pPr>
              <w:spacing w:after="0"/>
              <w:rPr>
                <w:sz w:val="14"/>
                <w:szCs w:val="14"/>
                <w:color w:val="auto"/>
              </w:rPr>
            </w:pPr>
          </w:p>
        </w:tc>
        <w:tc>
          <w:tcPr>
            <w:tcW w:w="166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800" w:type="dxa"/>
            <w:vAlign w:val="bottom"/>
            <w:tcBorders>
              <w:bottom w:val="single" w:sz="8" w:color="D6F3E8"/>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D6F3E8"/>
            </w:tcBorders>
          </w:tcPr>
          <w:p>
            <w:pPr>
              <w:spacing w:after="0"/>
              <w:rPr>
                <w:sz w:val="14"/>
                <w:szCs w:val="14"/>
                <w:color w:val="auto"/>
              </w:rPr>
            </w:pPr>
          </w:p>
        </w:tc>
      </w:tr>
      <w:tr>
        <w:trPr>
          <w:trHeight w:val="210"/>
        </w:trPr>
        <w:tc>
          <w:tcPr>
            <w:tcW w:w="28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Finished goods</w:t>
            </w:r>
          </w:p>
        </w:tc>
        <w:tc>
          <w:tcPr>
            <w:tcW w:w="166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43,315</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33,420</w:t>
            </w:r>
          </w:p>
        </w:tc>
        <w:tc>
          <w:tcPr>
            <w:tcW w:w="140" w:type="dxa"/>
            <w:vAlign w:val="bottom"/>
            <w:shd w:val="clear" w:color="auto" w:fill="D6F3E8"/>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Work-in-process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40,949</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35,166</w:t>
            </w:r>
          </w:p>
        </w:tc>
        <w:tc>
          <w:tcPr>
            <w:tcW w:w="140" w:type="dxa"/>
            <w:vAlign w:val="bottom"/>
          </w:tcPr>
          <w:p>
            <w:pPr>
              <w:spacing w:after="0"/>
              <w:rPr>
                <w:sz w:val="18"/>
                <w:szCs w:val="18"/>
                <w:color w:val="auto"/>
              </w:rPr>
            </w:pPr>
          </w:p>
        </w:tc>
      </w:tr>
      <w:tr>
        <w:trPr>
          <w:trHeight w:val="229"/>
        </w:trPr>
        <w:tc>
          <w:tcPr>
            <w:tcW w:w="282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660" w:type="dxa"/>
            <w:vAlign w:val="bottom"/>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spacing w:after="0"/>
              <w:rPr>
                <w:sz w:val="19"/>
                <w:szCs w:val="19"/>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42,750</w:t>
            </w:r>
          </w:p>
        </w:tc>
        <w:tc>
          <w:tcPr>
            <w:tcW w:w="80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spacing w:after="0"/>
              <w:rPr>
                <w:sz w:val="19"/>
                <w:szCs w:val="19"/>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40,080</w:t>
            </w:r>
          </w:p>
        </w:tc>
        <w:tc>
          <w:tcPr>
            <w:tcW w:w="140" w:type="dxa"/>
            <w:vAlign w:val="bottom"/>
            <w:shd w:val="clear" w:color="auto" w:fill="D6F3E8"/>
          </w:tcPr>
          <w:p>
            <w:pPr>
              <w:spacing w:after="0"/>
              <w:rPr>
                <w:sz w:val="19"/>
                <w:szCs w:val="19"/>
                <w:color w:val="auto"/>
              </w:rPr>
            </w:pPr>
          </w:p>
        </w:tc>
      </w:tr>
      <w:tr>
        <w:trPr>
          <w:trHeight w:val="211"/>
        </w:trPr>
        <w:tc>
          <w:tcPr>
            <w:tcW w:w="2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127,014</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108,666</w:t>
            </w:r>
          </w:p>
        </w:tc>
        <w:tc>
          <w:tcPr>
            <w:tcW w:w="140" w:type="dxa"/>
            <w:vAlign w:val="bottom"/>
          </w:tcPr>
          <w:p>
            <w:pPr>
              <w:spacing w:after="0"/>
              <w:rPr>
                <w:sz w:val="18"/>
                <w:szCs w:val="18"/>
                <w:color w:val="auto"/>
              </w:rPr>
            </w:pPr>
          </w:p>
        </w:tc>
      </w:tr>
      <w:tr>
        <w:trPr>
          <w:trHeight w:val="243"/>
        </w:trPr>
        <w:tc>
          <w:tcPr>
            <w:tcW w:w="282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166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90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(32,625)</w:t>
            </w:r>
          </w:p>
        </w:tc>
        <w:tc>
          <w:tcPr>
            <w:tcW w:w="2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2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(31,585)</w:t>
            </w:r>
          </w:p>
        </w:tc>
      </w:tr>
      <w:tr>
        <w:trPr>
          <w:trHeight w:val="210"/>
        </w:trPr>
        <w:tc>
          <w:tcPr>
            <w:tcW w:w="2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94,389</w:t>
            </w:r>
          </w:p>
        </w:tc>
        <w:tc>
          <w:tcPr>
            <w:tcW w:w="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77,081</w:t>
            </w:r>
          </w:p>
        </w:tc>
        <w:tc>
          <w:tcPr>
            <w:tcW w:w="14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Warranty</w:t>
      </w:r>
    </w:p>
    <w:p>
      <w:pPr>
        <w:sectPr>
          <w:pgSz w:w="11900" w:h="16838" w:orient="portrait"/>
          <w:cols w:equalWidth="0" w:num="1">
            <w:col w:w="11420"/>
          </w:cols>
          <w:pgMar w:left="240" w:top="131" w:right="239" w:bottom="59" w:gutter="0" w:footer="0" w:header="0"/>
        </w:sectPr>
      </w:pPr>
    </w:p>
    <w:bookmarkStart w:id="5" w:name="page6"/>
    <w:bookmarkEnd w:id="5"/>
    <w:p>
      <w:pPr>
        <w:spacing w:after="0" w:line="1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Changes in our product warranty liability are as follows: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3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8"/>
              </w:rPr>
              <w:t>February 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February 25,</w:t>
            </w:r>
          </w:p>
        </w:tc>
      </w:tr>
      <w:tr>
        <w:trPr>
          <w:trHeight w:val="161"/>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2007</w:t>
            </w:r>
          </w:p>
        </w:tc>
        <w:tc>
          <w:tcPr>
            <w:tcW w:w="800" w:type="dxa"/>
            <w:vAlign w:val="bottom"/>
            <w:tcBorders>
              <w:bottom w:val="single" w:sz="8" w:color="D6F3E8"/>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D6F3E8"/>
            </w:tcBorders>
          </w:tcPr>
          <w:p>
            <w:pPr>
              <w:spacing w:after="0"/>
              <w:rPr>
                <w:sz w:val="14"/>
                <w:szCs w:val="14"/>
                <w:color w:val="auto"/>
              </w:rPr>
            </w:pPr>
          </w:p>
        </w:tc>
      </w:tr>
      <w:tr>
        <w:trPr>
          <w:trHeight w:val="210"/>
        </w:trPr>
        <w:tc>
          <w:tcPr>
            <w:tcW w:w="368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80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9,523</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140" w:type="dxa"/>
            <w:vAlign w:val="bottom"/>
            <w:shd w:val="clear" w:color="auto" w:fill="D6F3E8"/>
          </w:tcPr>
          <w:p>
            <w:pPr>
              <w:spacing w:after="0"/>
              <w:rPr>
                <w:sz w:val="18"/>
                <w:szCs w:val="18"/>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6,707</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5,579</w:t>
            </w:r>
          </w:p>
        </w:tc>
        <w:tc>
          <w:tcPr>
            <w:tcW w:w="140" w:type="dxa"/>
            <w:vAlign w:val="bottom"/>
          </w:tcPr>
          <w:p>
            <w:pPr>
              <w:spacing w:after="0"/>
              <w:rPr>
                <w:sz w:val="18"/>
                <w:szCs w:val="18"/>
                <w:color w:val="auto"/>
              </w:rPr>
            </w:pPr>
          </w:p>
        </w:tc>
      </w:tr>
      <w:tr>
        <w:trPr>
          <w:trHeight w:val="243"/>
        </w:trPr>
        <w:tc>
          <w:tcPr>
            <w:tcW w:w="36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Claims paid</w:t>
            </w:r>
          </w:p>
        </w:tc>
        <w:tc>
          <w:tcPr>
            <w:tcW w:w="8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90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(5,575)</w:t>
            </w:r>
          </w:p>
        </w:tc>
        <w:tc>
          <w:tcPr>
            <w:tcW w:w="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(6,478)</w:t>
            </w: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jc w:val="both"/>
        <w:ind w:right="80"/>
        <w:spacing w:after="0" w:line="294"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8"/>
              </w:rPr>
              <w:t>February 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February 25,</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4"/>
                <w:szCs w:val="14"/>
                <w:color w:val="auto"/>
              </w:rPr>
            </w:pPr>
          </w:p>
        </w:tc>
        <w:tc>
          <w:tcPr>
            <w:tcW w:w="470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19"/>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top w:val="single" w:sz="8" w:color="D6F3E8"/>
            </w:tcBorders>
            <w:shd w:val="clear" w:color="auto" w:fill="D6F3E8"/>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4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Claims paid</w:t>
            </w:r>
          </w:p>
        </w:tc>
        <w:tc>
          <w:tcPr>
            <w:tcW w:w="24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(269)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700" w:type="dxa"/>
            <w:vAlign w:val="bottom"/>
            <w:gridSpan w:val="3"/>
          </w:tcPr>
          <w:p>
            <w:pPr>
              <w:ind w:left="460"/>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96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gridSpan w:val="3"/>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47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960" w:type="dxa"/>
            <w:vAlign w:val="bottom"/>
            <w:gridSpan w:val="4"/>
          </w:tcPr>
          <w:p>
            <w:pPr>
              <w:ind w:left="20"/>
              <w:spacing w:after="0"/>
              <w:rPr>
                <w:sz w:val="20"/>
                <w:szCs w:val="20"/>
                <w:color w:val="auto"/>
              </w:rPr>
            </w:pPr>
            <w:r>
              <w:rPr>
                <w:rFonts w:ascii="Arial" w:cs="Arial" w:eastAsia="Arial" w:hAnsi="Arial"/>
                <w:sz w:val="18"/>
                <w:szCs w:val="18"/>
                <w:b w:val="1"/>
                <w:bCs w:val="1"/>
                <w:color w:val="auto"/>
              </w:rPr>
              <w:t>NOTE 6: Employee and Retiree Benefits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80" w:type="dxa"/>
            <w:vAlign w:val="bottom"/>
            <w:gridSpan w:val="6"/>
          </w:tcPr>
          <w:p>
            <w:pPr>
              <w:spacing w:after="0"/>
              <w:rPr>
                <w:sz w:val="20"/>
                <w:szCs w:val="20"/>
                <w:color w:val="auto"/>
              </w:rPr>
            </w:pPr>
            <w:r>
              <w:rPr>
                <w:rFonts w:ascii="Arial" w:cs="Arial" w:eastAsia="Arial" w:hAnsi="Arial"/>
                <w:sz w:val="18"/>
                <w:szCs w:val="18"/>
                <w:color w:val="auto"/>
                <w:w w:val="89"/>
              </w:rPr>
              <w:t>Long-term postretirement health care and deferred compensation benefits are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February 24,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August 26,</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4"/>
                <w:szCs w:val="14"/>
                <w:color w:val="auto"/>
              </w:rPr>
            </w:pPr>
          </w:p>
        </w:tc>
        <w:tc>
          <w:tcPr>
            <w:tcW w:w="470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tcBorders>
              <w:top w:val="single" w:sz="8" w:color="auto"/>
            </w:tcBorders>
            <w:gridSpan w:val="2"/>
            <w:shd w:val="clear" w:color="auto" w:fill="D6F3E8"/>
          </w:tcPr>
          <w:p>
            <w:pPr>
              <w:ind w:left="20"/>
              <w:spacing w:after="0"/>
              <w:rPr>
                <w:sz w:val="20"/>
                <w:szCs w:val="20"/>
                <w:color w:val="auto"/>
              </w:rPr>
            </w:pPr>
            <w:r>
              <w:rPr>
                <w:rFonts w:ascii="Arial" w:cs="Arial" w:eastAsia="Arial" w:hAnsi="Arial"/>
                <w:sz w:val="18"/>
                <w:szCs w:val="18"/>
                <w:color w:val="auto"/>
              </w:rPr>
              <w:t>Postretirement health care benefit cost (1)</w:t>
            </w: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49,814</w:t>
            </w:r>
          </w:p>
        </w:tc>
        <w:tc>
          <w:tcPr>
            <w:tcW w:w="24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50,583</w:t>
            </w:r>
          </w:p>
        </w:tc>
        <w:tc>
          <w:tcPr>
            <w:tcW w:w="140" w:type="dxa"/>
            <w:vAlign w:val="bottom"/>
            <w:tcBorders>
              <w:top w:val="single" w:sz="8" w:color="D6F3E8"/>
            </w:tcBorders>
            <w:shd w:val="clear" w:color="auto" w:fill="D6F3E8"/>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Deferred compensation liability (2)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25,138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25,015</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4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Executive share option plan liability</w:t>
            </w:r>
          </w:p>
        </w:tc>
        <w:tc>
          <w:tcPr>
            <w:tcW w:w="2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34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12,542</w:t>
            </w:r>
          </w:p>
        </w:tc>
        <w:tc>
          <w:tcPr>
            <w:tcW w:w="2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10,673</w:t>
            </w:r>
          </w:p>
        </w:tc>
        <w:tc>
          <w:tcPr>
            <w:tcW w:w="140" w:type="dxa"/>
            <w:vAlign w:val="bottom"/>
            <w:shd w:val="clear" w:color="auto" w:fill="D6F3E8"/>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w w:val="87"/>
              </w:rPr>
              <w:t>Total postretirement health care and deferred compensation</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87,494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86,271</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-1896745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ind w:left="340" w:right="1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$964,000 and $903,000 as of February 24, 2007 and August 26, 2006, respectively, is included within other accrued expenses.</w:t>
      </w:r>
    </w:p>
    <w:p>
      <w:pPr>
        <w:ind w:left="340" w:right="6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$1.5 million and $1.6 million as of February 24, 2007 and August 26, 2006, respectively, is included within accrued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of continuous service. Retirees are required to pay a monthly premium for medical coverage based on years of service at retirement and then current 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September 2004, we amended our postretirement health care benefit by establishing a maximum employer contribution amount which resulted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$40.4 million reduction of the accumulated postretirement benefit obligation. This reduction was deferred and is being amortized over the approximate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period of active participants. Net periodic postretirement benefit income consisted of the following components (in thousands):</w:t>
      </w:r>
    </w:p>
    <w:p>
      <w:pPr>
        <w:spacing w:after="0" w:line="24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February 24,</w:t>
            </w: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February 25,</w:t>
            </w: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February 24,</w:t>
            </w:r>
          </w:p>
        </w:tc>
        <w:tc>
          <w:tcPr>
            <w:tcW w:w="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February 25,</w:t>
            </w:r>
          </w:p>
        </w:tc>
        <w:tc>
          <w:tcPr>
            <w:tcW w:w="0" w:type="dxa"/>
            <w:vAlign w:val="bottom"/>
          </w:tcPr>
          <w:p>
            <w:pPr>
              <w:spacing w:after="0"/>
              <w:rPr>
                <w:sz w:val="1"/>
                <w:szCs w:val="1"/>
                <w:color w:val="auto"/>
              </w:rPr>
            </w:pPr>
          </w:p>
        </w:tc>
      </w:tr>
      <w:tr>
        <w:trPr>
          <w:trHeight w:val="161"/>
        </w:trPr>
        <w:tc>
          <w:tcPr>
            <w:tcW w:w="334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D6F3E8"/>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83"/>
              </w:rPr>
              <w:t>2006</w:t>
            </w:r>
          </w:p>
        </w:tc>
        <w:tc>
          <w:tcPr>
            <w:tcW w:w="30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D6F3E8"/>
            </w:tcBorders>
          </w:tcPr>
          <w:p>
            <w:pPr>
              <w:spacing w:after="0"/>
              <w:rPr>
                <w:sz w:val="14"/>
                <w:szCs w:val="14"/>
                <w:color w:val="auto"/>
              </w:rPr>
            </w:pPr>
          </w:p>
        </w:tc>
        <w:tc>
          <w:tcPr>
            <w:tcW w:w="2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shd w:val="clear" w:color="auto" w:fill="D6F3E8"/>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4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944</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20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(1,593)</w:t>
            </w:r>
          </w:p>
        </w:tc>
        <w:tc>
          <w:tcPr>
            <w:tcW w:w="2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8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Net periodic postretirement benefit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40" w:type="dxa"/>
            <w:vAlign w:val="bottom"/>
            <w:vMerge w:val="continue"/>
          </w:tcPr>
          <w:p>
            <w:pPr>
              <w:spacing w:after="0"/>
              <w:rPr>
                <w:sz w:val="18"/>
                <w:szCs w:val="18"/>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(122)</w:t>
            </w:r>
          </w:p>
        </w:tc>
        <w:tc>
          <w:tcPr>
            <w:tcW w:w="300" w:type="dxa"/>
            <w:vAlign w:val="bottom"/>
            <w:vMerge w:val="restart"/>
          </w:tcPr>
          <w:p>
            <w:pPr>
              <w:jc w:val="right"/>
              <w:ind w:right="146"/>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(48)</w:t>
            </w:r>
          </w:p>
        </w:tc>
        <w:tc>
          <w:tcPr>
            <w:tcW w:w="200" w:type="dxa"/>
            <w:vAlign w:val="bottom"/>
            <w:vMerge w:val="restart"/>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3340" w:type="dxa"/>
            <w:vAlign w:val="bottom"/>
          </w:tcPr>
          <w:p>
            <w:pPr>
              <w:ind w:left="320"/>
              <w:spacing w:after="0"/>
              <w:rPr>
                <w:sz w:val="20"/>
                <w:szCs w:val="20"/>
                <w:color w:val="auto"/>
              </w:rPr>
            </w:pPr>
            <w:r>
              <w:rPr>
                <w:rFonts w:ascii="Arial" w:cs="Arial" w:eastAsia="Arial" w:hAnsi="Arial"/>
                <w:sz w:val="18"/>
                <w:szCs w:val="18"/>
                <w:color w:val="auto"/>
              </w:rPr>
              <w:t>(income)</w:t>
            </w:r>
          </w:p>
        </w:tc>
        <w:tc>
          <w:tcPr>
            <w:tcW w:w="2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accounting purposes, we recognized income from the plan for the first and second quarters of both Fiscal 2007 and Fiscal 2006 due to the amortization of the cost savings from the September 2004 amendment. However, we are still obligated to pay the cost of previously accrued and earned retiree benefits and paid approximately $293,000 and $342,000 of such benefits for the quarters ended February 24, 2007 and February 25, 2006, respectively, and $462,000 and $560,000 for the six months ended February 24, 2007 and February 25, 2006,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Contingent Liabilities and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$307.5 million and $278.6 million at February 24, 2007 and August 26, 2006, respectively. Losses under these repurchase agreements for the six months ended February 24, 2007 and February 25, 2006 were $4,000 and $0, respectively. Our reserve methodology is used to record an estimated expense and loss reserve in each accounting period based upon</w:t>
      </w:r>
    </w:p>
    <w:p>
      <w:pPr>
        <w:sectPr>
          <w:pgSz w:w="11900" w:h="16852" w:orient="portrait"/>
          <w:cols w:equalWidth="0" w:num="1">
            <w:col w:w="11420"/>
          </w:cols>
          <w:pgMar w:left="240" w:top="131" w:right="239" w:bottom="0" w:gutter="0" w:footer="0" w:header="0"/>
        </w:sectPr>
      </w:pPr>
    </w:p>
    <w:bookmarkStart w:id="6" w:name="page7"/>
    <w:bookmarkEnd w:id="6"/>
    <w:p>
      <w:pPr>
        <w:ind w:right="60"/>
        <w:spacing w:after="0" w:line="256" w:lineRule="auto"/>
        <w:rPr>
          <w:sz w:val="20"/>
          <w:szCs w:val="20"/>
          <w:color w:val="auto"/>
        </w:rPr>
      </w:pPr>
      <w:r>
        <w:rPr>
          <w:rFonts w:ascii="Arial" w:cs="Arial" w:eastAsia="Arial" w:hAnsi="Arial"/>
          <w:sz w:val="18"/>
          <w:szCs w:val="18"/>
          <w:color w:val="auto"/>
        </w:rPr>
        <w:t>our extensive history and experience and known current events with respect to repurchase agreements with the lenders to our dealers. Based on the historical data and known current events, repurchase reserves under our repurchase agreements at February 24, 2007 and August 26, 2006 were not significant. Upon resale of the repurchased units, we do not record the transaction as revenue. The difference between the repurchase price and the net proceeds received from reselling the units is charged against our reserve for losses on repurchases.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an unaffiliated third-party paint Supplier (the “Supplier”) and the Forest City Economic Development, Inc., (“FCED”) an Iowa nonprofit corporation, requiring the Supplier to provide paint services on our recreation vehicles. The FCED constructed and debt financed a facility which is leased by the Supplier. In the event of termination of the lease agreement by any of the parties involved before September 1, 2007, the rights and obligations of the Supplier under the lease would be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transferred to us. As of February 24, 2007, the Supplier is current with its lease payment obligations to the FCED with approximately $2.8 million (principal and interest) remaining to be paid through August 2012. Under the terms of the Agreement in the event of a default by the Supplier, we would be obligated to purchase from the Supplier equipment installed in the paint facility at net book value of $370,000 as of February 24, 2007, and we would be obligated to assume payment obligations for approximately $7,600 in capital equipment leases remaining to be paid at February 24, 2007.</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the previously discussed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$676,000 was remaining as of February 24, 2007). In the event of a default under the lease agreement before August 2009 and the Supplier’s failure to correct the default, the Landlord shall give us, the guarantor, written notice of its intent to terminate said lease. At the time of that notification, we will have various options that we must exercise in a timely manner. One option is to purchase the real estate with improvements from the Landlord. The price we would pay would be the outstanding loan owed by the Landlord to construct the paint facility, which was approximately $1.7 million as of February 24, 2007. As of February 24, 2007, the Supplier is current with its lease payment obligations to the Landlord. As of February 24, 2007, the balance of the guarantee was approximately $151,000 and presented as other accrued liabilities in the accompanying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are regularly involved in legal proceedings in the ordinary course of business, some of which are covered in part by insurance. Because of the uncertainties related to the outcome of the litigation and range of loss on certain cases we are generally unable to make a reasonable estimate of the liability that could result from an unfavorable outcome. In other cases, we prepare estimates based on historical experience, the professional judgment of our legal counsel, and other assumptions that we believe to be reasonable. As additional information becomes available, we reassess the 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Dividends Declared</w:t>
      </w:r>
    </w:p>
    <w:p>
      <w:pPr>
        <w:spacing w:after="0" w:line="16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January 11, 2007, the Board of Directors declared a quarterly cash dividend of $0.10 per common share, payable April 9, 2007 to shareholders of record on March 9, 2007, which has been recorded as an accrued liability in the accompanying balance sheet as of February 24, 2007.</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March 22, 2007, the Board of Directors declared a quarterly cash dividend of $0.10 per common share, payable July 9, 2007 to shareholders of record on June 8,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Repurchase of Outstanding Stock</w:t>
      </w:r>
    </w:p>
    <w:p>
      <w:pPr>
        <w:spacing w:after="0" w:line="16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On April 12, 2006, the Board of Directors authorized the repurchase of outstanding shares of our common stock, depending on market conditions, for an aggregate consideration of up to $50 million. There is no time restriction on this authorization. There were no repurchases during the first six months of Fiscal 2007. Repurchases of up to $22.2 million of our common stock remain available under this authorization.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reflects the calculation of basic and diluted income per share for the quarters and six months ended February 24, 2007 and February 25, 2006.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6"/>
              </w:rPr>
              <w:t>February 24,</w:t>
            </w:r>
          </w:p>
        </w:tc>
        <w:tc>
          <w:tcPr>
            <w:tcW w:w="220" w:type="dxa"/>
            <w:vAlign w:val="bottom"/>
          </w:tcPr>
          <w:p>
            <w:pPr>
              <w:spacing w:after="0"/>
              <w:rPr>
                <w:sz w:val="11"/>
                <w:szCs w:val="11"/>
                <w:color w:val="auto"/>
              </w:rPr>
            </w:pPr>
          </w:p>
        </w:tc>
        <w:tc>
          <w:tcPr>
            <w:tcW w:w="92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6"/>
              </w:rPr>
              <w:t>February 25,</w:t>
            </w:r>
          </w:p>
        </w:tc>
        <w:tc>
          <w:tcPr>
            <w:tcW w:w="440" w:type="dxa"/>
            <w:vAlign w:val="bottom"/>
          </w:tcPr>
          <w:p>
            <w:pPr>
              <w:spacing w:after="0"/>
              <w:rPr>
                <w:sz w:val="11"/>
                <w:szCs w:val="11"/>
                <w:color w:val="auto"/>
              </w:rPr>
            </w:pPr>
          </w:p>
        </w:tc>
        <w:tc>
          <w:tcPr>
            <w:tcW w:w="134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6"/>
              </w:rPr>
              <w:t>February 24,</w:t>
            </w:r>
          </w:p>
        </w:tc>
        <w:tc>
          <w:tcPr>
            <w:tcW w:w="20" w:type="dxa"/>
            <w:vAlign w:val="bottom"/>
          </w:tcPr>
          <w:p>
            <w:pPr>
              <w:spacing w:after="0"/>
              <w:rPr>
                <w:sz w:val="11"/>
                <w:szCs w:val="11"/>
                <w:color w:val="auto"/>
              </w:rPr>
            </w:pPr>
          </w:p>
        </w:tc>
        <w:tc>
          <w:tcPr>
            <w:tcW w:w="90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3"/>
              </w:rPr>
              <w:t>February 25,</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gridSpan w:val="4"/>
          </w:tcPr>
          <w:p>
            <w:pPr>
              <w:ind w:left="40"/>
              <w:spacing w:after="0" w:line="170" w:lineRule="exact"/>
              <w:rPr>
                <w:sz w:val="20"/>
                <w:szCs w:val="20"/>
                <w:color w:val="auto"/>
              </w:rPr>
            </w:pPr>
            <w:r>
              <w:rPr>
                <w:rFonts w:ascii="Arial" w:cs="Arial" w:eastAsia="Arial" w:hAnsi="Arial"/>
                <w:sz w:val="18"/>
                <w:szCs w:val="18"/>
                <w:color w:val="auto"/>
              </w:rPr>
              <w:t>Income per share – basic</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D6F3E8"/>
          </w:tcPr>
          <w:p>
            <w:pPr>
              <w:spacing w:after="0"/>
              <w:rPr>
                <w:sz w:val="19"/>
                <w:szCs w:val="19"/>
                <w:color w:val="auto"/>
              </w:rPr>
            </w:pPr>
          </w:p>
        </w:tc>
        <w:tc>
          <w:tcPr>
            <w:tcW w:w="5860" w:type="dxa"/>
            <w:vAlign w:val="bottom"/>
            <w:gridSpan w:val="3"/>
            <w:shd w:val="clear" w:color="auto" w:fill="D6F3E8"/>
          </w:tcPr>
          <w:p>
            <w:pPr>
              <w:ind w:left="120"/>
              <w:spacing w:after="0"/>
              <w:rPr>
                <w:sz w:val="20"/>
                <w:szCs w:val="20"/>
                <w:color w:val="auto"/>
              </w:rPr>
            </w:pPr>
            <w:r>
              <w:rPr>
                <w:rFonts w:ascii="Arial" w:cs="Arial" w:eastAsia="Arial" w:hAnsi="Arial"/>
                <w:sz w:val="18"/>
                <w:szCs w:val="18"/>
                <w:color w:val="auto"/>
              </w:rPr>
              <w:t>Net income per share - basic</w:t>
            </w:r>
          </w:p>
        </w:tc>
        <w:tc>
          <w:tcPr>
            <w:tcW w:w="660" w:type="dxa"/>
            <w:vAlign w:val="bottom"/>
            <w:gridSpan w:val="2"/>
            <w:shd w:val="clear" w:color="auto" w:fill="D6F3E8"/>
          </w:tcPr>
          <w:p>
            <w:pPr>
              <w:jc w:val="right"/>
              <w:ind w:right="4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7,532</w:t>
            </w:r>
          </w:p>
        </w:tc>
        <w:tc>
          <w:tcPr>
            <w:tcW w:w="500" w:type="dxa"/>
            <w:vAlign w:val="bottom"/>
            <w:gridSpan w:val="2"/>
            <w:shd w:val="clear" w:color="auto" w:fill="D6F3E8"/>
          </w:tcPr>
          <w:p>
            <w:pPr>
              <w:jc w:val="right"/>
              <w:ind w:right="99"/>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7,700</w:t>
            </w:r>
          </w:p>
        </w:tc>
        <w:tc>
          <w:tcPr>
            <w:tcW w:w="44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15,468</w:t>
            </w:r>
          </w:p>
        </w:tc>
        <w:tc>
          <w:tcPr>
            <w:tcW w:w="320" w:type="dxa"/>
            <w:vAlign w:val="bottom"/>
            <w:gridSpan w:val="2"/>
            <w:shd w:val="clear" w:color="auto" w:fill="D6F3E8"/>
          </w:tcPr>
          <w:p>
            <w:pPr>
              <w:jc w:val="right"/>
              <w:ind w:right="14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22,270</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D6F3E8"/>
            </w:tcBorders>
          </w:tcPr>
          <w:p>
            <w:pPr>
              <w:spacing w:after="0"/>
              <w:rPr>
                <w:sz w:val="18"/>
                <w:szCs w:val="18"/>
                <w:color w:val="auto"/>
              </w:rPr>
            </w:pPr>
          </w:p>
        </w:tc>
        <w:tc>
          <w:tcPr>
            <w:tcW w:w="5860" w:type="dxa"/>
            <w:vAlign w:val="bottom"/>
            <w:tcBorders>
              <w:bottom w:val="single" w:sz="8" w:color="D6F3E8"/>
            </w:tcBorders>
            <w:gridSpan w:val="3"/>
          </w:tcPr>
          <w:p>
            <w:pPr>
              <w:ind w:left="12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Borders>
              <w:bottom w:val="single" w:sz="8" w:color="D6F3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31,459</w:t>
            </w:r>
          </w:p>
        </w:tc>
        <w:tc>
          <w:tcPr>
            <w:tcW w:w="220" w:type="dxa"/>
            <w:vAlign w:val="bottom"/>
            <w:tcBorders>
              <w:bottom w:val="single" w:sz="8" w:color="D6F3E8"/>
            </w:tcBorders>
          </w:tcPr>
          <w:p>
            <w:pPr>
              <w:spacing w:after="0"/>
              <w:rPr>
                <w:sz w:val="18"/>
                <w:szCs w:val="18"/>
                <w:color w:val="auto"/>
              </w:rPr>
            </w:pPr>
          </w:p>
        </w:tc>
        <w:tc>
          <w:tcPr>
            <w:tcW w:w="220" w:type="dxa"/>
            <w:vAlign w:val="bottom"/>
            <w:tcBorders>
              <w:bottom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32,806</w:t>
            </w:r>
          </w:p>
        </w:tc>
        <w:tc>
          <w:tcPr>
            <w:tcW w:w="440" w:type="dxa"/>
            <w:vAlign w:val="bottom"/>
            <w:tcBorders>
              <w:bottom w:val="single" w:sz="8" w:color="D6F3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31,354</w:t>
            </w:r>
          </w:p>
        </w:tc>
        <w:tc>
          <w:tcPr>
            <w:tcW w:w="44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32,870</w:t>
            </w:r>
          </w:p>
        </w:tc>
        <w:tc>
          <w:tcPr>
            <w:tcW w:w="20" w:type="dxa"/>
            <w:vAlign w:val="bottom"/>
            <w:tcBorders>
              <w:bottom w:val="single" w:sz="8" w:color="D6F3E8"/>
            </w:tcBorders>
          </w:tcPr>
          <w:p>
            <w:pPr>
              <w:spacing w:after="0"/>
              <w:rPr>
                <w:sz w:val="18"/>
                <w:szCs w:val="18"/>
                <w:color w:val="auto"/>
              </w:rPr>
            </w:pPr>
          </w:p>
        </w:tc>
        <w:tc>
          <w:tcPr>
            <w:tcW w:w="8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D6F3E8"/>
            </w:tcBorders>
            <w:shd w:val="clear" w:color="auto" w:fill="D6F3E8"/>
          </w:tcPr>
          <w:p>
            <w:pPr>
              <w:spacing w:after="0"/>
              <w:rPr>
                <w:sz w:val="18"/>
                <w:szCs w:val="18"/>
                <w:color w:val="auto"/>
              </w:rPr>
            </w:pPr>
          </w:p>
        </w:tc>
        <w:tc>
          <w:tcPr>
            <w:tcW w:w="5860" w:type="dxa"/>
            <w:vAlign w:val="bottom"/>
            <w:tcBorders>
              <w:bottom w:val="single" w:sz="8" w:color="D6F3E8"/>
            </w:tcBorders>
            <w:gridSpan w:val="3"/>
            <w:shd w:val="clear" w:color="auto" w:fill="D6F3E8"/>
          </w:tcPr>
          <w:p>
            <w:pPr>
              <w:ind w:left="120"/>
              <w:spacing w:after="0"/>
              <w:rPr>
                <w:sz w:val="20"/>
                <w:szCs w:val="20"/>
                <w:color w:val="auto"/>
              </w:rPr>
            </w:pPr>
            <w:r>
              <w:rPr>
                <w:rFonts w:ascii="Arial" w:cs="Arial" w:eastAsia="Arial" w:hAnsi="Arial"/>
                <w:sz w:val="18"/>
                <w:szCs w:val="18"/>
                <w:color w:val="auto"/>
              </w:rPr>
              <w:t>Net income per share - basic</w:t>
            </w:r>
          </w:p>
        </w:tc>
        <w:tc>
          <w:tcPr>
            <w:tcW w:w="46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D6F3E8"/>
            </w:tcBorders>
            <w:shd w:val="clear" w:color="auto" w:fill="D6F3E8"/>
          </w:tcPr>
          <w:p>
            <w:pPr>
              <w:spacing w:after="0"/>
              <w:rPr>
                <w:sz w:val="18"/>
                <w:szCs w:val="18"/>
                <w:color w:val="auto"/>
              </w:rPr>
            </w:pPr>
          </w:p>
        </w:tc>
        <w:tc>
          <w:tcPr>
            <w:tcW w:w="280" w:type="dxa"/>
            <w:vAlign w:val="bottom"/>
            <w:tcBorders>
              <w:bottom w:val="single" w:sz="8" w:color="auto"/>
            </w:tcBorders>
            <w:shd w:val="clear" w:color="auto" w:fill="D6F3E8"/>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0.49</w:t>
            </w:r>
          </w:p>
        </w:tc>
        <w:tc>
          <w:tcPr>
            <w:tcW w:w="440" w:type="dxa"/>
            <w:vAlign w:val="bottom"/>
            <w:tcBorders>
              <w:bottom w:val="single" w:sz="8" w:color="D6F3E8"/>
            </w:tcBorders>
            <w:shd w:val="clear" w:color="auto" w:fill="D6F3E8"/>
          </w:tcPr>
          <w:p>
            <w:pPr>
              <w:spacing w:after="0"/>
              <w:rPr>
                <w:sz w:val="18"/>
                <w:szCs w:val="18"/>
                <w:color w:val="auto"/>
              </w:rPr>
            </w:pPr>
          </w:p>
        </w:tc>
        <w:tc>
          <w:tcPr>
            <w:tcW w:w="20" w:type="dxa"/>
            <w:vAlign w:val="bottom"/>
            <w:tcBorders>
              <w:bottom w:val="single" w:sz="8" w:color="D6F3E8"/>
            </w:tcBorders>
            <w:shd w:val="clear" w:color="auto" w:fill="D6F3E8"/>
          </w:tcPr>
          <w:p>
            <w:pPr>
              <w:spacing w:after="0"/>
              <w:rPr>
                <w:sz w:val="18"/>
                <w:szCs w:val="18"/>
                <w:color w:val="auto"/>
              </w:rPr>
            </w:pPr>
          </w:p>
        </w:tc>
        <w:tc>
          <w:tcPr>
            <w:tcW w:w="300" w:type="dxa"/>
            <w:vAlign w:val="bottom"/>
            <w:tcBorders>
              <w:bottom w:val="single" w:sz="8" w:color="auto"/>
            </w:tcBorders>
            <w:shd w:val="clear" w:color="auto" w:fill="D6F3E8"/>
          </w:tcPr>
          <w:p>
            <w:pPr>
              <w:jc w:val="right"/>
              <w:ind w:right="14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0.68</w:t>
            </w:r>
          </w:p>
        </w:tc>
        <w:tc>
          <w:tcPr>
            <w:tcW w:w="2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Income per share – assuming dilution</w:t>
            </w: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58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26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Net income</w:t>
            </w:r>
          </w:p>
        </w:tc>
        <w:tc>
          <w:tcPr>
            <w:tcW w:w="3220" w:type="dxa"/>
            <w:vAlign w:val="bottom"/>
          </w:tcPr>
          <w:p>
            <w:pPr>
              <w:spacing w:after="0"/>
              <w:rPr>
                <w:sz w:val="21"/>
                <w:szCs w:val="21"/>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7,532</w:t>
            </w:r>
          </w:p>
        </w:tc>
        <w:tc>
          <w:tcPr>
            <w:tcW w:w="5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7,700</w:t>
            </w:r>
          </w:p>
        </w:tc>
        <w:tc>
          <w:tcPr>
            <w:tcW w:w="44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15,468</w:t>
            </w:r>
          </w:p>
        </w:tc>
        <w:tc>
          <w:tcPr>
            <w:tcW w:w="320" w:type="dxa"/>
            <w:vAlign w:val="bottom"/>
            <w:gridSpan w:val="2"/>
          </w:tcPr>
          <w:p>
            <w:pPr>
              <w:jc w:val="right"/>
              <w:ind w:right="14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22,270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 w:type="dxa"/>
            <w:vAlign w:val="bottom"/>
            <w:tcBorders>
              <w:top w:val="single" w:sz="8" w:color="D6F3E8"/>
            </w:tcBorders>
            <w:shd w:val="clear" w:color="auto" w:fill="D6F3E8"/>
          </w:tcPr>
          <w:p>
            <w:pPr>
              <w:spacing w:after="0"/>
              <w:rPr>
                <w:sz w:val="18"/>
                <w:szCs w:val="18"/>
                <w:color w:val="auto"/>
              </w:rPr>
            </w:pPr>
          </w:p>
        </w:tc>
        <w:tc>
          <w:tcPr>
            <w:tcW w:w="5860" w:type="dxa"/>
            <w:vAlign w:val="bottom"/>
            <w:tcBorders>
              <w:top w:val="single" w:sz="8" w:color="D6F3E8"/>
            </w:tcBorders>
            <w:gridSpan w:val="3"/>
            <w:shd w:val="clear" w:color="auto" w:fill="D6F3E8"/>
          </w:tcPr>
          <w:p>
            <w:pPr>
              <w:ind w:left="120"/>
              <w:spacing w:after="0" w:line="203" w:lineRule="exact"/>
              <w:rPr>
                <w:sz w:val="20"/>
                <w:szCs w:val="20"/>
                <w:color w:val="auto"/>
              </w:rPr>
            </w:pPr>
            <w:r>
              <w:rPr>
                <w:rFonts w:ascii="Arial" w:cs="Arial" w:eastAsia="Arial" w:hAnsi="Arial"/>
                <w:sz w:val="18"/>
                <w:szCs w:val="18"/>
                <w:color w:val="auto"/>
              </w:rPr>
              <w:t>Weighted average shares outstanding</w:t>
            </w:r>
          </w:p>
        </w:tc>
        <w:tc>
          <w:tcPr>
            <w:tcW w:w="4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31,459</w:t>
            </w:r>
          </w:p>
        </w:tc>
        <w:tc>
          <w:tcPr>
            <w:tcW w:w="22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6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32,806</w:t>
            </w:r>
          </w:p>
        </w:tc>
        <w:tc>
          <w:tcPr>
            <w:tcW w:w="4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31,354</w:t>
            </w:r>
          </w:p>
        </w:tc>
        <w:tc>
          <w:tcPr>
            <w:tcW w:w="44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32,870</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60" w:type="dxa"/>
            <w:vAlign w:val="bottom"/>
            <w:gridSpan w:val="3"/>
          </w:tcPr>
          <w:p>
            <w:pPr>
              <w:ind w:left="120"/>
              <w:spacing w:after="0"/>
              <w:rPr>
                <w:sz w:val="20"/>
                <w:szCs w:val="20"/>
                <w:color w:val="auto"/>
              </w:rPr>
            </w:pPr>
            <w:r>
              <w:rPr>
                <w:rFonts w:ascii="Arial" w:cs="Arial" w:eastAsia="Arial" w:hAnsi="Arial"/>
                <w:sz w:val="18"/>
                <w:szCs w:val="18"/>
                <w:color w:val="auto"/>
              </w:rPr>
              <w:t>Dilutive impact of options and awards outstanding</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6F3E8"/>
          </w:tcPr>
          <w:p>
            <w:pPr>
              <w:spacing w:after="0"/>
              <w:rPr>
                <w:sz w:val="19"/>
                <w:szCs w:val="19"/>
                <w:color w:val="auto"/>
              </w:rPr>
            </w:pPr>
          </w:p>
        </w:tc>
        <w:tc>
          <w:tcPr>
            <w:tcW w:w="5860" w:type="dxa"/>
            <w:vAlign w:val="bottom"/>
            <w:gridSpan w:val="3"/>
            <w:shd w:val="clear" w:color="auto" w:fill="D6F3E8"/>
          </w:tcPr>
          <w:p>
            <w:pPr>
              <w:ind w:left="12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46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31,764</w:t>
            </w:r>
          </w:p>
        </w:tc>
        <w:tc>
          <w:tcPr>
            <w:tcW w:w="22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33,147</w:t>
            </w:r>
          </w:p>
        </w:tc>
        <w:tc>
          <w:tcPr>
            <w:tcW w:w="4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1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31,666</w:t>
            </w:r>
          </w:p>
        </w:tc>
        <w:tc>
          <w:tcPr>
            <w:tcW w:w="20" w:type="dxa"/>
            <w:vAlign w:val="bottom"/>
            <w:shd w:val="clear" w:color="auto" w:fill="D6F3E8"/>
          </w:tcPr>
          <w:p>
            <w:pPr>
              <w:spacing w:after="0"/>
              <w:rPr>
                <w:sz w:val="19"/>
                <w:szCs w:val="19"/>
                <w:color w:val="auto"/>
              </w:rPr>
            </w:pPr>
          </w:p>
        </w:tc>
        <w:tc>
          <w:tcPr>
            <w:tcW w:w="300" w:type="dxa"/>
            <w:vAlign w:val="bottom"/>
            <w:shd w:val="clear" w:color="auto" w:fill="D6F3E8"/>
          </w:tcPr>
          <w:p>
            <w:pPr>
              <w:spacing w:after="0"/>
              <w:rPr>
                <w:sz w:val="19"/>
                <w:szCs w:val="19"/>
                <w:color w:val="auto"/>
              </w:rPr>
            </w:pP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33,167</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860" w:type="dxa"/>
            <w:vAlign w:val="bottom"/>
            <w:gridSpan w:val="3"/>
          </w:tcPr>
          <w:p>
            <w:pPr>
              <w:ind w:left="120"/>
              <w:spacing w:after="0"/>
              <w:rPr>
                <w:sz w:val="20"/>
                <w:szCs w:val="20"/>
                <w:color w:val="auto"/>
              </w:rPr>
            </w:pPr>
            <w:r>
              <w:rPr>
                <w:rFonts w:ascii="Arial" w:cs="Arial" w:eastAsia="Arial" w:hAnsi="Arial"/>
                <w:sz w:val="18"/>
                <w:szCs w:val="18"/>
                <w:color w:val="auto"/>
              </w:rPr>
              <w:t>Net income per share – assuming dilution</w:t>
            </w: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45"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45"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For the quarters ended February 24, 2007 and February 25, 2006, there were options outstanding to purchase 255,800 shares and 514,624 shares, respectively, of common stock at an average price of $32.63 and $31.35,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6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For the six months ended February 24, 2007 and February 25, 2006, there were options outstanding to purchase 281,132 shares and 736,142 shares, respectively, of common stock at an average price of $32.78 and $30.43,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26,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49 years. Our retail market share per Statistical Surveys, Inc. of Class A and Class C motor homes for the calendar year ended December 31, 2006 compared to calendar year ended December 31, 2005 was 19.0 percent compared to 17.9 percent, respectively, or a 6.1 percent increase.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As a result of our performance, we have returned significant profits back to our shareholders through stock repurchases and dividends. During the six months ended February 24, 2007, we paid out dividends of $6.3 million to our shareholders.</w:t>
      </w:r>
    </w:p>
    <w:p>
      <w:pPr>
        <w:spacing w:after="0" w:line="105"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During the first two quarters of Fiscal 2007, we saw the same trend continue in the motor home market that we saw throughout Fiscal 2006; further volume decline and an overall shift in mix to lower-priced products including Class A gas motor homes. In response to this trend, we introduced new value-priced Class A gas motor homes (Winnebago Vista and Itasca Sunstar) at the National RV Trade Show in Louisville, Kentucky in December 2006 and began stocking the dealer channel with these products during the second quarter. These products are offered at a popular price range in which we had not previously had a presence</w:t>
      </w:r>
    </w:p>
    <w:p>
      <w:pPr>
        <w:spacing w:after="0" w:line="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Class A market. We also introduced new Class A motor homes (Winnebago Destination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Itasca Latitude</w:t>
      </w:r>
      <w:r>
        <w:rPr>
          <w:rFonts w:ascii="Arial" w:cs="Arial" w:eastAsia="Arial" w:hAnsi="Arial"/>
          <w:sz w:val="29"/>
          <w:szCs w:val="29"/>
          <w:color w:val="auto"/>
          <w:vertAlign w:val="superscript"/>
        </w:rPr>
        <w:t>™</w:t>
      </w:r>
      <w:r>
        <w:rPr>
          <w:rFonts w:ascii="Arial" w:cs="Arial" w:eastAsia="Arial" w:hAnsi="Arial"/>
          <w:sz w:val="18"/>
          <w:szCs w:val="18"/>
          <w:color w:val="auto"/>
        </w:rPr>
        <w:t>) that can be purchased with either a rear gas or diesel engine, providing less engine noise in the front and a more residential look and feel. We will begin stocking the dealer channel with these new Class A products in the third quarter. These additional Class A products should assist Winnebago Industries in the Class A market segments as they begin to enter the retail market in coming months.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 interest rate levels, the level of discretionary spending, availability of credit and consumer confidence. The motorized portion of the recreation vehicle industry has experienced a volume decline for two years. An extended continuation of higher fuel costs, higher interest rates, lower discretionary spending and lower consumer confidence would adversely affect our business, results of operations and financial condition. We will continue to adjust our factory schedule as necessary to reflect the demand for our products. Should fuel prices remain lower than the record levels seen in the summer of 2006, interest rates continue to remain stable or decline and RV consumer sentiment begin to rise, the motor home market may improve this spring or summer.</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As evidenced in the table below, as of February 24, 2007, our sales order backlog showed an increase of 40.1 percent in the Class A gas segment and 60.8 percent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in the Class A diesel segment, while the Class C segment remained fairly flat compared to the sales order backlog reported as of February 25, 2006. The increase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Class A backlog is due primarily to the favorable dealer response to our new Winnebago Destination and Itasca Latitude motor homes now entering the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Feb. 24,</w:t>
            </w:r>
          </w:p>
        </w:tc>
        <w:tc>
          <w:tcPr>
            <w:tcW w:w="3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Product Mix</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 25,</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Product Mix</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Increase</w:t>
            </w: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2007</w:t>
            </w:r>
          </w:p>
        </w:tc>
        <w:tc>
          <w:tcPr>
            <w:tcW w:w="12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7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88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(Decrease)</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5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12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650</w:t>
            </w:r>
          </w:p>
        </w:tc>
        <w:tc>
          <w:tcPr>
            <w:tcW w:w="1400" w:type="dxa"/>
            <w:vAlign w:val="bottom"/>
            <w:tcBorders>
              <w:top w:val="single" w:sz="8" w:color="auto"/>
            </w:tcBorders>
            <w:gridSpan w:val="3"/>
            <w:shd w:val="clear" w:color="auto" w:fill="D6F3E8"/>
          </w:tcPr>
          <w:p>
            <w:pPr>
              <w:jc w:val="right"/>
              <w:ind w:right="160"/>
              <w:spacing w:after="0"/>
              <w:rPr>
                <w:sz w:val="20"/>
                <w:szCs w:val="20"/>
                <w:color w:val="auto"/>
              </w:rPr>
            </w:pPr>
            <w:r>
              <w:rPr>
                <w:rFonts w:ascii="Arial" w:cs="Arial" w:eastAsia="Arial" w:hAnsi="Arial"/>
                <w:sz w:val="18"/>
                <w:szCs w:val="18"/>
                <w:color w:val="auto"/>
              </w:rPr>
              <w:t>34.3</w:t>
            </w:r>
          </w:p>
        </w:tc>
        <w:tc>
          <w:tcPr>
            <w:tcW w:w="18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464</w:t>
            </w:r>
          </w:p>
        </w:tc>
        <w:tc>
          <w:tcPr>
            <w:tcW w:w="34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29.3</w:t>
            </w:r>
          </w:p>
        </w:tc>
        <w:tc>
          <w:tcPr>
            <w:tcW w:w="160" w:type="dxa"/>
            <w:vAlign w:val="bottom"/>
            <w:tcBorders>
              <w:top w:val="single" w:sz="8" w:color="auto"/>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200" w:type="dxa"/>
            <w:vAlign w:val="bottom"/>
            <w:tcBorders>
              <w:top w:val="single" w:sz="8" w:color="auto"/>
            </w:tcBorders>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186</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80" w:type="dxa"/>
            <w:vAlign w:val="bottom"/>
          </w:tcPr>
          <w:p>
            <w:pPr>
              <w:spacing w:after="0"/>
              <w:rPr>
                <w:sz w:val="20"/>
                <w:szCs w:val="20"/>
                <w:color w:val="auto"/>
              </w:rPr>
            </w:pPr>
            <w:r>
              <w:rPr>
                <w:rFonts w:ascii="Arial" w:cs="Arial" w:eastAsia="Arial" w:hAnsi="Arial"/>
                <w:sz w:val="18"/>
                <w:szCs w:val="18"/>
                <w:color w:val="auto"/>
              </w:rPr>
              <w:t>Class A diesel</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2"/>
        </w:trPr>
        <w:tc>
          <w:tcPr>
            <w:tcW w:w="258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Total Class A</w:t>
            </w:r>
          </w:p>
        </w:tc>
        <w:tc>
          <w:tcPr>
            <w:tcW w:w="12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1,044</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top w:val="single" w:sz="8" w:color="D6F3E8"/>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335</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8"/>
                <w:szCs w:val="18"/>
                <w:color w:val="auto"/>
              </w:rPr>
              <w:t>Class C</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1"/>
        </w:trPr>
        <w:tc>
          <w:tcPr>
            <w:tcW w:w="25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backlog</w:t>
            </w:r>
          </w:p>
        </w:tc>
        <w:tc>
          <w:tcPr>
            <w:tcW w:w="126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1,896</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1,581</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color w:val="auto"/>
              </w:rPr>
              <w:t>Total approximate</w:t>
            </w: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revenue dollars</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165.3</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37.5</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1"/>
        </w:trPr>
        <w:tc>
          <w:tcPr>
            <w:tcW w:w="258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14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D6F3E8"/>
            </w:tcBorders>
            <w:vMerge w:val="restart"/>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126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88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80" w:type="dxa"/>
            <w:vAlign w:val="bottom"/>
            <w:vMerge w:val="continue"/>
            <w:shd w:val="clear" w:color="auto" w:fill="D6F3E8"/>
          </w:tcPr>
          <w:p>
            <w:pPr>
              <w:spacing w:after="0"/>
              <w:rPr>
                <w:sz w:val="16"/>
                <w:szCs w:val="16"/>
                <w:color w:val="auto"/>
              </w:rPr>
            </w:pPr>
          </w:p>
        </w:tc>
        <w:tc>
          <w:tcPr>
            <w:tcW w:w="126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4,924</w:t>
            </w:r>
          </w:p>
        </w:tc>
        <w:tc>
          <w:tcPr>
            <w:tcW w:w="340" w:type="dxa"/>
            <w:vAlign w:val="bottom"/>
            <w:shd w:val="clear" w:color="auto" w:fill="D6F3E8"/>
          </w:tcPr>
          <w:p>
            <w:pPr>
              <w:spacing w:after="0"/>
              <w:rPr>
                <w:sz w:val="16"/>
                <w:szCs w:val="16"/>
                <w:color w:val="auto"/>
              </w:rPr>
            </w:pPr>
          </w:p>
        </w:tc>
        <w:tc>
          <w:tcPr>
            <w:tcW w:w="90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84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5,435</w:t>
            </w:r>
          </w:p>
        </w:tc>
        <w:tc>
          <w:tcPr>
            <w:tcW w:w="340" w:type="dxa"/>
            <w:vAlign w:val="bottom"/>
            <w:shd w:val="clear" w:color="auto" w:fill="D6F3E8"/>
          </w:tcPr>
          <w:p>
            <w:pPr>
              <w:spacing w:after="0"/>
              <w:rPr>
                <w:sz w:val="16"/>
                <w:szCs w:val="16"/>
                <w:color w:val="auto"/>
              </w:rPr>
            </w:pPr>
          </w:p>
        </w:tc>
        <w:tc>
          <w:tcPr>
            <w:tcW w:w="88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140" w:type="dxa"/>
            <w:vAlign w:val="bottom"/>
            <w:shd w:val="clear" w:color="auto" w:fill="D6F3E8"/>
          </w:tcPr>
          <w:p>
            <w:pPr>
              <w:spacing w:after="0"/>
              <w:rPr>
                <w:sz w:val="16"/>
                <w:szCs w:val="16"/>
                <w:color w:val="auto"/>
              </w:rPr>
            </w:pPr>
          </w:p>
        </w:tc>
        <w:tc>
          <w:tcPr>
            <w:tcW w:w="1200" w:type="dxa"/>
            <w:vAlign w:val="bottom"/>
            <w:gridSpan w:val="2"/>
            <w:vMerge w:val="restart"/>
            <w:shd w:val="clear" w:color="auto" w:fill="D6F3E8"/>
          </w:tcPr>
          <w:p>
            <w:pPr>
              <w:jc w:val="right"/>
              <w:ind w:right="280"/>
              <w:spacing w:after="0"/>
              <w:rPr>
                <w:sz w:val="20"/>
                <w:szCs w:val="20"/>
                <w:color w:val="auto"/>
              </w:rPr>
            </w:pPr>
            <w:r>
              <w:rPr>
                <w:rFonts w:ascii="Arial" w:cs="Arial" w:eastAsia="Arial" w:hAnsi="Arial"/>
                <w:sz w:val="18"/>
                <w:szCs w:val="18"/>
                <w:color w:val="auto"/>
              </w:rPr>
              <w:t>(511)</w:t>
            </w:r>
          </w:p>
        </w:tc>
        <w:tc>
          <w:tcPr>
            <w:tcW w:w="1000" w:type="dxa"/>
            <w:vAlign w:val="bottom"/>
            <w:gridSpan w:val="2"/>
            <w:vMerge w:val="restart"/>
            <w:shd w:val="clear" w:color="auto" w:fill="D6F3E8"/>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1"/>
        </w:trPr>
        <w:tc>
          <w:tcPr>
            <w:tcW w:w="2580" w:type="dxa"/>
            <w:vAlign w:val="bottom"/>
            <w:shd w:val="clear" w:color="auto" w:fill="D6F3E8"/>
          </w:tcPr>
          <w:p>
            <w:pPr>
              <w:ind w:left="260"/>
              <w:spacing w:after="0"/>
              <w:rPr>
                <w:sz w:val="20"/>
                <w:szCs w:val="20"/>
                <w:color w:val="auto"/>
              </w:rPr>
            </w:pPr>
            <w:r>
              <w:rPr>
                <w:rFonts w:ascii="Arial" w:cs="Arial" w:eastAsia="Arial" w:hAnsi="Arial"/>
                <w:sz w:val="18"/>
                <w:szCs w:val="18"/>
                <w:color w:val="auto"/>
              </w:rPr>
              <w:t>(units)</w:t>
            </w:r>
          </w:p>
        </w:tc>
        <w:tc>
          <w:tcPr>
            <w:tcW w:w="12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00" w:type="dxa"/>
            <w:vAlign w:val="bottom"/>
            <w:vMerge w:val="continue"/>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vMerge w:val="continue"/>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vMerge w:val="continue"/>
            <w:shd w:val="clear" w:color="auto" w:fill="D6F3E8"/>
          </w:tcPr>
          <w:p>
            <w:pPr>
              <w:spacing w:after="0"/>
              <w:rPr>
                <w:sz w:val="18"/>
                <w:szCs w:val="18"/>
                <w:color w:val="auto"/>
              </w:rPr>
            </w:pPr>
          </w:p>
        </w:tc>
        <w:tc>
          <w:tcPr>
            <w:tcW w:w="1000" w:type="dxa"/>
            <w:vAlign w:val="bottom"/>
            <w:gridSpan w:val="2"/>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D6F3E8"/>
            </w:tcBorders>
          </w:tcPr>
          <w:p>
            <w:pPr>
              <w:spacing w:after="0" w:line="20" w:lineRule="exact"/>
              <w:rPr>
                <w:sz w:val="1"/>
                <w:szCs w:val="1"/>
                <w:color w:val="auto"/>
              </w:rPr>
            </w:pPr>
          </w:p>
        </w:tc>
        <w:tc>
          <w:tcPr>
            <w:tcW w:w="12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D6F3E8"/>
              <w:bottom w:val="single" w:sz="8" w:color="D6F3E8"/>
            </w:tcBorders>
            <w:gridSpan w:val="2"/>
            <w:vMerge w:val="restart"/>
          </w:tcPr>
          <w:p>
            <w:pPr>
              <w:jc w:val="right"/>
              <w:ind w:right="219"/>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88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7105650</wp:posOffset>
            </wp:positionH>
            <wp:positionV relativeFrom="paragraph">
              <wp:posOffset>-392430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-392430</wp:posOffset>
            </wp:positionV>
            <wp:extent cx="214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0" w:gutter="0" w:footer="0" w:header="0"/>
          <w:type w:val="continuous"/>
        </w:sectPr>
      </w:pPr>
    </w:p>
    <w:bookmarkStart w:id="8" w:name="page9"/>
    <w:bookmarkEnd w:id="8"/>
    <w:p>
      <w:pPr>
        <w:ind w:right="8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Long-term demographics are favorable for our industry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Motor homebuyers are entering the market earlier than in the past, as young as 35, and living active and healthier lives with more buyers remaining in the RV lifestyle over the age of 75. The study also indicates that owners are using their motor homes for more than just traditional camping, having a positive impact on long-term motor home market growth. The study shows that motor homes are used to pursue consumers’ many lifestyle passions which may include going to motor sports events or tailgating at sporting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55"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Revenues from the sales of our original equipment manufacturing components and motor home-related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Postretirement Benefits Obligations and Costs. </w:t>
      </w:r>
      <w:r>
        <w:rPr>
          <w:rFonts w:ascii="Arial" w:cs="Arial" w:eastAsia="Arial" w:hAnsi="Arial"/>
          <w:sz w:val="16"/>
          <w:szCs w:val="16"/>
          <w:color w:val="auto"/>
        </w:rPr>
        <w:t>We provide certain health care and other benefits for retired employees, hired before April 1, 2001,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fulfilled eligibility requirements at age 55 with 15 years of continuous service. Postretirement benefit liabilities are determined by actuaries using assumptions about the discount rate and health care cost-trend rates. A significant increase or decrease in interest rates could have a significant impact on our operating results. Further discussion of our postretirement benefit plan and related assumptions is included in Note 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A comprehensive 12-month/15,000-mile warranty and a 3-year/36,000-mile warranty on sidewalls and floors are provided by us with the purchase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any new motor home. Estimated costs related to product warranty are accrued at the time of sale and are based upon past warranty claims and unit sales history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adjusted as required to reflect actual costs incurred, as information becomes available. A significant increase in dealership labor rates, the cost of parts 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frequency of claims could have a material adverse impact on our operating results for the period or periods in which such claims or additional costs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materialize. We also incur costs as a result of additional service actions not covered by our warranties, including product recalls and customer satisfaction actions.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Estimated costs are accrued at the time the service action is implemented and are based upon past claim rate experiences and the estimated cost of the repairs.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 of our warranty costs and associated accruals is included in Note 5.</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Repurchase Commitments. </w:t>
      </w:r>
      <w:r>
        <w:rPr>
          <w:rFonts w:ascii="Arial" w:cs="Arial" w:eastAsia="Arial" w:hAnsi="Arial"/>
          <w:sz w:val="18"/>
          <w:szCs w:val="18"/>
          <w:color w:val="auto"/>
        </w:rPr>
        <w:t>Generally, companies in the RV industry enter into repurchase agreements with lending institutions which have provided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floorplan financing to dealers. Our repurchase agreements provide that, in the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obligations under these repurchase agreements are reduced by the proceeds received upon the resale of any repurchased unit. The gross repurchase obligation will vary depending on the season and the level of dealer inventories. Past losses under these agreements have not been significant. Further discussion of our repurchase obligations is included in Note 7.</w:t>
      </w:r>
    </w:p>
    <w:p>
      <w:pPr>
        <w:spacing w:after="0" w:line="188"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Historically, we have granted stock options to our key employees and nonemployee directors as part of their compensation.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2007, we granted restricted stock awards to key employees and nonemployee directors instead of stock options.</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These assumptions include, among others, our expected stock price volatility and the expected life of our stock options, which are based primarily on our historical experience.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restricted stock is based on the closing price of our common stock on the date of grant.</w:t>
      </w:r>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w:t>
      </w:r>
    </w:p>
    <w:p>
      <w:pPr>
        <w:sectPr>
          <w:pgSz w:w="11900" w:h="16838" w:orient="portrait"/>
          <w:cols w:equalWidth="0" w:num="1">
            <w:col w:w="11400"/>
          </w:cols>
          <w:pgMar w:left="240" w:top="131" w:right="259" w:bottom="0" w:gutter="0" w:footer="0" w:header="0"/>
        </w:sectPr>
      </w:pPr>
    </w:p>
    <w:bookmarkStart w:id="9" w:name="page10"/>
    <w:bookmarkEnd w:id="9"/>
    <w:p>
      <w:pPr>
        <w:ind w:right="40"/>
        <w:spacing w:after="0" w:line="256" w:lineRule="auto"/>
        <w:rPr>
          <w:sz w:val="20"/>
          <w:szCs w:val="20"/>
          <w:color w:val="auto"/>
        </w:rPr>
      </w:pPr>
      <w:r>
        <w:rPr>
          <w:rFonts w:ascii="Arial" w:cs="Arial" w:eastAsia="Arial" w:hAnsi="Arial"/>
          <w:sz w:val="18"/>
          <w:szCs w:val="18"/>
          <w:color w:val="auto"/>
        </w:rPr>
        <w:t>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Same Quarter Last Year</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February 24, 2007 compared to the quarter ended February 25,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Feb. 24,</w:t>
            </w:r>
          </w:p>
        </w:tc>
        <w:tc>
          <w:tcPr>
            <w:tcW w:w="200" w:type="dxa"/>
            <w:vAlign w:val="bottom"/>
          </w:tcPr>
          <w:p>
            <w:pPr>
              <w:spacing w:after="0"/>
              <w:rPr>
                <w:sz w:val="11"/>
                <w:szCs w:val="11"/>
                <w:color w:val="auto"/>
              </w:rPr>
            </w:pPr>
          </w:p>
        </w:tc>
        <w:tc>
          <w:tcPr>
            <w:tcW w:w="104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112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Feb. 25,</w:t>
            </w:r>
          </w:p>
        </w:tc>
        <w:tc>
          <w:tcPr>
            <w:tcW w:w="120" w:type="dxa"/>
            <w:vAlign w:val="bottom"/>
          </w:tcPr>
          <w:p>
            <w:pPr>
              <w:spacing w:after="0"/>
              <w:rPr>
                <w:sz w:val="11"/>
                <w:szCs w:val="11"/>
                <w:color w:val="auto"/>
              </w:rPr>
            </w:pPr>
          </w:p>
        </w:tc>
        <w:tc>
          <w:tcPr>
            <w:tcW w:w="112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40" w:type="dxa"/>
            <w:vAlign w:val="bottom"/>
            <w:gridSpan w:val="2"/>
          </w:tcPr>
          <w:p>
            <w:pPr>
              <w:jc w:val="right"/>
              <w:ind w:right="458"/>
              <w:spacing w:after="0" w:line="129" w:lineRule="exact"/>
              <w:rPr>
                <w:sz w:val="20"/>
                <w:szCs w:val="20"/>
                <w:color w:val="auto"/>
              </w:rPr>
            </w:pPr>
            <w:r>
              <w:rPr>
                <w:rFonts w:ascii="Arial" w:cs="Arial" w:eastAsia="Arial" w:hAnsi="Arial"/>
                <w:sz w:val="14"/>
                <w:szCs w:val="14"/>
                <w:b w:val="1"/>
                <w:bCs w:val="1"/>
                <w:color w:val="auto"/>
                <w:w w:val="94"/>
              </w:rPr>
              <w:t>(Decrease)</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 and per share data)</w:t>
            </w:r>
          </w:p>
        </w:tc>
        <w:tc>
          <w:tcPr>
            <w:tcW w:w="34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D6F3E8"/>
            </w:tcBorders>
          </w:tcPr>
          <w:p>
            <w:pPr>
              <w:spacing w:after="0"/>
              <w:rPr>
                <w:sz w:val="14"/>
                <w:szCs w:val="14"/>
                <w:color w:val="auto"/>
              </w:rPr>
            </w:pPr>
          </w:p>
        </w:tc>
        <w:tc>
          <w:tcPr>
            <w:tcW w:w="12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D6F3E8"/>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Borders>
              <w:bottom w:val="single" w:sz="8" w:color="D6F3E8"/>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20" w:type="dxa"/>
            <w:vAlign w:val="bottom"/>
            <w:shd w:val="clear" w:color="auto" w:fill="D6F3E8"/>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199,014</w:t>
            </w: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0"/>
                <w:szCs w:val="20"/>
                <w:color w:val="auto"/>
              </w:rPr>
            </w:pPr>
          </w:p>
        </w:tc>
        <w:tc>
          <w:tcPr>
            <w:tcW w:w="12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206,425</w:t>
            </w:r>
          </w:p>
        </w:tc>
        <w:tc>
          <w:tcPr>
            <w:tcW w:w="220" w:type="dxa"/>
            <w:vAlign w:val="bottom"/>
            <w:shd w:val="clear" w:color="auto" w:fill="D6F3E8"/>
          </w:tcPr>
          <w:p>
            <w:pPr>
              <w:spacing w:after="0"/>
              <w:rPr>
                <w:sz w:val="20"/>
                <w:szCs w:val="20"/>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(7,411)</w:t>
            </w: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2"/>
        </w:trPr>
        <w:tc>
          <w:tcPr>
            <w:tcW w:w="34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180,049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186,105</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8"/>
                <w:szCs w:val="18"/>
                <w:color w:val="auto"/>
              </w:rPr>
              <w:t>(6,056)</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D6F3E8"/>
          </w:tcPr>
          <w:p>
            <w:pPr>
              <w:jc w:val="right"/>
              <w:ind w:right="198"/>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D6F3E8"/>
          </w:tcPr>
          <w:p>
            <w:pPr>
              <w:jc w:val="right"/>
              <w:ind w:right="7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4"/>
        </w:trPr>
        <w:tc>
          <w:tcPr>
            <w:tcW w:w="3420" w:type="dxa"/>
            <w:vAlign w:val="bottom"/>
            <w:vMerge w:val="continue"/>
            <w:shd w:val="clear" w:color="auto" w:fill="D6F3E8"/>
          </w:tcPr>
          <w:p>
            <w:pPr>
              <w:spacing w:after="0"/>
              <w:rPr>
                <w:sz w:val="19"/>
                <w:szCs w:val="19"/>
                <w:color w:val="auto"/>
              </w:rPr>
            </w:pPr>
          </w:p>
        </w:tc>
        <w:tc>
          <w:tcPr>
            <w:tcW w:w="34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18,965</w:t>
            </w: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D6F3E8"/>
          </w:tcPr>
          <w:p>
            <w:pPr>
              <w:spacing w:after="0"/>
              <w:rPr>
                <w:sz w:val="19"/>
                <w:szCs w:val="19"/>
                <w:color w:val="auto"/>
              </w:rPr>
            </w:pPr>
          </w:p>
        </w:tc>
        <w:tc>
          <w:tcPr>
            <w:tcW w:w="120" w:type="dxa"/>
            <w:vAlign w:val="bottom"/>
            <w:tcBorders>
              <w:right w:val="single" w:sz="8" w:color="D6F3E8"/>
            </w:tcBorders>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20,320</w:t>
            </w:r>
          </w:p>
        </w:tc>
        <w:tc>
          <w:tcPr>
            <w:tcW w:w="22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(1,355</w:t>
            </w:r>
          </w:p>
        </w:tc>
        <w:tc>
          <w:tcPr>
            <w:tcW w:w="340" w:type="dxa"/>
            <w:vAlign w:val="bottom"/>
            <w:vMerge w:val="continue"/>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w:t>
            </w:r>
          </w:p>
        </w:tc>
        <w:tc>
          <w:tcPr>
            <w:tcW w:w="220" w:type="dxa"/>
            <w:vAlign w:val="bottom"/>
            <w:vMerge w:val="continue"/>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Selling</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4,505</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8"/>
                <w:szCs w:val="18"/>
                <w:color w:val="auto"/>
              </w:rPr>
              <w:t>(190)</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4"/>
        </w:trPr>
        <w:tc>
          <w:tcPr>
            <w:tcW w:w="3420" w:type="dxa"/>
            <w:vAlign w:val="bottom"/>
            <w:shd w:val="clear" w:color="auto" w:fill="D6F3E8"/>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5,290</w:t>
            </w:r>
          </w:p>
        </w:tc>
        <w:tc>
          <w:tcPr>
            <w:tcW w:w="2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6F3E8"/>
          </w:tcPr>
          <w:p>
            <w:pPr>
              <w:spacing w:after="0"/>
              <w:rPr>
                <w:sz w:val="21"/>
                <w:szCs w:val="21"/>
                <w:color w:val="auto"/>
              </w:rPr>
            </w:pPr>
          </w:p>
        </w:tc>
        <w:tc>
          <w:tcPr>
            <w:tcW w:w="120" w:type="dxa"/>
            <w:vAlign w:val="bottom"/>
            <w:tcBorders>
              <w:right w:val="single" w:sz="8" w:color="D6F3E8"/>
            </w:tcBorders>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5,284</w:t>
            </w:r>
          </w:p>
        </w:tc>
        <w:tc>
          <w:tcPr>
            <w:tcW w:w="220" w:type="dxa"/>
            <w:vAlign w:val="bottom"/>
            <w:shd w:val="clear" w:color="auto" w:fill="D6F3E8"/>
          </w:tcPr>
          <w:p>
            <w:pPr>
              <w:spacing w:after="0"/>
              <w:rPr>
                <w:sz w:val="21"/>
                <w:szCs w:val="21"/>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258"/>
              <w:spacing w:after="0"/>
              <w:rPr>
                <w:sz w:val="20"/>
                <w:szCs w:val="20"/>
                <w:color w:val="auto"/>
              </w:rPr>
            </w:pPr>
            <w:r>
              <w:rPr>
                <w:rFonts w:ascii="Arial" w:cs="Arial" w:eastAsia="Arial" w:hAnsi="Arial"/>
                <w:sz w:val="18"/>
                <w:szCs w:val="18"/>
                <w:color w:val="auto"/>
              </w:rPr>
              <w:t>6</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198"/>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9,789</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20" w:type="dxa"/>
            <w:vAlign w:val="bottom"/>
            <w:vMerge w:val="continue"/>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9,360</w:t>
            </w: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D6F3E8"/>
          </w:tcPr>
          <w:p>
            <w:pPr>
              <w:spacing w:after="0"/>
              <w:rPr>
                <w:sz w:val="20"/>
                <w:szCs w:val="20"/>
                <w:color w:val="auto"/>
              </w:rPr>
            </w:pPr>
          </w:p>
        </w:tc>
        <w:tc>
          <w:tcPr>
            <w:tcW w:w="12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10,531</w:t>
            </w:r>
          </w:p>
        </w:tc>
        <w:tc>
          <w:tcPr>
            <w:tcW w:w="220" w:type="dxa"/>
            <w:vAlign w:val="bottom"/>
            <w:shd w:val="clear" w:color="auto" w:fill="D6F3E8"/>
          </w:tcPr>
          <w:p>
            <w:pPr>
              <w:spacing w:after="0"/>
              <w:rPr>
                <w:sz w:val="20"/>
                <w:szCs w:val="20"/>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(1,171)</w:t>
            </w: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2"/>
        </w:trPr>
        <w:tc>
          <w:tcPr>
            <w:tcW w:w="342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288</w:t>
            </w: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20" w:type="dxa"/>
            <w:vAlign w:val="bottom"/>
            <w:vMerge w:val="continue"/>
            <w:shd w:val="clear" w:color="auto" w:fill="D6F3E8"/>
          </w:tcPr>
          <w:p>
            <w:pPr>
              <w:spacing w:after="0"/>
              <w:rPr>
                <w:sz w:val="20"/>
                <w:szCs w:val="20"/>
                <w:color w:val="auto"/>
              </w:rPr>
            </w:pPr>
          </w:p>
        </w:tc>
        <w:tc>
          <w:tcPr>
            <w:tcW w:w="34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D6F3E8"/>
          </w:tcPr>
          <w:p>
            <w:pPr>
              <w:spacing w:after="0"/>
              <w:rPr>
                <w:sz w:val="20"/>
                <w:szCs w:val="20"/>
                <w:color w:val="auto"/>
              </w:rPr>
            </w:pPr>
          </w:p>
        </w:tc>
        <w:tc>
          <w:tcPr>
            <w:tcW w:w="120" w:type="dxa"/>
            <w:vAlign w:val="bottom"/>
            <w:tcBorders>
              <w:right w:val="single" w:sz="8" w:color="D6F3E8"/>
            </w:tcBorders>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11,845</w:t>
            </w:r>
          </w:p>
        </w:tc>
        <w:tc>
          <w:tcPr>
            <w:tcW w:w="220" w:type="dxa"/>
            <w:vAlign w:val="bottom"/>
            <w:shd w:val="clear" w:color="auto" w:fill="D6F3E8"/>
          </w:tcPr>
          <w:p>
            <w:pPr>
              <w:spacing w:after="0"/>
              <w:rPr>
                <w:sz w:val="20"/>
                <w:szCs w:val="20"/>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(883)</w:t>
            </w: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2"/>
        </w:trPr>
        <w:tc>
          <w:tcPr>
            <w:tcW w:w="3420" w:type="dxa"/>
            <w:vAlign w:val="bottom"/>
          </w:tcPr>
          <w:p>
            <w:pPr>
              <w:ind w:left="20"/>
              <w:spacing w:after="0"/>
              <w:rPr>
                <w:sz w:val="20"/>
                <w:szCs w:val="20"/>
                <w:color w:val="auto"/>
              </w:rPr>
            </w:pPr>
            <w:r>
              <w:rPr>
                <w:rFonts w:ascii="Arial" w:cs="Arial" w:eastAsia="Arial" w:hAnsi="Arial"/>
                <w:sz w:val="18"/>
                <w:szCs w:val="18"/>
                <w:color w:val="auto"/>
              </w:rPr>
              <w:t>Provision for taxes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8"/>
                <w:szCs w:val="18"/>
                <w:color w:val="auto"/>
              </w:rPr>
              <w:t>(715)</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420" w:type="dxa"/>
            <w:vAlign w:val="bottom"/>
            <w:shd w:val="clear" w:color="auto" w:fill="D6F3E8"/>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tcBorders>
              <w:right w:val="single" w:sz="8" w:color="D6F3E8"/>
            </w:tcBorders>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7,532</w:t>
            </w: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D6F3E8"/>
          </w:tcPr>
          <w:p>
            <w:pPr>
              <w:spacing w:after="0"/>
              <w:rPr>
                <w:sz w:val="19"/>
                <w:szCs w:val="19"/>
                <w:color w:val="auto"/>
              </w:rPr>
            </w:pPr>
          </w:p>
        </w:tc>
        <w:tc>
          <w:tcPr>
            <w:tcW w:w="120" w:type="dxa"/>
            <w:vAlign w:val="bottom"/>
            <w:tcBorders>
              <w:right w:val="single" w:sz="8" w:color="D6F3E8"/>
            </w:tcBorders>
            <w:shd w:val="clear" w:color="auto" w:fill="D6F3E8"/>
          </w:tcPr>
          <w:p>
            <w:pPr>
              <w:spacing w:after="0"/>
              <w:rPr>
                <w:sz w:val="19"/>
                <w:szCs w:val="19"/>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7,700</w:t>
            </w:r>
          </w:p>
        </w:tc>
        <w:tc>
          <w:tcPr>
            <w:tcW w:w="220" w:type="dxa"/>
            <w:vAlign w:val="bottom"/>
            <w:shd w:val="clear" w:color="auto" w:fill="D6F3E8"/>
          </w:tcPr>
          <w:p>
            <w:pPr>
              <w:spacing w:after="0"/>
              <w:rPr>
                <w:sz w:val="19"/>
                <w:szCs w:val="19"/>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(168)</w:t>
            </w: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20" w:type="dxa"/>
            <w:vAlign w:val="bottom"/>
            <w:tcBorders>
              <w:top w:val="single" w:sz="8" w:color="D6F3E8"/>
              <w:bottom w:val="single" w:sz="8" w:color="D6F3E8"/>
            </w:tcBorders>
            <w:vMerge w:val="restart"/>
          </w:tcPr>
          <w:p>
            <w:pPr>
              <w:ind w:left="20"/>
              <w:spacing w:after="0"/>
              <w:rPr>
                <w:sz w:val="20"/>
                <w:szCs w:val="20"/>
                <w:color w:val="auto"/>
              </w:rPr>
            </w:pPr>
            <w:r>
              <w:rPr>
                <w:rFonts w:ascii="Arial" w:cs="Arial" w:eastAsia="Arial" w:hAnsi="Arial"/>
                <w:sz w:val="18"/>
                <w:szCs w:val="18"/>
                <w:color w:val="auto"/>
              </w:rPr>
              <w:t>Diluted income per share</w:t>
            </w: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0.01</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70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80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shd w:val="clear" w:color="auto" w:fill="D6F3E8"/>
          </w:tcPr>
          <w:p>
            <w:pPr>
              <w:ind w:left="20"/>
              <w:spacing w:after="0"/>
              <w:rPr>
                <w:sz w:val="20"/>
                <w:szCs w:val="20"/>
                <w:color w:val="auto"/>
              </w:rPr>
            </w:pPr>
            <w:r>
              <w:rPr>
                <w:rFonts w:ascii="Arial" w:cs="Arial" w:eastAsia="Arial" w:hAnsi="Arial"/>
                <w:sz w:val="18"/>
                <w:szCs w:val="18"/>
                <w:color w:val="auto"/>
              </w:rPr>
              <w:t>Fully diluted average shares outstanding</w:t>
            </w:r>
          </w:p>
        </w:tc>
        <w:tc>
          <w:tcPr>
            <w:tcW w:w="34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31,764</w:t>
            </w: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7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20" w:type="dxa"/>
            <w:vAlign w:val="bottom"/>
            <w:tcBorders>
              <w:right w:val="single" w:sz="8" w:color="D6F3E8"/>
            </w:tcBorders>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33,147</w:t>
            </w: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8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(1,383)</w:t>
            </w: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42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34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7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Feb. 24,</w:t>
            </w:r>
          </w:p>
        </w:tc>
        <w:tc>
          <w:tcPr>
            <w:tcW w:w="200" w:type="dxa"/>
            <w:vAlign w:val="bottom"/>
          </w:tcPr>
          <w:p>
            <w:pPr>
              <w:spacing w:after="0"/>
              <w:rPr>
                <w:sz w:val="11"/>
                <w:szCs w:val="11"/>
                <w:color w:val="auto"/>
              </w:rPr>
            </w:pPr>
          </w:p>
        </w:tc>
        <w:tc>
          <w:tcPr>
            <w:tcW w:w="104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Product</w:t>
            </w:r>
          </w:p>
        </w:tc>
        <w:tc>
          <w:tcPr>
            <w:tcW w:w="220" w:type="dxa"/>
            <w:vAlign w:val="bottom"/>
          </w:tcPr>
          <w:p>
            <w:pPr>
              <w:spacing w:after="0"/>
              <w:rPr>
                <w:sz w:val="11"/>
                <w:szCs w:val="11"/>
                <w:color w:val="auto"/>
              </w:rPr>
            </w:pPr>
          </w:p>
        </w:tc>
        <w:tc>
          <w:tcPr>
            <w:tcW w:w="11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Feb. 25,</w:t>
            </w:r>
          </w:p>
        </w:tc>
        <w:tc>
          <w:tcPr>
            <w:tcW w:w="120" w:type="dxa"/>
            <w:vAlign w:val="bottom"/>
          </w:tcPr>
          <w:p>
            <w:pPr>
              <w:spacing w:after="0"/>
              <w:rPr>
                <w:sz w:val="11"/>
                <w:szCs w:val="11"/>
                <w:color w:val="auto"/>
              </w:rPr>
            </w:pPr>
          </w:p>
        </w:tc>
        <w:tc>
          <w:tcPr>
            <w:tcW w:w="112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1"/>
                <w:szCs w:val="11"/>
                <w:color w:val="auto"/>
              </w:rPr>
            </w:pPr>
          </w:p>
        </w:tc>
        <w:tc>
          <w:tcPr>
            <w:tcW w:w="1240" w:type="dxa"/>
            <w:vAlign w:val="bottom"/>
            <w:gridSpan w:val="2"/>
          </w:tcPr>
          <w:p>
            <w:pPr>
              <w:jc w:val="right"/>
              <w:ind w:right="458"/>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20"/>
                <w:szCs w:val="20"/>
                <w:color w:val="auto"/>
              </w:rPr>
            </w:pPr>
            <w:r>
              <w:rPr>
                <w:rFonts w:ascii="Arial" w:cs="Arial" w:eastAsia="Arial" w:hAnsi="Arial"/>
                <w:sz w:val="14"/>
                <w:szCs w:val="14"/>
                <w:b w:val="1"/>
                <w:bCs w:val="1"/>
                <w:color w:val="auto"/>
              </w:rPr>
              <w:t>Motor home unit deliveries: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Mix %</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Mix %</w:t>
            </w:r>
          </w:p>
        </w:tc>
        <w:tc>
          <w:tcPr>
            <w:tcW w:w="1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(Decrease)</w:t>
            </w:r>
          </w:p>
        </w:tc>
        <w:tc>
          <w:tcPr>
            <w:tcW w:w="112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Class A gas</w:t>
            </w:r>
          </w:p>
        </w:tc>
        <w:tc>
          <w:tcPr>
            <w:tcW w:w="340" w:type="dxa"/>
            <w:vAlign w:val="bottom"/>
            <w:tcBorders>
              <w:top w:val="single" w:sz="8" w:color="auto"/>
              <w:right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Class A diesel</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20"/>
                <w:szCs w:val="20"/>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42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Class A</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top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Class C</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0"/>
                <w:szCs w:val="20"/>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20"/>
                <w:szCs w:val="20"/>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8"/>
                <w:szCs w:val="18"/>
                <w:color w:val="auto"/>
              </w:rPr>
              <w:t>(352)</w:t>
            </w:r>
          </w:p>
        </w:tc>
        <w:tc>
          <w:tcPr>
            <w:tcW w:w="1120" w:type="dxa"/>
            <w:vAlign w:val="bottom"/>
            <w:gridSpan w:val="2"/>
          </w:tcPr>
          <w:p>
            <w:pPr>
              <w:jc w:val="right"/>
              <w:ind w:right="7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420" w:type="dxa"/>
            <w:vAlign w:val="bottom"/>
            <w:tcBorders>
              <w:top w:val="single" w:sz="8" w:color="D6F3E8"/>
              <w:bottom w:val="single" w:sz="8" w:color="D6F3E8"/>
            </w:tcBorders>
            <w:shd w:val="clear" w:color="auto" w:fill="D6F3E8"/>
          </w:tcPr>
          <w:p>
            <w:pPr>
              <w:ind w:left="340"/>
              <w:spacing w:after="0"/>
              <w:rPr>
                <w:sz w:val="20"/>
                <w:szCs w:val="20"/>
                <w:color w:val="auto"/>
              </w:rPr>
            </w:pPr>
            <w:r>
              <w:rPr>
                <w:rFonts w:ascii="Arial" w:cs="Arial" w:eastAsia="Arial" w:hAnsi="Arial"/>
                <w:sz w:val="18"/>
                <w:szCs w:val="18"/>
                <w:color w:val="auto"/>
              </w:rPr>
              <w:t>Total deliveries</w:t>
            </w:r>
          </w:p>
        </w:tc>
        <w:tc>
          <w:tcPr>
            <w:tcW w:w="34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2,268</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Borders>
              <w:top w:val="single" w:sz="8" w:color="D6F3E8"/>
              <w:bottom w:val="single" w:sz="8" w:color="D6F3E8"/>
            </w:tcBorders>
            <w:shd w:val="clear" w:color="auto" w:fill="D6F3E8"/>
          </w:tcPr>
          <w:p>
            <w:pPr>
              <w:jc w:val="right"/>
              <w:ind w:right="198"/>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D6F3E8"/>
              <w:bottom w:val="single" w:sz="8" w:color="D6F3E8"/>
            </w:tcBorders>
            <w:shd w:val="clear" w:color="auto" w:fill="D6F3E8"/>
          </w:tcPr>
          <w:p>
            <w:pPr>
              <w:jc w:val="right"/>
              <w:ind w:right="7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revenues for the quarter ended February 24, 2007 decreased $7.4 million, or 3.6 percent, as a result of a 7.3 percent decrease in unit deliveries. Partially offsetting the revenue decline was an increase in our average selling price for all motor homes of 3.8% when comparing the quarter ended February 24, 2007 to the quarter ended February 25, 2006.</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Class A and C products sold during the quarter shifted back to a more traditional mix. However, with the introduction of the new low-priced Class A gas motor homes for the second quarter, the mix of Class A gas was more heavily weighted to lower-priced units. This was evidenced by a 6.6 percent decrease in our average selling price for Class A gas units when comparing the quarter ended February 24, 2007 to the quarter ended February 25, 2006.</w:t>
      </w:r>
    </w:p>
    <w:p>
      <w:pPr>
        <w:spacing w:after="0" w:line="9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Gross profit margin decreased from 9.8 percent for the quarter ended February 25, 2006 to 9.5 percent, or $1.4 million, for the quarter ended February 24, 2007. The deterioration of gross profit was primarily due to lower volume. The mix of the products sold for the quarter ended February 24, 2007, even though a higher percentage of Class A gas units, did not have a noticeable impact on our margins.</w:t>
      </w:r>
    </w:p>
    <w:p>
      <w:pPr>
        <w:sectPr>
          <w:pgSz w:w="11900" w:h="16838" w:orient="portrait"/>
          <w:cols w:equalWidth="0" w:num="1">
            <w:col w:w="11420"/>
          </w:cols>
          <w:pgMar w:left="240" w:top="131" w:right="239" w:bottom="0" w:gutter="0" w:footer="0" w:header="0"/>
        </w:sectPr>
      </w:pPr>
    </w:p>
    <w:bookmarkStart w:id="10" w:name="page11"/>
    <w:bookmarkEnd w:id="10"/>
    <w:p>
      <w:pPr>
        <w:jc w:val="both"/>
        <w:ind w:right="20"/>
        <w:spacing w:after="0" w:line="370" w:lineRule="auto"/>
        <w:rPr>
          <w:sz w:val="20"/>
          <w:szCs w:val="20"/>
          <w:color w:val="auto"/>
        </w:rPr>
      </w:pPr>
      <w:r>
        <w:rPr>
          <w:rFonts w:ascii="Arial" w:cs="Arial" w:eastAsia="Arial" w:hAnsi="Arial"/>
          <w:sz w:val="15"/>
          <w:szCs w:val="15"/>
          <w:color w:val="auto"/>
        </w:rPr>
        <w:t>Selling expenses decreased $190,000, or 4.2 percent, for the quarter ended February 24, 2007. As a percent of net revenues, selling expenses were 2.1 percent and 2.2 percent for the quarters ended February 24, 2007 and February 25, 2006, respectively. The decreases were due primarily to reductions in advertising expenses.</w:t>
      </w:r>
    </w:p>
    <w:p>
      <w:pPr>
        <w:spacing w:after="0" w:line="49"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General and administrative expenses were essentially flat as expenses increased only $6,000 for the quarter ended February 24, 2007. As a percent of net revenues, general and administrative expenses were 2.7 percent and 2.5 percent for the quarters ended February 24, 2007 and February 25, 2006,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Financial income increased $288,000, or 21.9 percent, for the quarter ended February 24, 2007. The increase in financial income was due to a higher average interest rate earned on investments.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effective income tax rate decreased to 31.3 percent for the quarter ended February 24, 2007 from 35.0 percent for the quarter ended February 25, 2006. The decrease was a result of an increase in tax-free and dividend income and stock option tax benefits due to a larger deduction for tax purposes than book purposes related to the exercise of stock options.</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income decreased by 2.2 percent and income per diluted share increased by 4.3 percent when comparing the quarter ended February 24, 2007 to the quarter ended February 25, 2006. The reason for the decrease in net income compared to the 4.3 percent increase in income per diluted share was due to a lower number of shares of common stock outstanding during the quarter ended February 24, 2007, as a result of shares of common stock repurchased by the Company during Fiscal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Six Months Compared to the Same Six Months Last Year</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six months ended February 24, 2007 compared to the six months ended February 25,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18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9"/>
              </w:rPr>
              <w:t>Feb. 24,</w:t>
            </w:r>
          </w:p>
        </w:tc>
        <w:tc>
          <w:tcPr>
            <w:tcW w:w="26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1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Feb. 25,</w:t>
            </w:r>
          </w:p>
        </w:tc>
        <w:tc>
          <w:tcPr>
            <w:tcW w:w="200" w:type="dxa"/>
            <w:vAlign w:val="bottom"/>
          </w:tcPr>
          <w:p>
            <w:pPr>
              <w:spacing w:after="0"/>
              <w:rPr>
                <w:sz w:val="14"/>
                <w:szCs w:val="14"/>
                <w:color w:val="auto"/>
              </w:rPr>
            </w:pPr>
          </w:p>
        </w:tc>
        <w:tc>
          <w:tcPr>
            <w:tcW w:w="10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 and per share data)</w:t>
            </w:r>
          </w:p>
        </w:tc>
        <w:tc>
          <w:tcPr>
            <w:tcW w:w="34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D6F3E8"/>
            </w:tcBorders>
          </w:tcPr>
          <w:p>
            <w:pPr>
              <w:spacing w:after="0"/>
              <w:rPr>
                <w:sz w:val="14"/>
                <w:szCs w:val="14"/>
                <w:color w:val="auto"/>
              </w:rPr>
            </w:pPr>
          </w:p>
        </w:tc>
        <w:tc>
          <w:tcPr>
            <w:tcW w:w="14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Borders>
              <w:bottom w:val="single" w:sz="8" w:color="D6F3E8"/>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1"/>
              </w:rPr>
              <w:t>Increase</w:t>
            </w:r>
          </w:p>
        </w:tc>
        <w:tc>
          <w:tcPr>
            <w:tcW w:w="340" w:type="dxa"/>
            <w:vAlign w:val="bottom"/>
            <w:tcBorders>
              <w:bottom w:val="single" w:sz="8" w:color="D6F3E8"/>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D6F3E8"/>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left w:val="single" w:sz="8" w:color="D6F3E8"/>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400,779</w:t>
            </w:r>
          </w:p>
        </w:tc>
        <w:tc>
          <w:tcPr>
            <w:tcW w:w="340" w:type="dxa"/>
            <w:vAlign w:val="bottom"/>
            <w:tcBorders>
              <w:right w:val="single" w:sz="8" w:color="D6F3E8"/>
            </w:tcBorders>
            <w:shd w:val="clear" w:color="auto" w:fill="D6F3E8"/>
          </w:tcPr>
          <w:p>
            <w:pPr>
              <w:spacing w:after="0"/>
              <w:rPr>
                <w:sz w:val="20"/>
                <w:szCs w:val="20"/>
                <w:color w:val="auto"/>
              </w:rPr>
            </w:pPr>
          </w:p>
        </w:tc>
        <w:tc>
          <w:tcPr>
            <w:tcW w:w="1220" w:type="dxa"/>
            <w:vAlign w:val="bottom"/>
            <w:tcBorders>
              <w:right w:val="single" w:sz="8" w:color="D6F3E8"/>
            </w:tcBorders>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438,680</w:t>
            </w:r>
          </w:p>
        </w:tc>
        <w:tc>
          <w:tcPr>
            <w:tcW w:w="140" w:type="dxa"/>
            <w:vAlign w:val="bottom"/>
            <w:shd w:val="clear" w:color="auto" w:fill="D6F3E8"/>
          </w:tcPr>
          <w:p>
            <w:pPr>
              <w:spacing w:after="0"/>
              <w:rPr>
                <w:sz w:val="20"/>
                <w:szCs w:val="20"/>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spacing w:after="0"/>
              <w:rPr>
                <w:sz w:val="20"/>
                <w:szCs w:val="20"/>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(37,901)</w:t>
            </w:r>
          </w:p>
        </w:tc>
        <w:tc>
          <w:tcPr>
            <w:tcW w:w="240" w:type="dxa"/>
            <w:vAlign w:val="bottom"/>
            <w:shd w:val="clear" w:color="auto" w:fill="D6F3E8"/>
          </w:tcPr>
          <w:p>
            <w:pPr>
              <w:spacing w:after="0"/>
              <w:rPr>
                <w:sz w:val="20"/>
                <w:szCs w:val="20"/>
                <w:color w:val="auto"/>
              </w:rPr>
            </w:pPr>
          </w:p>
        </w:tc>
        <w:tc>
          <w:tcPr>
            <w:tcW w:w="10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D6F3E8"/>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360,430</w:t>
            </w: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387,196</w:t>
            </w: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(26,766)</w:t>
            </w:r>
          </w:p>
        </w:tc>
        <w:tc>
          <w:tcPr>
            <w:tcW w:w="2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6F3E8"/>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vMerge w:val="restart"/>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D6F3E8"/>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gridSpan w:val="2"/>
            <w:vMerge w:val="continue"/>
            <w:shd w:val="clear" w:color="auto" w:fill="D6F3E8"/>
          </w:tcPr>
          <w:p>
            <w:pPr>
              <w:spacing w:after="0"/>
              <w:rPr>
                <w:sz w:val="19"/>
                <w:szCs w:val="19"/>
                <w:color w:val="auto"/>
              </w:rPr>
            </w:pPr>
          </w:p>
        </w:tc>
        <w:tc>
          <w:tcPr>
            <w:tcW w:w="180" w:type="dxa"/>
            <w:vAlign w:val="bottom"/>
            <w:tcBorders>
              <w:left w:val="single" w:sz="8" w:color="D6F3E8"/>
            </w:tcBorders>
            <w:shd w:val="clear" w:color="auto" w:fill="D6F3E8"/>
          </w:tcPr>
          <w:p>
            <w:pPr>
              <w:spacing w:after="0"/>
              <w:rPr>
                <w:sz w:val="19"/>
                <w:szCs w:val="19"/>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40,349</w:t>
            </w:r>
          </w:p>
        </w:tc>
        <w:tc>
          <w:tcPr>
            <w:tcW w:w="340" w:type="dxa"/>
            <w:vAlign w:val="bottom"/>
            <w:tcBorders>
              <w:right w:val="single" w:sz="8" w:color="D6F3E8"/>
            </w:tcBorders>
            <w:shd w:val="clear" w:color="auto" w:fill="D6F3E8"/>
          </w:tcPr>
          <w:p>
            <w:pPr>
              <w:spacing w:after="0"/>
              <w:rPr>
                <w:sz w:val="19"/>
                <w:szCs w:val="19"/>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51,484</w:t>
            </w:r>
          </w:p>
        </w:tc>
        <w:tc>
          <w:tcPr>
            <w:tcW w:w="140" w:type="dxa"/>
            <w:vAlign w:val="bottom"/>
            <w:shd w:val="clear" w:color="auto" w:fill="D6F3E8"/>
          </w:tcPr>
          <w:p>
            <w:pPr>
              <w:spacing w:after="0"/>
              <w:rPr>
                <w:sz w:val="19"/>
                <w:szCs w:val="19"/>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(11,135</w:t>
            </w:r>
          </w:p>
        </w:tc>
        <w:tc>
          <w:tcPr>
            <w:tcW w:w="100" w:type="dxa"/>
            <w:vAlign w:val="bottom"/>
            <w:vMerge w:val="continue"/>
            <w:shd w:val="clear" w:color="auto" w:fill="D6F3E8"/>
          </w:tcPr>
          <w:p>
            <w:pPr>
              <w:spacing w:after="0"/>
              <w:rPr>
                <w:sz w:val="19"/>
                <w:szCs w:val="19"/>
                <w:color w:val="auto"/>
              </w:rPr>
            </w:pPr>
          </w:p>
        </w:tc>
        <w:tc>
          <w:tcPr>
            <w:tcW w:w="240" w:type="dxa"/>
            <w:vAlign w:val="bottom"/>
            <w:vMerge w:val="continue"/>
            <w:shd w:val="clear" w:color="auto" w:fill="D6F3E8"/>
          </w:tcPr>
          <w:p>
            <w:pPr>
              <w:spacing w:after="0"/>
              <w:rPr>
                <w:sz w:val="19"/>
                <w:szCs w:val="19"/>
                <w:color w:val="auto"/>
              </w:rPr>
            </w:pPr>
          </w:p>
        </w:tc>
        <w:tc>
          <w:tcPr>
            <w:tcW w:w="8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(21.6</w:t>
            </w:r>
          </w:p>
        </w:tc>
        <w:tc>
          <w:tcPr>
            <w:tcW w:w="120" w:type="dxa"/>
            <w:vAlign w:val="bottom"/>
            <w:vMerge w:val="continue"/>
            <w:shd w:val="clear" w:color="auto" w:fill="D6F3E8"/>
          </w:tcPr>
          <w:p>
            <w:pPr>
              <w:spacing w:after="0"/>
              <w:rPr>
                <w:sz w:val="19"/>
                <w:szCs w:val="19"/>
                <w:color w:val="auto"/>
              </w:rPr>
            </w:pPr>
          </w:p>
        </w:tc>
        <w:tc>
          <w:tcPr>
            <w:tcW w:w="100" w:type="dxa"/>
            <w:vAlign w:val="bottom"/>
            <w:vMerge w:val="continue"/>
            <w:shd w:val="clear" w:color="auto" w:fill="D6F3E8"/>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color w:val="auto"/>
              </w:rPr>
              <w:t>Selling</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9,178</w:t>
            </w:r>
          </w:p>
        </w:tc>
        <w:tc>
          <w:tcPr>
            <w:tcW w:w="14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2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left w:val="single" w:sz="8" w:color="D6F3E8"/>
            </w:tcBorders>
            <w:shd w:val="clear" w:color="auto" w:fill="D6F3E8"/>
          </w:tcPr>
          <w:p>
            <w:pPr>
              <w:spacing w:after="0"/>
              <w:rPr>
                <w:sz w:val="21"/>
                <w:szCs w:val="21"/>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11,807</w:t>
            </w:r>
          </w:p>
        </w:tc>
        <w:tc>
          <w:tcPr>
            <w:tcW w:w="340" w:type="dxa"/>
            <w:vAlign w:val="bottom"/>
            <w:tcBorders>
              <w:right w:val="single" w:sz="8" w:color="D6F3E8"/>
            </w:tcBorders>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10,333</w:t>
            </w:r>
          </w:p>
        </w:tc>
        <w:tc>
          <w:tcPr>
            <w:tcW w:w="140" w:type="dxa"/>
            <w:vAlign w:val="bottom"/>
            <w:shd w:val="clear" w:color="auto" w:fill="D6F3E8"/>
          </w:tcPr>
          <w:p>
            <w:pPr>
              <w:spacing w:after="0"/>
              <w:rPr>
                <w:sz w:val="21"/>
                <w:szCs w:val="21"/>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960" w:type="dxa"/>
            <w:vAlign w:val="bottom"/>
            <w:gridSpan w:val="3"/>
            <w:shd w:val="clear" w:color="auto" w:fill="D6F3E8"/>
          </w:tcPr>
          <w:p>
            <w:pPr>
              <w:jc w:val="right"/>
              <w:ind w:right="18"/>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D6F3E8"/>
          </w:tcPr>
          <w:p>
            <w:pPr>
              <w:spacing w:after="0"/>
              <w:rPr>
                <w:sz w:val="21"/>
                <w:szCs w:val="21"/>
                <w:color w:val="auto"/>
              </w:rPr>
            </w:pPr>
          </w:p>
        </w:tc>
        <w:tc>
          <w:tcPr>
            <w:tcW w:w="1000" w:type="dxa"/>
            <w:vAlign w:val="bottom"/>
            <w:gridSpan w:val="3"/>
            <w:shd w:val="clear" w:color="auto" w:fill="D6F3E8"/>
          </w:tcPr>
          <w:p>
            <w:pPr>
              <w:jc w:val="right"/>
              <w:ind w:right="38"/>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6F3E8"/>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20,849</w:t>
            </w: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19,511</w:t>
            </w:r>
          </w:p>
        </w:tc>
        <w:tc>
          <w:tcPr>
            <w:tcW w:w="14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1,338</w:t>
            </w:r>
          </w:p>
        </w:tc>
        <w:tc>
          <w:tcPr>
            <w:tcW w:w="240" w:type="dxa"/>
            <w:vAlign w:val="bottom"/>
          </w:tcPr>
          <w:p>
            <w:pPr>
              <w:spacing w:after="0"/>
              <w:rPr>
                <w:sz w:val="19"/>
                <w:szCs w:val="19"/>
                <w:color w:val="auto"/>
              </w:rPr>
            </w:pP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20" w:type="dxa"/>
            <w:vAlign w:val="bottom"/>
            <w:gridSpan w:val="2"/>
            <w:vMerge w:val="continue"/>
            <w:shd w:val="clear" w:color="auto" w:fill="D6F3E8"/>
          </w:tcPr>
          <w:p>
            <w:pPr>
              <w:spacing w:after="0"/>
              <w:rPr>
                <w:sz w:val="20"/>
                <w:szCs w:val="20"/>
                <w:color w:val="auto"/>
              </w:rPr>
            </w:pPr>
          </w:p>
        </w:tc>
        <w:tc>
          <w:tcPr>
            <w:tcW w:w="180" w:type="dxa"/>
            <w:vAlign w:val="bottom"/>
            <w:tcBorders>
              <w:left w:val="single" w:sz="8" w:color="D6F3E8"/>
            </w:tcBorders>
            <w:shd w:val="clear" w:color="auto" w:fill="D6F3E8"/>
          </w:tcPr>
          <w:p>
            <w:pPr>
              <w:spacing w:after="0"/>
              <w:rPr>
                <w:sz w:val="20"/>
                <w:szCs w:val="20"/>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19,500</w:t>
            </w:r>
          </w:p>
        </w:tc>
        <w:tc>
          <w:tcPr>
            <w:tcW w:w="340" w:type="dxa"/>
            <w:vAlign w:val="bottom"/>
            <w:tcBorders>
              <w:right w:val="single" w:sz="8" w:color="D6F3E8"/>
            </w:tcBorders>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31,973</w:t>
            </w:r>
          </w:p>
        </w:tc>
        <w:tc>
          <w:tcPr>
            <w:tcW w:w="140" w:type="dxa"/>
            <w:vAlign w:val="bottom"/>
            <w:shd w:val="clear" w:color="auto" w:fill="D6F3E8"/>
          </w:tcPr>
          <w:p>
            <w:pPr>
              <w:spacing w:after="0"/>
              <w:rPr>
                <w:sz w:val="20"/>
                <w:szCs w:val="20"/>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(12,473)</w:t>
            </w:r>
          </w:p>
        </w:tc>
        <w:tc>
          <w:tcPr>
            <w:tcW w:w="240" w:type="dxa"/>
            <w:vAlign w:val="bottom"/>
            <w:shd w:val="clear" w:color="auto" w:fill="D6F3E8"/>
          </w:tcPr>
          <w:p>
            <w:pPr>
              <w:spacing w:after="0"/>
              <w:rPr>
                <w:sz w:val="20"/>
                <w:szCs w:val="20"/>
                <w:color w:val="auto"/>
              </w:rPr>
            </w:pPr>
          </w:p>
        </w:tc>
        <w:tc>
          <w:tcPr>
            <w:tcW w:w="10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D6F3E8"/>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Financial income</w:t>
            </w:r>
          </w:p>
        </w:tc>
        <w:tc>
          <w:tcPr>
            <w:tcW w:w="1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3,165</w:t>
            </w: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2,236</w:t>
            </w: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1"/>
                <w:szCs w:val="21"/>
                <w:color w:val="auto"/>
              </w:rPr>
            </w:pP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20" w:type="dxa"/>
            <w:vAlign w:val="bottom"/>
            <w:gridSpan w:val="2"/>
            <w:vMerge w:val="continue"/>
            <w:shd w:val="clear" w:color="auto" w:fill="D6F3E8"/>
          </w:tcPr>
          <w:p>
            <w:pPr>
              <w:spacing w:after="0"/>
              <w:rPr>
                <w:sz w:val="20"/>
                <w:szCs w:val="20"/>
                <w:color w:val="auto"/>
              </w:rPr>
            </w:pPr>
          </w:p>
        </w:tc>
        <w:tc>
          <w:tcPr>
            <w:tcW w:w="180" w:type="dxa"/>
            <w:vAlign w:val="bottom"/>
            <w:tcBorders>
              <w:left w:val="single" w:sz="8" w:color="D6F3E8"/>
            </w:tcBorders>
            <w:shd w:val="clear" w:color="auto" w:fill="D6F3E8"/>
          </w:tcPr>
          <w:p>
            <w:pPr>
              <w:spacing w:after="0"/>
              <w:rPr>
                <w:sz w:val="20"/>
                <w:szCs w:val="20"/>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340" w:type="dxa"/>
            <w:vAlign w:val="bottom"/>
            <w:tcBorders>
              <w:right w:val="single" w:sz="8" w:color="D6F3E8"/>
            </w:tcBorders>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right w:val="single" w:sz="8" w:color="D6F3E8"/>
            </w:tcBorders>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34,209</w:t>
            </w:r>
          </w:p>
        </w:tc>
        <w:tc>
          <w:tcPr>
            <w:tcW w:w="140" w:type="dxa"/>
            <w:vAlign w:val="bottom"/>
            <w:shd w:val="clear" w:color="auto" w:fill="D6F3E8"/>
          </w:tcPr>
          <w:p>
            <w:pPr>
              <w:spacing w:after="0"/>
              <w:rPr>
                <w:sz w:val="20"/>
                <w:szCs w:val="20"/>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(11,544)</w:t>
            </w:r>
          </w:p>
        </w:tc>
        <w:tc>
          <w:tcPr>
            <w:tcW w:w="240" w:type="dxa"/>
            <w:vAlign w:val="bottom"/>
            <w:shd w:val="clear" w:color="auto" w:fill="D6F3E8"/>
          </w:tcPr>
          <w:p>
            <w:pPr>
              <w:spacing w:after="0"/>
              <w:rPr>
                <w:sz w:val="20"/>
                <w:szCs w:val="20"/>
                <w:color w:val="auto"/>
              </w:rPr>
            </w:pPr>
          </w:p>
        </w:tc>
        <w:tc>
          <w:tcPr>
            <w:tcW w:w="10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D6F3E8"/>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Provision for taxes</w:t>
            </w:r>
          </w:p>
        </w:tc>
        <w:tc>
          <w:tcPr>
            <w:tcW w:w="1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7,197</w:t>
            </w: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11,939</w:t>
            </w:r>
          </w:p>
        </w:tc>
        <w:tc>
          <w:tcPr>
            <w:tcW w:w="1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D6F3E8"/>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D6F3E8"/>
            </w:tcBorders>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Borders>
              <w:right w:val="single" w:sz="8" w:color="D6F3E8"/>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gridSpan w:val="2"/>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left w:val="single" w:sz="8" w:color="D6F3E8"/>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340" w:type="dxa"/>
            <w:vAlign w:val="bottom"/>
            <w:tcBorders>
              <w:right w:val="single" w:sz="8" w:color="D6F3E8"/>
            </w:tcBorders>
            <w:shd w:val="clear" w:color="auto" w:fill="D6F3E8"/>
          </w:tcPr>
          <w:p>
            <w:pPr>
              <w:spacing w:after="0"/>
              <w:rPr>
                <w:sz w:val="19"/>
                <w:szCs w:val="19"/>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right w:val="single" w:sz="8" w:color="D6F3E8"/>
            </w:tcBorders>
            <w:shd w:val="clear" w:color="auto" w:fill="D6F3E8"/>
          </w:tcPr>
          <w:p>
            <w:pPr>
              <w:spacing w:after="0"/>
              <w:rPr>
                <w:sz w:val="19"/>
                <w:szCs w:val="19"/>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22,270</w:t>
            </w:r>
          </w:p>
        </w:tc>
        <w:tc>
          <w:tcPr>
            <w:tcW w:w="140" w:type="dxa"/>
            <w:vAlign w:val="bottom"/>
            <w:shd w:val="clear" w:color="auto" w:fill="D6F3E8"/>
          </w:tcPr>
          <w:p>
            <w:pPr>
              <w:spacing w:after="0"/>
              <w:rPr>
                <w:sz w:val="19"/>
                <w:szCs w:val="19"/>
                <w:color w:val="auto"/>
              </w:rPr>
            </w:pPr>
          </w:p>
        </w:tc>
        <w:tc>
          <w:tcPr>
            <w:tcW w:w="110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D6F3E8"/>
          </w:tcPr>
          <w:p>
            <w:pPr>
              <w:spacing w:after="0"/>
              <w:rPr>
                <w:sz w:val="19"/>
                <w:szCs w:val="19"/>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(6,802)</w:t>
            </w:r>
          </w:p>
        </w:tc>
        <w:tc>
          <w:tcPr>
            <w:tcW w:w="240" w:type="dxa"/>
            <w:vAlign w:val="bottom"/>
            <w:shd w:val="clear" w:color="auto" w:fill="D6F3E8"/>
          </w:tcPr>
          <w:p>
            <w:pPr>
              <w:spacing w:after="0"/>
              <w:rPr>
                <w:sz w:val="19"/>
                <w:szCs w:val="19"/>
                <w:color w:val="auto"/>
              </w:rPr>
            </w:pPr>
          </w:p>
        </w:tc>
        <w:tc>
          <w:tcPr>
            <w:tcW w:w="10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D6F3E8"/>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bottom w:val="single" w:sz="8" w:color="D6F3E8"/>
            </w:tcBorders>
            <w:gridSpan w:val="2"/>
            <w:vMerge w:val="restart"/>
          </w:tcPr>
          <w:p>
            <w:pPr>
              <w:ind w:left="20"/>
              <w:spacing w:after="0"/>
              <w:rPr>
                <w:sz w:val="20"/>
                <w:szCs w:val="20"/>
                <w:color w:val="auto"/>
              </w:rPr>
            </w:pPr>
            <w:r>
              <w:rPr>
                <w:rFonts w:ascii="Arial" w:cs="Arial" w:eastAsia="Arial" w:hAnsi="Arial"/>
                <w:sz w:val="18"/>
                <w:szCs w:val="18"/>
                <w:color w:val="auto"/>
              </w:rPr>
              <w:t>Diluted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gridSpan w:val="2"/>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tcBorders>
            <w:gridSpan w:val="2"/>
            <w:vMerge w:val="restart"/>
            <w:shd w:val="clear" w:color="auto" w:fill="D6F3E8"/>
          </w:tcPr>
          <w:p>
            <w:pPr>
              <w:ind w:left="20"/>
              <w:spacing w:after="0"/>
              <w:rPr>
                <w:sz w:val="20"/>
                <w:szCs w:val="20"/>
                <w:color w:val="auto"/>
              </w:rPr>
            </w:pPr>
            <w:r>
              <w:rPr>
                <w:rFonts w:ascii="Arial" w:cs="Arial" w:eastAsia="Arial" w:hAnsi="Arial"/>
                <w:sz w:val="18"/>
                <w:szCs w:val="18"/>
                <w:color w:val="auto"/>
              </w:rPr>
              <w:t>Fully diluted average shares outstanding</w:t>
            </w: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260" w:type="dxa"/>
            <w:vAlign w:val="bottom"/>
            <w:tcBorders>
              <w:top w:val="single" w:sz="8" w:color="D6F3E8"/>
            </w:tcBorders>
            <w:shd w:val="clear" w:color="auto" w:fill="D6F3E8"/>
          </w:tcPr>
          <w:p>
            <w:pPr>
              <w:spacing w:after="0" w:line="20" w:lineRule="exact"/>
              <w:rPr>
                <w:sz w:val="1"/>
                <w:szCs w:val="1"/>
                <w:color w:val="auto"/>
              </w:rPr>
            </w:pPr>
          </w:p>
        </w:tc>
        <w:tc>
          <w:tcPr>
            <w:tcW w:w="64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D6F3E8"/>
              <w:right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70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shd w:val="clear" w:color="auto" w:fill="D6F3E8"/>
          </w:tcPr>
          <w:p>
            <w:pPr>
              <w:spacing w:after="0"/>
              <w:rPr>
                <w:sz w:val="18"/>
                <w:szCs w:val="18"/>
                <w:color w:val="auto"/>
              </w:rPr>
            </w:pPr>
          </w:p>
        </w:tc>
        <w:tc>
          <w:tcPr>
            <w:tcW w:w="180" w:type="dxa"/>
            <w:vAlign w:val="bottom"/>
            <w:tcBorders>
              <w:left w:val="single" w:sz="8" w:color="D6F3E8"/>
            </w:tcBorders>
            <w:shd w:val="clear" w:color="auto" w:fill="D6F3E8"/>
          </w:tcPr>
          <w:p>
            <w:pPr>
              <w:spacing w:after="0"/>
              <w:rPr>
                <w:sz w:val="18"/>
                <w:szCs w:val="18"/>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31,666</w:t>
            </w:r>
          </w:p>
        </w:tc>
        <w:tc>
          <w:tcPr>
            <w:tcW w:w="340" w:type="dxa"/>
            <w:vAlign w:val="bottom"/>
            <w:tcBorders>
              <w:right w:val="single" w:sz="8" w:color="D6F3E8"/>
            </w:tcBorders>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320" w:type="dxa"/>
            <w:vAlign w:val="bottom"/>
            <w:tcBorders>
              <w:right w:val="single" w:sz="8" w:color="D6F3E8"/>
            </w:tcBorders>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20" w:type="dxa"/>
            <w:vAlign w:val="bottom"/>
            <w:gridSpan w:val="3"/>
            <w:shd w:val="clear" w:color="auto" w:fill="D6F3E8"/>
          </w:tcPr>
          <w:p>
            <w:pPr>
              <w:jc w:val="right"/>
              <w:ind w:right="200"/>
              <w:spacing w:after="0"/>
              <w:rPr>
                <w:sz w:val="20"/>
                <w:szCs w:val="20"/>
                <w:color w:val="auto"/>
              </w:rPr>
            </w:pPr>
            <w:r>
              <w:rPr>
                <w:rFonts w:ascii="Arial" w:cs="Arial" w:eastAsia="Arial" w:hAnsi="Arial"/>
                <w:sz w:val="18"/>
                <w:szCs w:val="18"/>
                <w:color w:val="auto"/>
              </w:rPr>
              <w:t>33,167</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D6F3E8"/>
          </w:tcPr>
          <w:p>
            <w:pPr>
              <w:spacing w:after="0"/>
              <w:rPr>
                <w:sz w:val="18"/>
                <w:szCs w:val="18"/>
                <w:color w:val="auto"/>
              </w:rPr>
            </w:pPr>
          </w:p>
        </w:tc>
        <w:tc>
          <w:tcPr>
            <w:tcW w:w="10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D6F3E8"/>
              <w:bottom w:val="single" w:sz="8" w:color="D6F3E8"/>
            </w:tcBorders>
            <w:gridSpan w:val="2"/>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64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70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Feb. 24,</w:t>
            </w:r>
          </w:p>
        </w:tc>
        <w:tc>
          <w:tcPr>
            <w:tcW w:w="260" w:type="dxa"/>
            <w:vAlign w:val="bottom"/>
          </w:tcPr>
          <w:p>
            <w:pPr>
              <w:spacing w:after="0"/>
              <w:rPr>
                <w:sz w:val="11"/>
                <w:szCs w:val="11"/>
                <w:color w:val="auto"/>
              </w:rPr>
            </w:pPr>
          </w:p>
        </w:tc>
        <w:tc>
          <w:tcPr>
            <w:tcW w:w="9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Feb. 25,</w:t>
            </w:r>
          </w:p>
        </w:tc>
        <w:tc>
          <w:tcPr>
            <w:tcW w:w="200" w:type="dxa"/>
            <w:vAlign w:val="bottom"/>
          </w:tcPr>
          <w:p>
            <w:pPr>
              <w:spacing w:after="0"/>
              <w:rPr>
                <w:sz w:val="11"/>
                <w:szCs w:val="11"/>
                <w:color w:val="auto"/>
              </w:rPr>
            </w:pPr>
          </w:p>
        </w:tc>
        <w:tc>
          <w:tcPr>
            <w:tcW w:w="10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Product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rPr>
              <w:t>Increase</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Mix %</w:t>
            </w:r>
          </w:p>
        </w:tc>
        <w:tc>
          <w:tcPr>
            <w:tcW w:w="18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Mix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180" w:type="dxa"/>
            <w:vAlign w:val="bottom"/>
            <w:tcBorders>
              <w:top w:val="single" w:sz="8" w:color="D6F3E8"/>
              <w:left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980" w:type="dxa"/>
            <w:vAlign w:val="bottom"/>
            <w:tcBorders>
              <w:top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1,658</w:t>
            </w:r>
          </w:p>
        </w:tc>
        <w:tc>
          <w:tcPr>
            <w:tcW w:w="260" w:type="dxa"/>
            <w:vAlign w:val="bottom"/>
            <w:tcBorders>
              <w:top w:val="single" w:sz="8" w:color="D6F3E8"/>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38.4</w:t>
            </w:r>
          </w:p>
        </w:tc>
        <w:tc>
          <w:tcPr>
            <w:tcW w:w="1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6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8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771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20"/>
                <w:szCs w:val="20"/>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0"/>
                <w:szCs w:val="20"/>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(122)</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Borders>
              <w:top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80" w:type="dxa"/>
            <w:vAlign w:val="bottom"/>
            <w:tcBorders>
              <w:top w:val="single" w:sz="8" w:color="D6F3E8"/>
              <w:left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980" w:type="dxa"/>
            <w:vAlign w:val="bottom"/>
            <w:tcBorders>
              <w:top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2,429</w:t>
            </w:r>
          </w:p>
        </w:tc>
        <w:tc>
          <w:tcPr>
            <w:tcW w:w="260" w:type="dxa"/>
            <w:vAlign w:val="bottom"/>
            <w:tcBorders>
              <w:top w:val="single" w:sz="8" w:color="D6F3E8"/>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56.3</w:t>
            </w:r>
          </w:p>
        </w:tc>
        <w:tc>
          <w:tcPr>
            <w:tcW w:w="18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6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1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1,883</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2,310</w:t>
            </w:r>
          </w:p>
        </w:tc>
        <w:tc>
          <w:tcPr>
            <w:tcW w:w="140" w:type="dxa"/>
            <w:vAlign w:val="bottom"/>
          </w:tcPr>
          <w:p>
            <w:pPr>
              <w:spacing w:after="0"/>
              <w:rPr>
                <w:sz w:val="19"/>
                <w:szCs w:val="19"/>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(427)</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20" w:type="dxa"/>
            <w:vAlign w:val="bottom"/>
            <w:tcBorders>
              <w:top w:val="single" w:sz="8" w:color="D6F3E8"/>
              <w:bottom w:val="single" w:sz="8" w:color="D6F3E8"/>
            </w:tcBorders>
            <w:gridSpan w:val="2"/>
            <w:shd w:val="clear" w:color="auto" w:fill="D6F3E8"/>
          </w:tcPr>
          <w:p>
            <w:pPr>
              <w:ind w:left="320"/>
              <w:spacing w:after="0"/>
              <w:rPr>
                <w:sz w:val="20"/>
                <w:szCs w:val="20"/>
                <w:color w:val="auto"/>
              </w:rPr>
            </w:pPr>
            <w:r>
              <w:rPr>
                <w:rFonts w:ascii="Arial" w:cs="Arial" w:eastAsia="Arial" w:hAnsi="Arial"/>
                <w:sz w:val="18"/>
                <w:szCs w:val="18"/>
                <w:color w:val="auto"/>
              </w:rPr>
              <w:t>Total deliveries</w:t>
            </w:r>
          </w:p>
        </w:tc>
        <w:tc>
          <w:tcPr>
            <w:tcW w:w="180" w:type="dxa"/>
            <w:vAlign w:val="bottom"/>
            <w:tcBorders>
              <w:top w:val="single" w:sz="8" w:color="D6F3E8"/>
              <w:left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980" w:type="dxa"/>
            <w:vAlign w:val="bottom"/>
            <w:tcBorders>
              <w:top w:val="single" w:sz="8" w:color="auto"/>
              <w:bottom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4,312</w:t>
            </w:r>
          </w:p>
        </w:tc>
        <w:tc>
          <w:tcPr>
            <w:tcW w:w="260" w:type="dxa"/>
            <w:vAlign w:val="bottom"/>
            <w:tcBorders>
              <w:top w:val="single" w:sz="8" w:color="D6F3E8"/>
              <w:bottom w:val="single" w:sz="8" w:color="D6F3E8"/>
            </w:tcBorders>
            <w:shd w:val="clear" w:color="auto" w:fill="D6F3E8"/>
          </w:tcPr>
          <w:p>
            <w:pPr>
              <w:spacing w:after="0"/>
              <w:rPr>
                <w:sz w:val="18"/>
                <w:szCs w:val="18"/>
                <w:color w:val="auto"/>
              </w:rPr>
            </w:pPr>
          </w:p>
        </w:tc>
        <w:tc>
          <w:tcPr>
            <w:tcW w:w="960" w:type="dxa"/>
            <w:vAlign w:val="bottom"/>
            <w:tcBorders>
              <w:top w:val="single" w:sz="8" w:color="auto"/>
              <w:bottom w:val="single" w:sz="8" w:color="auto"/>
              <w:right w:val="single" w:sz="8" w:color="D6F3E8"/>
            </w:tcBorders>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4,762</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6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-1517015</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-1517015</wp:posOffset>
            </wp:positionV>
            <wp:extent cx="214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-1671955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-1671955</wp:posOffset>
            </wp:positionV>
            <wp:extent cx="214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-1860550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-1860550</wp:posOffset>
            </wp:positionV>
            <wp:extent cx="214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-25400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-25400</wp:posOffset>
            </wp:positionV>
            <wp:extent cx="214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-170815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-170815</wp:posOffset>
            </wp:positionV>
            <wp:extent cx="2146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Net revenues for the six months ended February 24, 2007 decreased $37.9 million, or 8.6 percent, primarily as a result of a 9.4 percent decrease in unit deliveries.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Average selling prices of our units were essentially flat when comparing the two six-month periods, as they were only down 1.6%.</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Gross profit margin decreased from 11.7 percent for the six months ended February 25, 2006 to 10.1 percent, or $11.1 million, for the six months ended February 24, 2007. The deterioration of margin was primarily due to lower volumes resulting in increased fixed costs per unit of production. Also contributing to the reduced margins were increased raw material prices, higher health care costs, and increases in retail promotional programs.</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expenses decreased $136,000, or 1.5 percent, for the six months ended February 24, 2007. As a percent of net revenues, selling expenses were 2.3 percent and 2.1 percent for the six months ended February 24, 2007 and February 25, 2006, respectively. The decreases were primarily due to a reduction in advertising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96" w:gutter="0" w:footer="0" w:header="0"/>
          <w:type w:val="continuous"/>
        </w:sectPr>
      </w:pPr>
    </w:p>
    <w:bookmarkStart w:id="11" w:name="page12"/>
    <w:bookmarkEnd w:id="11"/>
    <w:p>
      <w:pPr>
        <w:ind w:right="100"/>
        <w:spacing w:after="0" w:line="256" w:lineRule="auto"/>
        <w:rPr>
          <w:sz w:val="20"/>
          <w:szCs w:val="20"/>
          <w:color w:val="auto"/>
        </w:rPr>
      </w:pPr>
      <w:r>
        <w:rPr>
          <w:rFonts w:ascii="Arial" w:cs="Arial" w:eastAsia="Arial" w:hAnsi="Arial"/>
          <w:sz w:val="18"/>
          <w:szCs w:val="18"/>
          <w:color w:val="auto"/>
        </w:rPr>
        <w:t>General and administrative expenses increased $1.5 million, or 14.3 percent, for the six months ended February 24, 2007. As a percent of net revenues, general and administrative expenses were 2.9 percent and 2.3 percent for the six months ended February 24, 2007 and February 25, 2006, respectively. The increase in dollars was due primarily to stock-based compensation expense of $849,000 as a result of accelerated vesting due to an increase of retirement eligible employees and to a lesser degree an increase in product liability expense of $264,000.</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Financial income increased $929,000, or 41.5 percent, for the six months ended February 24, 2007. The increase in financial income was due to a higher average interest rate earned on investments.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overall effective income tax rate decreased to 31.8 percent for the six months ended February 24, 2007 from 34.9 percent for the six months ended February 25, 2006. The decrease was a result of an increase in tax-free and dividend income and stock option tax benefits due to a larger deduction for tax purposes than book purposes related to the exercise of stock options.</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Net income decreased by 30.5 percent and income per diluted share decreased by 26.9 percent when comparing the six months ended February 24, 2007 to the six months ended February 25, 2006. The smaller percentage decrease in income per diluted share was due to a lower number of shares of common stock outstanding during the six months ended February 24, 2007, as a result of shares of common stock repurchased by the Company during Fiscal 2006.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16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recent fiscal periods, we have generated substantial cash from operations, which has enabled us to meet our working capital needs and make appropriate investments in manufacturing equipment and facilities, as well as pay increased cash dividends and repurchase stock. Cash and cash equivalents totaled $12.4 million and $24.9 million as of February 24, 2007 and August 26, 2006, respectively. Short-term investments, consisting primarily of highly liquid investments, were $154.5 million and $130.0 million as of February 24, 2007 and August 26, 2006, respectively. Working capital at February 24, 2007 and August 26, 2006 was $209.3 million and $187.0 million, respectively, an increase of $22.3 million. We have no long-term debt. We currently expect our cash on hand and funds generated from operations to be sufficient to cover both short- and long-term operation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provided by operating activities was $13.1 million and $65.1 million for the six months ended February 24, 2007 and February 25, 2006, respectively. Significant reductions in inventory and receivables of $40.8 million for the six months ended February 25, 2006 were the primary reasons for the $65.1 million of cash provided by operating activities. Conversely, for the six months ended February 24, 2007, inventory and accounts receivables levels have increased $19.6 million. This was partially offset by an increase in accounts payable and accrued expenses of $9.1 million in the first half of Fiscal 2007 versus a decrease of $10.3 million during the same period of Fiscal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primary uses of cash for investing activities were for manufacturing equipment and facilities purchases of $2.8 million for the six months ended February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2007 compared to $2.0 million for the six months ended February 25, 2006. We purchased $170.4 million of short-term investments and received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$145.8 million from the sale or maturity of short-term investments for the six months ended February 24, 2007. For the six months ended February 25, 2006,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$110.1 million of short-term investments and received proceeds of $59.0 million from the sale or maturity of short-term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Cash provided by financing activities for the six months ended February 24, 2007 was $1.1 million compared to cash uses of $12.9 million for the six months ended February 25, 2006. Payments for cash dividends of $6.3 million for the six months ended February 24, 2007 and $5.9 million for the six months ended February 25, 2006 were made. We did not repurchase any of our common stock for the six months ended February 24, 2007, but did transact repurchases of $8.3 million for the six months ended February 25, 2006. We received proceeds from the exercise of stock options of $5.7 million and $1.1 million for the six months ended February 24, 2007 and February 25, 2006, respectively. (See Unaudited Condensed Consolidated Statements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16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On April 12, 2006, the Board of Directors authorized the repurchase of outstanding shares of the Company’s common stock, depending on market conditions, for an aggregate consideration of up to $50 million. We did not repurchase any shares of common stock during the six months ended February 24, 2007. Repurchases of up to $22.2 million of our outstanding shares of common stock remain available under this authorization.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Estimated uses, at February 24, 2007, of our liquid assets for the remainder of Fiscal 2007 include $6.4 million for payments of cash dividends. We expect spending for capital expenditures will be approximately in the $1 to $3 million range for the rest of Fiscal 2007.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February 24, 2007, we have an investment portfolio of cash and cash equivalents of $12.4 million and available-for-sale securities of $154.5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71 days) and based upon historical experience, we do not believe there are significant risks of a failed Dutch auction. Therefore, we do not expect to recognize a material adverse impact in income or cash flows in the event of a decline in value due to an increase in market interest rates.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Securities and Exchange Commission’s (SEC) rules and forms.</w:t>
      </w:r>
    </w:p>
    <w:p>
      <w:pPr>
        <w:sectPr>
          <w:pgSz w:w="11900" w:h="16838" w:orient="portrait"/>
          <w:cols w:equalWidth="0" w:num="1">
            <w:col w:w="11420"/>
          </w:cols>
          <w:pgMar w:left="240" w:top="131" w:right="239" w:bottom="106" w:gutter="0" w:footer="0" w:header="0"/>
        </w:sectPr>
      </w:pPr>
    </w:p>
    <w:bookmarkStart w:id="12" w:name="page13"/>
    <w:bookmarkEnd w:id="12"/>
    <w:p>
      <w:pPr>
        <w:spacing w:after="0" w:line="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February 24, 2007. During our assessment, we did not identify any material weaknesses in our internal control over financial reporting.</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connection with the evaluation of internal control over financial reporting described above, no changes in our internal control over financing reporting were identified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reviewed the accompanying consolidated balance sheet of Winnebago Industries, Inc. and subsidiaries (the “Company”) as of February 24, 2007, and the related consolidated statements of income and condensed consolidated statements of cash flows for the quarter and six month periods ended February 24, 2007 and February 25, 2006. These interim financial statements are the responsibility of the Company’s management.</w:t>
      </w:r>
    </w:p>
    <w:p>
      <w:pPr>
        <w:spacing w:after="0" w:line="161"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26, 2006, and the related consolidated statements of income, stockholders’ equity, and cash flows for the year then ended (not presented herein); and in our report dated November 9, 2006, we expressed an unqualified opinion on those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Legal Proceedings</w:t>
      </w:r>
      <w:r>
        <w:rPr>
          <w:rFonts w:ascii="Arial" w:cs="Arial" w:eastAsia="Arial" w:hAnsi="Arial"/>
          <w:sz w:val="15"/>
          <w:szCs w:val="15"/>
          <w:color w:val="auto"/>
        </w:rPr>
        <w:t>.</w:t>
      </w:r>
    </w:p>
    <w:p>
      <w:pPr>
        <w:spacing w:after="0" w:line="219" w:lineRule="exact"/>
        <w:rPr>
          <w:sz w:val="20"/>
          <w:szCs w:val="20"/>
          <w:color w:val="auto"/>
        </w:rPr>
      </w:pPr>
    </w:p>
    <w:p>
      <w:pPr>
        <w:ind w:left="920" w:right="60"/>
        <w:spacing w:after="0" w:line="323" w:lineRule="auto"/>
        <w:rPr>
          <w:sz w:val="20"/>
          <w:szCs w:val="20"/>
          <w:color w:val="auto"/>
        </w:rPr>
      </w:pPr>
      <w:r>
        <w:rPr>
          <w:rFonts w:ascii="Arial" w:cs="Arial" w:eastAsia="Arial" w:hAnsi="Arial"/>
          <w:sz w:val="15"/>
          <w:szCs w:val="15"/>
          <w:color w:val="auto"/>
        </w:rPr>
        <w:t>We are regularly involved in legal proceedings in the ordinary course of business, some of which are covered in part by insurance. Because of the uncertainties related to the outcome of the litigation and range of loss on certain cases, we are generally unable to make a reasonable estimate of the liability that could result from an unfavorable outcome. In other cases, we prepare estimates based on historical experience, the professional judgment of our legal counsel, and other assumptions that we believe to be reasonable. As additional information becomes available, we reassess the</w:t>
      </w:r>
    </w:p>
    <w:p>
      <w:pPr>
        <w:sectPr>
          <w:pgSz w:w="11900" w:h="16845" w:orient="portrait"/>
          <w:cols w:equalWidth="0" w:num="1">
            <w:col w:w="11420"/>
          </w:cols>
          <w:pgMar w:left="240" w:top="131" w:right="239" w:bottom="0" w:gutter="0" w:footer="0" w:header="0"/>
        </w:sectPr>
      </w:pPr>
    </w:p>
    <w:bookmarkStart w:id="13" w:name="page14"/>
    <w:bookmarkEnd w:id="13"/>
    <w:p>
      <w:pPr>
        <w:ind w:left="920" w:right="480"/>
        <w:spacing w:after="0" w:line="268" w:lineRule="auto"/>
        <w:rPr>
          <w:sz w:val="20"/>
          <w:szCs w:val="20"/>
          <w:color w:val="auto"/>
        </w:rPr>
      </w:pPr>
      <w:r>
        <w:rPr>
          <w:rFonts w:ascii="Arial" w:cs="Arial" w:eastAsia="Arial" w:hAnsi="Arial"/>
          <w:sz w:val="18"/>
          <w:szCs w:val="18"/>
          <w:color w:val="auto"/>
        </w:rPr>
        <w:t>potential liability related to pending litigation and revise the related estimates. Such revisions and any actual liability that greatly exceed our estimates could materially adversely impact our results of operations and financial condition.</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Unregistered Sales of Equity Securities and Use of Proceeds.</w:t>
      </w:r>
    </w:p>
    <w:p>
      <w:pPr>
        <w:spacing w:after="0" w:line="219"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depending on market conditions, for an aggregate consideration of up to $50 million. There is no time restriction on this authorization. As of February 24, 2007, 970,200 shares had been repurchased for an aggregate consideration of approximately $27.8 million. There were no repurchases of shares during the six months ended February 24, 2007 under this authorization.</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19"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Meeting of Shareholders was held January 9, 2007.</w:t>
      </w:r>
    </w:p>
    <w:p>
      <w:pPr>
        <w:spacing w:after="0" w:line="225" w:lineRule="exact"/>
        <w:rPr>
          <w:rFonts w:ascii="Arial" w:cs="Arial" w:eastAsia="Arial" w:hAnsi="Arial"/>
          <w:sz w:val="18"/>
          <w:szCs w:val="18"/>
          <w:color w:val="auto"/>
        </w:rPr>
      </w:pPr>
    </w:p>
    <w:p>
      <w:pPr>
        <w:ind w:left="1480" w:right="4000" w:hanging="567"/>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Irvin E. Aal and Joseph W. England were elected directors at the Annual Meeting. Directors whose terms continued after the shareholders meeting:</w:t>
      </w:r>
    </w:p>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Jerry N. Currie</w:t>
            </w:r>
          </w:p>
        </w:tc>
        <w:tc>
          <w:tcPr>
            <w:tcW w:w="1380" w:type="dxa"/>
            <w:vAlign w:val="bottom"/>
            <w:shd w:val="clear" w:color="auto" w:fill="D6F3E8"/>
          </w:tcPr>
          <w:p>
            <w:pPr>
              <w:jc w:val="right"/>
              <w:ind w:right="472"/>
              <w:spacing w:after="0"/>
              <w:rPr>
                <w:sz w:val="20"/>
                <w:szCs w:val="20"/>
                <w:color w:val="auto"/>
              </w:rPr>
            </w:pPr>
            <w:r>
              <w:rPr>
                <w:rFonts w:ascii="Arial" w:cs="Arial" w:eastAsia="Arial" w:hAnsi="Arial"/>
                <w:sz w:val="18"/>
                <w:szCs w:val="18"/>
                <w:color w:val="auto"/>
              </w:rPr>
              <w:t>(2007)</w:t>
            </w:r>
          </w:p>
        </w:tc>
      </w:tr>
      <w:tr>
        <w:trPr>
          <w:trHeight w:val="216"/>
        </w:trPr>
        <w:tc>
          <w:tcPr>
            <w:tcW w:w="2040" w:type="dxa"/>
            <w:vAlign w:val="bottom"/>
          </w:tcPr>
          <w:p>
            <w:pPr>
              <w:ind w:left="100"/>
              <w:spacing w:after="0"/>
              <w:rPr>
                <w:sz w:val="20"/>
                <w:szCs w:val="20"/>
                <w:color w:val="auto"/>
              </w:rPr>
            </w:pPr>
            <w:r>
              <w:rPr>
                <w:rFonts w:ascii="Arial" w:cs="Arial" w:eastAsia="Arial" w:hAnsi="Arial"/>
                <w:sz w:val="18"/>
                <w:szCs w:val="18"/>
                <w:color w:val="auto"/>
              </w:rPr>
              <w:t>Lawrence A. Erickson</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(2007)</w:t>
            </w:r>
          </w:p>
        </w:tc>
      </w:tr>
      <w:tr>
        <w:trPr>
          <w:trHeight w:val="216"/>
        </w:trPr>
        <w:tc>
          <w:tcPr>
            <w:tcW w:w="20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John E. Herlitz</w:t>
            </w:r>
          </w:p>
        </w:tc>
        <w:tc>
          <w:tcPr>
            <w:tcW w:w="1380" w:type="dxa"/>
            <w:vAlign w:val="bottom"/>
            <w:shd w:val="clear" w:color="auto" w:fill="D6F3E8"/>
          </w:tcPr>
          <w:p>
            <w:pPr>
              <w:jc w:val="right"/>
              <w:ind w:right="472"/>
              <w:spacing w:after="0"/>
              <w:rPr>
                <w:sz w:val="20"/>
                <w:szCs w:val="20"/>
                <w:color w:val="auto"/>
              </w:rPr>
            </w:pPr>
            <w:r>
              <w:rPr>
                <w:rFonts w:ascii="Arial" w:cs="Arial" w:eastAsia="Arial" w:hAnsi="Arial"/>
                <w:sz w:val="18"/>
                <w:szCs w:val="18"/>
                <w:color w:val="auto"/>
              </w:rPr>
              <w:t>(2007)</w:t>
            </w:r>
          </w:p>
        </w:tc>
      </w:tr>
      <w:tr>
        <w:trPr>
          <w:trHeight w:val="216"/>
        </w:trPr>
        <w:tc>
          <w:tcPr>
            <w:tcW w:w="2040" w:type="dxa"/>
            <w:vAlign w:val="bottom"/>
          </w:tcPr>
          <w:p>
            <w:pPr>
              <w:ind w:left="100"/>
              <w:spacing w:after="0"/>
              <w:rPr>
                <w:sz w:val="20"/>
                <w:szCs w:val="20"/>
                <w:color w:val="auto"/>
              </w:rPr>
            </w:pPr>
            <w:r>
              <w:rPr>
                <w:rFonts w:ascii="Arial" w:cs="Arial" w:eastAsia="Arial" w:hAnsi="Arial"/>
                <w:sz w:val="18"/>
                <w:szCs w:val="18"/>
                <w:color w:val="auto"/>
              </w:rPr>
              <w:t>John V. Hanson</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(2008)</w:t>
            </w:r>
          </w:p>
        </w:tc>
      </w:tr>
      <w:tr>
        <w:trPr>
          <w:trHeight w:val="216"/>
        </w:trPr>
        <w:tc>
          <w:tcPr>
            <w:tcW w:w="20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Bruce D. Hertzke</w:t>
            </w:r>
          </w:p>
        </w:tc>
        <w:tc>
          <w:tcPr>
            <w:tcW w:w="1380" w:type="dxa"/>
            <w:vAlign w:val="bottom"/>
            <w:shd w:val="clear" w:color="auto" w:fill="D6F3E8"/>
          </w:tcPr>
          <w:p>
            <w:pPr>
              <w:jc w:val="right"/>
              <w:ind w:right="472"/>
              <w:spacing w:after="0"/>
              <w:rPr>
                <w:sz w:val="20"/>
                <w:szCs w:val="20"/>
                <w:color w:val="auto"/>
              </w:rPr>
            </w:pPr>
            <w:r>
              <w:rPr>
                <w:rFonts w:ascii="Arial" w:cs="Arial" w:eastAsia="Arial" w:hAnsi="Arial"/>
                <w:sz w:val="18"/>
                <w:szCs w:val="18"/>
                <w:color w:val="auto"/>
              </w:rPr>
              <w:t>(2008)</w:t>
            </w:r>
          </w:p>
        </w:tc>
      </w:tr>
      <w:tr>
        <w:trPr>
          <w:trHeight w:val="222"/>
        </w:trPr>
        <w:tc>
          <w:tcPr>
            <w:tcW w:w="2040" w:type="dxa"/>
            <w:vAlign w:val="bottom"/>
          </w:tcPr>
          <w:p>
            <w:pPr>
              <w:ind w:left="100"/>
              <w:spacing w:after="0"/>
              <w:rPr>
                <w:sz w:val="20"/>
                <w:szCs w:val="20"/>
                <w:color w:val="auto"/>
              </w:rPr>
            </w:pPr>
            <w:r>
              <w:rPr>
                <w:rFonts w:ascii="Arial" w:cs="Arial" w:eastAsia="Arial" w:hAnsi="Arial"/>
                <w:sz w:val="18"/>
                <w:szCs w:val="18"/>
                <w:color w:val="auto"/>
              </w:rPr>
              <w:t>Gerald C. Kitch</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(2008)</w:t>
            </w:r>
          </w:p>
        </w:tc>
      </w:tr>
    </w:tbl>
    <w:p>
      <w:pPr>
        <w:spacing w:after="0" w:line="201" w:lineRule="exact"/>
        <w:rPr>
          <w:sz w:val="20"/>
          <w:szCs w:val="20"/>
          <w:color w:val="auto"/>
        </w:rPr>
      </w:pPr>
    </w:p>
    <w:p>
      <w:pPr>
        <w:ind w:left="1640" w:hanging="148"/>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Represents year of Annual Meeting that individual’s term will expire.</w:t>
      </w:r>
    </w:p>
    <w:p>
      <w:pPr>
        <w:spacing w:after="0" w:line="225"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breakdown of votes for the election of two directors was as follows:*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Votes Cast For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Authority Withheld</w:t>
            </w:r>
          </w:p>
        </w:tc>
      </w:tr>
      <w:tr>
        <w:trPr>
          <w:trHeight w:val="142"/>
        </w:trPr>
        <w:tc>
          <w:tcPr>
            <w:tcW w:w="304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r>
      <w:tr>
        <w:trPr>
          <w:trHeight w:val="216"/>
        </w:trPr>
        <w:tc>
          <w:tcPr>
            <w:tcW w:w="30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Irvin E. Aal (2009)</w:t>
            </w:r>
          </w:p>
        </w:tc>
        <w:tc>
          <w:tcPr>
            <w:tcW w:w="16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26,569,007</w:t>
            </w:r>
          </w:p>
        </w:tc>
        <w:tc>
          <w:tcPr>
            <w:tcW w:w="540" w:type="dxa"/>
            <w:vAlign w:val="bottom"/>
            <w:shd w:val="clear" w:color="auto" w:fill="D6F3E8"/>
          </w:tcPr>
          <w:p>
            <w:pPr>
              <w:spacing w:after="0"/>
              <w:rPr>
                <w:sz w:val="18"/>
                <w:szCs w:val="18"/>
                <w:color w:val="auto"/>
              </w:rPr>
            </w:pPr>
          </w:p>
        </w:tc>
        <w:tc>
          <w:tcPr>
            <w:tcW w:w="16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1,249,837</w:t>
            </w:r>
          </w:p>
        </w:tc>
      </w:tr>
      <w:tr>
        <w:trPr>
          <w:trHeight w:val="222"/>
        </w:trPr>
        <w:tc>
          <w:tcPr>
            <w:tcW w:w="3040" w:type="dxa"/>
            <w:vAlign w:val="bottom"/>
          </w:tcPr>
          <w:p>
            <w:pPr>
              <w:ind w:left="100"/>
              <w:spacing w:after="0"/>
              <w:rPr>
                <w:sz w:val="20"/>
                <w:szCs w:val="20"/>
                <w:color w:val="auto"/>
              </w:rPr>
            </w:pPr>
            <w:r>
              <w:rPr>
                <w:rFonts w:ascii="Arial" w:cs="Arial" w:eastAsia="Arial" w:hAnsi="Arial"/>
                <w:sz w:val="18"/>
                <w:szCs w:val="18"/>
                <w:color w:val="auto"/>
              </w:rPr>
              <w:t>Joseph W. England (2009)</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25,187,188</w:t>
            </w:r>
          </w:p>
        </w:tc>
        <w:tc>
          <w:tcPr>
            <w:tcW w:w="5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2,631,656</w:t>
            </w:r>
          </w:p>
        </w:tc>
      </w:tr>
    </w:tbl>
    <w:p>
      <w:pPr>
        <w:spacing w:after="0" w:line="20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There were no broker nonvotes.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Exhibits.</w:t>
      </w:r>
    </w:p>
    <w:p>
      <w:pPr>
        <w:spacing w:after="0" w:line="219"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 See Exhibit Index on page 19.</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1158240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WINNEBAGO INDUSTRIES, INC.</w:t>
            </w:r>
          </w:p>
        </w:tc>
      </w:tr>
      <w:tr>
        <w:trPr>
          <w:trHeight w:val="217"/>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160" w:type="dxa"/>
            <w:vAlign w:val="bottom"/>
          </w:tcPr>
          <w:p>
            <w:pPr>
              <w:ind w:left="1660"/>
              <w:spacing w:after="0"/>
              <w:rPr>
                <w:sz w:val="20"/>
                <w:szCs w:val="20"/>
                <w:color w:val="auto"/>
              </w:rPr>
            </w:pPr>
            <w:r>
              <w:rPr>
                <w:rFonts w:ascii="Arial" w:cs="Arial" w:eastAsia="Arial" w:hAnsi="Arial"/>
                <w:sz w:val="18"/>
                <w:szCs w:val="18"/>
                <w:color w:val="auto"/>
              </w:rPr>
              <w:t>(Registrant)</w:t>
            </w:r>
          </w:p>
        </w:tc>
      </w:tr>
      <w:tr>
        <w:trPr>
          <w:trHeight w:val="654"/>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400" w:type="dxa"/>
            <w:vAlign w:val="bottom"/>
            <w:gridSpan w:val="2"/>
          </w:tcPr>
          <w:p>
            <w:pPr>
              <w:ind w:left="740"/>
              <w:spacing w:after="0"/>
              <w:rPr>
                <w:sz w:val="20"/>
                <w:szCs w:val="20"/>
                <w:color w:val="auto"/>
              </w:rPr>
            </w:pPr>
            <w:r>
              <w:rPr>
                <w:rFonts w:ascii="Arial" w:cs="Arial" w:eastAsia="Arial" w:hAnsi="Arial"/>
                <w:sz w:val="18"/>
                <w:szCs w:val="18"/>
                <w:color w:val="auto"/>
              </w:rPr>
              <w:t>March 30, 2007</w:t>
            </w:r>
          </w:p>
        </w:tc>
        <w:tc>
          <w:tcPr>
            <w:tcW w:w="4160" w:type="dxa"/>
            <w:vAlign w:val="bottom"/>
          </w:tcPr>
          <w:p>
            <w:pPr>
              <w:ind w:left="80"/>
              <w:spacing w:after="0"/>
              <w:rPr>
                <w:sz w:val="20"/>
                <w:szCs w:val="20"/>
                <w:color w:val="auto"/>
              </w:rPr>
            </w:pPr>
            <w:r>
              <w:rPr>
                <w:rFonts w:ascii="Arial" w:cs="Arial" w:eastAsia="Arial" w:hAnsi="Arial"/>
                <w:sz w:val="18"/>
                <w:szCs w:val="18"/>
                <w:color w:val="auto"/>
              </w:rPr>
              <w:t>/s/ Bruce D. Hertzke</w:t>
            </w:r>
          </w:p>
        </w:tc>
      </w:tr>
      <w:tr>
        <w:trPr>
          <w:trHeight w:val="202"/>
        </w:trPr>
        <w:tc>
          <w:tcPr>
            <w:tcW w:w="62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416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Bruce D. Hertzke</w:t>
            </w:r>
          </w:p>
        </w:tc>
      </w:tr>
      <w:tr>
        <w:trPr>
          <w:trHeight w:val="216"/>
        </w:trPr>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528"/>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400" w:type="dxa"/>
            <w:vAlign w:val="bottom"/>
            <w:gridSpan w:val="2"/>
          </w:tcPr>
          <w:p>
            <w:pPr>
              <w:ind w:left="740"/>
              <w:spacing w:after="0"/>
              <w:rPr>
                <w:sz w:val="20"/>
                <w:szCs w:val="20"/>
                <w:color w:val="auto"/>
              </w:rPr>
            </w:pPr>
            <w:r>
              <w:rPr>
                <w:rFonts w:ascii="Arial" w:cs="Arial" w:eastAsia="Arial" w:hAnsi="Arial"/>
                <w:sz w:val="18"/>
                <w:szCs w:val="18"/>
                <w:color w:val="auto"/>
              </w:rPr>
              <w:t>March 30, 2007</w:t>
            </w:r>
          </w:p>
        </w:tc>
        <w:tc>
          <w:tcPr>
            <w:tcW w:w="4160" w:type="dxa"/>
            <w:vAlign w:val="bottom"/>
          </w:tcPr>
          <w:p>
            <w:pPr>
              <w:ind w:left="80"/>
              <w:spacing w:after="0"/>
              <w:rPr>
                <w:sz w:val="20"/>
                <w:szCs w:val="20"/>
                <w:color w:val="auto"/>
              </w:rPr>
            </w:pPr>
            <w:r>
              <w:rPr>
                <w:rFonts w:ascii="Arial" w:cs="Arial" w:eastAsia="Arial" w:hAnsi="Arial"/>
                <w:sz w:val="18"/>
                <w:szCs w:val="18"/>
                <w:color w:val="auto"/>
              </w:rPr>
              <w:t>/s/ Sarah N. Nielsen</w:t>
            </w:r>
          </w:p>
        </w:tc>
      </w:tr>
      <w:tr>
        <w:trPr>
          <w:trHeight w:val="202"/>
        </w:trPr>
        <w:tc>
          <w:tcPr>
            <w:tcW w:w="62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c>
          <w:tcPr>
            <w:tcW w:w="416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Sarah N. Nielsen</w:t>
            </w:r>
          </w:p>
        </w:tc>
      </w:tr>
      <w:tr>
        <w:trPr>
          <w:trHeight w:val="222"/>
        </w:trPr>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240" w:top="131" w:right="419" w:bottom="740" w:gutter="0" w:footer="0" w:header="0"/>
        </w:sectPr>
      </w:pPr>
    </w:p>
    <w:bookmarkStart w:id="14" w:name="page15"/>
    <w:bookmarkEnd w:id="14"/>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1929765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Exhibit Index</w:t>
      </w:r>
    </w:p>
    <w:p>
      <w:pPr>
        <w:spacing w:after="0" w:line="225"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March 30, 2007.</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March 30, 2007.</w:t>
      </w:r>
    </w:p>
    <w:p>
      <w:pPr>
        <w:spacing w:after="0" w:line="225"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March 30, 2007.</w:t>
      </w:r>
    </w:p>
    <w:p>
      <w:pPr>
        <w:spacing w:after="0" w:line="18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March 30, 2007.</w:t>
      </w: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2"/>
          <w:szCs w:val="22"/>
          <w:b w:val="1"/>
          <w:bCs w:val="1"/>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made a review, in accordance with the standards of the Public Company Accounting Oversight Board (United States), of the unaudited interim financial information of Winnebago Industries, Inc. and subsidiaries for the quarters and six months ended February 24, 2007, and February 25, 2006, as indicated in our report dated March 30, 2007; because we did not perform an audit, we expressed no opinion on that information.</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February 24, 2007, is incorporated by reference in Registration Statements No. 2-40316, No. 2-82109, No. 33-21757, No. 33-59930, No. 333-31595, No. 333-47123 and No. 333-113246 on Form S-8.</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380" w:right="140" w:hanging="575"/>
        <w:spacing w:after="0" w:line="259"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380" w:right="400" w:hanging="575"/>
        <w:spacing w:after="0" w:line="259"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380" w:right="20" w:hanging="575"/>
        <w:spacing w:after="0" w:line="286"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3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940" w:right="100" w:hanging="568"/>
        <w:spacing w:after="0" w:line="306" w:lineRule="auto"/>
        <w:tabs>
          <w:tab w:leader="none" w:pos="1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940" w:right="220" w:hanging="568"/>
        <w:spacing w:after="0" w:line="306" w:lineRule="auto"/>
        <w:tabs>
          <w:tab w:leader="none" w:pos="1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1940" w:right="80" w:hanging="568"/>
        <w:spacing w:after="0" w:line="259" w:lineRule="auto"/>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940" w:right="80" w:hanging="568"/>
        <w:spacing w:after="0" w:line="259" w:lineRule="auto"/>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380" w:right="100" w:hanging="575"/>
        <w:spacing w:after="0" w:line="332"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940" w:right="280" w:hanging="568"/>
        <w:spacing w:after="0" w:line="332" w:lineRule="auto"/>
        <w:tabs>
          <w:tab w:leader="none" w:pos="1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940" w:right="500" w:hanging="568"/>
        <w:spacing w:after="0" w:line="268" w:lineRule="auto"/>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680"/>
              <w:spacing w:after="0"/>
              <w:rPr>
                <w:sz w:val="20"/>
                <w:szCs w:val="20"/>
                <w:color w:val="auto"/>
              </w:rPr>
            </w:pPr>
            <w:r>
              <w:rPr>
                <w:rFonts w:ascii="Arial" w:cs="Arial" w:eastAsia="Arial" w:hAnsi="Arial"/>
                <w:sz w:val="18"/>
                <w:szCs w:val="18"/>
                <w:color w:val="auto"/>
              </w:rPr>
              <w:t>Date:</w:t>
            </w: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March 30,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D. Hertzke</w:t>
            </w:r>
          </w:p>
        </w:tc>
        <w:tc>
          <w:tcPr>
            <w:tcW w:w="56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56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19"/>
                <w:szCs w:val="19"/>
                <w:color w:val="auto"/>
              </w:rPr>
            </w:pPr>
          </w:p>
        </w:tc>
      </w:tr>
      <w:tr>
        <w:trPr>
          <w:trHeight w:val="593"/>
        </w:trPr>
        <w:tc>
          <w:tcPr>
            <w:tcW w:w="1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FINANCIAL OFFICER</w:t>
      </w:r>
    </w:p>
    <w:p>
      <w:pPr>
        <w:jc w:val="center"/>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380" w:hanging="57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380" w:right="140" w:hanging="575"/>
        <w:spacing w:after="0" w:line="259"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380" w:right="360" w:hanging="575"/>
        <w:spacing w:after="0" w:line="259"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380" w:right="20" w:hanging="575"/>
        <w:spacing w:after="0" w:line="286" w:lineRule="auto"/>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3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8" w:lineRule="exact"/>
        <w:rPr>
          <w:rFonts w:ascii="Arial" w:cs="Arial" w:eastAsia="Arial" w:hAnsi="Arial"/>
          <w:sz w:val="16"/>
          <w:szCs w:val="16"/>
          <w:color w:val="auto"/>
        </w:rPr>
      </w:pPr>
    </w:p>
    <w:p>
      <w:pPr>
        <w:ind w:left="1940" w:right="100" w:hanging="568"/>
        <w:spacing w:after="0" w:line="306" w:lineRule="auto"/>
        <w:tabs>
          <w:tab w:leader="none" w:pos="194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940" w:right="220" w:hanging="568"/>
        <w:spacing w:after="0" w:line="306" w:lineRule="auto"/>
        <w:tabs>
          <w:tab w:leader="none" w:pos="194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1940" w:right="80" w:hanging="568"/>
        <w:spacing w:after="0" w:line="259" w:lineRule="auto"/>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194" w:lineRule="exact"/>
        <w:rPr>
          <w:rFonts w:ascii="Arial" w:cs="Arial" w:eastAsia="Arial" w:hAnsi="Arial"/>
          <w:sz w:val="18"/>
          <w:szCs w:val="18"/>
          <w:color w:val="auto"/>
        </w:rPr>
      </w:pPr>
    </w:p>
    <w:p>
      <w:pPr>
        <w:ind w:left="1940" w:right="80" w:hanging="568"/>
        <w:spacing w:after="0" w:line="259" w:lineRule="auto"/>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380" w:right="100" w:hanging="575"/>
        <w:spacing w:after="0" w:line="332" w:lineRule="auto"/>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940" w:right="280" w:hanging="568"/>
        <w:spacing w:after="0" w:line="332" w:lineRule="auto"/>
        <w:tabs>
          <w:tab w:leader="none" w:pos="19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940" w:right="500" w:hanging="568"/>
        <w:spacing w:after="0" w:line="268" w:lineRule="auto"/>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680"/>
              <w:spacing w:after="0"/>
              <w:rPr>
                <w:sz w:val="20"/>
                <w:szCs w:val="20"/>
                <w:color w:val="auto"/>
              </w:rPr>
            </w:pPr>
            <w:r>
              <w:rPr>
                <w:rFonts w:ascii="Arial" w:cs="Arial" w:eastAsia="Arial" w:hAnsi="Arial"/>
                <w:sz w:val="18"/>
                <w:szCs w:val="18"/>
                <w:color w:val="auto"/>
              </w:rPr>
              <w:t>Date:</w:t>
            </w: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March 30,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56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56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9"/>
                <w:szCs w:val="19"/>
                <w:color w:val="auto"/>
              </w:rPr>
            </w:pPr>
          </w:p>
        </w:tc>
      </w:tr>
      <w:tr>
        <w:trPr>
          <w:trHeight w:val="593"/>
        </w:trPr>
        <w:tc>
          <w:tcPr>
            <w:tcW w:w="1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left="420" w:right="80"/>
        <w:spacing w:after="0" w:line="268" w:lineRule="auto"/>
        <w:rPr>
          <w:sz w:val="20"/>
          <w:szCs w:val="20"/>
          <w:color w:val="auto"/>
        </w:rPr>
      </w:pPr>
      <w:r>
        <w:rPr>
          <w:rFonts w:ascii="Arial" w:cs="Arial" w:eastAsia="Arial" w:hAnsi="Arial"/>
          <w:sz w:val="18"/>
          <w:szCs w:val="18"/>
          <w:color w:val="auto"/>
        </w:rPr>
        <w:t>I, Bruce D. Hertzke, Chairman of the Board and Chief Executive Officer of Winnebago Industries, Inc., certify that pursuant to 18 U.S.C. §1350 as adopted pursuant to §906 of the Sarbanes-Oxley Act of 2002, that:</w:t>
      </w:r>
    </w:p>
    <w:p>
      <w:pPr>
        <w:spacing w:after="0" w:line="186" w:lineRule="exact"/>
        <w:rPr>
          <w:sz w:val="20"/>
          <w:szCs w:val="20"/>
          <w:color w:val="auto"/>
        </w:rPr>
      </w:pPr>
    </w:p>
    <w:p>
      <w:pPr>
        <w:ind w:left="1380" w:right="80" w:hanging="575"/>
        <w:spacing w:after="0" w:line="259"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24,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380" w:right="200" w:hanging="575"/>
        <w:spacing w:after="0" w:line="268"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680"/>
              <w:spacing w:after="0"/>
              <w:rPr>
                <w:sz w:val="20"/>
                <w:szCs w:val="20"/>
                <w:color w:val="auto"/>
              </w:rPr>
            </w:pPr>
            <w:r>
              <w:rPr>
                <w:rFonts w:ascii="Arial" w:cs="Arial" w:eastAsia="Arial" w:hAnsi="Arial"/>
                <w:sz w:val="18"/>
                <w:szCs w:val="18"/>
                <w:color w:val="auto"/>
              </w:rPr>
              <w:t>Date:</w:t>
            </w: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March 30,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D. Hertzke</w:t>
            </w:r>
          </w:p>
        </w:tc>
        <w:tc>
          <w:tcPr>
            <w:tcW w:w="56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Bruce D. Hertzke</w:t>
            </w:r>
          </w:p>
        </w:tc>
        <w:tc>
          <w:tcPr>
            <w:tcW w:w="56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19"/>
                <w:szCs w:val="19"/>
                <w:color w:val="auto"/>
              </w:rPr>
            </w:pPr>
          </w:p>
        </w:tc>
      </w:tr>
      <w:tr>
        <w:trPr>
          <w:trHeight w:val="2268"/>
        </w:trPr>
        <w:tc>
          <w:tcPr>
            <w:tcW w:w="1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 Sarah N. Nielsen, Chief Financial Officer of Winnebago Industries, Inc., certify that pursuant to 18 U.S.C. §1350 as adopted pursuant to §906 of the</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Sarbanes-Oxley Act of 2002, that:</w:t>
      </w:r>
    </w:p>
    <w:p>
      <w:pPr>
        <w:spacing w:after="0" w:line="219" w:lineRule="exact"/>
        <w:rPr>
          <w:sz w:val="20"/>
          <w:szCs w:val="20"/>
          <w:color w:val="auto"/>
        </w:rPr>
      </w:pPr>
    </w:p>
    <w:p>
      <w:pPr>
        <w:ind w:left="1380" w:right="80" w:hanging="575"/>
        <w:spacing w:after="0" w:line="259"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24,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380" w:right="200" w:hanging="575"/>
        <w:spacing w:after="0" w:line="26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680"/>
              <w:spacing w:after="0"/>
              <w:rPr>
                <w:sz w:val="20"/>
                <w:szCs w:val="20"/>
                <w:color w:val="auto"/>
              </w:rPr>
            </w:pPr>
            <w:r>
              <w:rPr>
                <w:rFonts w:ascii="Arial" w:cs="Arial" w:eastAsia="Arial" w:hAnsi="Arial"/>
                <w:sz w:val="18"/>
                <w:szCs w:val="18"/>
                <w:color w:val="auto"/>
              </w:rPr>
              <w:t>Date:</w:t>
            </w: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March 30, 2007</w:t>
            </w:r>
          </w:p>
        </w:tc>
        <w:tc>
          <w:tcPr>
            <w:tcW w:w="3240" w:type="dxa"/>
            <w:vAlign w:val="bottom"/>
          </w:tcPr>
          <w:p>
            <w:pPr>
              <w:ind w:left="27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56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56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19"/>
                <w:szCs w:val="19"/>
                <w:color w:val="auto"/>
              </w:rPr>
            </w:pPr>
          </w:p>
        </w:tc>
      </w:tr>
      <w:tr>
        <w:trPr>
          <w:trHeight w:val="2484"/>
        </w:trPr>
        <w:tc>
          <w:tcPr>
            <w:tcW w:w="1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2"/>
    </w:lvl>
    <w:lvl w:ilvl="1">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5"/>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2019-12-13T08:10:40Z</dcterms:created>
  <dcterms:modified xsi:type="dcterms:W3CDTF">2019-12-13T08:10:40Z</dcterms:modified>
</cp:coreProperties>
</file>