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Christopher David</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13200 PIONEER TRAIL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6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540" w:type="dxa"/>
            <w:vAlign w:val="bottom"/>
            <w:vMerge w:val="restart"/>
          </w:tcPr>
          <w:p>
            <w:pPr>
              <w:ind w:left="34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line="148"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4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800" w:type="dxa"/>
            <w:vAlign w:val="bottom"/>
            <w:gridSpan w:val="2"/>
          </w:tcPr>
          <w:p>
            <w:pPr>
              <w:ind w:left="580"/>
              <w:spacing w:after="0" w:line="192" w:lineRule="exact"/>
              <w:rPr>
                <w:sz w:val="20"/>
                <w:szCs w:val="20"/>
                <w:color w:val="auto"/>
              </w:rPr>
            </w:pPr>
            <w:r>
              <w:rPr>
                <w:rFonts w:ascii="Arial" w:cs="Arial" w:eastAsia="Arial" w:hAnsi="Arial"/>
                <w:sz w:val="17"/>
                <w:szCs w:val="17"/>
                <w:color w:val="0000FF"/>
              </w:rPr>
              <w:t>SVP-Operations</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12/17/2021</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12/17/2021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433</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68.41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22,688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12/17/2021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124</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68.41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22,564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annual incremental vesting of a restricted stock unit award granted 12/17/2019 under the Winnebago Industries, Inc. 2019 Omnibus Incentive Plan, which is a Section 16(b) plan, the reporting person exercised their option to have a portion of such vested shares, equal in value to the tax amount calculated based upon the value of such shares on the vesting date of the Company in order to meet the reporting person's tax obligation incurred upon the vesting of such restricted stock award.</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12/21/2021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68570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2021-12-21T16:57:52Z</dcterms:created>
  <dcterms:modified xsi:type="dcterms:W3CDTF">2021-12-21T16:57:52Z</dcterms:modified>
</cp:coreProperties>
</file>