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8-A</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left="1740" w:right="200"/>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spacing w:after="0" w:line="20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53" w:orient="portrait"/>
          <w:cols w:equalWidth="0" w:num="1">
            <w:col w:w="10219"/>
          </w:cols>
          <w:pgMar w:left="240" w:top="649" w:right="1440" w:bottom="0" w:gutter="0" w:footer="0" w:header="0"/>
        </w:sectPr>
      </w:pPr>
    </w:p>
    <w:p>
      <w:pPr>
        <w:spacing w:after="0" w:line="218"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jc w:val="center"/>
        <w:ind w:left="120"/>
        <w:spacing w:after="0"/>
        <w:rPr>
          <w:sz w:val="20"/>
          <w:szCs w:val="20"/>
          <w:color w:val="auto"/>
        </w:rPr>
      </w:pPr>
      <w:r>
        <w:rPr>
          <w:rFonts w:ascii="Courier New" w:cs="Courier New" w:eastAsia="Courier New" w:hAnsi="Courier New"/>
          <w:sz w:val="16"/>
          <w:szCs w:val="16"/>
          <w:color w:val="auto"/>
        </w:rPr>
        <w:t>(State of 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42-0803978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53" w:orient="portrait"/>
          <w:cols w:equalWidth="0" w:num="2">
            <w:col w:w="4320" w:space="320"/>
            <w:col w:w="5579"/>
          </w:cols>
          <w:pgMar w:left="240" w:top="649" w:right="1440" w:bottom="0" w:gutter="0" w:footer="0" w:header="0"/>
          <w:type w:val="continuous"/>
        </w:sectPr>
      </w:pPr>
    </w:p>
    <w:p>
      <w:pPr>
        <w:spacing w:after="0" w:line="18"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P.O. Box 152</w:t>
      </w:r>
    </w:p>
    <w:p>
      <w:pPr>
        <w:ind w:left="1380"/>
        <w:spacing w:after="0" w:line="238" w:lineRule="auto"/>
        <w:rPr>
          <w:sz w:val="20"/>
          <w:szCs w:val="20"/>
          <w:color w:val="auto"/>
        </w:rPr>
      </w:pPr>
      <w:r>
        <w:rPr>
          <w:rFonts w:ascii="Courier New" w:cs="Courier New" w:eastAsia="Courier New" w:hAnsi="Courier New"/>
          <w:sz w:val="18"/>
          <w:szCs w:val="18"/>
          <w:color w:val="auto"/>
        </w:rPr>
        <w:t>Forest City, Iowa</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53" w:orient="portrait"/>
          <w:cols w:equalWidth="0" w:num="2">
            <w:col w:w="5500" w:space="720"/>
            <w:col w:w="3999"/>
          </w:cols>
          <w:pgMar w:left="240" w:top="649" w:right="1440" w:bottom="0" w:gutter="0" w:footer="0" w:header="0"/>
          <w:type w:val="continuous"/>
        </w:sectPr>
      </w:pPr>
    </w:p>
    <w:p>
      <w:pPr>
        <w:spacing w:after="0" w:line="24" w:lineRule="exact"/>
        <w:rPr>
          <w:sz w:val="24"/>
          <w:szCs w:val="24"/>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effective upon filing pursuant to General Instruction A.(c)(1), please check the following box [ ].</w:t>
      </w:r>
    </w:p>
    <w:p>
      <w:pPr>
        <w:spacing w:after="0" w:line="209"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debt securities and is to become effective simultaneously with the effectiveness of a concurrent registration statement under the Securities Act of 1933 pursuant to General Instruction A.(c)(2), please check the following box [ ].</w:t>
      </w:r>
    </w:p>
    <w:p>
      <w:pPr>
        <w:spacing w:after="0" w:line="207" w:lineRule="exact"/>
        <w:rPr>
          <w:sz w:val="24"/>
          <w:szCs w:val="24"/>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12(b) of the Exchange Act and is effective pursuant to General Instruction A.(c), check the following box [X].</w:t>
      </w:r>
    </w:p>
    <w:p>
      <w:pPr>
        <w:spacing w:after="0" w:line="178" w:lineRule="exact"/>
        <w:rPr>
          <w:sz w:val="24"/>
          <w:szCs w:val="24"/>
          <w:color w:val="auto"/>
        </w:rPr>
      </w:pPr>
    </w:p>
    <w:p>
      <w:pPr>
        <w:jc w:val="both"/>
        <w:ind w:right="2419" w:firstLine="948"/>
        <w:spacing w:after="0" w:line="279"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12(g) of the Exchange Act and is effective pursuant to General Instruction A.(d), check the following box [ ].</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ectPr>
          <w:pgSz w:w="11900" w:h="16853" w:orient="portrait"/>
          <w:cols w:equalWidth="0" w:num="1">
            <w:col w:w="10219"/>
          </w:cols>
          <w:pgMar w:left="240" w:top="649" w:right="1440" w:bottom="0" w:gutter="0" w:footer="0" w:header="0"/>
          <w:type w:val="continuous"/>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Title of each class to be so registered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Name of each exchange on which each class is to be registered</w:t>
      </w:r>
    </w:p>
    <w:p>
      <w:pPr>
        <w:spacing w:after="0" w:line="200" w:lineRule="exact"/>
        <w:rPr>
          <w:sz w:val="24"/>
          <w:szCs w:val="24"/>
          <w:color w:val="auto"/>
        </w:rPr>
      </w:pPr>
    </w:p>
    <w:p>
      <w:pPr>
        <w:sectPr>
          <w:pgSz w:w="11900" w:h="16853" w:orient="portrait"/>
          <w:cols w:equalWidth="0" w:num="2">
            <w:col w:w="4440" w:space="520"/>
            <w:col w:w="5259"/>
          </w:cols>
          <w:pgMar w:left="240" w:top="649" w:right="1440" w:bottom="0" w:gutter="0" w:footer="0" w:header="0"/>
          <w:type w:val="continuous"/>
        </w:sectPr>
      </w:pPr>
    </w:p>
    <w:p>
      <w:pPr>
        <w:spacing w:after="0" w:line="17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Preferred Share Purchase Rights</w:t>
      </w:r>
    </w:p>
    <w:p>
      <w:pPr>
        <w:spacing w:after="0" w:line="16"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No Par Value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Chicago Stock Exchange, Inc.</w:t>
      </w:r>
    </w:p>
    <w:p>
      <w:pPr>
        <w:spacing w:after="0" w:line="419" w:lineRule="exact"/>
        <w:rPr>
          <w:sz w:val="24"/>
          <w:szCs w:val="24"/>
          <w:color w:val="auto"/>
        </w:rPr>
      </w:pPr>
    </w:p>
    <w:p>
      <w:pPr>
        <w:sectPr>
          <w:pgSz w:w="11900" w:h="16853" w:orient="portrait"/>
          <w:cols w:equalWidth="0" w:num="2">
            <w:col w:w="4240" w:space="720"/>
            <w:col w:w="5259"/>
          </w:cols>
          <w:pgMar w:left="240" w:top="649" w:right="1440" w:bottom="0" w:gutter="0" w:footer="0" w:header="0"/>
          <w:type w:val="continuous"/>
        </w:sectPr>
      </w:pPr>
    </w:p>
    <w:p>
      <w:pPr>
        <w:spacing w:after="0" w:line="204"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May 3, 2000, the Board of Directors of Winnebago Industries, Inc. (the "COMPANY") declared a dividend of one preferred share purchase right (a "RIGHT") for each outstanding share of common stock, par value $.50 per share (the "COMMON SHARES"), of the Company. The dividend is payable on May 26, 2000 (the "RECORD DATE"), to the shareholders of record on that date. Each Right entitles the registered holder thereof to purchase from the Company one one-hundredth of a share of Series A Preferred Stock, par value $.01 per share (the "PREFERRED SHARES"), of the Company at a price of $67.25 per one one-hundredth of a Preferred Share (the "PURCHASE PRICE"), subject to adjustment. The description and terms of the Rights are set forth in a Winnebago Industries, Inc. Rights Plan Agreement (the "RIGHTS AGREEMENT") between the Company and Norwest Bank Minnesota, N.A., as Rights Agent (the "RIGHTS AGENT").</w:t>
      </w:r>
    </w:p>
    <w:p>
      <w:pPr>
        <w:spacing w:after="0" w:line="391" w:lineRule="exact"/>
        <w:rPr>
          <w:sz w:val="24"/>
          <w:szCs w:val="24"/>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Until the earlier to occur of (i) 10 days following a public announcement that a person or group of affiliated or associated persons (an "ACQUIRING PERSON") have acquired beneficial ownership of 15% or more of the outstanding Common Shares or (ii) 15 business days (or such later date as may be</w:t>
      </w:r>
    </w:p>
    <w:p>
      <w:pPr>
        <w:sectPr>
          <w:pgSz w:w="11900" w:h="16853" w:orient="portrait"/>
          <w:cols w:equalWidth="0" w:num="1">
            <w:col w:w="10219"/>
          </w:cols>
          <w:pgMar w:left="240" w:top="649"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determined by action of the Board of Directors of the Company prior to such time as any person or group of affiliated persons becomes an Acquiring Person) following the commencement of, or announcement of an intention to make, a tender offer or exchange offer, the consummation of which would result in the beneficial ownership by a person or group of 15% or more of the outstanding Common Shares (the earlier of such dates being called the "DISTRIBUTION DATE"), the Rights will be evidenced, with respect to any of the Common Share certificates outstanding as of the Record Date, by such Common Share certificate with a copy of a Summary of Rights to Purchase Preferred Shares, in substantially the form attached as an Exhibit to the Rights Agreement (the "SUMMARY OF RIGHTS"), attached thereto.</w:t>
      </w:r>
    </w:p>
    <w:p>
      <w:pPr>
        <w:spacing w:after="0" w:line="216"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Company, its subsidiaries, any employee benefit plan of the Company or any of its subsidiaries, any person or entity holding Common Shares of the Company for or pursuant to the terms of any such employee benefit plan, any person or entity acquiring Common Shares directly from the Company after date of the Rights Agreement, certain members of the Hanson family (including trusts and estates established by such Hanson family members) and the John K. and Luise V. Hanson Foundation are exempt from the applicability of the Rights Agreement as it relates to the acquisition of 15% or more of the outstanding Common Shares.</w:t>
      </w:r>
    </w:p>
    <w:p>
      <w:pPr>
        <w:spacing w:after="0" w:line="186"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The Rights Agreement provides that, until the Distribution Date (or earlier redemption or expiration of the Rights), the Rights will be transferred with and only with the Common Shares. Until the Distribution Date (or earlier redemption or expiration of the Rights), new Common Share certificates issued after the Record Date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this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200" w:lineRule="exact"/>
        <w:rPr>
          <w:sz w:val="20"/>
          <w:szCs w:val="20"/>
          <w:color w:val="auto"/>
        </w:rPr>
      </w:pP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are not exercisable until the Distribution Date. The Rights will expire on May 3, 2010 (the "FINAL EXPIRATION DATE"), unless the Final Expiration Date is extended or unless the Rights are earlier redeemed or exchanged by the Company, in each case, as described below.</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number of outstanding Rights and the number of one one-hundredths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Preferred Shares purchasable upon exercise of the Rights will not be redeemable. Each Preferred Share will be entitled to a minimum preferential quarterly dividend payment of $1.00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207" w:lineRule="exact"/>
        <w:rPr>
          <w:sz w:val="20"/>
          <w:szCs w:val="20"/>
          <w:color w:val="auto"/>
        </w:rPr>
      </w:pPr>
    </w:p>
    <w:p>
      <w:pPr>
        <w:jc w:val="both"/>
        <w:ind w:right="2099" w:firstLine="948"/>
        <w:spacing w:after="0" w:line="237" w:lineRule="auto"/>
        <w:rPr>
          <w:sz w:val="20"/>
          <w:szCs w:val="20"/>
          <w:color w:val="auto"/>
        </w:rPr>
      </w:pPr>
      <w:r>
        <w:rPr>
          <w:rFonts w:ascii="Courier New" w:cs="Courier New" w:eastAsia="Courier New" w:hAnsi="Courier New"/>
          <w:sz w:val="18"/>
          <w:szCs w:val="18"/>
          <w:color w:val="auto"/>
        </w:rPr>
        <w:t>Because of the nature of the Preferred Shares' dividend, liquidation and voting rights, the value of the one one-hundredth interest in a Preferred Share purchasable upon exercise of each Right should approximate the value of one Common Share.</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In the event that the Company is acquired in a merger or other business combination transaction or 50% or more of its consolidated assets or earning power is sold after a person or group has become an Acquiring Person,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 In the event that any person or group of affiliated or associated persons becomes an Acquiring Person, proper provision shall be made so that each holder of a Right, other than Rights beneficially owned by the Acquiring Person (which Rights will thereafter be void), will thereafter have the right to receive upon exercise that number of Common Shares having a market value of two times the exercise price of the Right. The Board of Directors of the Company may elect, in lieu of issuing</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Common Shares upon the exercise of the Rights, to pay or issue cash, property or other securities, or any combination thereof, having a market value equal to the market value of the Common Shares which would otherwise be issuable upon exercise of the Rights.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At any time after any person or group becomes an Acquiring Person and prior to the acquisition by such person or group of 50% or more of the outstanding Common Shares, the Board of Directors of the Company may exchange the Rights (other than Rights owned by such person or group which will have become void), in whole or in part, at an exchange ratio of one Common Share or one one-hundredths of a Preferred Shares (or of a share of a class or series of the Company's preferred stock having equivalent rights, preferences and privileges), per Right (subject to adjustment).</w:t>
      </w:r>
    </w:p>
    <w:p>
      <w:pPr>
        <w:spacing w:after="0" w:line="212"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With certain exceptions, no adjustment in the Purchase Price will be required until cumulative adjustments require an adjustment of at least 1% in such Purchase Price.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At any time prior to the acquisition by a person or group of affiliated or associated persons of beneficial ownership of 15% or more of the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w:t>
      </w:r>
    </w:p>
    <w:p>
      <w:pPr>
        <w:spacing w:after="0" w:line="3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terms of the Rights may be amended by the Board of Directors of the Company without the consent of the holders of the Rights, including an amendment to lower certain thresholds described above to not less than the greater of (i) the sum of .001% and the largest percentage of the outstanding Common Shares then known to the Company to be beneficially owned by any person or group of affiliated or associated persons and (ii) 10%, except that from and after such time as any person or group of affiliated or associated persons becomes an Acquiring Person no such amendment may adversely affect the interests of the holders of the Rights.</w:t>
      </w:r>
    </w:p>
    <w:p>
      <w:pPr>
        <w:spacing w:after="0" w:line="21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shareholder of the Company, including, without limitation, the right to vote or to receive dividends.</w:t>
      </w:r>
    </w:p>
    <w:p>
      <w:pPr>
        <w:spacing w:after="0" w:line="209"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A copy of the Rights Agreement, together with Exhibits thereto, is incorporated herein by reference. The foregoing description of the Rights is qualified in its entirety by reference to such Exhibit.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EXHIBIT</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SEQUENTIALLY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2240" w:space="720"/>
            <w:col w:w="3280" w:space="720"/>
            <w:col w:w="3259"/>
          </w:cols>
          <w:pgMar w:left="240" w:top="1122" w:right="1440" w:bottom="1440" w:gutter="0" w:footer="0" w:header="0"/>
          <w:type w:val="continuous"/>
        </w:sectPr>
      </w:pPr>
    </w:p>
    <w:p>
      <w:pPr>
        <w:spacing w:after="0" w:line="7" w:lineRule="exact"/>
        <w:rPr>
          <w:sz w:val="20"/>
          <w:szCs w:val="20"/>
          <w:color w:val="auto"/>
        </w:rPr>
      </w:pPr>
    </w:p>
    <w:p>
      <w:pPr>
        <w:ind w:left="1900" w:right="3359" w:hanging="1576"/>
        <w:spacing w:after="0" w:line="237"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Winnebago Industries, Inc. Rights Plan Agreement, dated as of May 3, 2000, between Winnebago Industries, Inc. and Norwest Bank Minnesota, N.A., as Rights Agent, together with Exhibits thereto filed as Exhibit 4.1 to the Registrant's Current Report on Form 8-K (Commission File No. 1-6403) filed with the Securities and Exchange Commission on May 10, 2000, and incorporated by reference herein.</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122" w:right="1440" w:bottom="1440" w:gutter="0" w:footer="0" w:header="0"/>
          <w:type w:val="continuous"/>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Pursuant to the requirements of Section 12 of the Securities Exchange Act of 1934, the Registrant has duly caused this registration statement to be signed on its behalf by the undersigned, thereto duly authorized.</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WINNEBAGO INDUSTRIES,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Bruce D. Hertzke</w:t>
      </w:r>
    </w:p>
    <w:p>
      <w:pPr>
        <w:ind w:left="740"/>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 President</w:t>
      </w:r>
    </w:p>
    <w:p>
      <w:pPr>
        <w:spacing w:after="0" w:line="200" w:lineRule="exact"/>
        <w:rPr>
          <w:sz w:val="20"/>
          <w:szCs w:val="20"/>
          <w:color w:val="auto"/>
        </w:rPr>
      </w:pPr>
    </w:p>
    <w:p>
      <w:pPr>
        <w:sectPr>
          <w:pgSz w:w="11900" w:h="16838" w:orient="portrait"/>
          <w:cols w:equalWidth="0" w:num="2">
            <w:col w:w="4440" w:space="100"/>
            <w:col w:w="567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26, 2000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2019-12-13T08:30:38Z</dcterms:created>
  <dcterms:modified xsi:type="dcterms:W3CDTF">2019-12-13T08:30:38Z</dcterms:modified>
</cp:coreProperties>
</file>