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 &amp; Chief Financial Officer</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433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40,974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2021-10-15T16:28:58Z</dcterms:created>
  <dcterms:modified xsi:type="dcterms:W3CDTF">2021-10-15T16:28:58Z</dcterms:modified>
</cp:coreProperties>
</file>