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WINNEBAGO INDUSTRIES, INC.</w:t>
      </w:r>
    </w:p>
    <w:p>
      <w:pPr>
        <w:spacing w:after="0" w:line="40"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4"/>
          <w:szCs w:val="24"/>
          <w:color w:val="auto"/>
        </w:rPr>
        <w:t>P.O. BOX 152</w:t>
      </w:r>
    </w:p>
    <w:p>
      <w:pPr>
        <w:spacing w:after="0" w:line="8"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4"/>
          <w:szCs w:val="24"/>
          <w:color w:val="auto"/>
        </w:rPr>
        <w:t>FOREST CITY, IA 50436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40"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24"/>
          <w:szCs w:val="24"/>
          <w:color w:val="auto"/>
        </w:rPr>
        <w:t>FISCAL YEAR ENDED AUGUST 27,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1752600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209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183" w:lineRule="exact"/>
        <w:rPr>
          <w:sz w:val="24"/>
          <w:szCs w:val="24"/>
          <w:color w:val="auto"/>
        </w:rPr>
      </w:pPr>
    </w:p>
    <w:p>
      <w:pPr>
        <w:jc w:val="center"/>
        <w:ind w:right="219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64"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90"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50" w:lineRule="exact"/>
        <w:rPr>
          <w:sz w:val="24"/>
          <w:szCs w:val="24"/>
          <w:color w:val="auto"/>
        </w:rPr>
      </w:pPr>
    </w:p>
    <w:p>
      <w:pPr>
        <w:ind w:left="460" w:right="2279" w:hanging="452"/>
        <w:spacing w:after="0" w:line="232" w:lineRule="auto"/>
        <w:tabs>
          <w:tab w:leader="none" w:pos="4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AUGUST 27, 2005; OR</w:t>
      </w:r>
    </w:p>
    <w:p>
      <w:pPr>
        <w:spacing w:after="0" w:line="231" w:lineRule="exact"/>
        <w:rPr>
          <w:sz w:val="24"/>
          <w:szCs w:val="24"/>
          <w:color w:val="auto"/>
        </w:rPr>
      </w:pPr>
    </w:p>
    <w:p>
      <w:pPr>
        <w:ind w:left="460" w:right="2979" w:hanging="452"/>
        <w:spacing w:after="0" w:line="251" w:lineRule="auto"/>
        <w:tabs>
          <w:tab w:leader="none" w:pos="460"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 TO _____</w:t>
      </w:r>
    </w:p>
    <w:p>
      <w:pPr>
        <w:spacing w:after="0" w:line="218"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Commission file number: 1-6403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785495</wp:posOffset>
            </wp:positionH>
            <wp:positionV relativeFrom="paragraph">
              <wp:posOffset>205105</wp:posOffset>
            </wp:positionV>
            <wp:extent cx="3593465" cy="130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93465" cy="1303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32"/>
          <w:szCs w:val="32"/>
          <w:b w:val="1"/>
          <w:bCs w:val="1"/>
          <w:color w:val="auto"/>
        </w:rPr>
        <w:t>WINNEBAGO INDUSTRIES, INC.</w:t>
      </w:r>
    </w:p>
    <w:p>
      <w:pPr>
        <w:sectPr>
          <w:pgSz w:w="11900" w:h="16838" w:orient="portrait"/>
          <w:cols w:equalWidth="0" w:num="1">
            <w:col w:w="10219"/>
          </w:cols>
          <w:pgMar w:left="240" w:top="233" w:right="1440" w:bottom="0" w:gutter="0" w:footer="0" w:header="0"/>
        </w:sectPr>
      </w:pPr>
    </w:p>
    <w:p>
      <w:pPr>
        <w:spacing w:after="0" w:line="4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0219"/>
          </w:cols>
          <w:pgMar w:left="240" w:top="233" w:right="1440" w:bottom="0" w:gutter="0" w:footer="0" w:header="0"/>
          <w:type w:val="continuous"/>
        </w:sectPr>
      </w:pPr>
    </w:p>
    <w:bookmarkStart w:id="1" w:name="page2"/>
    <w:bookmarkEnd w:id="1"/>
    <w:tbl>
      <w:tblPr>
        <w:tblLayout w:type="fixed"/>
        <w:tblInd w:w="640" w:type="dxa"/>
        <w:tblCellMar>
          <w:top w:w="0" w:type="dxa"/>
          <w:left w:w="0" w:type="dxa"/>
          <w:bottom w:w="0" w:type="dxa"/>
          <w:right w:w="0" w:type="dxa"/>
        </w:tblCellMar>
      </w:tblPr>
      <w:tr>
        <w:trPr>
          <w:trHeight w:val="218"/>
        </w:trPr>
        <w:tc>
          <w:tcPr>
            <w:tcW w:w="3780" w:type="dxa"/>
            <w:vAlign w:val="bottom"/>
          </w:tcPr>
          <w:p>
            <w:pPr>
              <w:jc w:val="center"/>
              <w:ind w:right="912"/>
              <w:spacing w:after="0"/>
              <w:rPr>
                <w:sz w:val="20"/>
                <w:szCs w:val="20"/>
                <w:color w:val="auto"/>
              </w:rPr>
            </w:pPr>
            <w:r>
              <w:rPr>
                <w:rFonts w:ascii="Times New Roman" w:cs="Times New Roman" w:eastAsia="Times New Roman" w:hAnsi="Times New Roman"/>
                <w:sz w:val="18"/>
                <w:szCs w:val="18"/>
                <w:b w:val="1"/>
                <w:bCs w:val="1"/>
                <w:color w:val="auto"/>
                <w:w w:val="96"/>
              </w:rPr>
              <w:t>IOWA</w:t>
            </w:r>
          </w:p>
        </w:tc>
        <w:tc>
          <w:tcPr>
            <w:tcW w:w="232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42-0802678</w:t>
            </w:r>
          </w:p>
        </w:tc>
      </w:tr>
      <w:tr>
        <w:trPr>
          <w:trHeight w:val="216"/>
        </w:trPr>
        <w:tc>
          <w:tcPr>
            <w:tcW w:w="37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2320" w:type="dxa"/>
            <w:vAlign w:val="bottom"/>
          </w:tcPr>
          <w:p>
            <w:pPr>
              <w:jc w:val="center"/>
              <w:ind w:left="91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3780" w:type="dxa"/>
            <w:vAlign w:val="bottom"/>
          </w:tcPr>
          <w:p>
            <w:pPr>
              <w:jc w:val="center"/>
              <w:ind w:right="892"/>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2320" w:type="dxa"/>
            <w:vAlign w:val="bottom"/>
          </w:tcPr>
          <w:p>
            <w:pPr>
              <w:jc w:val="center"/>
              <w:ind w:left="932"/>
              <w:spacing w:after="0"/>
              <w:rPr>
                <w:sz w:val="20"/>
                <w:szCs w:val="20"/>
                <w:color w:val="auto"/>
              </w:rPr>
            </w:pPr>
            <w:r>
              <w:rPr>
                <w:rFonts w:ascii="Times New Roman" w:cs="Times New Roman" w:eastAsia="Times New Roman" w:hAnsi="Times New Roman"/>
                <w:sz w:val="18"/>
                <w:szCs w:val="18"/>
                <w:color w:val="auto"/>
                <w:w w:val="96"/>
              </w:rPr>
              <w:t>Identification No.)</w:t>
            </w:r>
          </w:p>
        </w:tc>
      </w:tr>
      <w:tr>
        <w:trPr>
          <w:trHeight w:val="420"/>
        </w:trPr>
        <w:tc>
          <w:tcPr>
            <w:tcW w:w="3780" w:type="dxa"/>
            <w:vAlign w:val="bottom"/>
          </w:tcPr>
          <w:p>
            <w:pPr>
              <w:jc w:val="center"/>
              <w:ind w:right="912"/>
              <w:spacing w:after="0"/>
              <w:rPr>
                <w:sz w:val="20"/>
                <w:szCs w:val="20"/>
                <w:color w:val="auto"/>
              </w:rPr>
            </w:pPr>
            <w:r>
              <w:rPr>
                <w:rFonts w:ascii="Times New Roman" w:cs="Times New Roman" w:eastAsia="Times New Roman" w:hAnsi="Times New Roman"/>
                <w:sz w:val="18"/>
                <w:szCs w:val="18"/>
                <w:b w:val="1"/>
                <w:bCs w:val="1"/>
                <w:color w:val="auto"/>
                <w:w w:val="96"/>
              </w:rPr>
              <w:t>P.O. Box 152, Forest City, Iowa</w:t>
            </w:r>
          </w:p>
        </w:tc>
        <w:tc>
          <w:tcPr>
            <w:tcW w:w="2320" w:type="dxa"/>
            <w:vAlign w:val="bottom"/>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50436</w:t>
            </w:r>
          </w:p>
        </w:tc>
      </w:tr>
      <w:tr>
        <w:trPr>
          <w:trHeight w:val="228"/>
        </w:trPr>
        <w:tc>
          <w:tcPr>
            <w:tcW w:w="3780" w:type="dxa"/>
            <w:vAlign w:val="bottom"/>
          </w:tcPr>
          <w:p>
            <w:pPr>
              <w:jc w:val="center"/>
              <w:ind w:right="912"/>
              <w:spacing w:after="0"/>
              <w:rPr>
                <w:sz w:val="20"/>
                <w:szCs w:val="20"/>
                <w:color w:val="auto"/>
              </w:rPr>
            </w:pPr>
            <w:r>
              <w:rPr>
                <w:rFonts w:ascii="Times New Roman" w:cs="Times New Roman" w:eastAsia="Times New Roman" w:hAnsi="Times New Roman"/>
                <w:sz w:val="18"/>
                <w:szCs w:val="18"/>
                <w:color w:val="auto"/>
                <w:w w:val="97"/>
              </w:rPr>
              <w:t>(Address of principal executive offices)</w:t>
            </w:r>
          </w:p>
        </w:tc>
        <w:tc>
          <w:tcPr>
            <w:tcW w:w="2320" w:type="dxa"/>
            <w:vAlign w:val="bottom"/>
          </w:tcPr>
          <w:p>
            <w:pPr>
              <w:jc w:val="center"/>
              <w:ind w:left="932"/>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31" w:lineRule="exact"/>
        <w:rPr>
          <w:sz w:val="20"/>
          <w:szCs w:val="20"/>
          <w:color w:val="auto"/>
        </w:rPr>
      </w:pPr>
    </w:p>
    <w:p>
      <w:pPr>
        <w:jc w:val="center"/>
        <w:ind w:right="3080"/>
        <w:spacing w:after="0"/>
        <w:rPr>
          <w:sz w:val="20"/>
          <w:szCs w:val="20"/>
          <w:color w:val="auto"/>
        </w:rPr>
      </w:pPr>
      <w:r>
        <w:rPr>
          <w:rFonts w:ascii="Times New Roman" w:cs="Times New Roman" w:eastAsia="Times New Roman" w:hAnsi="Times New Roman"/>
          <w:sz w:val="18"/>
          <w:szCs w:val="18"/>
          <w:color w:val="auto"/>
        </w:rPr>
        <w:t>Registrant’s telephone number, including area code: (641) 585-3535</w:t>
      </w:r>
    </w:p>
    <w:p>
      <w:pPr>
        <w:spacing w:after="0" w:line="22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54"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NAME OF EACH EXCHANGE ON</w:t>
            </w:r>
          </w:p>
        </w:tc>
      </w:tr>
      <w:tr>
        <w:trPr>
          <w:trHeight w:val="228"/>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TITLE OF EACH CLASS</w:t>
            </w:r>
          </w:p>
        </w:tc>
        <w:tc>
          <w:tcPr>
            <w:tcW w:w="800" w:type="dxa"/>
            <w:vAlign w:val="bottom"/>
          </w:tcPr>
          <w:p>
            <w:pPr>
              <w:spacing w:after="0"/>
              <w:rPr>
                <w:sz w:val="19"/>
                <w:szCs w:val="19"/>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WHICH REGISTERED</w:t>
            </w:r>
          </w:p>
        </w:tc>
      </w:tr>
      <w:tr>
        <w:trPr>
          <w:trHeight w:val="110"/>
        </w:trPr>
        <w:tc>
          <w:tcPr>
            <w:tcW w:w="322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3300" w:type="dxa"/>
            <w:vAlign w:val="bottom"/>
            <w:tcBorders>
              <w:bottom w:val="single" w:sz="8" w:color="auto"/>
            </w:tcBorders>
          </w:tcPr>
          <w:p>
            <w:pPr>
              <w:spacing w:after="0"/>
              <w:rPr>
                <w:sz w:val="9"/>
                <w:szCs w:val="9"/>
                <w:color w:val="auto"/>
              </w:rPr>
            </w:pPr>
          </w:p>
        </w:tc>
      </w:tr>
      <w:tr>
        <w:trPr>
          <w:trHeight w:val="303"/>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Common Stock ($.50 par value)</w:t>
            </w:r>
          </w:p>
        </w:tc>
        <w:tc>
          <w:tcPr>
            <w:tcW w:w="80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The New York Stock Exchange, Inc.</w:t>
            </w:r>
          </w:p>
        </w:tc>
      </w:tr>
      <w:tr>
        <w:trPr>
          <w:trHeight w:val="216"/>
        </w:trPr>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and Preferred Share Purchase Rights</w:t>
            </w:r>
          </w:p>
        </w:tc>
        <w:tc>
          <w:tcPr>
            <w:tcW w:w="80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Chicago Stock Exchange, Inc.</w:t>
            </w:r>
          </w:p>
        </w:tc>
      </w:tr>
      <w:tr>
        <w:trPr>
          <w:trHeight w:val="228"/>
        </w:trPr>
        <w:tc>
          <w:tcPr>
            <w:tcW w:w="3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The Pacific Stock Exchange, Inc.</w:t>
            </w:r>
          </w:p>
        </w:tc>
      </w:tr>
    </w:tbl>
    <w:p>
      <w:pPr>
        <w:spacing w:after="0" w:line="229" w:lineRule="exact"/>
        <w:rPr>
          <w:sz w:val="20"/>
          <w:szCs w:val="20"/>
          <w:color w:val="auto"/>
        </w:rPr>
      </w:pPr>
    </w:p>
    <w:p>
      <w:pPr>
        <w:jc w:val="center"/>
        <w:ind w:right="31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3" w:lineRule="exact"/>
        <w:rPr>
          <w:sz w:val="20"/>
          <w:szCs w:val="20"/>
          <w:color w:val="auto"/>
        </w:rPr>
      </w:pPr>
    </w:p>
    <w:p>
      <w:pPr>
        <w:jc w:val="center"/>
        <w:ind w:right="3080"/>
        <w:spacing w:after="0"/>
        <w:rPr>
          <w:sz w:val="20"/>
          <w:szCs w:val="20"/>
          <w:color w:val="auto"/>
        </w:rPr>
      </w:pPr>
      <w:r>
        <w:rPr>
          <w:rFonts w:ascii="Times New Roman" w:cs="Times New Roman" w:eastAsia="Times New Roman" w:hAnsi="Times New Roman"/>
          <w:sz w:val="18"/>
          <w:szCs w:val="18"/>
          <w:color w:val="auto"/>
        </w:rPr>
        <w:t>None</w:t>
      </w:r>
    </w:p>
    <w:p>
      <w:pPr>
        <w:spacing w:after="0" w:line="213" w:lineRule="exact"/>
        <w:rPr>
          <w:sz w:val="20"/>
          <w:szCs w:val="20"/>
          <w:color w:val="auto"/>
        </w:rPr>
      </w:pPr>
    </w:p>
    <w:p>
      <w:pPr>
        <w:ind w:right="3280" w:firstLine="351"/>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ü No o</w:t>
      </w:r>
    </w:p>
    <w:p>
      <w:pPr>
        <w:spacing w:after="0" w:line="190" w:lineRule="exact"/>
        <w:rPr>
          <w:sz w:val="20"/>
          <w:szCs w:val="20"/>
          <w:color w:val="auto"/>
        </w:rPr>
      </w:pPr>
    </w:p>
    <w:p>
      <w:pPr>
        <w:ind w:right="3640" w:firstLine="351"/>
        <w:spacing w:after="0" w:line="258" w:lineRule="auto"/>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Annual Report on Form 10-K or any amendment to this Annual Report on Form 10-K </w:t>
      </w:r>
      <w:r>
        <w:rPr>
          <w:rFonts w:ascii="Times New Roman" w:cs="Times New Roman" w:eastAsia="Times New Roman" w:hAnsi="Times New Roman"/>
          <w:sz w:val="18"/>
          <w:szCs w:val="18"/>
          <w:b w:val="1"/>
          <w:bCs w:val="1"/>
          <w:color w:val="auto"/>
        </w:rPr>
        <w:t>____.</w:t>
      </w:r>
    </w:p>
    <w:p>
      <w:pPr>
        <w:spacing w:after="0" w:line="190" w:lineRule="exact"/>
        <w:rPr>
          <w:sz w:val="20"/>
          <w:szCs w:val="20"/>
          <w:color w:val="auto"/>
        </w:rPr>
      </w:pPr>
    </w:p>
    <w:p>
      <w:pPr>
        <w:ind w:right="3800" w:firstLine="351"/>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an accelerated filer (as defined in Rule 12b-2 of the Act). Yes ü No o</w:t>
      </w:r>
    </w:p>
    <w:p>
      <w:pPr>
        <w:spacing w:after="0" w:line="2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Indicate by check mark whether the registrant is a shell company (as defined in Rule 12b-2 of the Act).</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Yes o No ü</w:t>
      </w:r>
    </w:p>
    <w:p>
      <w:pPr>
        <w:spacing w:after="0" w:line="294" w:lineRule="exact"/>
        <w:rPr>
          <w:sz w:val="20"/>
          <w:szCs w:val="20"/>
          <w:color w:val="auto"/>
        </w:rPr>
      </w:pPr>
    </w:p>
    <w:p>
      <w:pPr>
        <w:ind w:right="3660" w:firstLine="341"/>
        <w:spacing w:after="0" w:line="339" w:lineRule="auto"/>
        <w:rPr>
          <w:sz w:val="20"/>
          <w:szCs w:val="20"/>
          <w:color w:val="auto"/>
        </w:rPr>
      </w:pPr>
      <w:r>
        <w:rPr>
          <w:rFonts w:ascii="Times New Roman" w:cs="Times New Roman" w:eastAsia="Times New Roman" w:hAnsi="Times New Roman"/>
          <w:sz w:val="16"/>
          <w:szCs w:val="16"/>
          <w:color w:val="auto"/>
        </w:rPr>
        <w:t>Aggregate market value of the common stock held by non-affiliates of the registrant: $1,061,466,539 (30,695,967 shares at the average price on the New York Stock Exchange of $34.58 on February 25, 2005).</w:t>
      </w:r>
    </w:p>
    <w:p>
      <w:pPr>
        <w:spacing w:after="0" w:line="1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Common stock outstanding on November 1, 2005, 32,873,574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t>DOCUMENTS INCORPORATED BY REFERENCE</w:t>
      </w:r>
    </w:p>
    <w:p>
      <w:pPr>
        <w:spacing w:after="0" w:line="308" w:lineRule="exact"/>
        <w:rPr>
          <w:sz w:val="20"/>
          <w:szCs w:val="20"/>
          <w:color w:val="auto"/>
        </w:rPr>
      </w:pPr>
    </w:p>
    <w:p>
      <w:pPr>
        <w:ind w:left="620" w:right="460" w:hanging="612"/>
        <w:spacing w:after="0" w:line="275"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Winnebago Industries, Inc. Annual Report to Shareholders for the fiscal year ended August 27, 2005, portions of which are incorporated by reference into Part II hereof.</w:t>
      </w:r>
    </w:p>
    <w:p>
      <w:pPr>
        <w:spacing w:after="0" w:line="200" w:lineRule="exact"/>
        <w:rPr>
          <w:rFonts w:ascii="Times New Roman" w:cs="Times New Roman" w:eastAsia="Times New Roman" w:hAnsi="Times New Roman"/>
          <w:sz w:val="18"/>
          <w:szCs w:val="18"/>
          <w:color w:val="auto"/>
        </w:rPr>
      </w:pPr>
    </w:p>
    <w:p>
      <w:pPr>
        <w:ind w:left="620" w:hanging="612"/>
        <w:spacing w:after="0" w:line="275"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Winnebago Industries, Inc. Proxy Statement for the Annual Meeting of Shareholders scheduled to be held January 10, 2006, portions of which are incorporated by reference into Part II and Part III hereof.</w:t>
      </w:r>
    </w:p>
    <w:p>
      <w:pPr>
        <w:sectPr>
          <w:pgSz w:w="11900" w:h="16838" w:orient="portrait"/>
          <w:cols w:equalWidth="0" w:num="1">
            <w:col w:w="11200"/>
          </w:cols>
          <w:pgMar w:left="240" w:top="366" w:right="459" w:bottom="1440" w:gutter="0" w:footer="0" w:header="0"/>
        </w:sectPr>
      </w:pPr>
    </w:p>
    <w:bookmarkStart w:id="2" w:name="page3"/>
    <w:bookmarkEnd w:id="2"/>
    <w:p>
      <w:pPr>
        <w:spacing w:after="0" w:line="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464185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gridSpan w:val="8"/>
          </w:tcPr>
          <w:p>
            <w:pPr>
              <w:ind w:left="3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360" w:type="dxa"/>
            <w:vAlign w:val="bottom"/>
          </w:tcPr>
          <w:p>
            <w:pPr>
              <w:spacing w:after="0"/>
              <w:rPr>
                <w:sz w:val="20"/>
                <w:szCs w:val="20"/>
                <w:color w:val="auto"/>
              </w:rPr>
            </w:pPr>
          </w:p>
        </w:tc>
      </w:tr>
      <w:tr>
        <w:trPr>
          <w:trHeight w:val="475"/>
        </w:trPr>
        <w:tc>
          <w:tcPr>
            <w:tcW w:w="5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1"/>
              </w:rPr>
            </w:pPr>
            <w:hyperlink w:anchor="page3">
              <w:r>
                <w:rPr>
                  <w:rFonts w:ascii="Times New Roman" w:cs="Times New Roman" w:eastAsia="Times New Roman" w:hAnsi="Times New Roman"/>
                  <w:sz w:val="18"/>
                  <w:szCs w:val="18"/>
                  <w:color w:val="0000EE"/>
                  <w:w w:val="91"/>
                </w:rPr>
                <w:t>PART I</w:t>
              </w:r>
            </w:hyperlink>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7"/>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Business</w:t>
              </w:r>
            </w:hyperlink>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6"/>
              </w:rPr>
            </w:pPr>
            <w:hyperlink w:anchor="page9">
              <w:r>
                <w:rPr>
                  <w:rFonts w:ascii="Times New Roman" w:cs="Times New Roman" w:eastAsia="Times New Roman" w:hAnsi="Times New Roman"/>
                  <w:sz w:val="18"/>
                  <w:szCs w:val="18"/>
                  <w:color w:val="0000EE"/>
                  <w:w w:val="96"/>
                </w:rPr>
                <w:t>Item 2. Properties</w:t>
              </w:r>
            </w:hyperlink>
          </w:p>
        </w:tc>
        <w:tc>
          <w:tcPr>
            <w:tcW w:w="8560" w:type="dxa"/>
            <w:vAlign w:val="bottom"/>
            <w:gridSpan w:val="19"/>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27"/>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Item 3. Legal Proceedings</w:t>
              </w:r>
            </w:hyperlink>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6"/>
              </w:rPr>
            </w:pPr>
            <w:hyperlink w:anchor="page10">
              <w:r>
                <w:rPr>
                  <w:rFonts w:ascii="Times New Roman" w:cs="Times New Roman" w:eastAsia="Times New Roman" w:hAnsi="Times New Roman"/>
                  <w:sz w:val="18"/>
                  <w:szCs w:val="18"/>
                  <w:color w:val="0000EE"/>
                  <w:w w:val="96"/>
                </w:rPr>
                <w:t>Item 4. Submission of Matters to a Vote of Security Holders</w:t>
              </w:r>
            </w:hyperlink>
          </w:p>
        </w:tc>
        <w:tc>
          <w:tcPr>
            <w:tcW w:w="5600" w:type="dxa"/>
            <w:vAlign w:val="bottom"/>
            <w:gridSpan w:val="8"/>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6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2"/>
              </w:rPr>
            </w:pPr>
            <w:hyperlink w:anchor="page10">
              <w:r>
                <w:rPr>
                  <w:rFonts w:ascii="Times New Roman" w:cs="Times New Roman" w:eastAsia="Times New Roman" w:hAnsi="Times New Roman"/>
                  <w:sz w:val="18"/>
                  <w:szCs w:val="18"/>
                  <w:color w:val="0000EE"/>
                  <w:w w:val="92"/>
                </w:rPr>
                <w:t>PART II</w:t>
              </w:r>
            </w:hyperlink>
          </w:p>
        </w:tc>
        <w:tc>
          <w:tcPr>
            <w:tcW w:w="9460" w:type="dxa"/>
            <w:vAlign w:val="bottom"/>
            <w:gridSpan w:val="25"/>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320" w:type="dxa"/>
            <w:vAlign w:val="bottom"/>
            <w:gridSpan w:val="2"/>
          </w:tcPr>
          <w:p>
            <w:pPr>
              <w:spacing w:after="0" w:line="196" w:lineRule="exact"/>
              <w:rPr>
                <w:rFonts w:ascii="Times New Roman" w:cs="Times New Roman" w:eastAsia="Times New Roman" w:hAnsi="Times New Roman"/>
                <w:sz w:val="18"/>
                <w:szCs w:val="18"/>
                <w:color w:val="0000EE"/>
                <w:w w:val="90"/>
              </w:rPr>
            </w:pPr>
            <w:hyperlink w:anchor="page10">
              <w:r>
                <w:rPr>
                  <w:rFonts w:ascii="Times New Roman" w:cs="Times New Roman" w:eastAsia="Times New Roman" w:hAnsi="Times New Roman"/>
                  <w:sz w:val="18"/>
                  <w:szCs w:val="18"/>
                  <w:color w:val="0000EE"/>
                  <w:w w:val="90"/>
                </w:rPr>
                <w:t>Item</w:t>
              </w:r>
            </w:hyperlink>
          </w:p>
        </w:tc>
        <w:tc>
          <w:tcPr>
            <w:tcW w:w="9520" w:type="dxa"/>
            <w:vAlign w:val="bottom"/>
            <w:gridSpan w:val="26"/>
          </w:tcPr>
          <w:p>
            <w:pPr>
              <w:ind w:left="40"/>
              <w:spacing w:after="0" w:line="196"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5. Market for the Registrant’s Common Equity, Related Stockholder Matters and Issuer Purchases of Equity Securities</w:t>
              </w:r>
            </w:hyperlink>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220" w:type="dxa"/>
            <w:vAlign w:val="bottom"/>
          </w:tcPr>
          <w:p>
            <w:pPr>
              <w:spacing w:after="0"/>
              <w:rPr>
                <w:sz w:val="17"/>
                <w:szCs w:val="17"/>
                <w:color w:val="auto"/>
              </w:rPr>
            </w:pPr>
          </w:p>
        </w:tc>
        <w:tc>
          <w:tcPr>
            <w:tcW w:w="3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0"/>
              </w:rPr>
            </w:pPr>
            <w:hyperlink w:anchor="page11">
              <w:r>
                <w:rPr>
                  <w:rFonts w:ascii="Times New Roman" w:cs="Times New Roman" w:eastAsia="Times New Roman" w:hAnsi="Times New Roman"/>
                  <w:sz w:val="18"/>
                  <w:szCs w:val="18"/>
                  <w:color w:val="0000EE"/>
                  <w:w w:val="90"/>
                </w:rPr>
                <w:t>Item</w:t>
              </w:r>
            </w:hyperlink>
          </w:p>
        </w:tc>
        <w:tc>
          <w:tcPr>
            <w:tcW w:w="1880" w:type="dxa"/>
            <w:vAlign w:val="bottom"/>
            <w:tcBorders>
              <w:top w:val="single" w:sz="8" w:color="0000EE"/>
              <w:bottom w:val="single" w:sz="8" w:color="0000EE"/>
            </w:tcBorders>
            <w:gridSpan w:val="9"/>
          </w:tcPr>
          <w:p>
            <w:pPr>
              <w:ind w:left="40"/>
              <w:spacing w:after="0" w:line="196" w:lineRule="exact"/>
              <w:rPr>
                <w:rFonts w:ascii="Times New Roman" w:cs="Times New Roman" w:eastAsia="Times New Roman" w:hAnsi="Times New Roman"/>
                <w:sz w:val="18"/>
                <w:szCs w:val="18"/>
                <w:color w:val="0000EE"/>
                <w:w w:val="96"/>
              </w:rPr>
            </w:pPr>
            <w:hyperlink w:anchor="page11">
              <w:r>
                <w:rPr>
                  <w:rFonts w:ascii="Times New Roman" w:cs="Times New Roman" w:eastAsia="Times New Roman" w:hAnsi="Times New Roman"/>
                  <w:sz w:val="18"/>
                  <w:szCs w:val="18"/>
                  <w:color w:val="0000EE"/>
                  <w:w w:val="96"/>
                </w:rPr>
                <w:t>6. Selected Financial Data</w:t>
              </w:r>
            </w:hyperlink>
          </w:p>
        </w:tc>
        <w:tc>
          <w:tcPr>
            <w:tcW w:w="6460" w:type="dxa"/>
            <w:vAlign w:val="bottom"/>
            <w:tcBorders>
              <w:top w:val="single" w:sz="8" w:color="0000EE"/>
            </w:tcBorders>
            <w:gridSpan w:val="16"/>
          </w:tcPr>
          <w:p>
            <w:pPr>
              <w:spacing w:after="0"/>
              <w:rPr>
                <w:sz w:val="17"/>
                <w:szCs w:val="17"/>
                <w:color w:val="auto"/>
              </w:rPr>
            </w:pPr>
          </w:p>
        </w:tc>
        <w:tc>
          <w:tcPr>
            <w:tcW w:w="1180" w:type="dxa"/>
            <w:vAlign w:val="bottom"/>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220" w:type="dxa"/>
            <w:vAlign w:val="bottom"/>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0"/>
              </w:rPr>
            </w:pPr>
            <w:hyperlink w:anchor="page11">
              <w:r>
                <w:rPr>
                  <w:rFonts w:ascii="Times New Roman" w:cs="Times New Roman" w:eastAsia="Times New Roman" w:hAnsi="Times New Roman"/>
                  <w:sz w:val="18"/>
                  <w:szCs w:val="18"/>
                  <w:color w:val="0000EE"/>
                  <w:w w:val="90"/>
                </w:rPr>
                <w:t>Item</w:t>
              </w:r>
            </w:hyperlink>
          </w:p>
        </w:tc>
        <w:tc>
          <w:tcPr>
            <w:tcW w:w="6520" w:type="dxa"/>
            <w:vAlign w:val="bottom"/>
            <w:tcBorders>
              <w:bottom w:val="single" w:sz="8" w:color="0000EE"/>
            </w:tcBorders>
            <w:gridSpan w:val="23"/>
          </w:tcPr>
          <w:p>
            <w:pPr>
              <w:ind w:left="40"/>
              <w:spacing w:after="0" w:line="196" w:lineRule="exact"/>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7. Management’s Discussion and Analysis of Financial Condition and Results of Operations</w:t>
              </w:r>
            </w:hyperlink>
          </w:p>
        </w:tc>
        <w:tc>
          <w:tcPr>
            <w:tcW w:w="3000" w:type="dxa"/>
            <w:vAlign w:val="bottom"/>
            <w:gridSpan w:val="3"/>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220" w:type="dxa"/>
            <w:vAlign w:val="bottom"/>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0"/>
              </w:rPr>
            </w:pPr>
            <w:hyperlink w:anchor="page11">
              <w:r>
                <w:rPr>
                  <w:rFonts w:ascii="Times New Roman" w:cs="Times New Roman" w:eastAsia="Times New Roman" w:hAnsi="Times New Roman"/>
                  <w:sz w:val="18"/>
                  <w:szCs w:val="18"/>
                  <w:color w:val="0000EE"/>
                  <w:w w:val="90"/>
                </w:rPr>
                <w:t>Item</w:t>
              </w:r>
            </w:hyperlink>
          </w:p>
        </w:tc>
        <w:tc>
          <w:tcPr>
            <w:tcW w:w="4600" w:type="dxa"/>
            <w:vAlign w:val="bottom"/>
            <w:tcBorders>
              <w:bottom w:val="single" w:sz="8" w:color="0000EE"/>
            </w:tcBorders>
            <w:gridSpan w:val="19"/>
          </w:tcPr>
          <w:p>
            <w:pPr>
              <w:ind w:left="40"/>
              <w:spacing w:after="0" w:line="196" w:lineRule="exact"/>
              <w:rPr>
                <w:rFonts w:ascii="Times New Roman" w:cs="Times New Roman" w:eastAsia="Times New Roman" w:hAnsi="Times New Roman"/>
                <w:sz w:val="18"/>
                <w:szCs w:val="18"/>
                <w:color w:val="0000EE"/>
                <w:w w:val="97"/>
              </w:rPr>
            </w:pPr>
            <w:hyperlink w:anchor="page11">
              <w:r>
                <w:rPr>
                  <w:rFonts w:ascii="Times New Roman" w:cs="Times New Roman" w:eastAsia="Times New Roman" w:hAnsi="Times New Roman"/>
                  <w:sz w:val="18"/>
                  <w:szCs w:val="18"/>
                  <w:color w:val="0000EE"/>
                  <w:w w:val="97"/>
                </w:rPr>
                <w:t>7A. Quantitative and Qualitative Disclosures About Market Risk</w:t>
              </w:r>
            </w:hyperlink>
          </w:p>
        </w:tc>
        <w:tc>
          <w:tcPr>
            <w:tcW w:w="4920" w:type="dxa"/>
            <w:vAlign w:val="bottom"/>
            <w:gridSpan w:val="7"/>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220" w:type="dxa"/>
            <w:vAlign w:val="bottom"/>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0"/>
              </w:rPr>
            </w:pPr>
            <w:hyperlink w:anchor="page12">
              <w:r>
                <w:rPr>
                  <w:rFonts w:ascii="Times New Roman" w:cs="Times New Roman" w:eastAsia="Times New Roman" w:hAnsi="Times New Roman"/>
                  <w:sz w:val="18"/>
                  <w:szCs w:val="18"/>
                  <w:color w:val="0000EE"/>
                  <w:w w:val="90"/>
                </w:rPr>
                <w:t>Item</w:t>
              </w:r>
            </w:hyperlink>
          </w:p>
        </w:tc>
        <w:tc>
          <w:tcPr>
            <w:tcW w:w="3460" w:type="dxa"/>
            <w:vAlign w:val="bottom"/>
            <w:tcBorders>
              <w:bottom w:val="single" w:sz="8" w:color="0000EE"/>
            </w:tcBorders>
            <w:gridSpan w:val="15"/>
          </w:tcPr>
          <w:p>
            <w:pPr>
              <w:ind w:left="40"/>
              <w:spacing w:after="0" w:line="196" w:lineRule="exact"/>
              <w:rPr>
                <w:rFonts w:ascii="Times New Roman" w:cs="Times New Roman" w:eastAsia="Times New Roman" w:hAnsi="Times New Roman"/>
                <w:sz w:val="18"/>
                <w:szCs w:val="18"/>
                <w:color w:val="0000EE"/>
                <w:w w:val="96"/>
              </w:rPr>
            </w:pPr>
            <w:hyperlink w:anchor="page12">
              <w:r>
                <w:rPr>
                  <w:rFonts w:ascii="Times New Roman" w:cs="Times New Roman" w:eastAsia="Times New Roman" w:hAnsi="Times New Roman"/>
                  <w:sz w:val="18"/>
                  <w:szCs w:val="18"/>
                  <w:color w:val="0000EE"/>
                  <w:w w:val="96"/>
                </w:rPr>
                <w:t>8. Financial Statements and Supplementary Data</w:t>
              </w:r>
            </w:hyperlink>
          </w:p>
        </w:tc>
        <w:tc>
          <w:tcPr>
            <w:tcW w:w="6060" w:type="dxa"/>
            <w:vAlign w:val="bottom"/>
            <w:gridSpan w:val="11"/>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220" w:type="dxa"/>
            <w:vAlign w:val="bottom"/>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0"/>
              </w:rPr>
            </w:pPr>
            <w:hyperlink w:anchor="page12">
              <w:r>
                <w:rPr>
                  <w:rFonts w:ascii="Times New Roman" w:cs="Times New Roman" w:eastAsia="Times New Roman" w:hAnsi="Times New Roman"/>
                  <w:sz w:val="18"/>
                  <w:szCs w:val="18"/>
                  <w:color w:val="0000EE"/>
                  <w:w w:val="90"/>
                </w:rPr>
                <w:t>Item</w:t>
              </w:r>
            </w:hyperlink>
          </w:p>
        </w:tc>
        <w:tc>
          <w:tcPr>
            <w:tcW w:w="6540" w:type="dxa"/>
            <w:vAlign w:val="bottom"/>
            <w:tcBorders>
              <w:bottom w:val="single" w:sz="8" w:color="0000EE"/>
            </w:tcBorders>
            <w:gridSpan w:val="24"/>
          </w:tcPr>
          <w:p>
            <w:pPr>
              <w:ind w:left="40"/>
              <w:spacing w:after="0" w:line="196" w:lineRule="exact"/>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9. Changes in and Disagreements with Accountants on Accounting and Financial Disclosure</w:t>
              </w:r>
            </w:hyperlink>
          </w:p>
        </w:tc>
        <w:tc>
          <w:tcPr>
            <w:tcW w:w="2980" w:type="dxa"/>
            <w:vAlign w:val="bottom"/>
            <w:gridSpan w:val="2"/>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220" w:type="dxa"/>
            <w:vAlign w:val="bottom"/>
          </w:tcPr>
          <w:p>
            <w:pPr>
              <w:spacing w:after="0"/>
              <w:rPr>
                <w:sz w:val="17"/>
                <w:szCs w:val="17"/>
                <w:color w:val="auto"/>
              </w:rPr>
            </w:pPr>
          </w:p>
        </w:tc>
        <w:tc>
          <w:tcPr>
            <w:tcW w:w="3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0"/>
              </w:rPr>
            </w:pPr>
            <w:hyperlink w:anchor="page12">
              <w:r>
                <w:rPr>
                  <w:rFonts w:ascii="Times New Roman" w:cs="Times New Roman" w:eastAsia="Times New Roman" w:hAnsi="Times New Roman"/>
                  <w:sz w:val="18"/>
                  <w:szCs w:val="18"/>
                  <w:color w:val="0000EE"/>
                  <w:w w:val="90"/>
                </w:rPr>
                <w:t>Item</w:t>
              </w:r>
            </w:hyperlink>
          </w:p>
        </w:tc>
        <w:tc>
          <w:tcPr>
            <w:tcW w:w="2080" w:type="dxa"/>
            <w:vAlign w:val="bottom"/>
            <w:tcBorders>
              <w:bottom w:val="single" w:sz="8" w:color="0000EE"/>
            </w:tcBorders>
            <w:gridSpan w:val="12"/>
          </w:tcPr>
          <w:p>
            <w:pPr>
              <w:ind w:left="40"/>
              <w:spacing w:after="0" w:line="196" w:lineRule="exact"/>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9A. Controls and Procedures</w:t>
              </w:r>
            </w:hyperlink>
          </w:p>
        </w:tc>
        <w:tc>
          <w:tcPr>
            <w:tcW w:w="7440" w:type="dxa"/>
            <w:vAlign w:val="bottom"/>
            <w:gridSpan w:val="14"/>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0060" w:type="dxa"/>
            <w:vAlign w:val="bottom"/>
            <w:gridSpan w:val="29"/>
          </w:tcPr>
          <w:p>
            <w:pPr>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PART III</w:t>
              </w:r>
            </w:hyperlink>
          </w:p>
        </w:tc>
        <w:tc>
          <w:tcPr>
            <w:tcW w:w="1360" w:type="dxa"/>
            <w:vAlign w:val="bottom"/>
          </w:tcPr>
          <w:p>
            <w:pPr>
              <w:spacing w:after="0"/>
              <w:rPr>
                <w:sz w:val="17"/>
                <w:szCs w:val="17"/>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20" w:type="dxa"/>
            <w:vAlign w:val="bottom"/>
            <w:gridSpan w:val="2"/>
          </w:tcPr>
          <w:p>
            <w:pPr>
              <w:spacing w:after="0" w:line="196" w:lineRule="exact"/>
              <w:rPr>
                <w:rFonts w:ascii="Times New Roman" w:cs="Times New Roman" w:eastAsia="Times New Roman" w:hAnsi="Times New Roman"/>
                <w:sz w:val="18"/>
                <w:szCs w:val="18"/>
                <w:color w:val="0000EE"/>
                <w:w w:val="90"/>
              </w:rPr>
            </w:pPr>
            <w:hyperlink w:anchor="page12">
              <w:r>
                <w:rPr>
                  <w:rFonts w:ascii="Times New Roman" w:cs="Times New Roman" w:eastAsia="Times New Roman" w:hAnsi="Times New Roman"/>
                  <w:sz w:val="18"/>
                  <w:szCs w:val="18"/>
                  <w:color w:val="0000EE"/>
                  <w:w w:val="90"/>
                </w:rPr>
                <w:t>Item</w:t>
              </w:r>
            </w:hyperlink>
          </w:p>
        </w:tc>
        <w:tc>
          <w:tcPr>
            <w:tcW w:w="9520" w:type="dxa"/>
            <w:vAlign w:val="bottom"/>
            <w:gridSpan w:val="26"/>
          </w:tcPr>
          <w:p>
            <w:pPr>
              <w:ind w:left="40"/>
              <w:spacing w:after="0" w:line="19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10. Directors and Executive Officers of the Registrant</w:t>
              </w:r>
            </w:hyperlink>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220" w:type="dxa"/>
            <w:vAlign w:val="bottom"/>
          </w:tcPr>
          <w:p>
            <w:pPr>
              <w:spacing w:after="0"/>
              <w:rPr>
                <w:sz w:val="17"/>
                <w:szCs w:val="17"/>
                <w:color w:val="auto"/>
              </w:rPr>
            </w:pPr>
          </w:p>
        </w:tc>
        <w:tc>
          <w:tcPr>
            <w:tcW w:w="3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0"/>
              </w:rPr>
            </w:pPr>
            <w:hyperlink w:anchor="page13">
              <w:r>
                <w:rPr>
                  <w:rFonts w:ascii="Times New Roman" w:cs="Times New Roman" w:eastAsia="Times New Roman" w:hAnsi="Times New Roman"/>
                  <w:sz w:val="18"/>
                  <w:szCs w:val="18"/>
                  <w:color w:val="0000EE"/>
                  <w:w w:val="90"/>
                </w:rPr>
                <w:t>Item</w:t>
              </w:r>
            </w:hyperlink>
          </w:p>
        </w:tc>
        <w:tc>
          <w:tcPr>
            <w:tcW w:w="2060" w:type="dxa"/>
            <w:vAlign w:val="bottom"/>
            <w:tcBorders>
              <w:top w:val="single" w:sz="8" w:color="0000EE"/>
              <w:bottom w:val="single" w:sz="8" w:color="0000EE"/>
            </w:tcBorders>
            <w:gridSpan w:val="11"/>
          </w:tcPr>
          <w:p>
            <w:pPr>
              <w:ind w:left="40"/>
              <w:spacing w:after="0" w:line="196" w:lineRule="exact"/>
              <w:rPr>
                <w:rFonts w:ascii="Times New Roman" w:cs="Times New Roman" w:eastAsia="Times New Roman" w:hAnsi="Times New Roman"/>
                <w:sz w:val="18"/>
                <w:szCs w:val="18"/>
                <w:color w:val="0000EE"/>
                <w:w w:val="96"/>
              </w:rPr>
            </w:pPr>
            <w:hyperlink w:anchor="page13">
              <w:r>
                <w:rPr>
                  <w:rFonts w:ascii="Times New Roman" w:cs="Times New Roman" w:eastAsia="Times New Roman" w:hAnsi="Times New Roman"/>
                  <w:sz w:val="18"/>
                  <w:szCs w:val="18"/>
                  <w:color w:val="0000EE"/>
                  <w:w w:val="96"/>
                </w:rPr>
                <w:t>11. Executive Compensation</w:t>
              </w:r>
            </w:hyperlink>
          </w:p>
        </w:tc>
        <w:tc>
          <w:tcPr>
            <w:tcW w:w="1760" w:type="dxa"/>
            <w:vAlign w:val="bottom"/>
            <w:tcBorders>
              <w:top w:val="single" w:sz="8" w:color="0000EE"/>
            </w:tcBorders>
            <w:gridSpan w:val="6"/>
          </w:tcPr>
          <w:p>
            <w:pPr>
              <w:spacing w:after="0"/>
              <w:rPr>
                <w:sz w:val="17"/>
                <w:szCs w:val="17"/>
                <w:color w:val="auto"/>
              </w:rPr>
            </w:pPr>
          </w:p>
        </w:tc>
        <w:tc>
          <w:tcPr>
            <w:tcW w:w="5700" w:type="dxa"/>
            <w:vAlign w:val="bottom"/>
            <w:gridSpan w:val="9"/>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220" w:type="dxa"/>
            <w:vAlign w:val="bottom"/>
          </w:tcPr>
          <w:p>
            <w:pPr>
              <w:spacing w:after="0"/>
              <w:rPr>
                <w:sz w:val="17"/>
                <w:szCs w:val="17"/>
                <w:color w:val="auto"/>
              </w:rPr>
            </w:pPr>
          </w:p>
        </w:tc>
        <w:tc>
          <w:tcPr>
            <w:tcW w:w="320" w:type="dxa"/>
            <w:vAlign w:val="bottom"/>
            <w:gridSpan w:val="2"/>
          </w:tcPr>
          <w:p>
            <w:pPr>
              <w:spacing w:after="0" w:line="196" w:lineRule="exact"/>
              <w:rPr>
                <w:rFonts w:ascii="Times New Roman" w:cs="Times New Roman" w:eastAsia="Times New Roman" w:hAnsi="Times New Roman"/>
                <w:sz w:val="18"/>
                <w:szCs w:val="18"/>
                <w:color w:val="0000EE"/>
                <w:w w:val="90"/>
              </w:rPr>
            </w:pPr>
            <w:hyperlink w:anchor="page13">
              <w:r>
                <w:rPr>
                  <w:rFonts w:ascii="Times New Roman" w:cs="Times New Roman" w:eastAsia="Times New Roman" w:hAnsi="Times New Roman"/>
                  <w:sz w:val="18"/>
                  <w:szCs w:val="18"/>
                  <w:color w:val="0000EE"/>
                  <w:w w:val="90"/>
                </w:rPr>
                <w:t>Item</w:t>
              </w:r>
            </w:hyperlink>
          </w:p>
        </w:tc>
        <w:tc>
          <w:tcPr>
            <w:tcW w:w="9520" w:type="dxa"/>
            <w:vAlign w:val="bottom"/>
            <w:gridSpan w:val="26"/>
          </w:tcPr>
          <w:p>
            <w:pPr>
              <w:ind w:left="40"/>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12. Security Ownership of Certain Beneficial Owners and Management</w:t>
              </w:r>
            </w:hyperlink>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220" w:type="dxa"/>
            <w:vAlign w:val="bottom"/>
          </w:tcPr>
          <w:p>
            <w:pPr>
              <w:spacing w:after="0"/>
              <w:rPr>
                <w:sz w:val="17"/>
                <w:szCs w:val="17"/>
                <w:color w:val="auto"/>
              </w:rPr>
            </w:pPr>
          </w:p>
        </w:tc>
        <w:tc>
          <w:tcPr>
            <w:tcW w:w="3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w w:val="90"/>
              </w:rPr>
            </w:pPr>
            <w:hyperlink w:anchor="page13">
              <w:r>
                <w:rPr>
                  <w:rFonts w:ascii="Times New Roman" w:cs="Times New Roman" w:eastAsia="Times New Roman" w:hAnsi="Times New Roman"/>
                  <w:sz w:val="18"/>
                  <w:szCs w:val="18"/>
                  <w:color w:val="0000EE"/>
                  <w:w w:val="90"/>
                </w:rPr>
                <w:t>Item</w:t>
              </w:r>
            </w:hyperlink>
          </w:p>
        </w:tc>
        <w:tc>
          <w:tcPr>
            <w:tcW w:w="5060" w:type="dxa"/>
            <w:vAlign w:val="bottom"/>
            <w:tcBorders>
              <w:top w:val="single" w:sz="8" w:color="0000EE"/>
            </w:tcBorders>
            <w:gridSpan w:val="20"/>
          </w:tcPr>
          <w:p>
            <w:pPr>
              <w:ind w:left="40"/>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13. Certain Relationships and Related Transactions</w:t>
              </w:r>
            </w:hyperlink>
          </w:p>
        </w:tc>
        <w:tc>
          <w:tcPr>
            <w:tcW w:w="4460" w:type="dxa"/>
            <w:vAlign w:val="bottom"/>
            <w:gridSpan w:val="6"/>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220" w:type="dxa"/>
            <w:vAlign w:val="bottom"/>
          </w:tcPr>
          <w:p>
            <w:pPr>
              <w:spacing w:after="0"/>
              <w:rPr>
                <w:sz w:val="17"/>
                <w:szCs w:val="17"/>
                <w:color w:val="auto"/>
              </w:rPr>
            </w:pPr>
          </w:p>
        </w:tc>
        <w:tc>
          <w:tcPr>
            <w:tcW w:w="3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0"/>
              </w:rPr>
            </w:pPr>
            <w:hyperlink w:anchor="page13">
              <w:r>
                <w:rPr>
                  <w:rFonts w:ascii="Times New Roman" w:cs="Times New Roman" w:eastAsia="Times New Roman" w:hAnsi="Times New Roman"/>
                  <w:sz w:val="18"/>
                  <w:szCs w:val="18"/>
                  <w:color w:val="0000EE"/>
                  <w:w w:val="90"/>
                </w:rPr>
                <w:t>Item</w:t>
              </w:r>
            </w:hyperlink>
          </w:p>
        </w:tc>
        <w:tc>
          <w:tcPr>
            <w:tcW w:w="3100" w:type="dxa"/>
            <w:vAlign w:val="bottom"/>
            <w:tcBorders>
              <w:top w:val="single" w:sz="8" w:color="0000EE"/>
              <w:bottom w:val="single" w:sz="8" w:color="0000EE"/>
            </w:tcBorders>
            <w:gridSpan w:val="13"/>
          </w:tcPr>
          <w:p>
            <w:pPr>
              <w:ind w:left="40"/>
              <w:spacing w:after="0" w:line="196" w:lineRule="exact"/>
              <w:rPr>
                <w:rFonts w:ascii="Times New Roman" w:cs="Times New Roman" w:eastAsia="Times New Roman" w:hAnsi="Times New Roman"/>
                <w:sz w:val="18"/>
                <w:szCs w:val="18"/>
                <w:color w:val="0000EE"/>
                <w:w w:val="96"/>
              </w:rPr>
            </w:pPr>
            <w:hyperlink w:anchor="page13">
              <w:r>
                <w:rPr>
                  <w:rFonts w:ascii="Times New Roman" w:cs="Times New Roman" w:eastAsia="Times New Roman" w:hAnsi="Times New Roman"/>
                  <w:sz w:val="18"/>
                  <w:szCs w:val="18"/>
                  <w:color w:val="0000EE"/>
                  <w:w w:val="96"/>
                </w:rPr>
                <w:t>14. Principal Accounting Fees and Services</w:t>
              </w:r>
            </w:hyperlink>
          </w:p>
        </w:tc>
        <w:tc>
          <w:tcPr>
            <w:tcW w:w="520" w:type="dxa"/>
            <w:vAlign w:val="bottom"/>
            <w:tcBorders>
              <w:top w:val="single" w:sz="8" w:color="0000EE"/>
            </w:tcBorders>
            <w:gridSpan w:val="3"/>
          </w:tcPr>
          <w:p>
            <w:pPr>
              <w:spacing w:after="0"/>
              <w:rPr>
                <w:sz w:val="17"/>
                <w:szCs w:val="17"/>
                <w:color w:val="auto"/>
              </w:rPr>
            </w:pPr>
          </w:p>
        </w:tc>
        <w:tc>
          <w:tcPr>
            <w:tcW w:w="5900" w:type="dxa"/>
            <w:vAlign w:val="bottom"/>
            <w:gridSpan w:val="10"/>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6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2"/>
              </w:rPr>
            </w:pPr>
            <w:hyperlink w:anchor="page13">
              <w:r>
                <w:rPr>
                  <w:rFonts w:ascii="Times New Roman" w:cs="Times New Roman" w:eastAsia="Times New Roman" w:hAnsi="Times New Roman"/>
                  <w:sz w:val="18"/>
                  <w:szCs w:val="18"/>
                  <w:color w:val="0000EE"/>
                  <w:w w:val="92"/>
                </w:rPr>
                <w:t>PART IV</w:t>
              </w:r>
            </w:hyperlink>
          </w:p>
        </w:tc>
        <w:tc>
          <w:tcPr>
            <w:tcW w:w="9400" w:type="dxa"/>
            <w:vAlign w:val="bottom"/>
            <w:gridSpan w:val="23"/>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320" w:type="dxa"/>
            <w:vAlign w:val="bottom"/>
            <w:gridSpan w:val="2"/>
          </w:tcPr>
          <w:p>
            <w:pPr>
              <w:spacing w:after="0" w:line="196" w:lineRule="exact"/>
              <w:rPr>
                <w:rFonts w:ascii="Times New Roman" w:cs="Times New Roman" w:eastAsia="Times New Roman" w:hAnsi="Times New Roman"/>
                <w:sz w:val="18"/>
                <w:szCs w:val="18"/>
                <w:color w:val="0000EE"/>
                <w:w w:val="90"/>
              </w:rPr>
            </w:pPr>
            <w:hyperlink w:anchor="page13">
              <w:r>
                <w:rPr>
                  <w:rFonts w:ascii="Times New Roman" w:cs="Times New Roman" w:eastAsia="Times New Roman" w:hAnsi="Times New Roman"/>
                  <w:sz w:val="18"/>
                  <w:szCs w:val="18"/>
                  <w:color w:val="0000EE"/>
                  <w:w w:val="90"/>
                </w:rPr>
                <w:t>Item</w:t>
              </w:r>
            </w:hyperlink>
          </w:p>
        </w:tc>
        <w:tc>
          <w:tcPr>
            <w:tcW w:w="9520" w:type="dxa"/>
            <w:vAlign w:val="bottom"/>
            <w:gridSpan w:val="26"/>
          </w:tcPr>
          <w:p>
            <w:pPr>
              <w:ind w:left="40"/>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15. Exhibits, Financial Statement Schedules</w:t>
              </w:r>
            </w:hyperlink>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220" w:type="dxa"/>
            <w:vAlign w:val="bottom"/>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5"/>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0060" w:type="dxa"/>
            <w:vAlign w:val="bottom"/>
            <w:gridSpan w:val="29"/>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UNDERTAKING</w:t>
              </w:r>
            </w:hyperlink>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126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SIGNATURES</w:t>
              </w:r>
            </w:hyperlink>
          </w:p>
        </w:tc>
        <w:tc>
          <w:tcPr>
            <w:tcW w:w="8800" w:type="dxa"/>
            <w:vAlign w:val="bottom"/>
            <w:gridSpan w:val="21"/>
          </w:tcPr>
          <w:p>
            <w:pPr>
              <w:spacing w:after="0"/>
              <w:rPr>
                <w:sz w:val="17"/>
                <w:szCs w:val="17"/>
                <w:color w:val="auto"/>
              </w:rPr>
            </w:pP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1080" w:type="dxa"/>
            <w:vAlign w:val="bottom"/>
            <w:gridSpan w:val="7"/>
            <w:shd w:val="clear" w:color="auto" w:fill="0000EE"/>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100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EX-13: SELECTED PAGES FROM THE COMPANY’S 2005 ANNUAL REPORT</w:t>
            </w:r>
          </w:p>
        </w:tc>
        <w:tc>
          <w:tcPr>
            <w:tcW w:w="1360" w:type="dxa"/>
            <w:vAlign w:val="bottom"/>
          </w:tcPr>
          <w:p>
            <w:pPr>
              <w:spacing w:after="0"/>
              <w:rPr>
                <w:sz w:val="17"/>
                <w:szCs w:val="17"/>
                <w:color w:val="auto"/>
              </w:rPr>
            </w:pPr>
          </w:p>
        </w:tc>
      </w:tr>
      <w:tr>
        <w:trPr>
          <w:trHeight w:val="196"/>
        </w:trPr>
        <w:tc>
          <w:tcPr>
            <w:tcW w:w="590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EX-21: LIST OF SUBSIDIARIES</w:t>
            </w:r>
          </w:p>
        </w:tc>
        <w:tc>
          <w:tcPr>
            <w:tcW w:w="4160" w:type="dxa"/>
            <w:vAlign w:val="bottom"/>
            <w:gridSpan w:val="5"/>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2440" w:type="dxa"/>
            <w:vAlign w:val="bottom"/>
            <w:gridSpan w:val="13"/>
            <w:shd w:val="clear" w:color="auto" w:fill="0000EE"/>
          </w:tcPr>
          <w:p>
            <w:pPr>
              <w:spacing w:after="0" w:line="20" w:lineRule="exact"/>
              <w:rPr>
                <w:sz w:val="1"/>
                <w:szCs w:val="1"/>
                <w:color w:val="auto"/>
              </w:rPr>
            </w:pPr>
          </w:p>
        </w:tc>
        <w:tc>
          <w:tcPr>
            <w:tcW w:w="3940" w:type="dxa"/>
            <w:vAlign w:val="bottom"/>
            <w:gridSpan w:val="12"/>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63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7"/>
              </w:rPr>
              <w:t>EX-23: CONSENT OF INDEPENDENT REGISTERED PUBLIC ACCOUNTING FIRM</w:t>
            </w:r>
          </w:p>
        </w:tc>
        <w:tc>
          <w:tcPr>
            <w:tcW w:w="3680" w:type="dxa"/>
            <w:vAlign w:val="bottom"/>
            <w:gridSpan w:val="4"/>
          </w:tcPr>
          <w:p>
            <w:pPr>
              <w:spacing w:after="0"/>
              <w:rPr>
                <w:sz w:val="17"/>
                <w:szCs w:val="17"/>
                <w:color w:val="auto"/>
              </w:rPr>
            </w:pPr>
          </w:p>
        </w:tc>
        <w:tc>
          <w:tcPr>
            <w:tcW w:w="1360" w:type="dxa"/>
            <w:vAlign w:val="bottom"/>
          </w:tcPr>
          <w:p>
            <w:pPr>
              <w:spacing w:after="0"/>
              <w:rPr>
                <w:sz w:val="17"/>
                <w:szCs w:val="17"/>
                <w:color w:val="auto"/>
              </w:rPr>
            </w:pPr>
          </w:p>
        </w:tc>
      </w:tr>
    </w:tbl>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EX-31.1: CERTIFICATION OF CEO PURSUANT TO SECTION 302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EX-31.2: CERTIFICATION OF CFO PURSUANT TO SECTION 302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EX-32.1: CERTIFICATION OF CEO PURSUANT TO SECTION 906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EX-32.2: CERTIFICATION OF CFO PURSUANT TO SECTION 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2543175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WINNEBAGO INDUSTRIES, INC.</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Report for the Fiscal Year Ended August 27, 2005</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0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color w:val="auto"/>
        </w:rPr>
        <w:t>Business</w:t>
      </w:r>
    </w:p>
    <w:p>
      <w:pPr>
        <w:sectPr>
          <w:pgSz w:w="11900" w:h="16845" w:orient="portrait"/>
          <w:cols w:equalWidth="0" w:num="1">
            <w:col w:w="11420"/>
          </w:cols>
          <w:pgMar w:left="240" w:top="1393" w:right="239" w:bottom="0" w:gutter="0" w:footer="0" w:header="0"/>
        </w:sectPr>
      </w:pPr>
    </w:p>
    <w:bookmarkStart w:id="3" w:name="page4"/>
    <w:bookmarkEnd w:id="3"/>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95"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Winnebago Industries, Inc., headquartered in Forest City, Iowa, is a leading United States manufacturer of motor homes, self-contained recreation vehicles used primarily in leisure travel and outdoor recreation activities. Motor home sales by the Company represented at least 92 percent of its revenues in each of the past five fiscal years. The Company’s motor homes are sold through independent dealers under the Winnebago and Itasca brand names.</w:t>
      </w:r>
    </w:p>
    <w:p>
      <w:pPr>
        <w:spacing w:after="0" w:line="186"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Other products manufactured by the Company consist primarily of extruded aluminum and other component products for other manufacturers and commercial vehicles.</w:t>
      </w:r>
    </w:p>
    <w:p>
      <w:pPr>
        <w:spacing w:after="0" w:line="174"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The Company was incorporated under the laws of the state of Iowa on February 12, 1958, and adopted its present name on February 28, 1961. The Company’s executive offices are located at 605 West Crystal Lake Road in Forest City, Iowa. The Company’s telephone number is (641) 585-3535. Unless the context indicates otherwise, the term “Company” refers to Winnebago Industries, Inc. and its subsidiaries.</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The Company’s website, located at </w:t>
      </w:r>
      <w:r>
        <w:rPr>
          <w:rFonts w:ascii="Times New Roman" w:cs="Times New Roman" w:eastAsia="Times New Roman" w:hAnsi="Times New Roman"/>
          <w:sz w:val="18"/>
          <w:szCs w:val="18"/>
          <w:u w:val="single" w:color="auto"/>
          <w:color w:val="auto"/>
        </w:rPr>
        <w:t>www.winnebagoind.com</w:t>
      </w:r>
      <w:r>
        <w:rPr>
          <w:rFonts w:ascii="Times New Roman" w:cs="Times New Roman" w:eastAsia="Times New Roman" w:hAnsi="Times New Roman"/>
          <w:sz w:val="18"/>
          <w:szCs w:val="18"/>
          <w:color w:val="auto"/>
        </w:rPr>
        <w:t>, provides additional information about the Company. On the Company’s website you can obtain, free of charge, this and prior year Annual Reports on Form 10-K, Quarterly Reports on Form 10-Q, Current Reports on Form 8-K and all of the Company’s other filings with the Securities Exchange Commission. The Company’s recent press releases are also available on its website. The Company’s website also contains important information regarding the Company’s corporate governance practices. The information on the Company’s website is not part of this Annual Report on Form 10-K.</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Information</w:t>
      </w:r>
    </w:p>
    <w:p>
      <w:pPr>
        <w:spacing w:after="0" w:line="29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of the matters discussed in this Annual Report on Form 10-K are “forward looking statements” within the meaning of Section 27A of the Securities Act of 1933, as amended, and Section 21E of the Securities Exchange Act of 1934, as amended, which involve risks and uncertainties, including, but not limited to reactions to actual or threatened terrorist attacks, a further decline in consumer confidence, availability and price of fuel, a significant increase in interest rates, a slowdown in the economy, availability of chassis and other key component parts, sales order cancellations, slower than anticipated sales of new or existing products, new product introductions by competitors, and other factors which may be disclosed throughout this Annual Report on Form 10-K. Although management believes that the expectations reflected in the “forward looking statements” are reasonable, the Company cannot guarantee future results, levels of activity, performance or achievements. Undue reliance should not be placed on these “forward looking statements,” which speak only as of the data of this report. The Company undertakes no obligation to publicly update or revise any forward looking statements whether as a result of new information, future events or otherwise, except as required by law or the rules of the New York Stock Exchange.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Principal Products</w:t>
      </w:r>
    </w:p>
    <w:p>
      <w:pPr>
        <w:spacing w:after="0" w:line="295" w:lineRule="exact"/>
        <w:rPr>
          <w:sz w:val="20"/>
          <w:szCs w:val="20"/>
          <w:color w:val="auto"/>
        </w:rPr>
      </w:pPr>
    </w:p>
    <w:p>
      <w:pPr>
        <w:ind w:right="760"/>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respective contribution to the Company’s net revenues by product class for each of the last five fiscal years (dollars in thousands):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4"/>
              </w:rPr>
              <w:t>Fiscal Year Ended (1) (2)</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August 27,</w:t>
            </w:r>
          </w:p>
        </w:tc>
        <w:tc>
          <w:tcPr>
            <w:tcW w:w="2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August 28,</w:t>
            </w:r>
          </w:p>
        </w:tc>
        <w:tc>
          <w:tcPr>
            <w:tcW w:w="40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August 30,</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August 25,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7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2005</w:t>
            </w:r>
          </w:p>
        </w:tc>
        <w:tc>
          <w:tcPr>
            <w:tcW w:w="340" w:type="dxa"/>
            <w:vAlign w:val="bottom"/>
          </w:tcPr>
          <w:p>
            <w:pPr>
              <w:spacing w:after="0"/>
              <w:rPr>
                <w:sz w:val="15"/>
                <w:szCs w:val="15"/>
                <w:color w:val="auto"/>
              </w:rPr>
            </w:pPr>
          </w:p>
        </w:tc>
        <w:tc>
          <w:tcPr>
            <w:tcW w:w="1000" w:type="dxa"/>
            <w:vAlign w:val="bottom"/>
            <w:gridSpan w:val="2"/>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2004</w:t>
            </w:r>
          </w:p>
        </w:tc>
        <w:tc>
          <w:tcPr>
            <w:tcW w:w="140" w:type="dxa"/>
            <w:vAlign w:val="bottom"/>
          </w:tcPr>
          <w:p>
            <w:pPr>
              <w:spacing w:after="0"/>
              <w:rPr>
                <w:sz w:val="15"/>
                <w:szCs w:val="15"/>
                <w:color w:val="auto"/>
              </w:rPr>
            </w:pPr>
          </w:p>
        </w:tc>
        <w:tc>
          <w:tcPr>
            <w:tcW w:w="1140" w:type="dxa"/>
            <w:vAlign w:val="bottom"/>
            <w:gridSpan w:val="2"/>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2003</w:t>
            </w:r>
          </w:p>
        </w:tc>
        <w:tc>
          <w:tcPr>
            <w:tcW w:w="540" w:type="dxa"/>
            <w:vAlign w:val="bottom"/>
          </w:tcPr>
          <w:p>
            <w:pPr>
              <w:spacing w:after="0"/>
              <w:rPr>
                <w:sz w:val="15"/>
                <w:szCs w:val="15"/>
                <w:color w:val="auto"/>
              </w:rPr>
            </w:pPr>
          </w:p>
        </w:tc>
        <w:tc>
          <w:tcPr>
            <w:tcW w:w="72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2002</w:t>
            </w:r>
          </w:p>
        </w:tc>
        <w:tc>
          <w:tcPr>
            <w:tcW w:w="340" w:type="dxa"/>
            <w:vAlign w:val="bottom"/>
          </w:tcPr>
          <w:p>
            <w:pPr>
              <w:spacing w:after="0"/>
              <w:rPr>
                <w:sz w:val="15"/>
                <w:szCs w:val="15"/>
                <w:color w:val="auto"/>
              </w:rPr>
            </w:pPr>
          </w:p>
        </w:tc>
        <w:tc>
          <w:tcPr>
            <w:tcW w:w="920" w:type="dxa"/>
            <w:vAlign w:val="bottom"/>
            <w:gridSpan w:val="2"/>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2001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Class A and C Motor Homes</w:t>
            </w: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97"/>
              </w:rPr>
              <w:t>$ 946,350</w:t>
            </w:r>
          </w:p>
        </w:tc>
        <w:tc>
          <w:tcPr>
            <w:tcW w:w="34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$1,070,264</w:t>
            </w:r>
          </w:p>
        </w:tc>
        <w:tc>
          <w:tcPr>
            <w:tcW w:w="14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$ 801,027</w:t>
            </w:r>
          </w:p>
        </w:tc>
        <w:tc>
          <w:tcPr>
            <w:tcW w:w="54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97"/>
              </w:rPr>
              <w:t>$ 773,125</w:t>
            </w:r>
          </w:p>
        </w:tc>
        <w:tc>
          <w:tcPr>
            <w:tcW w:w="34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$ 624,110</w:t>
            </w:r>
          </w:p>
        </w:tc>
        <w:tc>
          <w:tcPr>
            <w:tcW w:w="1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6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94.8%</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93.7%</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Other Recreation</w:t>
            </w:r>
          </w:p>
        </w:tc>
        <w:tc>
          <w:tcPr>
            <w:tcW w:w="7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Vehicle Revenues (3)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16,401</w:t>
            </w:r>
          </w:p>
        </w:tc>
        <w:tc>
          <w:tcPr>
            <w:tcW w:w="3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15,199</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17,285</w:t>
            </w:r>
          </w:p>
        </w:tc>
        <w:tc>
          <w:tcPr>
            <w:tcW w:w="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20,486</w:t>
            </w: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17,808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140" w:type="dxa"/>
            <w:vAlign w:val="bottom"/>
            <w:gridSpan w:val="3"/>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80" w:type="dxa"/>
            <w:vAlign w:val="bottom"/>
            <w:gridSpan w:val="3"/>
            <w:shd w:val="clear" w:color="auto" w:fill="D6F3E8"/>
          </w:tcPr>
          <w:p>
            <w:pPr>
              <w:jc w:val="right"/>
              <w:ind w:right="400"/>
              <w:spacing w:after="0"/>
              <w:rPr>
                <w:sz w:val="20"/>
                <w:szCs w:val="20"/>
                <w:color w:val="auto"/>
              </w:rPr>
            </w:pPr>
            <w:r>
              <w:rPr>
                <w:rFonts w:ascii="Times New Roman" w:cs="Times New Roman" w:eastAsia="Times New Roman" w:hAnsi="Times New Roman"/>
                <w:sz w:val="18"/>
                <w:szCs w:val="18"/>
                <w:color w:val="auto"/>
              </w:rPr>
              <w:t>2.0%</w:t>
            </w:r>
          </w:p>
        </w:tc>
        <w:tc>
          <w:tcPr>
            <w:tcW w:w="1060" w:type="dxa"/>
            <w:vAlign w:val="bottom"/>
            <w:gridSpan w:val="2"/>
            <w:shd w:val="clear" w:color="auto" w:fill="D6F3E8"/>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100" w:type="dxa"/>
            <w:vAlign w:val="bottom"/>
            <w:gridSpan w:val="3"/>
            <w:shd w:val="clear" w:color="auto" w:fill="D6F3E8"/>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 Manufactured Products</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D6F3E8"/>
          </w:tcPr>
          <w:p>
            <w:pPr>
              <w:ind w:left="160"/>
              <w:spacing w:after="0"/>
              <w:rPr>
                <w:sz w:val="20"/>
                <w:szCs w:val="20"/>
                <w:color w:val="auto"/>
              </w:rPr>
            </w:pPr>
            <w:r>
              <w:rPr>
                <w:rFonts w:ascii="Times New Roman" w:cs="Times New Roman" w:eastAsia="Times New Roman" w:hAnsi="Times New Roman"/>
                <w:sz w:val="18"/>
                <w:szCs w:val="18"/>
                <w:color w:val="auto"/>
              </w:rPr>
              <w:t>Revenues (4)</w:t>
            </w: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29,224</w:t>
            </w:r>
          </w:p>
        </w:tc>
        <w:tc>
          <w:tcPr>
            <w:tcW w:w="34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28,691</w:t>
            </w:r>
          </w:p>
        </w:tc>
        <w:tc>
          <w:tcPr>
            <w:tcW w:w="14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26,898</w:t>
            </w:r>
          </w:p>
        </w:tc>
        <w:tc>
          <w:tcPr>
            <w:tcW w:w="54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31,658</w:t>
            </w:r>
          </w:p>
        </w:tc>
        <w:tc>
          <w:tcPr>
            <w:tcW w:w="34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29,768</w:t>
            </w:r>
          </w:p>
        </w:tc>
        <w:tc>
          <w:tcPr>
            <w:tcW w:w="1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D6F3E8"/>
          </w:tcPr>
          <w:p>
            <w:pPr>
              <w:ind w:left="520"/>
              <w:spacing w:after="0"/>
              <w:rPr>
                <w:sz w:val="20"/>
                <w:szCs w:val="20"/>
                <w:color w:val="auto"/>
              </w:rPr>
            </w:pPr>
            <w:r>
              <w:rPr>
                <w:rFonts w:ascii="Times New Roman" w:cs="Times New Roman" w:eastAsia="Times New Roman" w:hAnsi="Times New Roman"/>
                <w:sz w:val="18"/>
                <w:szCs w:val="18"/>
                <w:color w:val="auto"/>
              </w:rPr>
              <w:t>Total Net Revenues</w:t>
            </w: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97"/>
              </w:rPr>
              <w:t>$ 991,975</w:t>
            </w:r>
          </w:p>
        </w:tc>
        <w:tc>
          <w:tcPr>
            <w:tcW w:w="34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$1,114,154</w:t>
            </w:r>
          </w:p>
        </w:tc>
        <w:tc>
          <w:tcPr>
            <w:tcW w:w="14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$ 845,210</w:t>
            </w:r>
          </w:p>
        </w:tc>
        <w:tc>
          <w:tcPr>
            <w:tcW w:w="54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97"/>
              </w:rPr>
              <w:t>$ 825,269</w:t>
            </w:r>
          </w:p>
        </w:tc>
        <w:tc>
          <w:tcPr>
            <w:tcW w:w="34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$ 671,686</w:t>
            </w:r>
          </w:p>
        </w:tc>
        <w:tc>
          <w:tcPr>
            <w:tcW w:w="18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100.0%</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20" w:hanging="612"/>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prior periods’ information has been reclassified to conform to the current year-end presentation.</w:t>
      </w:r>
    </w:p>
    <w:p>
      <w:pPr>
        <w:spacing w:after="0" w:line="21"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year ended August 31, 2002 contained 53 weeks, all other fiscal years contained 52 weeks.</w:t>
      </w:r>
    </w:p>
    <w:p>
      <w:pPr>
        <w:spacing w:after="0" w:line="9"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recreation vehicle related parts and recreation vehicle service revenue.</w:t>
      </w:r>
    </w:p>
    <w:p>
      <w:pPr>
        <w:spacing w:after="0" w:line="9" w:lineRule="exact"/>
        <w:rPr>
          <w:rFonts w:ascii="Times New Roman" w:cs="Times New Roman" w:eastAsia="Times New Roman" w:hAnsi="Times New Roman"/>
          <w:sz w:val="18"/>
          <w:szCs w:val="18"/>
          <w:color w:val="auto"/>
        </w:rPr>
      </w:pPr>
    </w:p>
    <w:p>
      <w:pPr>
        <w:ind w:left="620" w:hanging="612"/>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sales of extruded aluminum and other component products for other manufacturers and commercial vehicles.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 sales of the Company’s principal recreation vehicles for the last five fiscal years were as follows:</w:t>
      </w:r>
    </w:p>
    <w:p>
      <w:pPr>
        <w:spacing w:after="0" w:line="2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b w:val="1"/>
          <w:bCs w:val="1"/>
          <w:color w:val="auto"/>
        </w:rPr>
        <w:t>Fiscal Year Ended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71120</wp:posOffset>
            </wp:positionV>
            <wp:extent cx="3704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ectPr>
          <w:pgSz w:w="11900" w:h="16856" w:orient="portrait"/>
          <w:cols w:equalWidth="0" w:num="1">
            <w:col w:w="11420"/>
          </w:cols>
          <w:pgMar w:left="240" w:top="123" w:right="239" w:bottom="0" w:gutter="0" w:footer="0" w:header="0"/>
        </w:sectPr>
      </w:pPr>
    </w:p>
    <w:p>
      <w:pPr>
        <w:spacing w:after="0" w:line="217"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2"/>
          <w:szCs w:val="12"/>
          <w:b w:val="1"/>
          <w:bCs w:val="1"/>
          <w:color w:val="auto"/>
        </w:rPr>
        <w:t>August 27,</w:t>
      </w:r>
    </w:p>
    <w:p>
      <w:pPr>
        <w:spacing w:after="0" w:line="28" w:lineRule="exact"/>
        <w:rPr>
          <w:sz w:val="20"/>
          <w:szCs w:val="20"/>
          <w:color w:val="auto"/>
        </w:rPr>
      </w:pPr>
    </w:p>
    <w:p>
      <w:pPr>
        <w:jc w:val="center"/>
        <w:ind w:left="4340"/>
        <w:spacing w:after="0"/>
        <w:rPr>
          <w:sz w:val="20"/>
          <w:szCs w:val="20"/>
          <w:color w:val="auto"/>
        </w:rPr>
      </w:pPr>
      <w:r>
        <w:rPr>
          <w:rFonts w:ascii="Times New Roman" w:cs="Times New Roman" w:eastAsia="Times New Roman" w:hAnsi="Times New Roman"/>
          <w:sz w:val="14"/>
          <w:szCs w:val="14"/>
          <w:b w:val="1"/>
          <w:bCs w:val="1"/>
          <w:color w:val="auto"/>
        </w:rPr>
        <w:t>2005</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August 28,</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2004</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August 30,</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2003</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August 31,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2002</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August 25,</w:t>
      </w:r>
    </w:p>
    <w:p>
      <w:pPr>
        <w:spacing w:after="0" w:line="28" w:lineRule="exact"/>
        <w:rPr>
          <w:sz w:val="20"/>
          <w:szCs w:val="20"/>
          <w:color w:val="auto"/>
        </w:rPr>
      </w:pPr>
    </w:p>
    <w:p>
      <w:pPr>
        <w:jc w:val="center"/>
        <w:ind w:right="1360"/>
        <w:spacing w:after="0"/>
        <w:rPr>
          <w:sz w:val="20"/>
          <w:szCs w:val="20"/>
          <w:color w:val="auto"/>
        </w:rPr>
      </w:pPr>
      <w:r>
        <w:rPr>
          <w:rFonts w:ascii="Times New Roman" w:cs="Times New Roman" w:eastAsia="Times New Roman" w:hAnsi="Times New Roman"/>
          <w:sz w:val="14"/>
          <w:szCs w:val="14"/>
          <w:b w:val="1"/>
          <w:bCs w:val="1"/>
          <w:color w:val="auto"/>
        </w:rPr>
        <w:t>2001</w:t>
      </w:r>
    </w:p>
    <w:p>
      <w:pPr>
        <w:sectPr>
          <w:pgSz w:w="11900" w:h="16856" w:orient="portrait"/>
          <w:cols w:equalWidth="0" w:num="5">
            <w:col w:w="4940" w:space="680"/>
            <w:col w:w="620" w:space="680"/>
            <w:col w:w="620" w:space="640"/>
            <w:col w:w="620" w:space="640"/>
            <w:col w:w="1980"/>
          </w:cols>
          <w:pgMar w:left="240" w:top="123" w:right="239" w:bottom="0" w:gutter="0" w:footer="0" w:header="0"/>
          <w:type w:val="continuous"/>
        </w:sectPr>
      </w:pPr>
    </w:p>
    <w:bookmarkStart w:id="4" w:name="page5"/>
    <w:bookmarkEnd w:id="4"/>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2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Unit Sales</w:t>
            </w:r>
          </w:p>
        </w:tc>
        <w:tc>
          <w:tcPr>
            <w:tcW w:w="74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7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A</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6,674</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8,108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6,725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D6F3E8"/>
          </w:tcPr>
          <w:p>
            <w:pPr>
              <w:ind w:left="120"/>
              <w:spacing w:after="0"/>
              <w:rPr>
                <w:sz w:val="20"/>
                <w:szCs w:val="20"/>
                <w:color w:val="auto"/>
              </w:rPr>
            </w:pPr>
            <w:r>
              <w:rPr>
                <w:rFonts w:ascii="Times New Roman" w:cs="Times New Roman" w:eastAsia="Times New Roman" w:hAnsi="Times New Roman"/>
                <w:sz w:val="18"/>
                <w:szCs w:val="18"/>
                <w:color w:val="auto"/>
              </w:rPr>
              <w:t>Class C</w:t>
            </w: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130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4,408</w:t>
            </w:r>
          </w:p>
        </w:tc>
        <w:tc>
          <w:tcPr>
            <w:tcW w:w="128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26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4,329</w:t>
            </w:r>
          </w:p>
        </w:tc>
        <w:tc>
          <w:tcPr>
            <w:tcW w:w="124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80" w:type="dxa"/>
            <w:vAlign w:val="bottom"/>
            <w:shd w:val="clear" w:color="auto" w:fill="D6F3E8"/>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r>
      <w:tr>
        <w:trPr>
          <w:trHeight w:val="316"/>
        </w:trPr>
        <w:tc>
          <w:tcPr>
            <w:tcW w:w="20" w:type="dxa"/>
            <w:vAlign w:val="bottom"/>
          </w:tcPr>
          <w:p>
            <w:pPr>
              <w:spacing w:after="0"/>
              <w:rPr>
                <w:sz w:val="24"/>
                <w:szCs w:val="24"/>
                <w:color w:val="auto"/>
              </w:rPr>
            </w:pPr>
          </w:p>
        </w:tc>
        <w:tc>
          <w:tcPr>
            <w:tcW w:w="3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Class A &amp; C Motor Homes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10,637</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12,516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10,726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11,054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180" w:type="dxa"/>
            <w:vAlign w:val="bottom"/>
          </w:tcPr>
          <w:p>
            <w:pPr>
              <w:spacing w:after="0"/>
              <w:rPr>
                <w:sz w:val="24"/>
                <w:szCs w:val="24"/>
                <w:color w:val="auto"/>
              </w:rPr>
            </w:pPr>
          </w:p>
        </w:tc>
      </w:tr>
    </w:tbl>
    <w:p>
      <w:pPr>
        <w:spacing w:after="0" w:line="2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2867660</wp:posOffset>
            </wp:positionH>
            <wp:positionV relativeFrom="page">
              <wp:posOffset>88900</wp:posOffset>
            </wp:positionV>
            <wp:extent cx="4718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page">
              <wp:posOffset>3690620</wp:posOffset>
            </wp:positionH>
            <wp:positionV relativeFrom="page">
              <wp:posOffset>88900</wp:posOffset>
            </wp:positionV>
            <wp:extent cx="4718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page">
              <wp:posOffset>4514215</wp:posOffset>
            </wp:positionH>
            <wp:positionV relativeFrom="page">
              <wp:posOffset>88900</wp:posOffset>
            </wp:positionV>
            <wp:extent cx="462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page">
              <wp:posOffset>5320030</wp:posOffset>
            </wp:positionH>
            <wp:positionV relativeFrom="page">
              <wp:posOffset>88900</wp:posOffset>
            </wp:positionV>
            <wp:extent cx="4546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page">
              <wp:posOffset>6117590</wp:posOffset>
            </wp:positionH>
            <wp:positionV relativeFrom="page">
              <wp:posOffset>88900</wp:posOffset>
            </wp:positionV>
            <wp:extent cx="454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ind w:left="620" w:hanging="612"/>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fiscal year ended August 31, 2002 contained 53 weeks, all other fiscal years contained 52 weeks.</w:t>
      </w:r>
    </w:p>
    <w:p>
      <w:pPr>
        <w:spacing w:after="0" w:line="200" w:lineRule="exact"/>
        <w:rPr>
          <w:sz w:val="20"/>
          <w:szCs w:val="20"/>
          <w:color w:val="auto"/>
        </w:rPr>
      </w:pPr>
    </w:p>
    <w:p>
      <w:pPr>
        <w:spacing w:after="0" w:line="26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The primary use of recreation vehicles for leisure travel and outdoor recreation has historically led to a peak retail selling season concentrated in the spring and summer months. The Company’s sales of recreation vehicles are generally influenced by this pattern in retail sales, but can also be affected by the level of dealer inventory.</w:t>
      </w:r>
    </w:p>
    <w:p>
      <w:pPr>
        <w:spacing w:after="0" w:line="18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products are generally manufactured against orders from dealers and from time to time to build inventory to satisfy the peak selling season. As of August 27, 2005, the Company’s backlog of orders for Class A and Class C motor homes was 2,059 units (approximately $170 million) compared to 2,541 units (approximately $220 million) at August 28, 2004. The Company includes in its backlog all accepted purchase orders from dealers shippable within the next six months. Orders in backlog can be canceled or postponed at the option of the dealer at any time without penalty and,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Recreation Vehicles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Motor Homes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A motor home is a self-propelled mobile dwelling used primarily as a temporary dwelling during vacation and camping trips.</w:t>
      </w:r>
    </w:p>
    <w:p>
      <w:pPr>
        <w:spacing w:after="0" w:line="227" w:lineRule="exact"/>
        <w:rPr>
          <w:sz w:val="20"/>
          <w:szCs w:val="20"/>
          <w:color w:val="auto"/>
        </w:rPr>
      </w:pPr>
    </w:p>
    <w:p>
      <w:pPr>
        <w:ind w:right="900"/>
        <w:spacing w:after="0" w:line="275" w:lineRule="auto"/>
        <w:rPr>
          <w:sz w:val="20"/>
          <w:szCs w:val="20"/>
          <w:color w:val="auto"/>
        </w:rPr>
      </w:pPr>
      <w:r>
        <w:rPr>
          <w:rFonts w:ascii="Times New Roman" w:cs="Times New Roman" w:eastAsia="Times New Roman" w:hAnsi="Times New Roman"/>
          <w:sz w:val="18"/>
          <w:szCs w:val="18"/>
          <w:color w:val="auto"/>
        </w:rPr>
        <w:t>The Recreation Vehicle Industry Association (RVIA) classifies motor homes into three types (Class A, Class B and Class C). The Company currently manufactures Class A and Class C motor homes.</w:t>
      </w:r>
    </w:p>
    <w:p>
      <w:pPr>
        <w:spacing w:after="0" w:line="174"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Class A models are conventional motor homes constructed directly on medium-duty and heavy-duty truck chassis which include the engine and drivetrain components. The living area and driver’s compartment are designed and produced by the recreation vehicle manufacturer.</w:t>
      </w:r>
    </w:p>
    <w:p>
      <w:pPr>
        <w:spacing w:after="0" w:line="174"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Class B models are panel-type trucks to which sleeping, kitchen, and/or toilet facilities are added. These models also have a top extension to provide more headroom. The Company does not produce Class B models.</w:t>
      </w:r>
    </w:p>
    <w:p>
      <w:pPr>
        <w:spacing w:after="0" w:line="17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Class C models are mini motor homes built on van-type chassis onto which the recreation vehicle manufacturer constructs a living area with access to the driver’s compartment. Certain models of the Company’s Class C units include van-type driver’s compartments built by the Company.</w:t>
      </w:r>
    </w:p>
    <w:p>
      <w:pPr>
        <w:spacing w:after="0" w:line="17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Company currently manufactures and sells Class A and Class C motor homes under the Winnebago and Itasca brand names. These motor homes generally provide living accommodations for four to seven persons and include kitchen, dining, sleeping and bath areas, and in some models, a lounge. Optional equipment accessories include, among other items, air conditioning, electric power plant, stereo system and a wide selection of interior equipment.</w:t>
      </w:r>
    </w:p>
    <w:p>
      <w:pPr>
        <w:spacing w:after="0" w:line="18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offers, with the purchase of any new Winnebago or Itasca motor home, a comprehensive 12-month/15,000-mile warranty and a 3-year/36,000-mile warranty on sidewalls and floors. Estimated warranty costs are accrued at the time of sale of the warranted products. Estimates of future warranty costs are based upon past warranty claims and unit sales history and adjusted as required to reflect actual costs incurred as information becomes available. An increase in dealership labor rates, the cost of parts or the frequency of claims could have an adverse impact on the Company’s operating results for the period or periods in which such claims or additional cost arise. In addition to the costs associated with the contractual warranty coverage provided on our motor homes, we also occasionally incur costs as a result of additional service actions not covered by our warranties, including product recalls and customer satisfaction actions. The Company estimates the cost of these service actions using past claim rate experiences and the estimated cost of the repairs. Estimated costs are accrued at the time the service action is implemented and included in cost of sales in the Company’s Consolidated Statement of Income and as other accrued expense in the Company’s Consolidated Balance Sheet.</w:t>
      </w:r>
    </w:p>
    <w:p>
      <w:pPr>
        <w:spacing w:after="0" w:line="197"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Company’s Class A and Class C motor homes are sold by dealers in the retail market at manufacturer’s suggested retail prices ranging from approximately $60,000 to more than $275,000, depending on size and model, plus optional equipment and delivery charges.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manufactures Class A and Class C motor homes ranging in length from 26 to 40 feet and 22 to 32 feet, respectively.</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Non-Recreation Vehicle Activities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OEM and Commercial Vehicles</w:t>
      </w:r>
    </w:p>
    <w:p>
      <w:pPr>
        <w:spacing w:after="0" w:line="295"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Original Equipment Manufacturing (OEM) — Sales of component parts such as aluminum extrusions, metal stampings, rotational moldings, vacuum formed plastics, fiberglass components, panel lamination, electro-deposition painting of steel and sewn or upholstered items to outside manufacturers.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 Vehicles — Commercial vehicles sales are shells primarily custom designed for the buyer’s special needs and requirements.</w:t>
      </w:r>
    </w:p>
    <w:p>
      <w:pPr>
        <w:sectPr>
          <w:pgSz w:w="11900" w:h="16838" w:orient="portrait"/>
          <w:cols w:equalWidth="0" w:num="1">
            <w:col w:w="11400"/>
          </w:cols>
          <w:pgMar w:left="240" w:top="261" w:right="259" w:bottom="0" w:gutter="0" w:footer="0" w:header="0"/>
        </w:sectPr>
      </w:pPr>
    </w:p>
    <w:bookmarkStart w:id="5" w:name="page6"/>
    <w:bookmarkEnd w:id="5"/>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w:t>
      </w:r>
    </w:p>
    <w:p>
      <w:pPr>
        <w:spacing w:after="0" w:line="3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Forest City facilities have been designed to provide vertically integrated production line manufacturing. The Company also operates a fiberglass manufacturing and component assembly facility in Hampton, Iowa, a sewing operation in Lorimor, Iowa, and assembly plants and a cabinet products manufacturing facility in Charles City, Iowa. The Company manufactures a number of components utilized in its motor homes, with the principal exception of the chassis, engines, auxiliary power units and appliances.</w:t>
      </w:r>
    </w:p>
    <w:p>
      <w:pPr>
        <w:spacing w:after="0" w:line="190"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6"/>
          <w:szCs w:val="16"/>
          <w:color w:val="auto"/>
        </w:rPr>
        <w:t>Most of the raw materials and components utilized by the Company are obtainable from numerous sources. The Company believes that substitutes for raw materials and components, with the exception of chassis, would be obtainable with no material impact on the Company’s operations. Certain components, however, are produced by only a small group of quality suppliers who presently have the capacity to supply sufficient quantities to meet the Company’s needs. This is especially true in the case of motor home chassis, where Ford Motor Company, Freightliner Custom Chassis Corporation, Workhorse Custom Chassis LLC and Daimler-Chrysler Motors Company LLC are the Company’s dominant suppliers. Decisions by suppliers to decrease production, utilize production internally, or shortages, production delays or work stoppages by the employees of such suppliers could have a material adverse effect on the Company’s ability to produce motor homes and ultimately, on the results from operations. The Company purchases Class A and C chassis of Ford Motor Company, Class A chassis of Freightliner Custom Chassis Corporation and Workhorse Custom Chassis LLC, and Class C chassis of Daimler-Chrysler Motors Company LLC and Chevrolet Motor Company. Only three vendors accounted for as much as five percent of the Company’s raw material purchases in Fiscal 2005, Ford Motor Company, Freightliner Custom Chassis Corporation and Workhorse Custom Chassis LLC (approximately 38 percent, in the aggregate).</w:t>
      </w:r>
    </w:p>
    <w:p>
      <w:pPr>
        <w:spacing w:after="0" w:line="390"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Motor home bodies are made from various materials and structural components which are typically laminated into rigid, lightweight panels. Body designs are developed with computer design and analysis, and subjected to a variety of tests and evaluations to meet Company standards and requirements.</w:t>
      </w:r>
    </w:p>
    <w:p>
      <w:pPr>
        <w:spacing w:after="0" w:line="17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Company manufactures picture windows, lavatories, and most of the doors, cabinets, shower pans, waste holding tanks, wheel wells and sun visors used in its recreation vehicles. In addition, the Company produces most of the bucket seats, upholstery items, lounge and dinette seats, seat covers, decorator pillows, curtains and drapes used in its recreation vehicles.</w:t>
      </w:r>
    </w:p>
    <w:p>
      <w:pPr>
        <w:spacing w:after="0" w:line="186"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The Company produces substantially all of the raw, liquid-painted and powder-coated aluminum extrusions used for interior and exterior trim in its recreation vehicles. The Company also sells aluminum extrusions to over 80 customers.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Financing</w:t>
      </w:r>
    </w:p>
    <w:p>
      <w:pPr>
        <w:spacing w:after="0" w:line="30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markets its recreation vehicles on a wholesale basis to a diversified independent dealer organization located throughout the United States and, to a limited extent, in Canada. Foreign sales, including Canada, were less than three percent of net revenues during each of the past three fiscal years. As of August 27, 2005 and August 28, 2004, the motor home dealer organization in the United States and Canada included approximately 300 and 310 dealer locations, respectively. During Fiscal 2005, eight dealer organizations accounted for approximately 25 percent of motor home unit sales and only one dealer organization accounted for more than five percent of motor home unit sales, that dealer being La Mesa RV Center, Inc. which accounted for approximately eight percent of such sales.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international sales (except Canada) are now handled by one distributor in Japan and two distributors in England.</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sales agreements with dealers which generally have a term of five years. Many of the dealers are also engaged in other areas of business, including the sale of automobiles, and many dealers carry one or more competitive lines. The Company continues to place high emphasis on the capability of its dealers to provide complete service for its recreation vehicles. Dealers are obligated to provide full service for owners of the Company’s recreation vehicles, or in lieu thereof, to secure such service at their own expense from other authorized firms.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August 27, 2005, the Company had a staff of 32 people engaged in field sales and service to the motor home dealer organization.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The Company advertises and promotes its products through national RV magazines and cable TV networks and on a local basis through trade shows, television, radio and newspapers, primarily in connection with area dealers.</w:t>
      </w:r>
    </w:p>
    <w:p>
      <w:pPr>
        <w:spacing w:after="0" w:line="174"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Recreation vehicle sales to dealers are made on cash terms. Most dealers are financed on a “floor plan” basis under which a bank or finance company lends the dealer all, or substantially all, of the purchase price, collateralized by a security interest in the merchandise purchased (See Note 7, “Contingent Liabilities and Commitments” in the Company’s Annual Report to Shareholders for the year ended August 27, 2005). The Company’s repurchase agreements provide that, in the event of default by the dealer on the agreement to pay the lending institution, the Company will repurchase the financed merchandise. The agreements provide</w:t>
      </w:r>
    </w:p>
    <w:p>
      <w:pPr>
        <w:sectPr>
          <w:pgSz w:w="11900" w:h="16915" w:orient="portrait"/>
          <w:cols w:equalWidth="0" w:num="1">
            <w:col w:w="11420"/>
          </w:cols>
          <w:pgMar w:left="240" w:top="584" w:right="239" w:bottom="0" w:gutter="0" w:footer="0" w:header="0"/>
        </w:sectPr>
      </w:pPr>
    </w:p>
    <w:bookmarkStart w:id="6" w:name="page7"/>
    <w:bookmarkEnd w:id="6"/>
    <w:p>
      <w:pPr>
        <w:spacing w:after="0" w:line="253" w:lineRule="auto"/>
        <w:rPr>
          <w:sz w:val="20"/>
          <w:szCs w:val="20"/>
          <w:color w:val="auto"/>
        </w:rPr>
      </w:pPr>
      <w:r>
        <w:rPr>
          <w:rFonts w:ascii="Times New Roman" w:cs="Times New Roman" w:eastAsia="Times New Roman" w:hAnsi="Times New Roman"/>
          <w:sz w:val="18"/>
          <w:szCs w:val="18"/>
          <w:color w:val="auto"/>
        </w:rPr>
        <w:t>that the Company’s liability will not exceed 100 percent of the dealer invoice price and provide for periodic liability reductions based on the time since the date of the original invoice. These repurchase obligations generally expire upon the earlier to occur of (i) the dealer’s sale of the financed unit or (ii) one year from the date of the original invoice. The Company’s contingent liability on these repurchase agreements was approximately $345,215,000 and $353,624,000 at August 27, 2005 and August 28, 2004, respectively. The Company also entered into a repurchase agreement on February 1, 2002 with a banking institution which called for a liability reduction of two percent of the original invoice every month for 24 months, at which time the repurchase obligation terminates. The Company’s contingent liability under this agreement was approximately $0 and $1,772,000 at August 27, 2005 and August 28, 2004, respectively. (See Note 7, “Contingent Liabilities and Commitments” in the Company’s Annual Report to Shareholders for the year ended August 27, 2005). The Company’s contingent liability under repurchase agreements varies significantly from time to time, depending upon general economic conditions, seasonal shipments, competition, dealer organization, gasoline availability and price and cost of bank financing.</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30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The recreation vehicle market is highly competitive, both as to price and quality of the product. The Company believes its principal marketing advantages are the quality of its products, its dealer organization, its warranty and service capability and its marketing strategies. The Company also believes that its prices are competitive with the competition’s units of comparable size and quality.</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is a leading U.S. manufacturer of motor homes. For the 12 months ended August 31, 2005, RVIA reported U.S. manufacturers’ factory shipments of 41,300 Class A motor homes and 21,300 Class C motor homes. Unit sales of such products by the Company for the last five fiscal years are shown on page two of this report. The Company has numerous competitors and potential competitors in this industry. The six largest U.S. manufacturers represented more than 70 percent of the combined Class A and Class C motor home retail sales for the 12 months ended August 31, 2005, including the Company’s sales, which represented approximately 17.5 percent of the market. The Company is not a significant factor in the markets for its other recreation vehicle products and services or its non-recreation vehicle products.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Trademarks and Patents</w:t>
      </w:r>
    </w:p>
    <w:p>
      <w:pPr>
        <w:spacing w:after="0" w:line="3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is subject to a variety of federal, state and local regulations, including the National Traffic and Motor Vehicle Safety Act, under which the National Highway Traffic Safety Administration may require manufacturers to recall recreational vehicles that contain safety-related defects, and numerous state consumer protection laws and regulations relating to the operation of motor vehicles, including so-called “Lemon Laws.” The Company is subject to regulations promulgated by the Occupational Safety and Health Administration (OSHA). The Company’s facilities are periodically inspected by federal and state agencies, such as OSHA, concerned with workplace health and safety. The Company believes that its products and facilities comply in all material respects with the applicable vehicle safety, consumer protection, RVIA and OSHA regulations and standards. Amendments to any of these regulations or the implementation of new regulations, however, could significantly increase the cost of manufacturing, purchasing, operating or selling the Company’s products and could have a material adverse effect on the Company’s results of operations. The failure of the Company to comply with present or future regulations could result in fines being imposed on the Company, potential civil and criminal liability, suspension of sales or production, or cessation of operations. In addition, a major product recall could have a material adverse effect on the Company’s results of operations.</w:t>
      </w:r>
    </w:p>
    <w:p>
      <w:pPr>
        <w:spacing w:after="0" w:line="195"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The Company’s operations are subject to a variety of federal and state environmental regulations relating to the use, generation, storage, treatment, emission and disposal of hazardous materials and wastes and noise pollution. Although the Company believes that it is currently in material compliance with applicable environmental regulations, the failure of the Company to comply with present or future regulations could result in fines being imposed on the Company, potential civil and criminal liability, suspension of production or operations, alterations to the manufacturing process, or costly cleanup or capital expenditures.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00"/>
        <w:spacing w:after="0" w:line="211" w:lineRule="auto"/>
        <w:rPr>
          <w:sz w:val="20"/>
          <w:szCs w:val="20"/>
          <w:color w:val="auto"/>
        </w:rPr>
      </w:pPr>
      <w:r>
        <w:rPr>
          <w:rFonts w:ascii="Times New Roman" w:cs="Times New Roman" w:eastAsia="Times New Roman" w:hAnsi="Times New Roman"/>
          <w:sz w:val="18"/>
          <w:szCs w:val="18"/>
          <w:color w:val="auto"/>
        </w:rPr>
        <w:t>The Company has several registered trademarks for its motor home models which include Winnebago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Itasca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Aspect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Minnie Winnie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Sightseer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Adventurer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Journey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Vectra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Cambria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Spirit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Sundancer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Sunova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Sunrise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Suncruiser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Meridian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Horizon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The Company believes that its trademarks and trade names are significant to its business and it will vigorously protect them against infringement. The Company is not dependent upon any patents or technology licenses for the conduct of its business.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308" w:lineRule="exact"/>
        <w:rPr>
          <w:sz w:val="20"/>
          <w:szCs w:val="20"/>
          <w:color w:val="auto"/>
        </w:rPr>
      </w:pPr>
    </w:p>
    <w:p>
      <w:pPr>
        <w:ind w:right="780"/>
        <w:spacing w:after="0" w:line="275" w:lineRule="auto"/>
        <w:rPr>
          <w:sz w:val="20"/>
          <w:szCs w:val="20"/>
          <w:color w:val="auto"/>
        </w:rPr>
      </w:pPr>
      <w:r>
        <w:rPr>
          <w:rFonts w:ascii="Times New Roman" w:cs="Times New Roman" w:eastAsia="Times New Roman" w:hAnsi="Times New Roman"/>
          <w:sz w:val="18"/>
          <w:szCs w:val="18"/>
          <w:color w:val="auto"/>
        </w:rPr>
        <w:t>Research and development expenditures are expensed as incurred. During Fiscal 2005, 2004, and 2003, the Company spent approximately $3,630,000, $3,655,000 and $3,464,000, respectively, on research and development activities.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Resources</w:t>
      </w:r>
    </w:p>
    <w:p>
      <w:pPr>
        <w:spacing w:after="0" w:line="30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As of September 1, 2005, 2004 and 2003, the Company employed approximately 3,610, 4,220 and 3,750 persons, respectively. Of these, approximately 2,940, 3,530 and 3,050 persons, respectively, were engaged in manufacturing and shipping functions. None of the Company’s employees are covered under a collective bargaining agreement.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295" w:lineRule="exact"/>
        <w:rPr>
          <w:sz w:val="20"/>
          <w:szCs w:val="20"/>
          <w:color w:val="auto"/>
        </w:rPr>
      </w:pPr>
    </w:p>
    <w:p>
      <w:pPr>
        <w:ind w:right="340"/>
        <w:spacing w:after="0" w:line="339" w:lineRule="auto"/>
        <w:rPr>
          <w:sz w:val="20"/>
          <w:szCs w:val="20"/>
          <w:color w:val="auto"/>
        </w:rPr>
      </w:pPr>
      <w:r>
        <w:rPr>
          <w:rFonts w:ascii="Times New Roman" w:cs="Times New Roman" w:eastAsia="Times New Roman" w:hAnsi="Times New Roman"/>
          <w:sz w:val="16"/>
          <w:szCs w:val="16"/>
          <w:color w:val="auto"/>
        </w:rPr>
        <w:t>The following risk factors should be considered carefully in addition to the other information contained in this Annual Report on Form 10-K. The risks and uncertainties described below are not the only ones the Company faces, but represent some of the most significant risk factors that management believes may</w:t>
      </w:r>
    </w:p>
    <w:p>
      <w:pPr>
        <w:sectPr>
          <w:pgSz w:w="11900" w:h="16838" w:orient="portrait"/>
          <w:cols w:equalWidth="0" w:num="1">
            <w:col w:w="11400"/>
          </w:cols>
          <w:pgMar w:left="240" w:top="125" w:right="259" w:bottom="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adversely affect the RV industry and the Company’s business, operations or financial position.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308" w:lineRule="exact"/>
        <w:rPr>
          <w:sz w:val="20"/>
          <w:szCs w:val="20"/>
          <w:color w:val="auto"/>
        </w:rPr>
      </w:pPr>
    </w:p>
    <w:p>
      <w:pPr>
        <w:jc w:val="both"/>
        <w:ind w:right="400"/>
        <w:spacing w:after="0" w:line="262" w:lineRule="auto"/>
        <w:rPr>
          <w:sz w:val="20"/>
          <w:szCs w:val="20"/>
          <w:color w:val="auto"/>
        </w:rPr>
      </w:pPr>
      <w:r>
        <w:rPr>
          <w:rFonts w:ascii="Times New Roman" w:cs="Times New Roman" w:eastAsia="Times New Roman" w:hAnsi="Times New Roman"/>
          <w:sz w:val="18"/>
          <w:szCs w:val="18"/>
          <w:color w:val="auto"/>
        </w:rPr>
        <w:t>The market for RVs is very competitive. Competition in this industry is based upon price, design, value, quality and service. There can be no assurance that existing or new competitors will not develop products that are superior to the Company’s RVs or that achieve better consumer acceptance, thereby adversely affecting market share, sales volume and profit margins.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Cyclicality and Seasonality</w:t>
      </w:r>
    </w:p>
    <w:p>
      <w:pPr>
        <w:spacing w:after="0" w:line="30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 RV industry has been characterized by cycles of growth and contraction in consumer demand, reflecting prevailing economic, demographic, and political conditions, which affect disposable income for leisure-time activities. Consequently, the results for any prior period may not be indicative of results for any future period.</w:t>
      </w:r>
    </w:p>
    <w:p>
      <w:pPr>
        <w:spacing w:after="0" w:line="18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Seasonal factors, over which the Company has no control, also have an effect on the demand for the Company’s products. Demand in the RV industry generally declines over the winter season, while sales are generally highest during the spring and summer months. Also, unusually severe weather conditions in some markets may impact demand.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Fuel Availability and Prices</w:t>
      </w:r>
    </w:p>
    <w:p>
      <w:pPr>
        <w:spacing w:after="0" w:line="30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Gasoline or diesel fuel is required for the operation of motorized RVs. There can be no assurance that the supply of these petroleum products will continue uninterrupted, that rationing will not be imposed or that the price of or tax on these petroleum products will not significantly increase in the future. Shortages of gasoline and substantial increases in the price of gasoline have had a material adverse effect on the RV industry as a whole in the past and could have a material adverse effect on the Company in the future.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Economic Conditions and Certain Other External Factors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Companies within the RV industry are subject to volatility in operating results due to external factors such as general economic conditions and political changes.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 factors affecting the RV industry include:</w:t>
      </w:r>
    </w:p>
    <w:p>
      <w:pPr>
        <w:spacing w:after="0" w:line="213"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consumer confidence and the level of discretionary consumer spending;</w:t>
      </w:r>
    </w:p>
    <w:p>
      <w:pPr>
        <w:spacing w:after="0" w:line="2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levels; including the level of retail sales at dealer locations;</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trends;</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terrorism on consumer spending and travel related activities; and</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impact on margins of increases in raw material costs which the Company is unable to pass on to customers without negatively affecting sales.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Dependence on Chassis Suppliers</w:t>
      </w:r>
    </w:p>
    <w:p>
      <w:pPr>
        <w:spacing w:after="0" w:line="29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Most RV components are readily available from numerous sources. However, a few components are produced by only a small group of quality suppliers that have the capacity to supply large quantities on a national basis. This is especially true in the case of motor home chassis, where Ford Motor Company, Freightliner Custom Chassis Corporation, Workhorse Custom Chassis LLC and Daimler-Chrysler Motors Company LLC are the Company’s major suppliers. Decisions by suppliers to decrease production, utilize production internally, or shortages, production delays or work stoppages by the employees of such suppliers could have a material adverse effect on the Company’s ability to produce motor homes and ultimately, on the results from operations.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Liabilities Under Repurchase Agreements</w:t>
      </w:r>
    </w:p>
    <w:p>
      <w:pPr>
        <w:spacing w:after="0" w:line="29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accordance with customary practice in the RV industry, the Company enters into repurchase agreements with lending institutions pursuant to which it is agreed, in the event of a default by an independent retailer in its obligation to a lender, the Company will repurchase product at declining prices over the term of the agreements, typically 12 months. The difference between the gross repurchase price and the price at which the repurchased product can then be resold, which is typically at a discount to the original sale price, represents a financial expense to the Company. Thus, if the Company was obligated to repurchase a large number of RVs in the future, this would increase costs, which could have a negative effect on earnings. The Company’s maximum potential exposure under these agreements was approximately $345.2 million at August 27, 2005. Losses under these agreements have not been material in the past. Tightened credit standards by lenders and more aggressive attempts to accelerate collection of outstanding accounts with dealers could result in defaults by dealers and consequent repurchase obligations that may be higher than has historically been the case.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Claims</w:t>
      </w:r>
    </w:p>
    <w:p>
      <w:pPr>
        <w:sectPr>
          <w:pgSz w:w="11900" w:h="16838" w:orient="portrait"/>
          <w:cols w:equalWidth="0" w:num="1">
            <w:col w:w="11400"/>
          </w:cols>
          <w:pgMar w:left="240" w:top="125" w:right="259" w:bottom="250" w:gutter="0" w:footer="0" w:header="0"/>
        </w:sectPr>
      </w:pPr>
    </w:p>
    <w:bookmarkStart w:id="8" w:name="page9"/>
    <w:bookmarkEnd w:id="8"/>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is subject to warranty claims in the ordinary course of its business. Although the Company maintains reserves for such claims, which to date have been adequate, there can be no assurance that warranty expense levels will remain at current levels or that such reserves will continue to be adequate. A significant increase in warranty claims exceeding the Company’s current warranty expense levels could have a material adverse effect on the Company’s results of operations, financial condition, and cash flows.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Liability</w:t>
      </w:r>
    </w:p>
    <w:p>
      <w:pPr>
        <w:spacing w:after="0" w:line="30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The Company is involved in legal proceedings in the ordinary course of business, including a variety of warranty, “lemon law” and product liability claims typical in the RV industry. The Company self-insures for a portion of product liability claims. Self-insurance retention liability varies annually based on market conditions and for the past five fiscal years was $2.5 million per occurrence and $6 million in aggregate per policy year. In the event that the annual aggregate of the self-insured retention is exhausted by payment of claims and defense expenses, a deductible of $250,000, excluding defense expenses, is applicable to each and every claim covered under this policy. The Company cannot be certain that its insurance coverage will be sufficient to cover all future claims against it, which may have a material adverse effect on the Company’s results of operations and financial condition. In addition, if these claims rise to a level of frequency or size that is significantly higher than similar claims made against the Company’s competitors, the Company’s reputation and business will be harmed.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30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is subject to numerous federal, state and local regulations governing the manufacture and sale of their products, including the provisions of the National Traffic and Motor Vehicle Safety Act, (“the Motor Vehicle Act”), and the safety standards for RVs and components which have been promulgated under the Motor Vehicle Act by the Department of Transportation. The Motor Vehicle Act authorizes the National Highway Traffic Safety Administration to require a manufacturer to recall and repair vehicles which contain certain hazards or defects. Any recalls of the Company’s vehicles, voluntary or involuntary, could have a material adverse effect on the Company’s results of operations, financial condition, and cash flows.</w:t>
      </w:r>
    </w:p>
    <w:p>
      <w:pPr>
        <w:spacing w:after="0" w:line="1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also subject to federal and numerous state consumer protection and unfair trade practice laws and regulations relating to the sale, transportation and marketing of motor vehicles, including so-called “lemon laws”. Federal and state laws and regulations also impose upon vehicle operators various restrictions on the weight, length and width of motor vehicles, including motor homes, that may be operated in certain jurisdictions or on certain roadways. Certain jurisdictions also prohibit the sale of vehicles exceeding length restrictions.</w:t>
      </w:r>
    </w:p>
    <w:p>
      <w:pPr>
        <w:spacing w:after="0" w:line="19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Finally, federal and state authorities also have various environmental control standards relating to air, water, noise pollution and hazardous waste generation and disposal which affect the Company and its operations. Failure to comply with any of the foregoing laws or regulations could have an adverse impact on the Company’s results of operations, financial condition and cash flows.</w:t>
      </w:r>
    </w:p>
    <w:p>
      <w:pPr>
        <w:spacing w:after="0" w:line="18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color w:val="auto"/>
        </w:rPr>
        <w:t>Properties</w:t>
      </w:r>
    </w:p>
    <w:p>
      <w:pPr>
        <w:spacing w:after="0" w:line="227"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6"/>
          <w:szCs w:val="16"/>
          <w:color w:val="auto"/>
        </w:rPr>
        <w:t>The Company’s principal manufacturing, maintenance and service operations are conducted in multi-building complexes owned by the Company, containing an aggregate of approximately 1,538,000 square feet in Forest City, Iowa. The Company also owns approximately 453,000 square feet of warehouse facilities located in Forest City. The Company leases approximately 220,000 square feet of its unoccupied manufacturing facilities in Forest City to others. The Company also owns a manufacturing facility (135,000 square feet) in Hampton, Iowa and manufacturing facilities (352,000 square feet) in Charles City, Iowa. The Company leases a storage facility (16,700 square feet) in Hampton, Iowa and a manufacturing facility (19,600 square feet) in Lorimor, Iowa. Leases on the above leased facilities expire at various dates, the earliest of which is December 31, 2005. The Company’s facilities in Forest City are located on approximately 780 acres of land, all owned by the Company. An unaffiliated third-party supplier of painting services (the “Supplier”) for the Company’s motor homes has leased paint facilities in Forest City, Iowa and Charles City, Iowa. The Company has guaranteed a portion of the lease payment obligations of the Supplier. (See Note 7, “Contingent Liabilities and Commitments” in the Company’s Annual Report to Shareholders for the year ended August 27, 2005.)</w:t>
      </w:r>
    </w:p>
    <w:p>
      <w:pPr>
        <w:spacing w:after="0" w:line="16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Most of the Company’s buildings are of steel or steel and concrete construction and are protected from fire with high-pressure sprinkler systems, dust collector systems, automatic fire doors and alarm systems. The Company believes that its facilities and equipment are well maintained, in excellent condition and suitable for the purposes for which they are intended. Should the Company require increased production capacity in the future, the Company believes that additional or alternative space adequate to serve the Company’s foreseeable needs would be available.</w:t>
      </w:r>
    </w:p>
    <w:p>
      <w:pPr>
        <w:spacing w:after="0" w:line="18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color w:val="auto"/>
        </w:rPr>
        <w:t>Legal Proceedings</w:t>
      </w:r>
    </w:p>
    <w:p>
      <w:pPr>
        <w:spacing w:after="0" w:line="2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The Company is a defendant in a class action lawsuit entitled </w:t>
      </w:r>
      <w:r>
        <w:rPr>
          <w:rFonts w:ascii="Times New Roman" w:cs="Times New Roman" w:eastAsia="Times New Roman" w:hAnsi="Times New Roman"/>
          <w:sz w:val="18"/>
          <w:szCs w:val="18"/>
          <w:u w:val="single" w:color="auto"/>
          <w:color w:val="auto"/>
        </w:rPr>
        <w:t>Jody Bartleson, et al vs. Winnebago Industries, Inc., et al</w:t>
      </w:r>
      <w:r>
        <w:rPr>
          <w:rFonts w:ascii="Times New Roman" w:cs="Times New Roman" w:eastAsia="Times New Roman" w:hAnsi="Times New Roman"/>
          <w:sz w:val="18"/>
          <w:szCs w:val="18"/>
          <w:color w:val="auto"/>
        </w:rPr>
        <w:t xml:space="preserve"> which was filed in the United States District Court, Northern District of Iowa, Central Division on January 28, 2002. In the complaint, Ms. Bartleson, on her own behalf and as a representative of “others similarly situated,” alleges that such plaintiffs were wrongfully classified by the Company as exempt employees when in fact they were non-exempt employees entitled to recover overtime compensation for work performed during the preceding three years. This suit was brought under the Federal Fair Labor Standards Act as an “opt in” class action, 21 people have joined the suit to date as plaintiffs. The plaintiffs then amended their complaint adding a claim under the Iowa Wage Payment Collection Act in order to change the nature of the case from an “opt in” class action where individual plaintiffs must take an affirmative act to join the lawsuit to an “opt out” class action where all persons who had been exempt salaried employees over the three-year period preceding the filing of the lawsuit are included as plaintiffs unless they individually seek to “opt out” of the lawsuit. In a ruling by Chief Judge Mark W. Bennett, this amendment was disallowed and the lawsuit therefore remained an “opt in” class action with 21 participants. The Company believes that it has meritorious defenses to the plaintiffs’ claims. Trial of this case is currently scheduled to commence on March 6, 2006. As of August 27, 2005 the Company has accrued estimated possible settlement costs and legal fees for the defense of this case.</w:t>
      </w:r>
    </w:p>
    <w:p>
      <w:pPr>
        <w:sectPr>
          <w:pgSz w:w="11900" w:h="16838" w:orient="portrait"/>
          <w:cols w:equalWidth="0" w:num="1">
            <w:col w:w="11420"/>
          </w:cols>
          <w:pgMar w:left="240" w:top="125" w:right="239" w:bottom="40" w:gutter="0" w:footer="0" w:header="0"/>
        </w:sectPr>
      </w:pPr>
    </w:p>
    <w:bookmarkStart w:id="9" w:name="page10"/>
    <w:bookmarkEnd w:id="9"/>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6"/>
          <w:szCs w:val="16"/>
          <w:color w:val="auto"/>
        </w:rPr>
        <w:t>The Company is also involved in various other legal proceedings which are ordinary routine litigation incident to its business, some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15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color w:val="auto"/>
        </w:rPr>
        <w:t>Submission of Matters to a Vote of Security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Officers of the Registrant</w:t>
      </w: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6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60" w:type="dxa"/>
            <w:vAlign w:val="bottom"/>
          </w:tcPr>
          <w:p>
            <w:pPr>
              <w:spacing w:after="0"/>
              <w:rPr>
                <w:sz w:val="15"/>
                <w:szCs w:val="15"/>
                <w:color w:val="auto"/>
              </w:rPr>
            </w:pPr>
          </w:p>
        </w:tc>
        <w:tc>
          <w:tcPr>
            <w:tcW w:w="470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Office (Year First Elected an Officer)</w:t>
            </w:r>
          </w:p>
        </w:tc>
        <w:tc>
          <w:tcPr>
            <w:tcW w:w="460" w:type="dxa"/>
            <w:vAlign w:val="bottom"/>
          </w:tcPr>
          <w:p>
            <w:pPr>
              <w:spacing w:after="0"/>
              <w:rPr>
                <w:sz w:val="15"/>
                <w:szCs w:val="15"/>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47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9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Bruce D. Hertzke +</w:t>
            </w:r>
          </w:p>
        </w:tc>
        <w:tc>
          <w:tcPr>
            <w:tcW w:w="5160" w:type="dxa"/>
            <w:vAlign w:val="bottom"/>
            <w:gridSpan w:val="2"/>
            <w:shd w:val="clear" w:color="auto" w:fill="D6F3E8"/>
          </w:tcPr>
          <w:p>
            <w:pPr>
              <w:ind w:left="460"/>
              <w:spacing w:after="0"/>
              <w:rPr>
                <w:sz w:val="20"/>
                <w:szCs w:val="20"/>
                <w:color w:val="auto"/>
              </w:rPr>
            </w:pPr>
            <w:r>
              <w:rPr>
                <w:rFonts w:ascii="Times New Roman" w:cs="Times New Roman" w:eastAsia="Times New Roman" w:hAnsi="Times New Roman"/>
                <w:sz w:val="18"/>
                <w:szCs w:val="18"/>
                <w:color w:val="auto"/>
              </w:rPr>
              <w:t>Chairman of the Board and Chief Executive Officer (1989)</w:t>
            </w:r>
          </w:p>
        </w:tc>
        <w:tc>
          <w:tcPr>
            <w:tcW w:w="70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Edwin F. Barker</w:t>
            </w:r>
          </w:p>
        </w:tc>
        <w:tc>
          <w:tcPr>
            <w:tcW w:w="51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President and Chief Financial Officer (1980)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Raymond M. Beebe</w:t>
            </w:r>
          </w:p>
        </w:tc>
        <w:tc>
          <w:tcPr>
            <w:tcW w:w="5160" w:type="dxa"/>
            <w:vAlign w:val="bottom"/>
            <w:gridSpan w:val="2"/>
            <w:shd w:val="clear" w:color="auto" w:fill="D6F3E8"/>
          </w:tcPr>
          <w:p>
            <w:pPr>
              <w:ind w:left="460"/>
              <w:spacing w:after="0"/>
              <w:rPr>
                <w:sz w:val="20"/>
                <w:szCs w:val="20"/>
                <w:color w:val="auto"/>
              </w:rPr>
            </w:pPr>
            <w:r>
              <w:rPr>
                <w:rFonts w:ascii="Times New Roman" w:cs="Times New Roman" w:eastAsia="Times New Roman" w:hAnsi="Times New Roman"/>
                <w:sz w:val="18"/>
                <w:szCs w:val="18"/>
                <w:color w:val="auto"/>
              </w:rPr>
              <w:t>Vice President, General Counsel &amp; Secretary (1974)</w:t>
            </w:r>
          </w:p>
        </w:tc>
        <w:tc>
          <w:tcPr>
            <w:tcW w:w="70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Robert L. Gossett</w:t>
            </w:r>
          </w:p>
        </w:tc>
        <w:tc>
          <w:tcPr>
            <w:tcW w:w="51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Vice President, Administration (1998)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Brian J. Hrubes</w:t>
            </w:r>
          </w:p>
        </w:tc>
        <w:tc>
          <w:tcPr>
            <w:tcW w:w="5160" w:type="dxa"/>
            <w:vAlign w:val="bottom"/>
            <w:gridSpan w:val="2"/>
            <w:shd w:val="clear" w:color="auto" w:fill="D6F3E8"/>
          </w:tcPr>
          <w:p>
            <w:pPr>
              <w:ind w:left="460"/>
              <w:spacing w:after="0"/>
              <w:rPr>
                <w:sz w:val="20"/>
                <w:szCs w:val="20"/>
                <w:color w:val="auto"/>
              </w:rPr>
            </w:pPr>
            <w:r>
              <w:rPr>
                <w:rFonts w:ascii="Times New Roman" w:cs="Times New Roman" w:eastAsia="Times New Roman" w:hAnsi="Times New Roman"/>
                <w:sz w:val="18"/>
                <w:szCs w:val="18"/>
                <w:color w:val="auto"/>
              </w:rPr>
              <w:t>Controller (1996)</w:t>
            </w:r>
          </w:p>
        </w:tc>
        <w:tc>
          <w:tcPr>
            <w:tcW w:w="70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Roger W. Martin</w:t>
            </w:r>
          </w:p>
        </w:tc>
        <w:tc>
          <w:tcPr>
            <w:tcW w:w="51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Vice President, Sales and Marketing (2003)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William J. O’Leary</w:t>
            </w:r>
          </w:p>
        </w:tc>
        <w:tc>
          <w:tcPr>
            <w:tcW w:w="5160" w:type="dxa"/>
            <w:vAlign w:val="bottom"/>
            <w:gridSpan w:val="2"/>
            <w:shd w:val="clear" w:color="auto" w:fill="D6F3E8"/>
          </w:tcPr>
          <w:p>
            <w:pPr>
              <w:ind w:left="460"/>
              <w:spacing w:after="0"/>
              <w:rPr>
                <w:sz w:val="20"/>
                <w:szCs w:val="20"/>
                <w:color w:val="auto"/>
              </w:rPr>
            </w:pPr>
            <w:r>
              <w:rPr>
                <w:rFonts w:ascii="Times New Roman" w:cs="Times New Roman" w:eastAsia="Times New Roman" w:hAnsi="Times New Roman"/>
                <w:sz w:val="18"/>
                <w:szCs w:val="18"/>
                <w:color w:val="auto"/>
              </w:rPr>
              <w:t>Vice President, Product Development (2001)</w:t>
            </w:r>
          </w:p>
        </w:tc>
        <w:tc>
          <w:tcPr>
            <w:tcW w:w="70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Robert J. Olson</w:t>
            </w:r>
          </w:p>
        </w:tc>
        <w:tc>
          <w:tcPr>
            <w:tcW w:w="51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Vice President, Manufacturing (1996)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Joseph L. Soczek, Jr.</w:t>
            </w:r>
          </w:p>
        </w:tc>
        <w:tc>
          <w:tcPr>
            <w:tcW w:w="5160" w:type="dxa"/>
            <w:vAlign w:val="bottom"/>
            <w:gridSpan w:val="2"/>
            <w:shd w:val="clear" w:color="auto" w:fill="D6F3E8"/>
          </w:tcPr>
          <w:p>
            <w:pPr>
              <w:ind w:left="460"/>
              <w:spacing w:after="0"/>
              <w:rPr>
                <w:sz w:val="20"/>
                <w:szCs w:val="20"/>
                <w:color w:val="auto"/>
              </w:rPr>
            </w:pPr>
            <w:r>
              <w:rPr>
                <w:rFonts w:ascii="Times New Roman" w:cs="Times New Roman" w:eastAsia="Times New Roman" w:hAnsi="Times New Roman"/>
                <w:sz w:val="18"/>
                <w:szCs w:val="18"/>
                <w:color w:val="auto"/>
              </w:rPr>
              <w:t>Treasurer (1996)</w:t>
            </w:r>
          </w:p>
        </w:tc>
        <w:tc>
          <w:tcPr>
            <w:tcW w:w="70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 Director</w:t>
      </w:r>
    </w:p>
    <w:p>
      <w:pPr>
        <w:spacing w:after="0" w:line="200" w:lineRule="exact"/>
        <w:rPr>
          <w:sz w:val="20"/>
          <w:szCs w:val="20"/>
          <w:color w:val="auto"/>
        </w:rPr>
      </w:pPr>
    </w:p>
    <w:p>
      <w:pPr>
        <w:spacing w:after="0" w:line="268"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Officers are elected annually by the Board of Directors. All of the foregoing officers have been employed by the Company as officers or in other responsible positions for at least the last five years.</w:t>
      </w: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color w:val="auto"/>
        </w:rPr>
        <w:t>Market for the Registrant’s Common Equity, Related Stockholder Matters and Issuer Purchases of Equity Securities</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Reference is made to information concerning the market for the Company’s common stock, cash dividends and related stockholder matters on page 40 of the Company’s Annual Report to Shareholders for the year ended August 27, 2005, which information is incorporated by reference herein. On October 12, 2005, the Board of Directors declared a quarterly cash dividend of $.09 per common share payable January 9, 2006 to shareholders of record as of December 9, 2005. The Company paid dividends of $.28 per common share during Fiscal 2005 and $.20 per common share during Fiscal 2004. (Adjusted for the 2-for-1 stock split on March 5,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30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following table provides information as of August 27, 2005 with respect to shares of the Company’s common stock that may be issued under the Company’s existing equity compensation plans:</w:t>
      </w:r>
    </w:p>
    <w:p>
      <w:pPr>
        <w:sectPr>
          <w:pgSz w:w="11900" w:h="16838" w:orient="portrait"/>
          <w:cols w:equalWidth="0" w:num="1">
            <w:col w:w="11360"/>
          </w:cols>
          <w:pgMar w:left="240" w:top="125" w:right="299" w:bottom="0" w:gutter="0" w:footer="0" w:header="0"/>
        </w:sectPr>
      </w:pPr>
    </w:p>
    <w:bookmarkStart w:id="10" w:name="page11"/>
    <w:bookmarkEnd w:id="10"/>
    <w:p>
      <w:pPr>
        <w:spacing w:after="0" w:line="4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920" w:type="dxa"/>
            <w:vAlign w:val="bottom"/>
          </w:tcPr>
          <w:p>
            <w:pPr>
              <w:jc w:val="center"/>
              <w:ind w:left="105"/>
              <w:spacing w:after="0"/>
              <w:rPr>
                <w:sz w:val="20"/>
                <w:szCs w:val="20"/>
                <w:color w:val="auto"/>
              </w:rPr>
            </w:pPr>
            <w:r>
              <w:rPr>
                <w:rFonts w:ascii="Times New Roman" w:cs="Times New Roman" w:eastAsia="Times New Roman" w:hAnsi="Times New Roman"/>
                <w:sz w:val="14"/>
                <w:szCs w:val="14"/>
                <w:b w:val="1"/>
                <w:bCs w:val="1"/>
                <w:color w:val="auto"/>
              </w:rPr>
              <w:t>(b)</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9"/>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 Securities to</w:t>
            </w:r>
          </w:p>
        </w:tc>
        <w:tc>
          <w:tcPr>
            <w:tcW w:w="1920" w:type="dxa"/>
            <w:vAlign w:val="bottom"/>
          </w:tcPr>
          <w:p>
            <w:pPr>
              <w:jc w:val="center"/>
              <w:ind w:left="105"/>
              <w:spacing w:after="0" w:line="149" w:lineRule="exact"/>
              <w:rPr>
                <w:sz w:val="20"/>
                <w:szCs w:val="20"/>
                <w:color w:val="auto"/>
              </w:rPr>
            </w:pPr>
            <w:r>
              <w:rPr>
                <w:rFonts w:ascii="Times New Roman" w:cs="Times New Roman" w:eastAsia="Times New Roman" w:hAnsi="Times New Roman"/>
                <w:sz w:val="14"/>
                <w:szCs w:val="14"/>
                <w:b w:val="1"/>
                <w:bCs w:val="1"/>
                <w:color w:val="auto"/>
                <w:w w:val="95"/>
              </w:rPr>
              <w:t>Weighted Average</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be Issued Upon Exercise</w:t>
            </w:r>
          </w:p>
        </w:tc>
        <w:tc>
          <w:tcPr>
            <w:tcW w:w="1920" w:type="dxa"/>
            <w:vAlign w:val="bottom"/>
          </w:tcPr>
          <w:p>
            <w:pPr>
              <w:jc w:val="center"/>
              <w:ind w:left="105"/>
              <w:spacing w:after="0" w:line="149" w:lineRule="exact"/>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Outstanding Options,</w:t>
            </w:r>
          </w:p>
        </w:tc>
        <w:tc>
          <w:tcPr>
            <w:tcW w:w="1920" w:type="dxa"/>
            <w:vAlign w:val="bottom"/>
          </w:tcPr>
          <w:p>
            <w:pPr>
              <w:jc w:val="center"/>
              <w:ind w:left="105"/>
              <w:spacing w:after="0" w:line="149" w:lineRule="exact"/>
              <w:rPr>
                <w:sz w:val="20"/>
                <w:szCs w:val="20"/>
                <w:color w:val="auto"/>
              </w:rPr>
            </w:pPr>
            <w:r>
              <w:rPr>
                <w:rFonts w:ascii="Times New Roman" w:cs="Times New Roman" w:eastAsia="Times New Roman" w:hAnsi="Times New Roman"/>
                <w:sz w:val="14"/>
                <w:szCs w:val="14"/>
                <w:b w:val="1"/>
                <w:bCs w:val="1"/>
                <w:color w:val="auto"/>
                <w:w w:val="97"/>
              </w:rPr>
              <w:t>Outstanding Options,</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Warrants and Rights</w:t>
            </w:r>
          </w:p>
        </w:tc>
        <w:tc>
          <w:tcPr>
            <w:tcW w:w="1920" w:type="dxa"/>
            <w:vAlign w:val="bottom"/>
          </w:tcPr>
          <w:p>
            <w:pPr>
              <w:jc w:val="center"/>
              <w:ind w:left="105"/>
              <w:spacing w:after="0" w:line="149" w:lineRule="exact"/>
              <w:rPr>
                <w:sz w:val="20"/>
                <w:szCs w:val="20"/>
                <w:color w:val="auto"/>
              </w:rPr>
            </w:pPr>
            <w:r>
              <w:rPr>
                <w:rFonts w:ascii="Times New Roman" w:cs="Times New Roman" w:eastAsia="Times New Roman" w:hAnsi="Times New Roman"/>
                <w:sz w:val="14"/>
                <w:szCs w:val="14"/>
                <w:b w:val="1"/>
                <w:bCs w:val="1"/>
                <w:color w:val="auto"/>
                <w:w w:val="96"/>
              </w:rPr>
              <w:t>Warrants and Rights</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Plans (Excluding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Securities Reflected in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Column (a)</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Equity compensation plans</w:t>
            </w:r>
          </w:p>
        </w:tc>
        <w:tc>
          <w:tcPr>
            <w:tcW w:w="2240" w:type="dxa"/>
            <w:vAlign w:val="bottom"/>
            <w:shd w:val="clear" w:color="auto" w:fill="D6F3E8"/>
          </w:tcPr>
          <w:p>
            <w:pPr>
              <w:spacing w:after="0"/>
              <w:rPr>
                <w:sz w:val="18"/>
                <w:szCs w:val="18"/>
                <w:color w:val="auto"/>
              </w:rPr>
            </w:pPr>
          </w:p>
        </w:tc>
        <w:tc>
          <w:tcPr>
            <w:tcW w:w="1920" w:type="dxa"/>
            <w:vAlign w:val="bottom"/>
            <w:shd w:val="clear" w:color="auto" w:fill="D6F3E8"/>
          </w:tcPr>
          <w:p>
            <w:pPr>
              <w:spacing w:after="0"/>
              <w:rPr>
                <w:sz w:val="18"/>
                <w:szCs w:val="18"/>
                <w:color w:val="auto"/>
              </w:rPr>
            </w:pPr>
          </w:p>
        </w:tc>
        <w:tc>
          <w:tcPr>
            <w:tcW w:w="18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approved by shareholders</w:t>
            </w:r>
          </w:p>
        </w:tc>
        <w:tc>
          <w:tcPr>
            <w:tcW w:w="2240" w:type="dxa"/>
            <w:vAlign w:val="bottom"/>
            <w:shd w:val="clear" w:color="auto" w:fill="D6F3E8"/>
          </w:tcPr>
          <w:p>
            <w:pPr>
              <w:jc w:val="center"/>
              <w:spacing w:after="0"/>
              <w:rPr>
                <w:sz w:val="20"/>
                <w:szCs w:val="20"/>
                <w:color w:val="auto"/>
              </w:rPr>
            </w:pPr>
            <w:r>
              <w:rPr>
                <w:rFonts w:ascii="Times New Roman" w:cs="Times New Roman" w:eastAsia="Times New Roman" w:hAnsi="Times New Roman"/>
                <w:sz w:val="18"/>
                <w:szCs w:val="18"/>
                <w:color w:val="auto"/>
                <w:w w:val="98"/>
              </w:rPr>
              <w:t>1,374,088 (1)</w:t>
            </w:r>
          </w:p>
        </w:tc>
        <w:tc>
          <w:tcPr>
            <w:tcW w:w="1920" w:type="dxa"/>
            <w:vAlign w:val="bottom"/>
            <w:shd w:val="clear" w:color="auto" w:fill="D6F3E8"/>
          </w:tcPr>
          <w:p>
            <w:pPr>
              <w:jc w:val="center"/>
              <w:ind w:left="105"/>
              <w:spacing w:after="0"/>
              <w:rPr>
                <w:sz w:val="20"/>
                <w:szCs w:val="20"/>
                <w:color w:val="auto"/>
              </w:rPr>
            </w:pPr>
            <w:r>
              <w:rPr>
                <w:rFonts w:ascii="Times New Roman" w:cs="Times New Roman" w:eastAsia="Times New Roman" w:hAnsi="Times New Roman"/>
                <w:sz w:val="18"/>
                <w:szCs w:val="18"/>
                <w:color w:val="auto"/>
                <w:w w:val="99"/>
              </w:rPr>
              <w:t>$22.238</w:t>
            </w:r>
          </w:p>
        </w:tc>
        <w:tc>
          <w:tcPr>
            <w:tcW w:w="1860" w:type="dxa"/>
            <w:vAlign w:val="bottom"/>
            <w:shd w:val="clear" w:color="auto" w:fill="D6F3E8"/>
          </w:tcPr>
          <w:p>
            <w:pPr>
              <w:jc w:val="center"/>
              <w:spacing w:after="0"/>
              <w:rPr>
                <w:sz w:val="20"/>
                <w:szCs w:val="20"/>
                <w:color w:val="auto"/>
              </w:rPr>
            </w:pPr>
            <w:r>
              <w:rPr>
                <w:rFonts w:ascii="Times New Roman" w:cs="Times New Roman" w:eastAsia="Times New Roman" w:hAnsi="Times New Roman"/>
                <w:sz w:val="18"/>
                <w:szCs w:val="18"/>
                <w:color w:val="auto"/>
                <w:w w:val="96"/>
              </w:rPr>
              <w:t>1,553,500 (2)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w:t>
            </w:r>
          </w:p>
        </w:tc>
        <w:tc>
          <w:tcPr>
            <w:tcW w:w="2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approved by shareholders (3)</w:t>
            </w:r>
          </w:p>
        </w:tc>
        <w:tc>
          <w:tcPr>
            <w:tcW w:w="2240" w:type="dxa"/>
            <w:vAlign w:val="bottom"/>
          </w:tcPr>
          <w:p>
            <w:pPr>
              <w:jc w:val="right"/>
              <w:ind w:right="565"/>
              <w:spacing w:after="0"/>
              <w:rPr>
                <w:sz w:val="20"/>
                <w:szCs w:val="20"/>
                <w:color w:val="auto"/>
              </w:rPr>
            </w:pPr>
            <w:r>
              <w:rPr>
                <w:rFonts w:ascii="Times New Roman" w:cs="Times New Roman" w:eastAsia="Times New Roman" w:hAnsi="Times New Roman"/>
                <w:sz w:val="18"/>
                <w:szCs w:val="18"/>
                <w:color w:val="auto"/>
              </w:rPr>
              <w:t>33,900 (4)</w:t>
            </w:r>
          </w:p>
        </w:tc>
        <w:tc>
          <w:tcPr>
            <w:tcW w:w="1920" w:type="dxa"/>
            <w:vAlign w:val="bottom"/>
          </w:tcPr>
          <w:p>
            <w:pPr>
              <w:jc w:val="center"/>
              <w:ind w:left="105"/>
              <w:spacing w:after="0"/>
              <w:rPr>
                <w:sz w:val="20"/>
                <w:szCs w:val="20"/>
                <w:color w:val="auto"/>
              </w:rPr>
            </w:pPr>
            <w:r>
              <w:rPr>
                <w:rFonts w:ascii="Times New Roman" w:cs="Times New Roman" w:eastAsia="Times New Roman" w:hAnsi="Times New Roman"/>
                <w:sz w:val="18"/>
                <w:szCs w:val="18"/>
                <w:color w:val="auto"/>
                <w:w w:val="99"/>
              </w:rPr>
              <w:t>$16.082</w:t>
            </w:r>
          </w:p>
        </w:tc>
        <w:tc>
          <w:tcPr>
            <w:tcW w:w="1860" w:type="dxa"/>
            <w:vAlign w:val="bottom"/>
          </w:tcPr>
          <w:p>
            <w:pPr>
              <w:jc w:val="right"/>
              <w:ind w:right="267"/>
              <w:spacing w:after="0"/>
              <w:rPr>
                <w:sz w:val="20"/>
                <w:szCs w:val="20"/>
                <w:color w:val="auto"/>
              </w:rPr>
            </w:pPr>
            <w:r>
              <w:rPr>
                <w:rFonts w:ascii="Times New Roman" w:cs="Times New Roman" w:eastAsia="Times New Roman" w:hAnsi="Times New Roman"/>
                <w:sz w:val="18"/>
                <w:szCs w:val="18"/>
                <w:color w:val="auto"/>
              </w:rPr>
              <w:t>N/A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10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18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0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shd w:val="clear" w:color="auto" w:fill="D6F3E8"/>
          </w:tcPr>
          <w:p>
            <w:pPr>
              <w:jc w:val="right"/>
              <w:ind w:right="805"/>
              <w:spacing w:after="0"/>
              <w:rPr>
                <w:sz w:val="20"/>
                <w:szCs w:val="20"/>
                <w:color w:val="auto"/>
              </w:rPr>
            </w:pPr>
            <w:r>
              <w:rPr>
                <w:rFonts w:ascii="Times New Roman" w:cs="Times New Roman" w:eastAsia="Times New Roman" w:hAnsi="Times New Roman"/>
                <w:sz w:val="18"/>
                <w:szCs w:val="18"/>
                <w:color w:val="auto"/>
              </w:rPr>
              <w:t>1,407,988</w:t>
            </w:r>
          </w:p>
        </w:tc>
        <w:tc>
          <w:tcPr>
            <w:tcW w:w="1920" w:type="dxa"/>
            <w:vAlign w:val="bottom"/>
            <w:shd w:val="clear" w:color="auto" w:fill="D6F3E8"/>
          </w:tcPr>
          <w:p>
            <w:pPr>
              <w:jc w:val="center"/>
              <w:ind w:left="105"/>
              <w:spacing w:after="0"/>
              <w:rPr>
                <w:sz w:val="20"/>
                <w:szCs w:val="20"/>
                <w:color w:val="auto"/>
              </w:rPr>
            </w:pPr>
            <w:r>
              <w:rPr>
                <w:rFonts w:ascii="Times New Roman" w:cs="Times New Roman" w:eastAsia="Times New Roman" w:hAnsi="Times New Roman"/>
                <w:sz w:val="18"/>
                <w:szCs w:val="18"/>
                <w:color w:val="auto"/>
                <w:w w:val="99"/>
              </w:rPr>
              <w:t>$22.090</w:t>
            </w:r>
          </w:p>
        </w:tc>
        <w:tc>
          <w:tcPr>
            <w:tcW w:w="1860" w:type="dxa"/>
            <w:vAlign w:val="bottom"/>
            <w:shd w:val="clear" w:color="auto" w:fill="D6F3E8"/>
          </w:tcPr>
          <w:p>
            <w:pPr>
              <w:jc w:val="right"/>
              <w:ind w:right="567"/>
              <w:spacing w:after="0"/>
              <w:rPr>
                <w:sz w:val="20"/>
                <w:szCs w:val="20"/>
                <w:color w:val="auto"/>
              </w:rPr>
            </w:pPr>
            <w:r>
              <w:rPr>
                <w:rFonts w:ascii="Times New Roman" w:cs="Times New Roman" w:eastAsia="Times New Roman" w:hAnsi="Times New Roman"/>
                <w:sz w:val="18"/>
                <w:szCs w:val="18"/>
                <w:color w:val="auto"/>
              </w:rPr>
              <w:t>1,553,500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-1058545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-1058545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Review</w:t>
      </w:r>
    </w:p>
    <w:p>
      <w:pPr>
        <w:spacing w:after="0" w:line="21" w:lineRule="exact"/>
        <w:rPr>
          <w:sz w:val="20"/>
          <w:szCs w:val="20"/>
          <w:color w:val="auto"/>
        </w:rPr>
      </w:pPr>
    </w:p>
    <w:p>
      <w:pPr>
        <w:ind w:left="620" w:right="340" w:hanging="612"/>
        <w:spacing w:after="0" w:line="250"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includes 446,500 stock options under the 2004 Incentive Compensation Plan (the “Plan”), which was approved by the shareholders of theCompany. Also included are 917,588 options under the 1997 Stock Option Plan and 10,000 options granted under the 1992 Stock Option Plan for outside directors, which was terminated in Fiscal 1998.</w:t>
      </w:r>
    </w:p>
    <w:p>
      <w:pPr>
        <w:spacing w:after="0" w:line="1" w:lineRule="exact"/>
        <w:rPr>
          <w:rFonts w:ascii="Times New Roman" w:cs="Times New Roman" w:eastAsia="Times New Roman" w:hAnsi="Times New Roman"/>
          <w:sz w:val="18"/>
          <w:szCs w:val="18"/>
          <w:color w:val="auto"/>
        </w:rPr>
      </w:pPr>
    </w:p>
    <w:p>
      <w:pPr>
        <w:ind w:left="620" w:hanging="612"/>
        <w:spacing w:after="0" w:line="250"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represents stock options available for grant under the Plan as of August 27, 2005. The Plan replaced the 1997 Stock Option Plan effective January 1, 2004. No new grants may be made under the 1997 Stock Option Plan. Any stock options previously granted under the 1997 Stock Option Plan will continue to vest and/or be exercisable in accordance with their original terms and conditions.</w:t>
      </w:r>
    </w:p>
    <w:p>
      <w:pPr>
        <w:spacing w:after="0" w:line="1" w:lineRule="exact"/>
        <w:rPr>
          <w:rFonts w:ascii="Times New Roman" w:cs="Times New Roman" w:eastAsia="Times New Roman" w:hAnsi="Times New Roman"/>
          <w:sz w:val="18"/>
          <w:szCs w:val="18"/>
          <w:color w:val="auto"/>
        </w:rPr>
      </w:pPr>
    </w:p>
    <w:p>
      <w:pPr>
        <w:ind w:left="620" w:right="260" w:hanging="612"/>
        <w:spacing w:after="0" w:line="281" w:lineRule="auto"/>
        <w:tabs>
          <w:tab w:leader="none" w:pos="6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sole Equity Compensation Plan of the Company not previously submitted to the Company’s shareholders for approval is the Director’s Deferred Compensation Plan. For description of the key provisions of the Director’s Deferred Compensation Plan, see the information in the Company’s Proxy Statement for the Annual Meeting of Shareholders scheduled to be held January 10, 2006 under the caption “Board of Directors, Committees of the Board and Corporate Governance — Director Compensation,” which information is incorporated by reference herein.</w:t>
      </w:r>
    </w:p>
    <w:p>
      <w:pPr>
        <w:spacing w:after="0" w:line="2" w:lineRule="exact"/>
        <w:rPr>
          <w:rFonts w:ascii="Times New Roman" w:cs="Times New Roman" w:eastAsia="Times New Roman" w:hAnsi="Times New Roman"/>
          <w:sz w:val="16"/>
          <w:szCs w:val="16"/>
          <w:color w:val="auto"/>
        </w:rPr>
      </w:pPr>
    </w:p>
    <w:p>
      <w:pPr>
        <w:ind w:left="620" w:right="160" w:hanging="612"/>
        <w:spacing w:after="0" w:line="250"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underlying stock units, payable on a one-for-one basis, credited to stock unit accounts as of August 27, 2005 under the Director’s Deferred Compensation Plan.</w:t>
      </w:r>
    </w:p>
    <w:p>
      <w:pPr>
        <w:ind w:left="620" w:hanging="612"/>
        <w:spacing w:after="0" w:line="254"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does not reflect a specific number of stock units which may by distributed pursuant to the Director’s Deferred Compensation Plan. The Director’s Deferred Compensation Plan does not limit the number of stock units issuable thereunder. The number of stock units to be distributed pursuant to the Director’s Deferred Compensation Plan will be based on the amount of the director’s compensation deferred and the per share price of the Company’s common stock at the time of deferral.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On June 15, 2005, the Board of Directors authorized the repurchase of outstanding shares of the Company’s common stock, depending on market conditions, for an aggregate consideration of up to $30 million. There is no time restriction on this authorization. As of August 27, 2005, there had been no repurchases under this authorization.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repurchase any of its common stock during the fourth quarter of Fiscal 2005.</w:t>
      </w:r>
    </w:p>
    <w:p>
      <w:pPr>
        <w:spacing w:after="0" w:line="22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color w:val="auto"/>
        </w:rPr>
        <w:t>Selected Financial Data</w:t>
      </w:r>
    </w:p>
    <w:p>
      <w:pPr>
        <w:spacing w:after="0" w:line="227"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Reference is made to the information included under the caption “Selected Financial Data” on pages 38 and 39 of the Company’s Annual Report to Shareholders for the year ended August 27, 2005, which information is incorporated by reference herein.</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6"/>
          <w:szCs w:val="16"/>
          <w:color w:val="auto"/>
        </w:rPr>
        <w:t>Management’s Discussion and Analysis of Financial Condition and Results of Operations</w:t>
      </w:r>
    </w:p>
    <w:p>
      <w:pPr>
        <w:spacing w:after="0" w:line="227" w:lineRule="exact"/>
        <w:rPr>
          <w:sz w:val="20"/>
          <w:szCs w:val="20"/>
          <w:color w:val="auto"/>
        </w:rPr>
      </w:pPr>
    </w:p>
    <w:p>
      <w:pPr>
        <w:ind w:right="220"/>
        <w:spacing w:after="0" w:line="339" w:lineRule="auto"/>
        <w:rPr>
          <w:sz w:val="20"/>
          <w:szCs w:val="20"/>
          <w:color w:val="auto"/>
        </w:rPr>
      </w:pPr>
      <w:r>
        <w:rPr>
          <w:rFonts w:ascii="Times New Roman" w:cs="Times New Roman" w:eastAsia="Times New Roman" w:hAnsi="Times New Roman"/>
          <w:sz w:val="16"/>
          <w:szCs w:val="16"/>
          <w:color w:val="auto"/>
        </w:rPr>
        <w:t>Reference is made to the information under the caption “Management’s Discussion and Analysis of Financial Condition and Results of Operations” on pages 9 through 16 of the Company’s Annual Report to Shareholders for the year ended August 27, 2005, which information is incorporated by reference herein.</w:t>
      </w:r>
    </w:p>
    <w:p>
      <w:pPr>
        <w:spacing w:after="0" w:line="12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6"/>
          <w:szCs w:val="16"/>
          <w:color w:val="auto"/>
        </w:rPr>
        <w:t>Quantitative and Qualitative Disclosures About Market Risk</w:t>
      </w:r>
    </w:p>
    <w:p>
      <w:pPr>
        <w:spacing w:after="0" w:line="227" w:lineRule="exact"/>
        <w:rPr>
          <w:sz w:val="20"/>
          <w:szCs w:val="20"/>
          <w:color w:val="auto"/>
        </w:rPr>
      </w:pPr>
    </w:p>
    <w:p>
      <w:pPr>
        <w:jc w:val="both"/>
        <w:ind w:right="60"/>
        <w:spacing w:after="0" w:line="310" w:lineRule="auto"/>
        <w:rPr>
          <w:sz w:val="20"/>
          <w:szCs w:val="20"/>
          <w:color w:val="auto"/>
        </w:rPr>
      </w:pPr>
      <w:r>
        <w:rPr>
          <w:rFonts w:ascii="Times New Roman" w:cs="Times New Roman" w:eastAsia="Times New Roman" w:hAnsi="Times New Roman"/>
          <w:sz w:val="16"/>
          <w:szCs w:val="16"/>
          <w:color w:val="auto"/>
        </w:rPr>
        <w:t>As of August 27, 2005, the Company had an investment portfolio of cash and cash equivalents of $19.5 million and available-for-sale securities of $93.1 million. Taking into account the credit risk criteria of the Company’s investment policy, the primary market risk associated with these investments is interest rate risk and a decline in value if market interest rates increase. However, the Company has the ability to hold its fixed income investments until maturity or for the typical</w:t>
      </w:r>
    </w:p>
    <w:p>
      <w:pPr>
        <w:sectPr>
          <w:pgSz w:w="11900" w:h="16880" w:orient="portrait"/>
          <w:cols w:equalWidth="0" w:num="1">
            <w:col w:w="11400"/>
          </w:cols>
          <w:pgMar w:left="240" w:top="110" w:right="259" w:bottom="0" w:gutter="0" w:footer="0" w:header="0"/>
        </w:sectPr>
      </w:pPr>
    </w:p>
    <w:bookmarkStart w:id="11" w:name="page12"/>
    <w:bookmarkEnd w:id="11"/>
    <w:p>
      <w:pPr>
        <w:ind w:right="120"/>
        <w:spacing w:after="0" w:line="262" w:lineRule="auto"/>
        <w:rPr>
          <w:sz w:val="20"/>
          <w:szCs w:val="20"/>
          <w:color w:val="auto"/>
        </w:rPr>
      </w:pPr>
      <w:r>
        <w:rPr>
          <w:rFonts w:ascii="Times New Roman" w:cs="Times New Roman" w:eastAsia="Times New Roman" w:hAnsi="Times New Roman"/>
          <w:sz w:val="18"/>
          <w:szCs w:val="18"/>
          <w:color w:val="auto"/>
        </w:rPr>
        <w:t>Dutch auction period (an average of 36 days) and based upon historical experience does not believe there are significant risks of a failed Dutch auction. Therefore, the Company would not expect to recognize a material adverse impact in income or cash flows in the event of a decline in value due to an increase in market interest rates.</w:t>
      </w:r>
    </w:p>
    <w:p>
      <w:pPr>
        <w:spacing w:after="0" w:line="18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color w:val="auto"/>
        </w:rPr>
        <w:t>Financial Statements and Supplementary Data</w:t>
      </w:r>
    </w:p>
    <w:p>
      <w:pPr>
        <w:spacing w:after="0" w:line="227"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The consolidated financial statements of the Company which appear on pages 17 through 34 and the report of Management’s Report on Internal Control Over Financial Reporting on page 35 and the report of Independent Registered Public Accounting Firm which appears on pages 36 and 37 of the Company’s Annual Report to Shareholders for the year ended August 27, 2005, are incorporated by reference herein.</w:t>
      </w:r>
    </w:p>
    <w:p>
      <w:pPr>
        <w:spacing w:after="0" w:line="18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6"/>
          <w:szCs w:val="16"/>
          <w:color w:val="auto"/>
        </w:rPr>
        <w:t>Changes in and Disagreements with Accountants on Accounting and Financial Disclosure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6"/>
          <w:szCs w:val="16"/>
          <w:color w:val="auto"/>
        </w:rPr>
        <w:t>Controls and Procedures</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Company’s management, with the participation of the Company’s Chief Executive Officer and Chief Financial Officer, conducted an evaluation of the effectiveness of the design and operation of the Company’s disclosure controls and procedures, as required by Securities Exchange Act of 1934, as amended (the “Exchange Act”) Rule 13a-15(f). Based on this evaluation, the Chief Executive Officer and Chief Financial Officer have concluded that the Company’s disclosure controls and procedures were effective to ensure that information required to be disclosed by the Company in the reports that it files or submits under the Exchange Act is recorded, processed, summarized and reported within the time periods specified by the SEC’s rules and forms.</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Company’s management, including the Chief Executive Officer and the Chief Financial Officer, does not expect that the Company’s disclosure controls and procedures will prevent all errors or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6"/>
          <w:szCs w:val="16"/>
          <w:color w:val="auto"/>
        </w:rPr>
        <w:t>The Company’s management is responsible for establishing and maintaining adequate internal control over financial reporting as defined in Exchange Act Rule 13a-15(f). The Company’s management conducted an evaluation of the effectiveness of our internal control over financial reporting based on the framework and criteria established in Internal Control — Integrated Framework, issued by the Committee of Sponsoring Organizations of the Treadway Commission. Based on this evaluation, our management concluded that our internal control over financial reporting was effective as of August 27, 2005. During its assessment, management did not identify any material weaknesses in our internal control over financial reporting. Our independent registered public accounting firm, Deloitte</w:t>
      </w:r>
    </w:p>
    <w:p>
      <w:pPr>
        <w:ind w:right="180" w:firstLine="8"/>
        <w:spacing w:after="0" w:line="261" w:lineRule="auto"/>
        <w:tabs>
          <w:tab w:leader="none" w:pos="1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Touche LLP, has audited our Consolidated Financial Statements and has issued an attestation report on management’s assessment of our internal control over financial reporting, as stated in their report included herein.</w:t>
      </w:r>
    </w:p>
    <w:p>
      <w:pPr>
        <w:spacing w:after="0" w:line="186"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There have been no significant changes in the Company’s internal controls or in other factors which could significantly affect internal controls over financial reporting subsequent to the date the Company carried out its evaluation.</w:t>
      </w:r>
    </w:p>
    <w:p>
      <w:pPr>
        <w:spacing w:after="0" w:line="174" w:lineRule="exact"/>
        <w:rPr>
          <w:sz w:val="20"/>
          <w:szCs w:val="20"/>
          <w:color w:val="auto"/>
        </w:rPr>
      </w:pPr>
    </w:p>
    <w:p>
      <w:pPr>
        <w:ind w:right="400"/>
        <w:spacing w:after="0" w:line="262" w:lineRule="auto"/>
        <w:rPr>
          <w:sz w:val="20"/>
          <w:szCs w:val="20"/>
          <w:color w:val="auto"/>
        </w:rPr>
      </w:pPr>
      <w:r>
        <w:rPr>
          <w:rFonts w:ascii="Times New Roman" w:cs="Times New Roman" w:eastAsia="Times New Roman" w:hAnsi="Times New Roman"/>
          <w:sz w:val="18"/>
          <w:szCs w:val="18"/>
          <w:color w:val="auto"/>
        </w:rPr>
        <w:t>In connection with the evaluation of internal control over financial reporting described above, no changes in the Company’s internal control over financing reporting were identified that occurred during the fourth quarter of Fiscal 2005 that have materially affected, or are reasonably likely to materially affect, the Company’s internal control over financial reporting.</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color w:val="auto"/>
        </w:rPr>
        <w:t>Directors and Executive Officers of the Registrant</w:t>
      </w:r>
    </w:p>
    <w:p>
      <w:pPr>
        <w:spacing w:after="0" w:line="22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Reference is made to the table entitled Executive Officers of the Registrant in Part I of this report and to the information included under the captions “Election of Directors” and “Board of Directors, Committees of the Board and Corporate Governance” in the Company’s Proxy Statement for the Annual Meeting of Shareholders scheduled to be held January 10, 2006, which information is incorporated by reference herein.</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Section 16(a) of the Exchange Act requires the Company’s officers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directors and persons who beneficially own more than 10 percent of the Company’s common stock (collectively “Reporting Persons”) to file reports of ownership and changes in ownership with the Securities and Exchange Commission (the “SEC”) and the New York Stock Exchange. Reporting Persons are required by the SEC regulations to furnish the Company with copies of all Section 16(a) forms they file. Based solely on its review of the copies of such forms received or written representations from certain Reporting Persons that no Forms 5 were required for those persons, the Company believes that, during Fiscal Year 2005, all the Reporting Persons complied with all applicable filing requirements, with the exception of Raymond Beebe who filed one late report reporting two transactions.</w:t>
      </w:r>
    </w:p>
    <w:p>
      <w:pPr>
        <w:sectPr>
          <w:pgSz w:w="11900" w:h="16838" w:orient="portrait"/>
          <w:cols w:equalWidth="0" w:num="1">
            <w:col w:w="11400"/>
          </w:cols>
          <w:pgMar w:left="240" w:top="125" w:right="259" w:bottom="0" w:gutter="0" w:footer="0" w:header="0"/>
        </w:sectPr>
      </w:pPr>
    </w:p>
    <w:bookmarkStart w:id="12" w:name="page13"/>
    <w:bookmarkEnd w:id="12"/>
    <w:p>
      <w:pPr>
        <w:ind w:right="440"/>
        <w:spacing w:after="0" w:line="262" w:lineRule="auto"/>
        <w:rPr>
          <w:sz w:val="20"/>
          <w:szCs w:val="20"/>
          <w:color w:val="auto"/>
        </w:rPr>
      </w:pPr>
      <w:r>
        <w:rPr>
          <w:rFonts w:ascii="Times New Roman" w:cs="Times New Roman" w:eastAsia="Times New Roman" w:hAnsi="Times New Roman"/>
          <w:sz w:val="18"/>
          <w:szCs w:val="18"/>
          <w:color w:val="auto"/>
        </w:rPr>
        <w:t>The Company has adopted a written code of ethics, the “Code of Ethics for CEO and Senior Financial Officials” (the “Code”) which is applicable to the Company’s Chief Executive Officer, Chief Financial Officer, Controller and Treasurer (collectively the “Senior Officers”). In accordance with the rules and regulations of the SEC, a copy of the Code has been filed as an exhibit to this Form 10-K, and is posted on the Company’s website.</w:t>
      </w:r>
    </w:p>
    <w:p>
      <w:pPr>
        <w:spacing w:after="0" w:line="18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 xml:space="preserve">The Company intends to disclose any changes in or waivers from the Code applicable to any Senior Officer on its website at </w:t>
      </w:r>
      <w:r>
        <w:rPr>
          <w:rFonts w:ascii="Times New Roman" w:cs="Times New Roman" w:eastAsia="Times New Roman" w:hAnsi="Times New Roman"/>
          <w:sz w:val="18"/>
          <w:szCs w:val="18"/>
          <w:u w:val="single" w:color="auto"/>
          <w:color w:val="auto"/>
        </w:rPr>
        <w:t>http://www.winnebagoind.com</w:t>
      </w:r>
      <w:r>
        <w:rPr>
          <w:rFonts w:ascii="Times New Roman" w:cs="Times New Roman" w:eastAsia="Times New Roman" w:hAnsi="Times New Roman"/>
          <w:sz w:val="18"/>
          <w:szCs w:val="18"/>
          <w:color w:val="auto"/>
        </w:rPr>
        <w:t xml:space="preserve"> or by filing a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6"/>
          <w:szCs w:val="16"/>
          <w:color w:val="auto"/>
        </w:rPr>
        <w:t>Executive Compensation</w:t>
      </w:r>
    </w:p>
    <w:p>
      <w:pPr>
        <w:spacing w:after="0" w:line="227"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8"/>
          <w:szCs w:val="18"/>
          <w:color w:val="auto"/>
        </w:rPr>
        <w:t>Reference is made to the information included under the caption “Executive Compensation” in the Company’s Proxy Statement for the Annual Meeting of Shareholders scheduled to be held January 10, 2006, which information is incorporated by reference herein.</w:t>
      </w:r>
    </w:p>
    <w:p>
      <w:pPr>
        <w:spacing w:after="0" w:line="1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6"/>
          <w:szCs w:val="16"/>
          <w:color w:val="auto"/>
        </w:rPr>
        <w:t>Security Ownership of Certain Beneficial Owners and Management</w:t>
      </w:r>
    </w:p>
    <w:p>
      <w:pPr>
        <w:spacing w:after="0" w:line="227"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Reference is made to the share ownership information included under the caption “Voting Securities and Principal Holders Thereof” in the Company’s Proxy Statement for the Annual Meeting of Shareholders scheduled to be held January 10, 2006, which information is incorporated by reference herein.</w:t>
      </w:r>
    </w:p>
    <w:p>
      <w:pPr>
        <w:spacing w:after="0" w:line="1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6"/>
          <w:szCs w:val="16"/>
          <w:color w:val="auto"/>
        </w:rPr>
        <w:t>Certain Relationships and Related Transactions</w:t>
      </w:r>
    </w:p>
    <w:p>
      <w:pPr>
        <w:spacing w:after="0" w:line="227"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Reference is made to the information included under the caption “Certain Transactions with Management” in the Company’s Proxy Statement for the Annual Meeting of Shareholders scheduled to be held January 10, 2006, which information is incorporated by reference herein.</w:t>
      </w:r>
    </w:p>
    <w:p>
      <w:pPr>
        <w:spacing w:after="0" w:line="1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6"/>
          <w:szCs w:val="16"/>
          <w:color w:val="auto"/>
        </w:rPr>
        <w:t>Principal Accounting Fees and Services</w:t>
      </w:r>
    </w:p>
    <w:p>
      <w:pPr>
        <w:spacing w:after="0" w:line="22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Reference is made to the information included under the caption “Principal Accounting Fees and Services” in the Company’s Proxy Statement and for the Annual Meeting of Shareholders scheduled to be held January 10, 2006, which information is incorporated by reference herein.</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0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6"/>
          <w:szCs w:val="16"/>
          <w:color w:val="auto"/>
        </w:rPr>
        <w:t>Exhibits, Financial Statement Schedules</w:t>
      </w:r>
    </w:p>
    <w:p>
      <w:pPr>
        <w:spacing w:after="0" w:line="227" w:lineRule="exact"/>
        <w:rPr>
          <w:sz w:val="20"/>
          <w:szCs w:val="20"/>
          <w:color w:val="auto"/>
        </w:rPr>
      </w:pPr>
    </w:p>
    <w:p>
      <w:pPr>
        <w:ind w:left="620" w:right="100" w:hanging="612"/>
        <w:spacing w:after="0" w:line="275" w:lineRule="auto"/>
        <w:tabs>
          <w:tab w:leader="none" w:pos="25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consolidated financial statements of the Company are incorporated by reference in ITEM 8 and an index to financial statements appears on page 16 of this report.</w:t>
      </w:r>
    </w:p>
    <w:p>
      <w:pPr>
        <w:spacing w:after="0" w:line="200" w:lineRule="exact"/>
        <w:rPr>
          <w:rFonts w:ascii="Times New Roman" w:cs="Times New Roman" w:eastAsia="Times New Roman" w:hAnsi="Times New Roman"/>
          <w:sz w:val="18"/>
          <w:szCs w:val="18"/>
          <w:color w:val="auto"/>
        </w:rPr>
      </w:pPr>
    </w:p>
    <w:p>
      <w:pPr>
        <w:jc w:val="both"/>
        <w:ind w:left="620" w:right="7640" w:hanging="392"/>
        <w:spacing w:after="0" w:line="339" w:lineRule="auto"/>
        <w:tabs>
          <w:tab w:leader="none" w:pos="62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Consolidated Financial Statement Schedules Winnebago Industries, Inc. and Subsidiaries</w:t>
      </w:r>
    </w:p>
    <w:p>
      <w:pPr>
        <w:spacing w:after="0" w:line="153" w:lineRule="exact"/>
        <w:rPr>
          <w:sz w:val="20"/>
          <w:szCs w:val="20"/>
          <w:color w:val="auto"/>
        </w:rPr>
      </w:pPr>
    </w:p>
    <w:tbl>
      <w:tblPr>
        <w:tblLayout w:type="fixed"/>
        <w:tblInd w:w="1660" w:type="dxa"/>
        <w:tblCellMar>
          <w:top w:w="0" w:type="dxa"/>
          <w:left w:w="0" w:type="dxa"/>
          <w:bottom w:w="0" w:type="dxa"/>
          <w:right w:w="0" w:type="dxa"/>
        </w:tblCellMar>
      </w:tblPr>
      <w:tr>
        <w:trPr>
          <w:trHeight w:val="178"/>
        </w:trPr>
        <w:tc>
          <w:tcPr>
            <w:tcW w:w="30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95"/>
        </w:trPr>
        <w:tc>
          <w:tcPr>
            <w:tcW w:w="300" w:type="dxa"/>
            <w:vAlign w:val="bottom"/>
          </w:tcPr>
          <w:p>
            <w:pPr>
              <w:spacing w:after="0"/>
              <w:rPr>
                <w:sz w:val="8"/>
                <w:szCs w:val="8"/>
                <w:color w:val="auto"/>
              </w:rPr>
            </w:pPr>
          </w:p>
        </w:tc>
        <w:tc>
          <w:tcPr>
            <w:tcW w:w="73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303"/>
        </w:trPr>
        <w:tc>
          <w:tcPr>
            <w:tcW w:w="300" w:type="dxa"/>
            <w:vAlign w:val="bottom"/>
          </w:tcPr>
          <w:p>
            <w:pPr>
              <w:spacing w:after="0"/>
              <w:rPr>
                <w:sz w:val="24"/>
                <w:szCs w:val="24"/>
                <w:color w:val="auto"/>
              </w:rPr>
            </w:pPr>
          </w:p>
        </w:tc>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on Supplemental Financial Schedule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7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Valuation and Qualifying Accounts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231" w:lineRule="exact"/>
        <w:rPr>
          <w:sz w:val="20"/>
          <w:szCs w:val="20"/>
          <w:color w:val="auto"/>
        </w:rPr>
      </w:pPr>
    </w:p>
    <w:p>
      <w:pPr>
        <w:ind w:left="580" w:right="380"/>
        <w:spacing w:after="0" w:line="275" w:lineRule="auto"/>
        <w:rPr>
          <w:sz w:val="20"/>
          <w:szCs w:val="20"/>
          <w:color w:val="auto"/>
        </w:rPr>
      </w:pPr>
      <w:r>
        <w:rPr>
          <w:rFonts w:ascii="Times New Roman" w:cs="Times New Roman" w:eastAsia="Times New Roman" w:hAnsi="Times New Roman"/>
          <w:sz w:val="18"/>
          <w:szCs w:val="18"/>
          <w:color w:val="auto"/>
        </w:rPr>
        <w:t>All schedules, other than Schedule II, are omitted because of the absence of the conditions under which they are required or because the information required is shown in the consolidated financial statements or the notes thereto.</w:t>
      </w:r>
    </w:p>
    <w:p>
      <w:pPr>
        <w:spacing w:after="0" w:line="201" w:lineRule="exact"/>
        <w:rPr>
          <w:sz w:val="20"/>
          <w:szCs w:val="20"/>
          <w:color w:val="auto"/>
        </w:rPr>
      </w:pPr>
    </w:p>
    <w:p>
      <w:pPr>
        <w:ind w:left="620" w:hanging="392"/>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See Exhibit Index on pages 19 through 21.</w:t>
      </w:r>
    </w:p>
    <w:p>
      <w:pPr>
        <w:sectPr>
          <w:pgSz w:w="11900" w:h="16838" w:orient="portrait"/>
          <w:cols w:equalWidth="0" w:num="1">
            <w:col w:w="11380"/>
          </w:cols>
          <w:pgMar w:left="240" w:top="125" w:right="279" w:bottom="1440" w:gutter="0" w:footer="0" w:header="0"/>
        </w:sectPr>
      </w:pPr>
    </w:p>
    <w:bookmarkStart w:id="13" w:name="page14"/>
    <w:bookmarkEnd w:id="13"/>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UNDERTAKING</w:t>
      </w:r>
    </w:p>
    <w:p>
      <w:pPr>
        <w:spacing w:after="0" w:line="3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 2-40316 (which became effective on or about June 10, 1971), 2-82109 (which became effective on or about March 15, 1983), 33-21757 (which became effective on or about May 31, 1988), 33-59930 (which became effective on or about March 24, 1993), 333-31595 (which became effective on or about July 18, 1997) and 333-113246 (which became effective on or about March 3, 2004).</w:t>
      </w:r>
    </w:p>
    <w:p>
      <w:pPr>
        <w:spacing w:after="0" w:line="193"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08"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9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200" w:lineRule="exact"/>
        <w:rPr>
          <w:sz w:val="20"/>
          <w:szCs w:val="20"/>
          <w:color w:val="auto"/>
        </w:rPr>
      </w:pPr>
    </w:p>
    <w:p>
      <w:pPr>
        <w:spacing w:after="0" w:line="241" w:lineRule="exact"/>
        <w:rPr>
          <w:sz w:val="20"/>
          <w:szCs w:val="20"/>
          <w:color w:val="auto"/>
        </w:rPr>
      </w:pPr>
    </w:p>
    <w:p>
      <w:pPr>
        <w:ind w:left="6560"/>
        <w:spacing w:after="0"/>
        <w:tabs>
          <w:tab w:leader="none" w:pos="6980" w:val="left"/>
        </w:tabs>
        <w:rPr>
          <w:sz w:val="20"/>
          <w:szCs w:val="20"/>
          <w:color w:val="auto"/>
        </w:rPr>
      </w:pPr>
      <w:r>
        <w:rPr>
          <w:rFonts w:ascii="Times New Roman" w:cs="Times New Roman" w:eastAsia="Times New Roman" w:hAnsi="Times New Roman"/>
          <w:sz w:val="18"/>
          <w:szCs w:val="18"/>
          <w:color w:val="auto"/>
        </w:rPr>
        <w:t>By:</w:t>
        <w:tab/>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83820</wp:posOffset>
            </wp:positionV>
            <wp:extent cx="21012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232"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Bruce D. Hertzke</w:t>
      </w:r>
    </w:p>
    <w:p>
      <w:pPr>
        <w:spacing w:after="0" w:line="225"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Chairman of the Board, Chief Executive</w:t>
      </w:r>
    </w:p>
    <w:p>
      <w:pPr>
        <w:spacing w:after="0" w:line="21"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Officer and Director</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380"/>
          </w:cols>
          <w:pgMar w:left="240" w:top="125" w:right="279" w:bottom="32" w:gutter="0" w:footer="0" w:header="0"/>
        </w:sect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2005</w:t>
      </w:r>
    </w:p>
    <w:p>
      <w:pPr>
        <w:sectPr>
          <w:pgSz w:w="11900" w:h="16838" w:orient="portrait"/>
          <w:cols w:equalWidth="0" w:num="1">
            <w:col w:w="11380"/>
          </w:cols>
          <w:pgMar w:left="240" w:top="125" w:right="279" w:bottom="32" w:gutter="0" w:footer="0" w:header="0"/>
          <w:type w:val="continuous"/>
        </w:sectPr>
      </w:pPr>
    </w:p>
    <w:bookmarkStart w:id="14" w:name="page15"/>
    <w:bookmarkEnd w:id="14"/>
    <w:p>
      <w:pPr>
        <w:ind w:right="400"/>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November 10, 2005, by the following persons on behalf of the Registrant and in the capacities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6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5"/>
              </w:rPr>
              <w:t>Capacity</w:t>
            </w:r>
          </w:p>
        </w:tc>
        <w:tc>
          <w:tcPr>
            <w:tcW w:w="5080" w:type="dxa"/>
            <w:vAlign w:val="bottom"/>
          </w:tcPr>
          <w:p>
            <w:pPr>
              <w:spacing w:after="0"/>
              <w:rPr>
                <w:sz w:val="17"/>
                <w:szCs w:val="17"/>
                <w:color w:val="auto"/>
              </w:rPr>
            </w:pPr>
          </w:p>
        </w:tc>
      </w:tr>
      <w:tr>
        <w:trPr>
          <w:trHeight w:val="451"/>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37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Bruce D. Hertzke</w:t>
            </w: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10"/>
        </w:trPr>
        <w:tc>
          <w:tcPr>
            <w:tcW w:w="2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80" w:type="dxa"/>
            <w:vAlign w:val="bottom"/>
          </w:tcPr>
          <w:p>
            <w:pPr>
              <w:spacing w:after="0"/>
              <w:rPr>
                <w:sz w:val="9"/>
                <w:szCs w:val="9"/>
                <w:color w:val="auto"/>
              </w:rPr>
            </w:pPr>
          </w:p>
        </w:tc>
      </w:tr>
      <w:tr>
        <w:trPr>
          <w:trHeight w:val="303"/>
        </w:trPr>
        <w:tc>
          <w:tcPr>
            <w:tcW w:w="240" w:type="dxa"/>
            <w:vAlign w:val="bottom"/>
          </w:tcPr>
          <w:p>
            <w:pPr>
              <w:spacing w:after="0"/>
              <w:rPr>
                <w:sz w:val="24"/>
                <w:szCs w:val="24"/>
                <w:color w:val="auto"/>
              </w:rPr>
            </w:pPr>
          </w:p>
        </w:tc>
        <w:tc>
          <w:tcPr>
            <w:tcW w:w="37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6"/>
              </w:rPr>
              <w:t>Bruce D. Hertzke</w:t>
            </w:r>
          </w:p>
        </w:tc>
        <w:tc>
          <w:tcPr>
            <w:tcW w:w="74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Chairman of the Board, Chief Executive</w:t>
            </w:r>
          </w:p>
        </w:tc>
      </w:tr>
      <w:tr>
        <w:trPr>
          <w:trHeight w:val="216"/>
        </w:trPr>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4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Officer and Director</w:t>
            </w:r>
          </w:p>
        </w:tc>
      </w:tr>
      <w:tr>
        <w:trPr>
          <w:trHeight w:val="228"/>
        </w:trPr>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37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Edwin F. Barker</w:t>
            </w: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10"/>
        </w:trPr>
        <w:tc>
          <w:tcPr>
            <w:tcW w:w="2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80" w:type="dxa"/>
            <w:vAlign w:val="bottom"/>
          </w:tcPr>
          <w:p>
            <w:pPr>
              <w:spacing w:after="0"/>
              <w:rPr>
                <w:sz w:val="9"/>
                <w:szCs w:val="9"/>
                <w:color w:val="auto"/>
              </w:rPr>
            </w:pPr>
          </w:p>
        </w:tc>
      </w:tr>
      <w:tr>
        <w:trPr>
          <w:trHeight w:val="303"/>
        </w:trPr>
        <w:tc>
          <w:tcPr>
            <w:tcW w:w="240" w:type="dxa"/>
            <w:vAlign w:val="bottom"/>
          </w:tcPr>
          <w:p>
            <w:pPr>
              <w:spacing w:after="0"/>
              <w:rPr>
                <w:sz w:val="24"/>
                <w:szCs w:val="24"/>
                <w:color w:val="auto"/>
              </w:rPr>
            </w:pPr>
          </w:p>
        </w:tc>
        <w:tc>
          <w:tcPr>
            <w:tcW w:w="37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5"/>
              </w:rPr>
              <w:t>Edwin F. Barker</w:t>
            </w:r>
          </w:p>
        </w:tc>
        <w:tc>
          <w:tcPr>
            <w:tcW w:w="74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28"/>
        </w:trPr>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37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Brian J. Hrubes</w:t>
            </w: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10"/>
        </w:trPr>
        <w:tc>
          <w:tcPr>
            <w:tcW w:w="2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80" w:type="dxa"/>
            <w:vAlign w:val="bottom"/>
          </w:tcPr>
          <w:p>
            <w:pPr>
              <w:spacing w:after="0"/>
              <w:rPr>
                <w:sz w:val="9"/>
                <w:szCs w:val="9"/>
                <w:color w:val="auto"/>
              </w:rPr>
            </w:pPr>
          </w:p>
        </w:tc>
      </w:tr>
      <w:tr>
        <w:trPr>
          <w:trHeight w:val="303"/>
        </w:trPr>
        <w:tc>
          <w:tcPr>
            <w:tcW w:w="240" w:type="dxa"/>
            <w:vAlign w:val="bottom"/>
          </w:tcPr>
          <w:p>
            <w:pPr>
              <w:spacing w:after="0"/>
              <w:rPr>
                <w:sz w:val="24"/>
                <w:szCs w:val="24"/>
                <w:color w:val="auto"/>
              </w:rPr>
            </w:pPr>
          </w:p>
        </w:tc>
        <w:tc>
          <w:tcPr>
            <w:tcW w:w="37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Brian J. Hrubes</w:t>
            </w:r>
          </w:p>
        </w:tc>
        <w:tc>
          <w:tcPr>
            <w:tcW w:w="74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Controller</w:t>
            </w:r>
          </w:p>
        </w:tc>
      </w:tr>
      <w:tr>
        <w:trPr>
          <w:trHeight w:val="228"/>
        </w:trPr>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42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3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37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Irvin E. Aal</w:t>
            </w: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10"/>
        </w:trPr>
        <w:tc>
          <w:tcPr>
            <w:tcW w:w="2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80" w:type="dxa"/>
            <w:vAlign w:val="bottom"/>
          </w:tcPr>
          <w:p>
            <w:pPr>
              <w:spacing w:after="0"/>
              <w:rPr>
                <w:sz w:val="9"/>
                <w:szCs w:val="9"/>
                <w:color w:val="auto"/>
              </w:rPr>
            </w:pPr>
          </w:p>
        </w:tc>
      </w:tr>
      <w:tr>
        <w:trPr>
          <w:trHeight w:val="316"/>
        </w:trPr>
        <w:tc>
          <w:tcPr>
            <w:tcW w:w="240" w:type="dxa"/>
            <w:vAlign w:val="bottom"/>
          </w:tcPr>
          <w:p>
            <w:pPr>
              <w:spacing w:after="0"/>
              <w:rPr>
                <w:sz w:val="24"/>
                <w:szCs w:val="24"/>
                <w:color w:val="auto"/>
              </w:rPr>
            </w:pPr>
          </w:p>
        </w:tc>
        <w:tc>
          <w:tcPr>
            <w:tcW w:w="37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5"/>
              </w:rPr>
              <w:t>Irvin E. Aal</w:t>
            </w:r>
          </w:p>
        </w:tc>
        <w:tc>
          <w:tcPr>
            <w:tcW w:w="74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37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Jerry N. Currie</w:t>
            </w: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10"/>
        </w:trPr>
        <w:tc>
          <w:tcPr>
            <w:tcW w:w="2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80" w:type="dxa"/>
            <w:vAlign w:val="bottom"/>
          </w:tcPr>
          <w:p>
            <w:pPr>
              <w:spacing w:after="0"/>
              <w:rPr>
                <w:sz w:val="9"/>
                <w:szCs w:val="9"/>
                <w:color w:val="auto"/>
              </w:rPr>
            </w:pPr>
          </w:p>
        </w:tc>
      </w:tr>
      <w:tr>
        <w:trPr>
          <w:trHeight w:val="316"/>
        </w:trPr>
        <w:tc>
          <w:tcPr>
            <w:tcW w:w="240" w:type="dxa"/>
            <w:vAlign w:val="bottom"/>
          </w:tcPr>
          <w:p>
            <w:pPr>
              <w:spacing w:after="0"/>
              <w:rPr>
                <w:sz w:val="24"/>
                <w:szCs w:val="24"/>
                <w:color w:val="auto"/>
              </w:rPr>
            </w:pPr>
          </w:p>
        </w:tc>
        <w:tc>
          <w:tcPr>
            <w:tcW w:w="37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Jerry N. Currie</w:t>
            </w:r>
          </w:p>
        </w:tc>
        <w:tc>
          <w:tcPr>
            <w:tcW w:w="74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37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Joseph W. England</w:t>
            </w: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10"/>
        </w:trPr>
        <w:tc>
          <w:tcPr>
            <w:tcW w:w="2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80" w:type="dxa"/>
            <w:vAlign w:val="bottom"/>
          </w:tcPr>
          <w:p>
            <w:pPr>
              <w:spacing w:after="0"/>
              <w:rPr>
                <w:sz w:val="9"/>
                <w:szCs w:val="9"/>
                <w:color w:val="auto"/>
              </w:rPr>
            </w:pPr>
          </w:p>
        </w:tc>
      </w:tr>
      <w:tr>
        <w:trPr>
          <w:trHeight w:val="316"/>
        </w:trPr>
        <w:tc>
          <w:tcPr>
            <w:tcW w:w="240" w:type="dxa"/>
            <w:vAlign w:val="bottom"/>
          </w:tcPr>
          <w:p>
            <w:pPr>
              <w:spacing w:after="0"/>
              <w:rPr>
                <w:sz w:val="24"/>
                <w:szCs w:val="24"/>
                <w:color w:val="auto"/>
              </w:rPr>
            </w:pPr>
          </w:p>
        </w:tc>
        <w:tc>
          <w:tcPr>
            <w:tcW w:w="37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6"/>
              </w:rPr>
              <w:t>Joseph W. England</w:t>
            </w:r>
          </w:p>
        </w:tc>
        <w:tc>
          <w:tcPr>
            <w:tcW w:w="74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37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Lawrence A. Erickson</w:t>
            </w: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10"/>
        </w:trPr>
        <w:tc>
          <w:tcPr>
            <w:tcW w:w="2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80" w:type="dxa"/>
            <w:vAlign w:val="bottom"/>
          </w:tcPr>
          <w:p>
            <w:pPr>
              <w:spacing w:after="0"/>
              <w:rPr>
                <w:sz w:val="9"/>
                <w:szCs w:val="9"/>
                <w:color w:val="auto"/>
              </w:rPr>
            </w:pPr>
          </w:p>
        </w:tc>
      </w:tr>
      <w:tr>
        <w:trPr>
          <w:trHeight w:val="316"/>
        </w:trPr>
        <w:tc>
          <w:tcPr>
            <w:tcW w:w="240" w:type="dxa"/>
            <w:vAlign w:val="bottom"/>
          </w:tcPr>
          <w:p>
            <w:pPr>
              <w:spacing w:after="0"/>
              <w:rPr>
                <w:sz w:val="24"/>
                <w:szCs w:val="24"/>
                <w:color w:val="auto"/>
              </w:rPr>
            </w:pPr>
          </w:p>
        </w:tc>
        <w:tc>
          <w:tcPr>
            <w:tcW w:w="37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Lawrence A. Erickson</w:t>
            </w:r>
          </w:p>
        </w:tc>
        <w:tc>
          <w:tcPr>
            <w:tcW w:w="74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37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John V. Hanson</w:t>
            </w: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10"/>
        </w:trPr>
        <w:tc>
          <w:tcPr>
            <w:tcW w:w="2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80" w:type="dxa"/>
            <w:vAlign w:val="bottom"/>
          </w:tcPr>
          <w:p>
            <w:pPr>
              <w:spacing w:after="0"/>
              <w:rPr>
                <w:sz w:val="9"/>
                <w:szCs w:val="9"/>
                <w:color w:val="auto"/>
              </w:rPr>
            </w:pPr>
          </w:p>
        </w:tc>
      </w:tr>
      <w:tr>
        <w:trPr>
          <w:trHeight w:val="316"/>
        </w:trPr>
        <w:tc>
          <w:tcPr>
            <w:tcW w:w="240" w:type="dxa"/>
            <w:vAlign w:val="bottom"/>
          </w:tcPr>
          <w:p>
            <w:pPr>
              <w:spacing w:after="0"/>
              <w:rPr>
                <w:sz w:val="24"/>
                <w:szCs w:val="24"/>
                <w:color w:val="auto"/>
              </w:rPr>
            </w:pPr>
          </w:p>
        </w:tc>
        <w:tc>
          <w:tcPr>
            <w:tcW w:w="37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5"/>
              </w:rPr>
              <w:t>John V. Hanson</w:t>
            </w:r>
          </w:p>
        </w:tc>
        <w:tc>
          <w:tcPr>
            <w:tcW w:w="74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37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John E. Herlitz</w:t>
            </w: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10"/>
        </w:trPr>
        <w:tc>
          <w:tcPr>
            <w:tcW w:w="2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80" w:type="dxa"/>
            <w:vAlign w:val="bottom"/>
          </w:tcPr>
          <w:p>
            <w:pPr>
              <w:spacing w:after="0"/>
              <w:rPr>
                <w:sz w:val="9"/>
                <w:szCs w:val="9"/>
                <w:color w:val="auto"/>
              </w:rPr>
            </w:pPr>
          </w:p>
        </w:tc>
      </w:tr>
      <w:tr>
        <w:trPr>
          <w:trHeight w:val="316"/>
        </w:trPr>
        <w:tc>
          <w:tcPr>
            <w:tcW w:w="240" w:type="dxa"/>
            <w:vAlign w:val="bottom"/>
          </w:tcPr>
          <w:p>
            <w:pPr>
              <w:spacing w:after="0"/>
              <w:rPr>
                <w:sz w:val="24"/>
                <w:szCs w:val="24"/>
                <w:color w:val="auto"/>
              </w:rPr>
            </w:pPr>
          </w:p>
        </w:tc>
        <w:tc>
          <w:tcPr>
            <w:tcW w:w="37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John E. Herlitz</w:t>
            </w:r>
          </w:p>
        </w:tc>
        <w:tc>
          <w:tcPr>
            <w:tcW w:w="74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/s/</w:t>
            </w:r>
          </w:p>
        </w:tc>
        <w:tc>
          <w:tcPr>
            <w:tcW w:w="37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Gerald C. Kitch</w:t>
            </w:r>
          </w:p>
        </w:tc>
        <w:tc>
          <w:tcPr>
            <w:tcW w:w="1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10"/>
        </w:trPr>
        <w:tc>
          <w:tcPr>
            <w:tcW w:w="24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80" w:type="dxa"/>
            <w:vAlign w:val="bottom"/>
          </w:tcPr>
          <w:p>
            <w:pPr>
              <w:spacing w:after="0"/>
              <w:rPr>
                <w:sz w:val="9"/>
                <w:szCs w:val="9"/>
                <w:color w:val="auto"/>
              </w:rPr>
            </w:pPr>
          </w:p>
        </w:tc>
      </w:tr>
      <w:tr>
        <w:trPr>
          <w:trHeight w:val="316"/>
        </w:trPr>
        <w:tc>
          <w:tcPr>
            <w:tcW w:w="240" w:type="dxa"/>
            <w:vAlign w:val="bottom"/>
          </w:tcPr>
          <w:p>
            <w:pPr>
              <w:spacing w:after="0"/>
              <w:rPr>
                <w:sz w:val="24"/>
                <w:szCs w:val="24"/>
                <w:color w:val="auto"/>
              </w:rPr>
            </w:pPr>
          </w:p>
        </w:tc>
        <w:tc>
          <w:tcPr>
            <w:tcW w:w="37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Gerald C. Kitch</w:t>
            </w:r>
          </w:p>
        </w:tc>
        <w:tc>
          <w:tcPr>
            <w:tcW w:w="74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Director</w:t>
            </w:r>
          </w:p>
        </w:tc>
      </w:tr>
      <w:tr>
        <w:trPr>
          <w:trHeight w:val="918"/>
        </w:trPr>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15</w:t>
            </w:r>
          </w:p>
        </w:tc>
        <w:tc>
          <w:tcPr>
            <w:tcW w:w="5080" w:type="dxa"/>
            <w:vAlign w:val="bottom"/>
          </w:tcPr>
          <w:p>
            <w:pPr>
              <w:spacing w:after="0"/>
              <w:rPr>
                <w:sz w:val="24"/>
                <w:szCs w:val="24"/>
                <w:color w:val="auto"/>
              </w:rPr>
            </w:pPr>
          </w:p>
        </w:tc>
      </w:tr>
      <w:tr>
        <w:trPr>
          <w:trHeight w:val="242"/>
        </w:trPr>
        <w:tc>
          <w:tcPr>
            <w:tcW w:w="2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1620" w:type="dxa"/>
            <w:vAlign w:val="bottom"/>
            <w:tcBorders>
              <w:bottom w:val="single" w:sz="8" w:color="808080"/>
            </w:tcBorders>
          </w:tcPr>
          <w:p>
            <w:pPr>
              <w:spacing w:after="0"/>
              <w:rPr>
                <w:sz w:val="21"/>
                <w:szCs w:val="21"/>
                <w:color w:val="auto"/>
              </w:rPr>
            </w:pPr>
          </w:p>
        </w:tc>
        <w:tc>
          <w:tcPr>
            <w:tcW w:w="166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508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6560" w:type="dxa"/>
            <w:vAlign w:val="bottom"/>
            <w:gridSpan w:val="2"/>
          </w:tcPr>
          <w:p>
            <w:pPr>
              <w:ind w:left="24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75"/>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Winnebago Industries, Inc. and Subsidiaries</w:t>
            </w:r>
          </w:p>
        </w:tc>
        <w:tc>
          <w:tcPr>
            <w:tcW w:w="3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
        </w:trPr>
        <w:tc>
          <w:tcPr>
            <w:tcW w:w="65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1460" w:type="dxa"/>
            <w:vAlign w:val="bottom"/>
            <w:gridSpan w:val="3"/>
          </w:tcPr>
          <w:p>
            <w:pPr>
              <w:jc w:val="center"/>
              <w:ind w:left="792"/>
              <w:spacing w:after="0"/>
              <w:rPr>
                <w:sz w:val="20"/>
                <w:szCs w:val="20"/>
                <w:color w:val="auto"/>
              </w:rPr>
            </w:pPr>
            <w:r>
              <w:rPr>
                <w:rFonts w:ascii="Times New Roman" w:cs="Times New Roman" w:eastAsia="Times New Roman" w:hAnsi="Times New Roman"/>
                <w:sz w:val="18"/>
                <w:szCs w:val="18"/>
                <w:color w:val="auto"/>
                <w:w w:val="98"/>
              </w:rPr>
              <w:t>36 &amp; 37</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1460" w:type="dxa"/>
            <w:vAlign w:val="bottom"/>
            <w:gridSpan w:val="3"/>
          </w:tcPr>
          <w:p>
            <w:pPr>
              <w:jc w:val="center"/>
              <w:ind w:left="792"/>
              <w:spacing w:after="0"/>
              <w:rPr>
                <w:sz w:val="20"/>
                <w:szCs w:val="20"/>
                <w:color w:val="auto"/>
              </w:rPr>
            </w:pPr>
            <w:r>
              <w:rPr>
                <w:rFonts w:ascii="Times New Roman" w:cs="Times New Roman" w:eastAsia="Times New Roman" w:hAnsi="Times New Roman"/>
                <w:sz w:val="18"/>
                <w:szCs w:val="18"/>
                <w:color w:val="auto"/>
                <w:w w:val="98"/>
              </w:rPr>
              <w:t>18 &amp; 19</w:t>
            </w: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Income</w:t>
            </w:r>
          </w:p>
        </w:tc>
        <w:tc>
          <w:tcPr>
            <w:tcW w:w="1420" w:type="dxa"/>
            <w:vAlign w:val="bottom"/>
            <w:gridSpan w:val="2"/>
          </w:tcPr>
          <w:p>
            <w:pPr>
              <w:jc w:val="center"/>
              <w:ind w:left="832"/>
              <w:spacing w:after="0"/>
              <w:rPr>
                <w:sz w:val="20"/>
                <w:szCs w:val="20"/>
                <w:color w:val="auto"/>
              </w:rPr>
            </w:pPr>
            <w:r>
              <w:rPr>
                <w:rFonts w:ascii="Times New Roman" w:cs="Times New Roman" w:eastAsia="Times New Roman" w:hAnsi="Times New Roman"/>
                <w:sz w:val="18"/>
                <w:szCs w:val="18"/>
                <w:color w:val="auto"/>
                <w:w w:val="99"/>
              </w:rPr>
              <w:t>17</w:t>
            </w:r>
          </w:p>
        </w:tc>
        <w:tc>
          <w:tcPr>
            <w:tcW w:w="40" w:type="dxa"/>
            <w:vAlign w:val="bottom"/>
          </w:tcPr>
          <w:p>
            <w:pPr>
              <w:spacing w:after="0"/>
              <w:rPr>
                <w:sz w:val="18"/>
                <w:szCs w:val="18"/>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1420" w:type="dxa"/>
            <w:vAlign w:val="bottom"/>
            <w:gridSpan w:val="2"/>
          </w:tcPr>
          <w:p>
            <w:pPr>
              <w:jc w:val="center"/>
              <w:ind w:left="832"/>
              <w:spacing w:after="0"/>
              <w:rPr>
                <w:sz w:val="20"/>
                <w:szCs w:val="20"/>
                <w:color w:val="auto"/>
              </w:rPr>
            </w:pPr>
            <w:r>
              <w:rPr>
                <w:rFonts w:ascii="Times New Roman" w:cs="Times New Roman" w:eastAsia="Times New Roman" w:hAnsi="Times New Roman"/>
                <w:sz w:val="18"/>
                <w:szCs w:val="18"/>
                <w:color w:val="auto"/>
                <w:w w:val="99"/>
              </w:rPr>
              <w:t>20</w:t>
            </w:r>
          </w:p>
        </w:tc>
        <w:tc>
          <w:tcPr>
            <w:tcW w:w="40" w:type="dxa"/>
            <w:vAlign w:val="bottom"/>
          </w:tcPr>
          <w:p>
            <w:pPr>
              <w:spacing w:after="0"/>
              <w:rPr>
                <w:sz w:val="18"/>
                <w:szCs w:val="18"/>
                <w:color w:val="auto"/>
              </w:rPr>
            </w:pPr>
          </w:p>
        </w:tc>
      </w:tr>
      <w:tr>
        <w:trPr>
          <w:trHeight w:val="216"/>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tc>
        <w:tc>
          <w:tcPr>
            <w:tcW w:w="1420" w:type="dxa"/>
            <w:vAlign w:val="bottom"/>
            <w:gridSpan w:val="2"/>
          </w:tcPr>
          <w:p>
            <w:pPr>
              <w:jc w:val="center"/>
              <w:ind w:left="832"/>
              <w:spacing w:after="0"/>
              <w:rPr>
                <w:sz w:val="20"/>
                <w:szCs w:val="20"/>
                <w:color w:val="auto"/>
              </w:rPr>
            </w:pPr>
            <w:r>
              <w:rPr>
                <w:rFonts w:ascii="Times New Roman" w:cs="Times New Roman" w:eastAsia="Times New Roman" w:hAnsi="Times New Roman"/>
                <w:sz w:val="18"/>
                <w:szCs w:val="18"/>
                <w:color w:val="auto"/>
                <w:w w:val="99"/>
              </w:rPr>
              <w:t>21</w:t>
            </w:r>
          </w:p>
        </w:tc>
        <w:tc>
          <w:tcPr>
            <w:tcW w:w="40" w:type="dxa"/>
            <w:vAlign w:val="bottom"/>
          </w:tcPr>
          <w:p>
            <w:pPr>
              <w:spacing w:after="0"/>
              <w:rPr>
                <w:sz w:val="18"/>
                <w:szCs w:val="18"/>
                <w:color w:val="auto"/>
              </w:rPr>
            </w:pPr>
          </w:p>
        </w:tc>
      </w:tr>
      <w:tr>
        <w:trPr>
          <w:trHeight w:val="228"/>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460" w:type="dxa"/>
            <w:vAlign w:val="bottom"/>
            <w:gridSpan w:val="3"/>
          </w:tcPr>
          <w:p>
            <w:pPr>
              <w:jc w:val="center"/>
              <w:ind w:left="812"/>
              <w:spacing w:after="0"/>
              <w:rPr>
                <w:sz w:val="20"/>
                <w:szCs w:val="20"/>
                <w:color w:val="auto"/>
              </w:rPr>
            </w:pPr>
            <w:r>
              <w:rPr>
                <w:rFonts w:ascii="Times New Roman" w:cs="Times New Roman" w:eastAsia="Times New Roman" w:hAnsi="Times New Roman"/>
                <w:sz w:val="18"/>
                <w:szCs w:val="18"/>
                <w:color w:val="auto"/>
                <w:w w:val="96"/>
              </w:rPr>
              <w:t>22 – 34</w:t>
            </w:r>
          </w:p>
        </w:tc>
      </w:tr>
    </w:tbl>
    <w:p>
      <w:pPr>
        <w:spacing w:after="0" w:line="231" w:lineRule="exact"/>
        <w:rPr>
          <w:sz w:val="20"/>
          <w:szCs w:val="20"/>
          <w:color w:val="auto"/>
        </w:rPr>
      </w:pPr>
    </w:p>
    <w:p>
      <w:pPr>
        <w:ind w:left="1900" w:right="1780" w:hanging="238"/>
        <w:spacing w:after="0" w:line="275" w:lineRule="auto"/>
        <w:tabs>
          <w:tab w:leader="none" w:pos="1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Refers to respective pages in the Company’s 2005 Annual Report to Shareholders, a copy of which is attached hereto, which pages are incorporated herein by reference.</w:t>
      </w:r>
    </w:p>
    <w:p>
      <w:pPr>
        <w:sectPr>
          <w:pgSz w:w="11900" w:h="16838" w:orient="portrait"/>
          <w:cols w:equalWidth="0" w:num="1">
            <w:col w:w="11420"/>
          </w:cols>
          <w:pgMar w:left="240" w:top="125" w:right="239" w:bottom="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Forest City, Iowa</w:t>
      </w:r>
    </w:p>
    <w:p>
      <w:pPr>
        <w:spacing w:after="0" w:line="213"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We have audited the Consolidated Financial Statements of Winnebago Industries, Inc. and subsidiaries (the Company) as of August 27, 2005 and August 28, 2004 and for each of the three years in the period ended August 27, 2005, management’s assessment of the effectiveness of the Company’s internal control over financial reporting as of August 27, 2005, and have issued our reports thereon dated November 10, 2005; such Consolidated Financial Statements and reports are included in your Fiscal 2005 Annual Report to Shareholders and are incorporated herein by reference. Our audits also included the Consolidated Financial Statement schedule of the Company, as listed in Item 15(a)2.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WINNEBAGO INDUSTRIES, INC. AND SUBSIDIARIES</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ectPr>
          <w:pgSz w:w="11900" w:h="16838" w:orient="portrait"/>
          <w:cols w:equalWidth="0" w:num="1">
            <w:col w:w="11420"/>
          </w:cols>
          <w:pgMar w:left="240" w:top="1440" w:right="239" w:bottom="0" w:gutter="0" w:footer="0" w:header="0"/>
        </w:sectPr>
      </w:pPr>
    </w:p>
    <w:bookmarkStart w:id="16" w:name="page17"/>
    <w:bookmarkEnd w:id="16"/>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0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Column B</w:t>
            </w:r>
          </w:p>
        </w:tc>
        <w:tc>
          <w:tcPr>
            <w:tcW w:w="520" w:type="dxa"/>
            <w:vAlign w:val="bottom"/>
          </w:tcPr>
          <w:p>
            <w:pPr>
              <w:spacing w:after="0"/>
              <w:rPr>
                <w:sz w:val="22"/>
                <w:szCs w:val="22"/>
                <w:color w:val="auto"/>
              </w:rPr>
            </w:pPr>
          </w:p>
        </w:tc>
        <w:tc>
          <w:tcPr>
            <w:tcW w:w="1420" w:type="dxa"/>
            <w:vAlign w:val="bottom"/>
            <w:gridSpan w:val="4"/>
          </w:tcPr>
          <w:p>
            <w:pPr>
              <w:jc w:val="center"/>
              <w:ind w:left="426"/>
              <w:spacing w:after="0"/>
              <w:rPr>
                <w:sz w:val="20"/>
                <w:szCs w:val="20"/>
                <w:color w:val="auto"/>
              </w:rPr>
            </w:pPr>
            <w:r>
              <w:rPr>
                <w:rFonts w:ascii="Times New Roman" w:cs="Times New Roman" w:eastAsia="Times New Roman" w:hAnsi="Times New Roman"/>
                <w:sz w:val="14"/>
                <w:szCs w:val="14"/>
                <w:b w:val="1"/>
                <w:bCs w:val="1"/>
                <w:color w:val="auto"/>
                <w:w w:val="96"/>
              </w:rPr>
              <w:t>Column C</w:t>
            </w: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Column D</w:t>
            </w:r>
          </w:p>
        </w:tc>
        <w:tc>
          <w:tcPr>
            <w:tcW w:w="520" w:type="dxa"/>
            <w:vAlign w:val="bottom"/>
          </w:tcPr>
          <w:p>
            <w:pPr>
              <w:spacing w:after="0"/>
              <w:rPr>
                <w:sz w:val="22"/>
                <w:szCs w:val="22"/>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500" w:type="dxa"/>
            <w:vAlign w:val="bottom"/>
          </w:tcPr>
          <w:p>
            <w:pPr>
              <w:spacing w:after="0"/>
              <w:rPr>
                <w:sz w:val="22"/>
                <w:szCs w:val="22"/>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Column 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20" w:type="dxa"/>
            <w:vAlign w:val="bottom"/>
            <w:gridSpan w:val="4"/>
          </w:tcPr>
          <w:p>
            <w:pPr>
              <w:jc w:val="center"/>
              <w:ind w:left="426"/>
              <w:spacing w:after="0"/>
              <w:rPr>
                <w:sz w:val="20"/>
                <w:szCs w:val="20"/>
                <w:color w:val="auto"/>
              </w:rPr>
            </w:pPr>
            <w:r>
              <w:rPr>
                <w:rFonts w:ascii="Times New Roman" w:cs="Times New Roman" w:eastAsia="Times New Roman" w:hAnsi="Times New Roman"/>
                <w:sz w:val="14"/>
                <w:szCs w:val="14"/>
                <w:b w:val="1"/>
                <w:bCs w:val="1"/>
                <w:color w:val="auto"/>
                <w:w w:val="95"/>
              </w:rPr>
              <w:t>Additions</w:t>
            </w: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gridSpan w:val="4"/>
          </w:tcPr>
          <w:p>
            <w:pPr>
              <w:jc w:val="center"/>
              <w:ind w:left="446"/>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(Reductions)</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Balance at</w:t>
            </w:r>
          </w:p>
        </w:tc>
        <w:tc>
          <w:tcPr>
            <w:tcW w:w="5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Charged to</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Deductions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Beginning</w:t>
            </w:r>
          </w:p>
        </w:tc>
        <w:tc>
          <w:tcPr>
            <w:tcW w:w="5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Cost and</w:t>
            </w:r>
          </w:p>
        </w:tc>
        <w:tc>
          <w:tcPr>
            <w:tcW w:w="22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Bad Debts</w:t>
            </w:r>
          </w:p>
        </w:tc>
        <w:tc>
          <w:tcPr>
            <w:tcW w:w="5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Charge-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End of</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0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Period and Description</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of Period</w:t>
            </w:r>
          </w:p>
        </w:tc>
        <w:tc>
          <w:tcPr>
            <w:tcW w:w="52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Expenses</w:t>
            </w:r>
          </w:p>
        </w:tc>
        <w:tc>
          <w:tcPr>
            <w:tcW w:w="2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Recoveries</w:t>
            </w:r>
          </w:p>
        </w:tc>
        <w:tc>
          <w:tcPr>
            <w:tcW w:w="5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Offs</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50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Period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Year Ended August 27, 2005:</w:t>
            </w:r>
          </w:p>
        </w:tc>
        <w:tc>
          <w:tcPr>
            <w:tcW w:w="740" w:type="dxa"/>
            <w:vAlign w:val="bottom"/>
            <w:shd w:val="clear" w:color="auto" w:fill="D6F3E8"/>
          </w:tcPr>
          <w:p>
            <w:pPr>
              <w:spacing w:after="0"/>
              <w:rPr>
                <w:sz w:val="18"/>
                <w:szCs w:val="18"/>
                <w:color w:val="auto"/>
              </w:rPr>
            </w:pPr>
          </w:p>
        </w:tc>
        <w:tc>
          <w:tcPr>
            <w:tcW w:w="52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520" w:type="dxa"/>
            <w:vAlign w:val="bottom"/>
            <w:shd w:val="clear" w:color="auto" w:fill="D6F3E8"/>
          </w:tcPr>
          <w:p>
            <w:pPr>
              <w:spacing w:after="0"/>
              <w:rPr>
                <w:sz w:val="18"/>
                <w:szCs w:val="18"/>
                <w:color w:val="auto"/>
              </w:rPr>
            </w:pPr>
          </w:p>
        </w:tc>
        <w:tc>
          <w:tcPr>
            <w:tcW w:w="520" w:type="dxa"/>
            <w:vAlign w:val="bottom"/>
            <w:shd w:val="clear" w:color="auto" w:fill="D6F3E8"/>
          </w:tcPr>
          <w:p>
            <w:pPr>
              <w:spacing w:after="0"/>
              <w:rPr>
                <w:sz w:val="18"/>
                <w:szCs w:val="18"/>
                <w:color w:val="auto"/>
              </w:rPr>
            </w:pPr>
          </w:p>
        </w:tc>
        <w:tc>
          <w:tcPr>
            <w:tcW w:w="700" w:type="dxa"/>
            <w:vAlign w:val="bottom"/>
            <w:shd w:val="clear" w:color="auto" w:fill="D6F3E8"/>
          </w:tcPr>
          <w:p>
            <w:pPr>
              <w:spacing w:after="0"/>
              <w:rPr>
                <w:sz w:val="18"/>
                <w:szCs w:val="18"/>
                <w:color w:val="auto"/>
              </w:rPr>
            </w:pPr>
          </w:p>
        </w:tc>
        <w:tc>
          <w:tcPr>
            <w:tcW w:w="5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50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Provision for warranty reserve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13,356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13,469</w:t>
            </w:r>
          </w:p>
        </w:tc>
        <w:tc>
          <w:tcPr>
            <w:tcW w:w="300" w:type="dxa"/>
            <w:vAlign w:val="bottom"/>
          </w:tcPr>
          <w:p>
            <w:pPr>
              <w:spacing w:after="0"/>
              <w:rPr>
                <w:sz w:val="18"/>
                <w:szCs w:val="18"/>
                <w:color w:val="auto"/>
              </w:rPr>
            </w:pPr>
          </w:p>
        </w:tc>
        <w:tc>
          <w:tcPr>
            <w:tcW w:w="4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14,642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12,183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D6F3E8"/>
          </w:tcPr>
          <w:p>
            <w:pPr>
              <w:ind w:left="200"/>
              <w:spacing w:after="0"/>
              <w:rPr>
                <w:sz w:val="20"/>
                <w:szCs w:val="20"/>
                <w:color w:val="auto"/>
              </w:rPr>
            </w:pPr>
            <w:r>
              <w:rPr>
                <w:rFonts w:ascii="Times New Roman" w:cs="Times New Roman" w:eastAsia="Times New Roman" w:hAnsi="Times New Roman"/>
                <w:sz w:val="18"/>
                <w:szCs w:val="18"/>
                <w:color w:val="auto"/>
              </w:rPr>
              <w:t>Reserve for recall campaign</w:t>
            </w: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24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520" w:type="dxa"/>
            <w:vAlign w:val="bottom"/>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5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580" w:type="dxa"/>
            <w:vAlign w:val="bottom"/>
            <w:shd w:val="clear" w:color="auto" w:fill="D6F3E8"/>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ind w:left="200"/>
              <w:spacing w:after="0" w:line="201" w:lineRule="exact"/>
              <w:rPr>
                <w:sz w:val="20"/>
                <w:szCs w:val="20"/>
                <w:color w:val="auto"/>
              </w:rPr>
            </w:pPr>
            <w:r>
              <w:rPr>
                <w:rFonts w:ascii="Times New Roman" w:cs="Times New Roman" w:eastAsia="Times New Roman" w:hAnsi="Times New Roman"/>
                <w:sz w:val="18"/>
                <w:szCs w:val="18"/>
                <w:color w:val="auto"/>
              </w:rPr>
              <w:t>Allowance for doubtful</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gridSpan w:val="2"/>
            <w:shd w:val="clear" w:color="auto" w:fill="D6F3E8"/>
          </w:tcPr>
          <w:p>
            <w:pPr>
              <w:ind w:left="200"/>
              <w:spacing w:after="0" w:line="203" w:lineRule="exact"/>
              <w:rPr>
                <w:sz w:val="20"/>
                <w:szCs w:val="20"/>
                <w:color w:val="auto"/>
              </w:rPr>
            </w:pPr>
            <w:r>
              <w:rPr>
                <w:rFonts w:ascii="Times New Roman" w:cs="Times New Roman" w:eastAsia="Times New Roman" w:hAnsi="Times New Roman"/>
                <w:sz w:val="18"/>
                <w:szCs w:val="18"/>
                <w:color w:val="auto"/>
              </w:rPr>
              <w:t>Allowance for doubtful</w:t>
            </w:r>
          </w:p>
        </w:tc>
        <w:tc>
          <w:tcPr>
            <w:tcW w:w="740" w:type="dxa"/>
            <w:vAlign w:val="bottom"/>
            <w:shd w:val="clear" w:color="auto" w:fill="D6F3E8"/>
          </w:tcPr>
          <w:p>
            <w:pPr>
              <w:spacing w:after="0"/>
              <w:rPr>
                <w:sz w:val="17"/>
                <w:szCs w:val="17"/>
                <w:color w:val="auto"/>
              </w:rPr>
            </w:pPr>
          </w:p>
        </w:tc>
        <w:tc>
          <w:tcPr>
            <w:tcW w:w="520" w:type="dxa"/>
            <w:vAlign w:val="bottom"/>
            <w:shd w:val="clear" w:color="auto" w:fill="D6F3E8"/>
          </w:tcPr>
          <w:p>
            <w:pPr>
              <w:spacing w:after="0"/>
              <w:rPr>
                <w:sz w:val="17"/>
                <w:szCs w:val="17"/>
                <w:color w:val="auto"/>
              </w:rPr>
            </w:pPr>
          </w:p>
        </w:tc>
        <w:tc>
          <w:tcPr>
            <w:tcW w:w="720" w:type="dxa"/>
            <w:vAlign w:val="bottom"/>
            <w:shd w:val="clear" w:color="auto" w:fill="D6F3E8"/>
          </w:tcPr>
          <w:p>
            <w:pPr>
              <w:spacing w:after="0"/>
              <w:rPr>
                <w:sz w:val="17"/>
                <w:szCs w:val="17"/>
                <w:color w:val="auto"/>
              </w:rPr>
            </w:pPr>
          </w:p>
        </w:tc>
        <w:tc>
          <w:tcPr>
            <w:tcW w:w="30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180" w:type="dxa"/>
            <w:vAlign w:val="bottom"/>
            <w:shd w:val="clear" w:color="auto" w:fill="D6F3E8"/>
          </w:tcPr>
          <w:p>
            <w:pPr>
              <w:spacing w:after="0"/>
              <w:rPr>
                <w:sz w:val="17"/>
                <w:szCs w:val="17"/>
                <w:color w:val="auto"/>
              </w:rPr>
            </w:pPr>
          </w:p>
        </w:tc>
        <w:tc>
          <w:tcPr>
            <w:tcW w:w="520" w:type="dxa"/>
            <w:vAlign w:val="bottom"/>
            <w:shd w:val="clear" w:color="auto" w:fill="D6F3E8"/>
          </w:tcPr>
          <w:p>
            <w:pPr>
              <w:spacing w:after="0"/>
              <w:rPr>
                <w:sz w:val="17"/>
                <w:szCs w:val="17"/>
                <w:color w:val="auto"/>
              </w:rPr>
            </w:pPr>
          </w:p>
        </w:tc>
        <w:tc>
          <w:tcPr>
            <w:tcW w:w="520" w:type="dxa"/>
            <w:vAlign w:val="bottom"/>
            <w:shd w:val="clear" w:color="auto" w:fill="D6F3E8"/>
          </w:tcPr>
          <w:p>
            <w:pPr>
              <w:spacing w:after="0"/>
              <w:rPr>
                <w:sz w:val="17"/>
                <w:szCs w:val="17"/>
                <w:color w:val="auto"/>
              </w:rPr>
            </w:pPr>
          </w:p>
        </w:tc>
        <w:tc>
          <w:tcPr>
            <w:tcW w:w="700" w:type="dxa"/>
            <w:vAlign w:val="bottom"/>
            <w:shd w:val="clear" w:color="auto" w:fill="D6F3E8"/>
          </w:tcPr>
          <w:p>
            <w:pPr>
              <w:spacing w:after="0"/>
              <w:rPr>
                <w:sz w:val="17"/>
                <w:szCs w:val="17"/>
                <w:color w:val="auto"/>
              </w:rPr>
            </w:pPr>
          </w:p>
        </w:tc>
        <w:tc>
          <w:tcPr>
            <w:tcW w:w="5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580" w:type="dxa"/>
            <w:vAlign w:val="bottom"/>
            <w:shd w:val="clear" w:color="auto" w:fill="D6F3E8"/>
          </w:tcPr>
          <w:p>
            <w:pPr>
              <w:spacing w:after="0"/>
              <w:rPr>
                <w:sz w:val="17"/>
                <w:szCs w:val="17"/>
                <w:color w:val="auto"/>
              </w:rPr>
            </w:pPr>
          </w:p>
        </w:tc>
        <w:tc>
          <w:tcPr>
            <w:tcW w:w="500" w:type="dxa"/>
            <w:vAlign w:val="bottom"/>
            <w:shd w:val="clear" w:color="auto" w:fill="D6F3E8"/>
          </w:tcPr>
          <w:p>
            <w:pPr>
              <w:spacing w:after="0"/>
              <w:rPr>
                <w:sz w:val="17"/>
                <w:szCs w:val="17"/>
                <w:color w:val="auto"/>
              </w:rPr>
            </w:pPr>
          </w:p>
        </w:tc>
        <w:tc>
          <w:tcPr>
            <w:tcW w:w="720" w:type="dxa"/>
            <w:vAlign w:val="bottom"/>
            <w:shd w:val="clear" w:color="auto" w:fill="D6F3E8"/>
          </w:tcPr>
          <w:p>
            <w:pPr>
              <w:spacing w:after="0"/>
              <w:rPr>
                <w:sz w:val="17"/>
                <w:szCs w:val="17"/>
                <w:color w:val="auto"/>
              </w:rPr>
            </w:pPr>
          </w:p>
        </w:tc>
        <w:tc>
          <w:tcPr>
            <w:tcW w:w="2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gridSpan w:val="2"/>
            <w:shd w:val="clear" w:color="auto" w:fill="D6F3E8"/>
          </w:tcPr>
          <w:p>
            <w:pPr>
              <w:ind w:left="420"/>
              <w:spacing w:after="0"/>
              <w:rPr>
                <w:sz w:val="20"/>
                <w:szCs w:val="20"/>
                <w:color w:val="auto"/>
              </w:rPr>
            </w:pPr>
            <w:r>
              <w:rPr>
                <w:rFonts w:ascii="Times New Roman" w:cs="Times New Roman" w:eastAsia="Times New Roman" w:hAnsi="Times New Roman"/>
                <w:sz w:val="18"/>
                <w:szCs w:val="18"/>
                <w:color w:val="auto"/>
              </w:rPr>
              <w:t>notes receivable</w:t>
            </w: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20" w:type="dxa"/>
            <w:vAlign w:val="bottom"/>
            <w:shd w:val="clear" w:color="auto" w:fill="D6F3E8"/>
          </w:tcPr>
          <w:p>
            <w:pPr>
              <w:spacing w:after="0"/>
              <w:rPr>
                <w:sz w:val="20"/>
                <w:szCs w:val="20"/>
                <w:color w:val="auto"/>
              </w:rPr>
            </w:pPr>
          </w:p>
        </w:tc>
        <w:tc>
          <w:tcPr>
            <w:tcW w:w="1020" w:type="dxa"/>
            <w:vAlign w:val="bottom"/>
            <w:gridSpan w:val="2"/>
            <w:shd w:val="clear" w:color="auto" w:fill="D6F3E8"/>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520" w:type="dxa"/>
            <w:vAlign w:val="bottom"/>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D6F3E8"/>
          </w:tcPr>
          <w:p>
            <w:pPr>
              <w:spacing w:after="0"/>
              <w:rPr>
                <w:sz w:val="20"/>
                <w:szCs w:val="20"/>
                <w:color w:val="auto"/>
              </w:rPr>
            </w:pPr>
          </w:p>
        </w:tc>
        <w:tc>
          <w:tcPr>
            <w:tcW w:w="7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580" w:type="dxa"/>
            <w:vAlign w:val="bottom"/>
            <w:shd w:val="clear" w:color="auto" w:fill="D6F3E8"/>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Year Ended August 28, 2004:</w:t>
            </w: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200" w:type="dxa"/>
            <w:vAlign w:val="bottom"/>
            <w:gridSpan w:val="2"/>
            <w:shd w:val="clear" w:color="auto" w:fill="D6F3E8"/>
          </w:tcPr>
          <w:p>
            <w:pPr>
              <w:ind w:left="200"/>
              <w:spacing w:after="0"/>
              <w:rPr>
                <w:sz w:val="20"/>
                <w:szCs w:val="20"/>
                <w:color w:val="auto"/>
              </w:rPr>
            </w:pPr>
            <w:r>
              <w:rPr>
                <w:rFonts w:ascii="Times New Roman" w:cs="Times New Roman" w:eastAsia="Times New Roman" w:hAnsi="Times New Roman"/>
                <w:sz w:val="18"/>
                <w:szCs w:val="18"/>
                <w:color w:val="auto"/>
              </w:rPr>
              <w:t>Provision for warranty reserve</w:t>
            </w: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124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16,200</w:t>
            </w:r>
          </w:p>
        </w:tc>
        <w:tc>
          <w:tcPr>
            <w:tcW w:w="3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520" w:type="dxa"/>
            <w:vAlign w:val="bottom"/>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12,599</w:t>
            </w:r>
          </w:p>
        </w:tc>
        <w:tc>
          <w:tcPr>
            <w:tcW w:w="5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580" w:type="dxa"/>
            <w:vAlign w:val="bottom"/>
            <w:shd w:val="clear" w:color="auto" w:fill="D6F3E8"/>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Reserve for recall campaign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shd w:val="clear" w:color="auto" w:fill="D6F3E8"/>
          </w:tcPr>
          <w:p>
            <w:pPr>
              <w:ind w:left="200"/>
              <w:spacing w:after="0" w:line="201" w:lineRule="exact"/>
              <w:rPr>
                <w:sz w:val="20"/>
                <w:szCs w:val="20"/>
                <w:color w:val="auto"/>
              </w:rPr>
            </w:pPr>
            <w:r>
              <w:rPr>
                <w:rFonts w:ascii="Times New Roman" w:cs="Times New Roman" w:eastAsia="Times New Roman" w:hAnsi="Times New Roman"/>
                <w:sz w:val="18"/>
                <w:szCs w:val="18"/>
                <w:color w:val="auto"/>
              </w:rPr>
              <w:t>Allowance for doubtful</w:t>
            </w:r>
          </w:p>
        </w:tc>
        <w:tc>
          <w:tcPr>
            <w:tcW w:w="740" w:type="dxa"/>
            <w:vAlign w:val="bottom"/>
            <w:shd w:val="clear" w:color="auto" w:fill="D6F3E8"/>
          </w:tcPr>
          <w:p>
            <w:pPr>
              <w:spacing w:after="0"/>
              <w:rPr>
                <w:sz w:val="17"/>
                <w:szCs w:val="17"/>
                <w:color w:val="auto"/>
              </w:rPr>
            </w:pPr>
          </w:p>
        </w:tc>
        <w:tc>
          <w:tcPr>
            <w:tcW w:w="520" w:type="dxa"/>
            <w:vAlign w:val="bottom"/>
            <w:shd w:val="clear" w:color="auto" w:fill="D6F3E8"/>
          </w:tcPr>
          <w:p>
            <w:pPr>
              <w:spacing w:after="0"/>
              <w:rPr>
                <w:sz w:val="17"/>
                <w:szCs w:val="17"/>
                <w:color w:val="auto"/>
              </w:rPr>
            </w:pPr>
          </w:p>
        </w:tc>
        <w:tc>
          <w:tcPr>
            <w:tcW w:w="720" w:type="dxa"/>
            <w:vAlign w:val="bottom"/>
            <w:shd w:val="clear" w:color="auto" w:fill="D6F3E8"/>
          </w:tcPr>
          <w:p>
            <w:pPr>
              <w:spacing w:after="0"/>
              <w:rPr>
                <w:sz w:val="17"/>
                <w:szCs w:val="17"/>
                <w:color w:val="auto"/>
              </w:rPr>
            </w:pPr>
          </w:p>
        </w:tc>
        <w:tc>
          <w:tcPr>
            <w:tcW w:w="30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180" w:type="dxa"/>
            <w:vAlign w:val="bottom"/>
            <w:shd w:val="clear" w:color="auto" w:fill="D6F3E8"/>
          </w:tcPr>
          <w:p>
            <w:pPr>
              <w:spacing w:after="0"/>
              <w:rPr>
                <w:sz w:val="17"/>
                <w:szCs w:val="17"/>
                <w:color w:val="auto"/>
              </w:rPr>
            </w:pPr>
          </w:p>
        </w:tc>
        <w:tc>
          <w:tcPr>
            <w:tcW w:w="520" w:type="dxa"/>
            <w:vAlign w:val="bottom"/>
            <w:shd w:val="clear" w:color="auto" w:fill="D6F3E8"/>
          </w:tcPr>
          <w:p>
            <w:pPr>
              <w:spacing w:after="0"/>
              <w:rPr>
                <w:sz w:val="17"/>
                <w:szCs w:val="17"/>
                <w:color w:val="auto"/>
              </w:rPr>
            </w:pPr>
          </w:p>
        </w:tc>
        <w:tc>
          <w:tcPr>
            <w:tcW w:w="520" w:type="dxa"/>
            <w:vAlign w:val="bottom"/>
            <w:shd w:val="clear" w:color="auto" w:fill="D6F3E8"/>
          </w:tcPr>
          <w:p>
            <w:pPr>
              <w:spacing w:after="0"/>
              <w:rPr>
                <w:sz w:val="17"/>
                <w:szCs w:val="17"/>
                <w:color w:val="auto"/>
              </w:rPr>
            </w:pPr>
          </w:p>
        </w:tc>
        <w:tc>
          <w:tcPr>
            <w:tcW w:w="700" w:type="dxa"/>
            <w:vAlign w:val="bottom"/>
            <w:shd w:val="clear" w:color="auto" w:fill="D6F3E8"/>
          </w:tcPr>
          <w:p>
            <w:pPr>
              <w:spacing w:after="0"/>
              <w:rPr>
                <w:sz w:val="17"/>
                <w:szCs w:val="17"/>
                <w:color w:val="auto"/>
              </w:rPr>
            </w:pPr>
          </w:p>
        </w:tc>
        <w:tc>
          <w:tcPr>
            <w:tcW w:w="5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580" w:type="dxa"/>
            <w:vAlign w:val="bottom"/>
            <w:shd w:val="clear" w:color="auto" w:fill="D6F3E8"/>
          </w:tcPr>
          <w:p>
            <w:pPr>
              <w:spacing w:after="0"/>
              <w:rPr>
                <w:sz w:val="17"/>
                <w:szCs w:val="17"/>
                <w:color w:val="auto"/>
              </w:rPr>
            </w:pPr>
          </w:p>
        </w:tc>
        <w:tc>
          <w:tcPr>
            <w:tcW w:w="500" w:type="dxa"/>
            <w:vAlign w:val="bottom"/>
            <w:shd w:val="clear" w:color="auto" w:fill="D6F3E8"/>
          </w:tcPr>
          <w:p>
            <w:pPr>
              <w:spacing w:after="0"/>
              <w:rPr>
                <w:sz w:val="17"/>
                <w:szCs w:val="17"/>
                <w:color w:val="auto"/>
              </w:rPr>
            </w:pPr>
          </w:p>
        </w:tc>
        <w:tc>
          <w:tcPr>
            <w:tcW w:w="720" w:type="dxa"/>
            <w:vAlign w:val="bottom"/>
            <w:shd w:val="clear" w:color="auto" w:fill="D6F3E8"/>
          </w:tcPr>
          <w:p>
            <w:pPr>
              <w:spacing w:after="0"/>
              <w:rPr>
                <w:sz w:val="17"/>
                <w:szCs w:val="17"/>
                <w:color w:val="auto"/>
              </w:rPr>
            </w:pPr>
          </w:p>
        </w:tc>
        <w:tc>
          <w:tcPr>
            <w:tcW w:w="2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gridSpan w:val="2"/>
            <w:shd w:val="clear" w:color="auto" w:fill="D6F3E8"/>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4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520" w:type="dxa"/>
            <w:vAlign w:val="bottom"/>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52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580" w:type="dxa"/>
            <w:vAlign w:val="bottom"/>
            <w:shd w:val="clear" w:color="auto" w:fill="D6F3E8"/>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ind w:left="200"/>
              <w:spacing w:after="0" w:line="201" w:lineRule="exact"/>
              <w:rPr>
                <w:sz w:val="20"/>
                <w:szCs w:val="20"/>
                <w:color w:val="auto"/>
              </w:rPr>
            </w:pPr>
            <w:r>
              <w:rPr>
                <w:rFonts w:ascii="Times New Roman" w:cs="Times New Roman" w:eastAsia="Times New Roman" w:hAnsi="Times New Roman"/>
                <w:sz w:val="18"/>
                <w:szCs w:val="18"/>
                <w:color w:val="auto"/>
              </w:rPr>
              <w:t>Allowance for doubtful</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notes receivable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2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2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Year Ended August 30, 2003:</w:t>
            </w:r>
          </w:p>
        </w:tc>
        <w:tc>
          <w:tcPr>
            <w:tcW w:w="740" w:type="dxa"/>
            <w:vAlign w:val="bottom"/>
            <w:shd w:val="clear" w:color="auto" w:fill="D6F3E8"/>
          </w:tcPr>
          <w:p>
            <w:pPr>
              <w:spacing w:after="0"/>
              <w:rPr>
                <w:sz w:val="18"/>
                <w:szCs w:val="18"/>
                <w:color w:val="auto"/>
              </w:rPr>
            </w:pPr>
          </w:p>
        </w:tc>
        <w:tc>
          <w:tcPr>
            <w:tcW w:w="52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520" w:type="dxa"/>
            <w:vAlign w:val="bottom"/>
            <w:shd w:val="clear" w:color="auto" w:fill="D6F3E8"/>
          </w:tcPr>
          <w:p>
            <w:pPr>
              <w:spacing w:after="0"/>
              <w:rPr>
                <w:sz w:val="18"/>
                <w:szCs w:val="18"/>
                <w:color w:val="auto"/>
              </w:rPr>
            </w:pPr>
          </w:p>
        </w:tc>
        <w:tc>
          <w:tcPr>
            <w:tcW w:w="520" w:type="dxa"/>
            <w:vAlign w:val="bottom"/>
            <w:shd w:val="clear" w:color="auto" w:fill="D6F3E8"/>
          </w:tcPr>
          <w:p>
            <w:pPr>
              <w:spacing w:after="0"/>
              <w:rPr>
                <w:sz w:val="18"/>
                <w:szCs w:val="18"/>
                <w:color w:val="auto"/>
              </w:rPr>
            </w:pPr>
          </w:p>
        </w:tc>
        <w:tc>
          <w:tcPr>
            <w:tcW w:w="700" w:type="dxa"/>
            <w:vAlign w:val="bottom"/>
            <w:shd w:val="clear" w:color="auto" w:fill="D6F3E8"/>
          </w:tcPr>
          <w:p>
            <w:pPr>
              <w:spacing w:after="0"/>
              <w:rPr>
                <w:sz w:val="18"/>
                <w:szCs w:val="18"/>
                <w:color w:val="auto"/>
              </w:rPr>
            </w:pPr>
          </w:p>
        </w:tc>
        <w:tc>
          <w:tcPr>
            <w:tcW w:w="5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50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Provision for warranty reserve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13,085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11,481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shd w:val="clear" w:color="auto" w:fill="D6F3E8"/>
          </w:tcPr>
          <w:p>
            <w:pPr>
              <w:ind w:left="200"/>
              <w:spacing w:after="0" w:line="201" w:lineRule="exact"/>
              <w:rPr>
                <w:sz w:val="20"/>
                <w:szCs w:val="20"/>
                <w:color w:val="auto"/>
              </w:rPr>
            </w:pPr>
            <w:r>
              <w:rPr>
                <w:rFonts w:ascii="Times New Roman" w:cs="Times New Roman" w:eastAsia="Times New Roman" w:hAnsi="Times New Roman"/>
                <w:sz w:val="18"/>
                <w:szCs w:val="18"/>
                <w:color w:val="auto"/>
              </w:rPr>
              <w:t>Allowance for doubtful</w:t>
            </w:r>
          </w:p>
        </w:tc>
        <w:tc>
          <w:tcPr>
            <w:tcW w:w="740" w:type="dxa"/>
            <w:vAlign w:val="bottom"/>
            <w:shd w:val="clear" w:color="auto" w:fill="D6F3E8"/>
          </w:tcPr>
          <w:p>
            <w:pPr>
              <w:spacing w:after="0"/>
              <w:rPr>
                <w:sz w:val="17"/>
                <w:szCs w:val="17"/>
                <w:color w:val="auto"/>
              </w:rPr>
            </w:pPr>
          </w:p>
        </w:tc>
        <w:tc>
          <w:tcPr>
            <w:tcW w:w="520" w:type="dxa"/>
            <w:vAlign w:val="bottom"/>
            <w:shd w:val="clear" w:color="auto" w:fill="D6F3E8"/>
          </w:tcPr>
          <w:p>
            <w:pPr>
              <w:spacing w:after="0"/>
              <w:rPr>
                <w:sz w:val="17"/>
                <w:szCs w:val="17"/>
                <w:color w:val="auto"/>
              </w:rPr>
            </w:pPr>
          </w:p>
        </w:tc>
        <w:tc>
          <w:tcPr>
            <w:tcW w:w="720" w:type="dxa"/>
            <w:vAlign w:val="bottom"/>
            <w:shd w:val="clear" w:color="auto" w:fill="D6F3E8"/>
          </w:tcPr>
          <w:p>
            <w:pPr>
              <w:spacing w:after="0"/>
              <w:rPr>
                <w:sz w:val="17"/>
                <w:szCs w:val="17"/>
                <w:color w:val="auto"/>
              </w:rPr>
            </w:pPr>
          </w:p>
        </w:tc>
        <w:tc>
          <w:tcPr>
            <w:tcW w:w="30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180" w:type="dxa"/>
            <w:vAlign w:val="bottom"/>
            <w:shd w:val="clear" w:color="auto" w:fill="D6F3E8"/>
          </w:tcPr>
          <w:p>
            <w:pPr>
              <w:spacing w:after="0"/>
              <w:rPr>
                <w:sz w:val="17"/>
                <w:szCs w:val="17"/>
                <w:color w:val="auto"/>
              </w:rPr>
            </w:pPr>
          </w:p>
        </w:tc>
        <w:tc>
          <w:tcPr>
            <w:tcW w:w="520" w:type="dxa"/>
            <w:vAlign w:val="bottom"/>
            <w:shd w:val="clear" w:color="auto" w:fill="D6F3E8"/>
          </w:tcPr>
          <w:p>
            <w:pPr>
              <w:spacing w:after="0"/>
              <w:rPr>
                <w:sz w:val="17"/>
                <w:szCs w:val="17"/>
                <w:color w:val="auto"/>
              </w:rPr>
            </w:pPr>
          </w:p>
        </w:tc>
        <w:tc>
          <w:tcPr>
            <w:tcW w:w="520" w:type="dxa"/>
            <w:vAlign w:val="bottom"/>
            <w:shd w:val="clear" w:color="auto" w:fill="D6F3E8"/>
          </w:tcPr>
          <w:p>
            <w:pPr>
              <w:spacing w:after="0"/>
              <w:rPr>
                <w:sz w:val="17"/>
                <w:szCs w:val="17"/>
                <w:color w:val="auto"/>
              </w:rPr>
            </w:pPr>
          </w:p>
        </w:tc>
        <w:tc>
          <w:tcPr>
            <w:tcW w:w="700" w:type="dxa"/>
            <w:vAlign w:val="bottom"/>
            <w:shd w:val="clear" w:color="auto" w:fill="D6F3E8"/>
          </w:tcPr>
          <w:p>
            <w:pPr>
              <w:spacing w:after="0"/>
              <w:rPr>
                <w:sz w:val="17"/>
                <w:szCs w:val="17"/>
                <w:color w:val="auto"/>
              </w:rPr>
            </w:pPr>
          </w:p>
        </w:tc>
        <w:tc>
          <w:tcPr>
            <w:tcW w:w="5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580" w:type="dxa"/>
            <w:vAlign w:val="bottom"/>
            <w:shd w:val="clear" w:color="auto" w:fill="D6F3E8"/>
          </w:tcPr>
          <w:p>
            <w:pPr>
              <w:spacing w:after="0"/>
              <w:rPr>
                <w:sz w:val="17"/>
                <w:szCs w:val="17"/>
                <w:color w:val="auto"/>
              </w:rPr>
            </w:pPr>
          </w:p>
        </w:tc>
        <w:tc>
          <w:tcPr>
            <w:tcW w:w="500" w:type="dxa"/>
            <w:vAlign w:val="bottom"/>
            <w:shd w:val="clear" w:color="auto" w:fill="D6F3E8"/>
          </w:tcPr>
          <w:p>
            <w:pPr>
              <w:spacing w:after="0"/>
              <w:rPr>
                <w:sz w:val="17"/>
                <w:szCs w:val="17"/>
                <w:color w:val="auto"/>
              </w:rPr>
            </w:pPr>
          </w:p>
        </w:tc>
        <w:tc>
          <w:tcPr>
            <w:tcW w:w="720" w:type="dxa"/>
            <w:vAlign w:val="bottom"/>
            <w:shd w:val="clear" w:color="auto" w:fill="D6F3E8"/>
          </w:tcPr>
          <w:p>
            <w:pPr>
              <w:spacing w:after="0"/>
              <w:rPr>
                <w:sz w:val="17"/>
                <w:szCs w:val="17"/>
                <w:color w:val="auto"/>
              </w:rPr>
            </w:pPr>
          </w:p>
        </w:tc>
        <w:tc>
          <w:tcPr>
            <w:tcW w:w="2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gridSpan w:val="2"/>
            <w:shd w:val="clear" w:color="auto" w:fill="D6F3E8"/>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4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520" w:type="dxa"/>
            <w:vAlign w:val="bottom"/>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52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580" w:type="dxa"/>
            <w:vAlign w:val="bottom"/>
            <w:shd w:val="clear" w:color="auto" w:fill="D6F3E8"/>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Reserve for recall campaign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shd w:val="clear" w:color="auto" w:fill="D6F3E8"/>
          </w:tcPr>
          <w:p>
            <w:pPr>
              <w:ind w:left="200"/>
              <w:spacing w:after="0" w:line="201" w:lineRule="exact"/>
              <w:rPr>
                <w:sz w:val="20"/>
                <w:szCs w:val="20"/>
                <w:color w:val="auto"/>
              </w:rPr>
            </w:pPr>
            <w:r>
              <w:rPr>
                <w:rFonts w:ascii="Times New Roman" w:cs="Times New Roman" w:eastAsia="Times New Roman" w:hAnsi="Times New Roman"/>
                <w:sz w:val="18"/>
                <w:szCs w:val="18"/>
                <w:color w:val="auto"/>
              </w:rPr>
              <w:t>Allowance for doubtful</w:t>
            </w:r>
          </w:p>
        </w:tc>
        <w:tc>
          <w:tcPr>
            <w:tcW w:w="740" w:type="dxa"/>
            <w:vAlign w:val="bottom"/>
            <w:shd w:val="clear" w:color="auto" w:fill="D6F3E8"/>
          </w:tcPr>
          <w:p>
            <w:pPr>
              <w:spacing w:after="0"/>
              <w:rPr>
                <w:sz w:val="17"/>
                <w:szCs w:val="17"/>
                <w:color w:val="auto"/>
              </w:rPr>
            </w:pPr>
          </w:p>
        </w:tc>
        <w:tc>
          <w:tcPr>
            <w:tcW w:w="520" w:type="dxa"/>
            <w:vAlign w:val="bottom"/>
            <w:shd w:val="clear" w:color="auto" w:fill="D6F3E8"/>
          </w:tcPr>
          <w:p>
            <w:pPr>
              <w:spacing w:after="0"/>
              <w:rPr>
                <w:sz w:val="17"/>
                <w:szCs w:val="17"/>
                <w:color w:val="auto"/>
              </w:rPr>
            </w:pPr>
          </w:p>
        </w:tc>
        <w:tc>
          <w:tcPr>
            <w:tcW w:w="720" w:type="dxa"/>
            <w:vAlign w:val="bottom"/>
            <w:shd w:val="clear" w:color="auto" w:fill="D6F3E8"/>
          </w:tcPr>
          <w:p>
            <w:pPr>
              <w:spacing w:after="0"/>
              <w:rPr>
                <w:sz w:val="17"/>
                <w:szCs w:val="17"/>
                <w:color w:val="auto"/>
              </w:rPr>
            </w:pPr>
          </w:p>
        </w:tc>
        <w:tc>
          <w:tcPr>
            <w:tcW w:w="30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180" w:type="dxa"/>
            <w:vAlign w:val="bottom"/>
            <w:shd w:val="clear" w:color="auto" w:fill="D6F3E8"/>
          </w:tcPr>
          <w:p>
            <w:pPr>
              <w:spacing w:after="0"/>
              <w:rPr>
                <w:sz w:val="17"/>
                <w:szCs w:val="17"/>
                <w:color w:val="auto"/>
              </w:rPr>
            </w:pPr>
          </w:p>
        </w:tc>
        <w:tc>
          <w:tcPr>
            <w:tcW w:w="520" w:type="dxa"/>
            <w:vAlign w:val="bottom"/>
            <w:shd w:val="clear" w:color="auto" w:fill="D6F3E8"/>
          </w:tcPr>
          <w:p>
            <w:pPr>
              <w:spacing w:after="0"/>
              <w:rPr>
                <w:sz w:val="17"/>
                <w:szCs w:val="17"/>
                <w:color w:val="auto"/>
              </w:rPr>
            </w:pPr>
          </w:p>
        </w:tc>
        <w:tc>
          <w:tcPr>
            <w:tcW w:w="520" w:type="dxa"/>
            <w:vAlign w:val="bottom"/>
            <w:shd w:val="clear" w:color="auto" w:fill="D6F3E8"/>
          </w:tcPr>
          <w:p>
            <w:pPr>
              <w:spacing w:after="0"/>
              <w:rPr>
                <w:sz w:val="17"/>
                <w:szCs w:val="17"/>
                <w:color w:val="auto"/>
              </w:rPr>
            </w:pPr>
          </w:p>
        </w:tc>
        <w:tc>
          <w:tcPr>
            <w:tcW w:w="700" w:type="dxa"/>
            <w:vAlign w:val="bottom"/>
            <w:shd w:val="clear" w:color="auto" w:fill="D6F3E8"/>
          </w:tcPr>
          <w:p>
            <w:pPr>
              <w:spacing w:after="0"/>
              <w:rPr>
                <w:sz w:val="17"/>
                <w:szCs w:val="17"/>
                <w:color w:val="auto"/>
              </w:rPr>
            </w:pPr>
          </w:p>
        </w:tc>
        <w:tc>
          <w:tcPr>
            <w:tcW w:w="5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580" w:type="dxa"/>
            <w:vAlign w:val="bottom"/>
            <w:shd w:val="clear" w:color="auto" w:fill="D6F3E8"/>
          </w:tcPr>
          <w:p>
            <w:pPr>
              <w:spacing w:after="0"/>
              <w:rPr>
                <w:sz w:val="17"/>
                <w:szCs w:val="17"/>
                <w:color w:val="auto"/>
              </w:rPr>
            </w:pPr>
          </w:p>
        </w:tc>
        <w:tc>
          <w:tcPr>
            <w:tcW w:w="500" w:type="dxa"/>
            <w:vAlign w:val="bottom"/>
            <w:shd w:val="clear" w:color="auto" w:fill="D6F3E8"/>
          </w:tcPr>
          <w:p>
            <w:pPr>
              <w:spacing w:after="0"/>
              <w:rPr>
                <w:sz w:val="17"/>
                <w:szCs w:val="17"/>
                <w:color w:val="auto"/>
              </w:rPr>
            </w:pPr>
          </w:p>
        </w:tc>
        <w:tc>
          <w:tcPr>
            <w:tcW w:w="720" w:type="dxa"/>
            <w:vAlign w:val="bottom"/>
            <w:shd w:val="clear" w:color="auto" w:fill="D6F3E8"/>
          </w:tcPr>
          <w:p>
            <w:pPr>
              <w:spacing w:after="0"/>
              <w:rPr>
                <w:sz w:val="17"/>
                <w:szCs w:val="17"/>
                <w:color w:val="auto"/>
              </w:rPr>
            </w:pPr>
          </w:p>
        </w:tc>
        <w:tc>
          <w:tcPr>
            <w:tcW w:w="20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gridSpan w:val="2"/>
            <w:shd w:val="clear" w:color="auto" w:fill="D6F3E8"/>
          </w:tcPr>
          <w:p>
            <w:pPr>
              <w:ind w:left="420"/>
              <w:spacing w:after="0"/>
              <w:rPr>
                <w:sz w:val="20"/>
                <w:szCs w:val="20"/>
                <w:color w:val="auto"/>
              </w:rPr>
            </w:pPr>
            <w:r>
              <w:rPr>
                <w:rFonts w:ascii="Times New Roman" w:cs="Times New Roman" w:eastAsia="Times New Roman" w:hAnsi="Times New Roman"/>
                <w:sz w:val="18"/>
                <w:szCs w:val="18"/>
                <w:color w:val="auto"/>
              </w:rPr>
              <w:t>dealer receivables</w:t>
            </w: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540" w:type="dxa"/>
            <w:vAlign w:val="bottom"/>
            <w:gridSpan w:val="3"/>
            <w:shd w:val="clear" w:color="auto" w:fill="D6F3E8"/>
          </w:tcPr>
          <w:p>
            <w:pPr>
              <w:jc w:val="right"/>
              <w:ind w:right="24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520" w:type="dxa"/>
            <w:vAlign w:val="bottom"/>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D6F3E8"/>
          </w:tcPr>
          <w:p>
            <w:pPr>
              <w:spacing w:after="0"/>
              <w:rPr>
                <w:sz w:val="20"/>
                <w:szCs w:val="20"/>
                <w:color w:val="auto"/>
              </w:rPr>
            </w:pPr>
          </w:p>
        </w:tc>
        <w:tc>
          <w:tcPr>
            <w:tcW w:w="7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580" w:type="dxa"/>
            <w:vAlign w:val="bottom"/>
            <w:shd w:val="clear" w:color="auto" w:fill="D6F3E8"/>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D6F3E8"/>
          </w:tcPr>
          <w:p>
            <w:pPr>
              <w:spacing w:after="0"/>
              <w:rPr>
                <w:sz w:val="20"/>
                <w:szCs w:val="20"/>
                <w:color w:val="auto"/>
              </w:rPr>
            </w:pPr>
          </w:p>
        </w:tc>
        <w:tc>
          <w:tcPr>
            <w:tcW w:w="920" w:type="dxa"/>
            <w:vAlign w:val="bottom"/>
            <w:gridSpan w:val="2"/>
            <w:shd w:val="clear" w:color="auto" w:fill="D6F3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gridSpan w:val="2"/>
          </w:tcPr>
          <w:p>
            <w:pPr>
              <w:ind w:left="200"/>
              <w:spacing w:after="0" w:line="201" w:lineRule="exact"/>
              <w:rPr>
                <w:sz w:val="20"/>
                <w:szCs w:val="20"/>
                <w:color w:val="auto"/>
              </w:rPr>
            </w:pPr>
            <w:r>
              <w:rPr>
                <w:rFonts w:ascii="Times New Roman" w:cs="Times New Roman" w:eastAsia="Times New Roman" w:hAnsi="Times New Roman"/>
                <w:sz w:val="18"/>
                <w:szCs w:val="18"/>
                <w:color w:val="auto"/>
              </w:rPr>
              <w:t>Allowance for doubtful</w:t>
            </w: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notes receivable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2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08" w:lineRule="exact"/>
        <w:rPr>
          <w:sz w:val="20"/>
          <w:szCs w:val="20"/>
          <w:color w:val="auto"/>
        </w:rPr>
      </w:pPr>
    </w:p>
    <w:p>
      <w:pPr>
        <w:ind w:left="620" w:right="260" w:hanging="619"/>
        <w:spacing w:after="0" w:line="275" w:lineRule="auto"/>
        <w:tabs>
          <w:tab w:leader="none" w:pos="600" w:val="left"/>
        </w:tabs>
        <w:rPr>
          <w:sz w:val="20"/>
          <w:szCs w:val="20"/>
          <w:color w:val="auto"/>
        </w:rPr>
      </w:pPr>
      <w:r>
        <w:rPr>
          <w:rFonts w:ascii="Times New Roman" w:cs="Times New Roman" w:eastAsia="Times New Roman" w:hAnsi="Times New Roman"/>
          <w:sz w:val="18"/>
          <w:szCs w:val="18"/>
          <w:color w:val="auto"/>
        </w:rPr>
        <w:t>3a.</w:t>
      </w:r>
      <w:r>
        <w:rPr>
          <w:sz w:val="20"/>
          <w:szCs w:val="20"/>
          <w:color w:val="auto"/>
        </w:rPr>
        <w:tab/>
      </w:r>
      <w:r>
        <w:rPr>
          <w:rFonts w:ascii="Times New Roman" w:cs="Times New Roman" w:eastAsia="Times New Roman" w:hAnsi="Times New Roman"/>
          <w:sz w:val="18"/>
          <w:szCs w:val="18"/>
          <w:color w:val="auto"/>
        </w:rPr>
        <w:t>Articles of Incorporation previously filed with the Registrant’s Quarterly Report on Form 10-Q for the quarter ended May 27, 2000 (Commission File Number 1-6403), and incorporated by reference herein.</w:t>
      </w:r>
    </w:p>
    <w:p>
      <w:pPr>
        <w:spacing w:after="0" w:line="201" w:lineRule="exact"/>
        <w:rPr>
          <w:sz w:val="20"/>
          <w:szCs w:val="20"/>
          <w:color w:val="auto"/>
        </w:rPr>
      </w:pPr>
    </w:p>
    <w:p>
      <w:pPr>
        <w:ind w:left="620" w:right="480" w:hanging="619"/>
        <w:spacing w:after="0" w:line="275" w:lineRule="auto"/>
        <w:tabs>
          <w:tab w:leader="none" w:pos="600" w:val="left"/>
        </w:tabs>
        <w:rPr>
          <w:sz w:val="20"/>
          <w:szCs w:val="20"/>
          <w:color w:val="auto"/>
        </w:rPr>
      </w:pPr>
      <w:r>
        <w:rPr>
          <w:rFonts w:ascii="Times New Roman" w:cs="Times New Roman" w:eastAsia="Times New Roman" w:hAnsi="Times New Roman"/>
          <w:sz w:val="18"/>
          <w:szCs w:val="18"/>
          <w:color w:val="auto"/>
        </w:rPr>
        <w:t>3b.</w:t>
      </w:r>
      <w:r>
        <w:rPr>
          <w:sz w:val="20"/>
          <w:szCs w:val="20"/>
          <w:color w:val="auto"/>
        </w:rPr>
        <w:tab/>
      </w:r>
      <w:r>
        <w:rPr>
          <w:rFonts w:ascii="Times New Roman" w:cs="Times New Roman" w:eastAsia="Times New Roman" w:hAnsi="Times New Roman"/>
          <w:sz w:val="18"/>
          <w:szCs w:val="18"/>
          <w:color w:val="auto"/>
        </w:rPr>
        <w:t>Amended By-Laws of the Registrant previously filed with the Registrant’s Annual Report on Form 10-K for the fiscal year ended August 28, 2004 (Commission File Number 1-6403), and incorporated by reference herein.</w:t>
      </w:r>
    </w:p>
    <w:p>
      <w:pPr>
        <w:spacing w:after="0" w:line="201" w:lineRule="exact"/>
        <w:rPr>
          <w:sz w:val="20"/>
          <w:szCs w:val="20"/>
          <w:color w:val="auto"/>
        </w:rPr>
      </w:pPr>
    </w:p>
    <w:p>
      <w:pPr>
        <w:jc w:val="both"/>
        <w:ind w:left="620" w:right="240" w:hanging="619"/>
        <w:spacing w:after="0" w:line="262" w:lineRule="auto"/>
        <w:tabs>
          <w:tab w:leader="none" w:pos="600" w:val="left"/>
        </w:tabs>
        <w:rPr>
          <w:sz w:val="20"/>
          <w:szCs w:val="20"/>
          <w:color w:val="auto"/>
        </w:rPr>
      </w:pPr>
      <w:r>
        <w:rPr>
          <w:rFonts w:ascii="Times New Roman" w:cs="Times New Roman" w:eastAsia="Times New Roman" w:hAnsi="Times New Roman"/>
          <w:sz w:val="18"/>
          <w:szCs w:val="18"/>
          <w:color w:val="auto"/>
        </w:rPr>
        <w:t>4a.</w:t>
      </w:r>
      <w:r>
        <w:rPr>
          <w:sz w:val="20"/>
          <w:szCs w:val="20"/>
          <w:color w:val="auto"/>
        </w:rPr>
        <w:tab/>
      </w:r>
      <w:r>
        <w:rPr>
          <w:rFonts w:ascii="Times New Roman" w:cs="Times New Roman" w:eastAsia="Times New Roman" w:hAnsi="Times New Roman"/>
          <w:sz w:val="18"/>
          <w:szCs w:val="18"/>
          <w:color w:val="auto"/>
        </w:rPr>
        <w:t>Continuing Guaranty, Commercial Security Agreement, Deposit Account Control Agreement and Collateral Receipts all fiscal dated October 1, 2003 previously filed with the Registrant’s Annual Report on Form 10-K for the fiscal year ended August 30, 2003 (Commission File Number 1-6403), and incorporated by reference herein.</w:t>
      </w:r>
    </w:p>
    <w:p>
      <w:pPr>
        <w:spacing w:after="0" w:line="213" w:lineRule="exact"/>
        <w:rPr>
          <w:sz w:val="20"/>
          <w:szCs w:val="20"/>
          <w:color w:val="auto"/>
        </w:rPr>
      </w:pPr>
    </w:p>
    <w:p>
      <w:pPr>
        <w:ind w:left="620" w:right="180" w:hanging="619"/>
        <w:spacing w:after="0" w:line="262" w:lineRule="auto"/>
        <w:tabs>
          <w:tab w:leader="none" w:pos="600" w:val="left"/>
        </w:tabs>
        <w:rPr>
          <w:sz w:val="20"/>
          <w:szCs w:val="20"/>
          <w:color w:val="auto"/>
        </w:rPr>
      </w:pPr>
      <w:r>
        <w:rPr>
          <w:rFonts w:ascii="Times New Roman" w:cs="Times New Roman" w:eastAsia="Times New Roman" w:hAnsi="Times New Roman"/>
          <w:sz w:val="18"/>
          <w:szCs w:val="18"/>
          <w:color w:val="auto"/>
        </w:rPr>
        <w:t>4b.</w:t>
      </w:r>
      <w:r>
        <w:rPr>
          <w:sz w:val="20"/>
          <w:szCs w:val="20"/>
          <w:color w:val="auto"/>
        </w:rPr>
        <w:tab/>
      </w:r>
      <w:r>
        <w:rPr>
          <w:rFonts w:ascii="Times New Roman" w:cs="Times New Roman" w:eastAsia="Times New Roman" w:hAnsi="Times New Roman"/>
          <w:sz w:val="18"/>
          <w:szCs w:val="18"/>
          <w:color w:val="auto"/>
        </w:rPr>
        <w:t>Limited Guaranty dated February 27, 2004 whereas Winnebago Industries, Inc. will act as the Guarantor to a certain lease agreement previously filed with the Registrant’s Quarterly Report on Form 10-Q for the quarter ended February 28, 2004 (Commission File Number 1-6403), and incorporated by reference herein.</w:t>
      </w:r>
    </w:p>
    <w:p>
      <w:pPr>
        <w:spacing w:after="0" w:line="213" w:lineRule="exact"/>
        <w:rPr>
          <w:sz w:val="20"/>
          <w:szCs w:val="20"/>
          <w:color w:val="auto"/>
        </w:rPr>
      </w:pPr>
    </w:p>
    <w:p>
      <w:pPr>
        <w:ind w:left="620" w:right="320" w:hanging="619"/>
        <w:spacing w:after="0" w:line="275" w:lineRule="auto"/>
        <w:tabs>
          <w:tab w:leader="none" w:pos="600" w:val="left"/>
        </w:tabs>
        <w:rPr>
          <w:sz w:val="20"/>
          <w:szCs w:val="20"/>
          <w:color w:val="auto"/>
        </w:rPr>
      </w:pPr>
      <w:r>
        <w:rPr>
          <w:rFonts w:ascii="Times New Roman" w:cs="Times New Roman" w:eastAsia="Times New Roman" w:hAnsi="Times New Roman"/>
          <w:sz w:val="18"/>
          <w:szCs w:val="18"/>
          <w:color w:val="auto"/>
        </w:rPr>
        <w:t>10a.</w:t>
      </w:r>
      <w:r>
        <w:rPr>
          <w:sz w:val="20"/>
          <w:szCs w:val="20"/>
          <w:color w:val="auto"/>
        </w:rPr>
        <w:tab/>
      </w:r>
      <w:r>
        <w:rPr>
          <w:rFonts w:ascii="Times New Roman" w:cs="Times New Roman" w:eastAsia="Times New Roman" w:hAnsi="Times New Roman"/>
          <w:sz w:val="18"/>
          <w:szCs w:val="18"/>
          <w:color w:val="auto"/>
        </w:rPr>
        <w:t>Winnebago Industries, Inc. Stock Option Plan for Outside Directors previously filed with the Registrant’s Annual Report on Form 10-K for the fiscal year ended August 29, 1992 (Commission File Number 1-6403), and incorporated by reference herein.*</w:t>
      </w:r>
    </w:p>
    <w:p>
      <w:pPr>
        <w:spacing w:after="0" w:line="201" w:lineRule="exact"/>
        <w:rPr>
          <w:sz w:val="20"/>
          <w:szCs w:val="20"/>
          <w:color w:val="auto"/>
        </w:rPr>
      </w:pPr>
    </w:p>
    <w:p>
      <w:pPr>
        <w:ind w:left="620" w:hanging="619"/>
        <w:spacing w:after="0" w:line="275" w:lineRule="auto"/>
        <w:tabs>
          <w:tab w:leader="none" w:pos="600" w:val="left"/>
        </w:tabs>
        <w:rPr>
          <w:sz w:val="20"/>
          <w:szCs w:val="20"/>
          <w:color w:val="auto"/>
        </w:rPr>
      </w:pPr>
      <w:r>
        <w:rPr>
          <w:rFonts w:ascii="Times New Roman" w:cs="Times New Roman" w:eastAsia="Times New Roman" w:hAnsi="Times New Roman"/>
          <w:sz w:val="18"/>
          <w:szCs w:val="18"/>
          <w:color w:val="auto"/>
        </w:rPr>
        <w:t>10b.</w:t>
      </w:r>
      <w:r>
        <w:rPr>
          <w:sz w:val="20"/>
          <w:szCs w:val="20"/>
          <w:color w:val="auto"/>
        </w:rPr>
        <w:tab/>
      </w:r>
      <w:r>
        <w:rPr>
          <w:rFonts w:ascii="Times New Roman" w:cs="Times New Roman" w:eastAsia="Times New Roman" w:hAnsi="Times New Roman"/>
          <w:sz w:val="18"/>
          <w:szCs w:val="18"/>
          <w:color w:val="auto"/>
        </w:rPr>
        <w:t>Amendment to Winnebago Industries, Inc. Deferred Compensation Plan previously filed with the Registrant’s Annual Report on Form 10-K for the fiscal year ended August 26, 1995 (Commission File Number 1-6403), and incorporated by reference herein.*</w:t>
      </w:r>
    </w:p>
    <w:p>
      <w:pPr>
        <w:sectPr>
          <w:pgSz w:w="11900" w:h="16838" w:orient="portrait"/>
          <w:cols w:equalWidth="0" w:num="1">
            <w:col w:w="11400"/>
          </w:cols>
          <w:pgMar w:left="240" w:top="123" w:right="259" w:bottom="0" w:gutter="0" w:footer="0" w:header="0"/>
        </w:sectPr>
      </w:pPr>
    </w:p>
    <w:bookmarkStart w:id="17" w:name="page18"/>
    <w:bookmarkEnd w:id="17"/>
    <w:p>
      <w:pPr>
        <w:spacing w:after="0" w:line="11" w:lineRule="exact"/>
        <w:rPr>
          <w:sz w:val="20"/>
          <w:szCs w:val="20"/>
          <w:color w:val="auto"/>
        </w:rPr>
      </w:pPr>
    </w:p>
    <w:p>
      <w:pPr>
        <w:ind w:left="620" w:hanging="619"/>
        <w:spacing w:after="0" w:line="275" w:lineRule="auto"/>
        <w:tabs>
          <w:tab w:leader="none" w:pos="600" w:val="left"/>
        </w:tabs>
        <w:rPr>
          <w:sz w:val="20"/>
          <w:szCs w:val="20"/>
          <w:color w:val="auto"/>
        </w:rPr>
      </w:pPr>
      <w:r>
        <w:rPr>
          <w:rFonts w:ascii="Times New Roman" w:cs="Times New Roman" w:eastAsia="Times New Roman" w:hAnsi="Times New Roman"/>
          <w:sz w:val="18"/>
          <w:szCs w:val="18"/>
          <w:color w:val="auto"/>
        </w:rPr>
        <w:t>10c.</w:t>
      </w:r>
      <w:r>
        <w:rPr>
          <w:sz w:val="20"/>
          <w:szCs w:val="20"/>
          <w:color w:val="auto"/>
        </w:rPr>
        <w:tab/>
      </w:r>
      <w:r>
        <w:rPr>
          <w:rFonts w:ascii="Times New Roman" w:cs="Times New Roman" w:eastAsia="Times New Roman" w:hAnsi="Times New Roman"/>
          <w:sz w:val="18"/>
          <w:szCs w:val="18"/>
          <w:color w:val="auto"/>
        </w:rPr>
        <w:t>Amendment to Winnebago Industries, Inc. Profit Sharing and Deferred Savings and Investment Plan previously filed with the Registrant’s Annual Report on Form 10-K for the fiscal year ended August 26, 1995 (Commission File Number 1-6403), and incorporated by reference herein.*</w:t>
      </w:r>
    </w:p>
    <w:p>
      <w:pPr>
        <w:spacing w:after="0" w:line="201" w:lineRule="exact"/>
        <w:rPr>
          <w:sz w:val="20"/>
          <w:szCs w:val="20"/>
          <w:color w:val="auto"/>
        </w:rPr>
      </w:pPr>
    </w:p>
    <w:p>
      <w:pPr>
        <w:ind w:left="620" w:right="380" w:hanging="619"/>
        <w:spacing w:after="0" w:line="275" w:lineRule="auto"/>
        <w:tabs>
          <w:tab w:leader="none" w:pos="600" w:val="left"/>
        </w:tabs>
        <w:rPr>
          <w:sz w:val="20"/>
          <w:szCs w:val="20"/>
          <w:color w:val="auto"/>
        </w:rPr>
      </w:pPr>
      <w:r>
        <w:rPr>
          <w:rFonts w:ascii="Times New Roman" w:cs="Times New Roman" w:eastAsia="Times New Roman" w:hAnsi="Times New Roman"/>
          <w:sz w:val="18"/>
          <w:szCs w:val="18"/>
          <w:color w:val="auto"/>
        </w:rPr>
        <w:t>10d.</w:t>
      </w:r>
      <w:r>
        <w:rPr>
          <w:sz w:val="20"/>
          <w:szCs w:val="20"/>
          <w:color w:val="auto"/>
        </w:rPr>
        <w:tab/>
      </w:r>
      <w:r>
        <w:rPr>
          <w:rFonts w:ascii="Times New Roman" w:cs="Times New Roman" w:eastAsia="Times New Roman" w:hAnsi="Times New Roman"/>
          <w:sz w:val="18"/>
          <w:szCs w:val="18"/>
          <w:color w:val="auto"/>
        </w:rPr>
        <w:t>Winnebago Industries, Inc. 2004 Incentive Compensation Plan previously filed as Appendix B with the Registrant’s Proxy Statement for the Annual Meeting of Shareholders held on January 13, 2004 (Commission File Number 1-6403), and incorporated by reference herein.*</w:t>
      </w:r>
    </w:p>
    <w:p>
      <w:pPr>
        <w:spacing w:after="0" w:line="201" w:lineRule="exact"/>
        <w:rPr>
          <w:sz w:val="20"/>
          <w:szCs w:val="20"/>
          <w:color w:val="auto"/>
        </w:rPr>
      </w:pPr>
    </w:p>
    <w:p>
      <w:pPr>
        <w:ind w:left="620" w:hanging="619"/>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10e.</w:t>
      </w:r>
      <w:r>
        <w:rPr>
          <w:sz w:val="20"/>
          <w:szCs w:val="20"/>
          <w:color w:val="auto"/>
        </w:rPr>
        <w:tab/>
      </w:r>
      <w:r>
        <w:rPr>
          <w:rFonts w:ascii="Times New Roman" w:cs="Times New Roman" w:eastAsia="Times New Roman" w:hAnsi="Times New Roman"/>
          <w:sz w:val="18"/>
          <w:szCs w:val="18"/>
          <w:color w:val="auto"/>
        </w:rPr>
        <w:t>Winnebago Industries, Inc. Directors’ Deferred Compensation Plan previously filed with the Registrant’s Annual Report on Form 10-K for the fiscal year ended August 30, 1997 (Commission File Number 1-6403), and incorporated by reference herein and the Amendment dated October 15, 2003 previously filed with the Registrant’s Quarterly Report on Form 10-Q for the quarter ended November 29, 2003 (Commission File Number 1-6403), and incorporated by reference herein.*</w:t>
      </w:r>
    </w:p>
    <w:p>
      <w:pPr>
        <w:spacing w:after="0" w:line="21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6"/>
          <w:szCs w:val="16"/>
          <w:color w:val="auto"/>
        </w:rPr>
        <w:t>10f.</w:t>
      </w:r>
      <w:r>
        <w:rPr>
          <w:sz w:val="20"/>
          <w:szCs w:val="20"/>
          <w:color w:val="auto"/>
        </w:rPr>
        <w:tab/>
      </w:r>
      <w:r>
        <w:rPr>
          <w:rFonts w:ascii="Times New Roman" w:cs="Times New Roman" w:eastAsia="Times New Roman" w:hAnsi="Times New Roman"/>
          <w:sz w:val="16"/>
          <w:szCs w:val="16"/>
          <w:color w:val="auto"/>
        </w:rPr>
        <w:t>Winnebago Industries, Inc. 1997 Stock Option Plan previously filed with the Registrant’s Annual Report on Form 10-K for the fiscal year ended August</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30, 1997 (Commission File Number 1-6403), and incorporated by reference herein.*</w:t>
      </w:r>
    </w:p>
    <w:p>
      <w:pPr>
        <w:spacing w:after="0" w:line="240" w:lineRule="exact"/>
        <w:rPr>
          <w:sz w:val="20"/>
          <w:szCs w:val="20"/>
          <w:color w:val="auto"/>
        </w:rPr>
      </w:pPr>
    </w:p>
    <w:p>
      <w:pPr>
        <w:ind w:left="620" w:right="180" w:hanging="619"/>
        <w:spacing w:after="0" w:line="258" w:lineRule="auto"/>
        <w:tabs>
          <w:tab w:leader="none" w:pos="600" w:val="left"/>
        </w:tabs>
        <w:rPr>
          <w:sz w:val="20"/>
          <w:szCs w:val="20"/>
          <w:color w:val="auto"/>
        </w:rPr>
      </w:pPr>
      <w:r>
        <w:rPr>
          <w:rFonts w:ascii="Times New Roman" w:cs="Times New Roman" w:eastAsia="Times New Roman" w:hAnsi="Times New Roman"/>
          <w:sz w:val="18"/>
          <w:szCs w:val="18"/>
          <w:color w:val="auto"/>
        </w:rPr>
        <w:t>10g.</w:t>
      </w:r>
      <w:r>
        <w:rPr>
          <w:sz w:val="20"/>
          <w:szCs w:val="20"/>
          <w:color w:val="auto"/>
        </w:rPr>
        <w:tab/>
      </w:r>
      <w:r>
        <w:rPr>
          <w:rFonts w:ascii="Times New Roman" w:cs="Times New Roman" w:eastAsia="Times New Roman" w:hAnsi="Times New Roman"/>
          <w:sz w:val="18"/>
          <w:szCs w:val="18"/>
          <w:color w:val="auto"/>
        </w:rPr>
        <w:t>Amendment to Winnebago Industries, Inc. Executive Share Option Plan previously filed with the Registrant’s Quarterly Report on Form 10-Q for the quarter ended May 29, 1999 (Commission File Number 1-6403), and incorporated by reference herein and the Amendment dated January 1, 2001 previously filed with the Registrant’s Quarterly Report on Form 10-Q for the quarter ended February 24, 2001 (Commission File Number 1-6403), and incorporated by reference herein.*</w:t>
      </w:r>
    </w:p>
    <w:p>
      <w:pPr>
        <w:spacing w:after="0" w:line="217" w:lineRule="exact"/>
        <w:rPr>
          <w:sz w:val="20"/>
          <w:szCs w:val="20"/>
          <w:color w:val="auto"/>
        </w:rPr>
      </w:pPr>
    </w:p>
    <w:p>
      <w:pPr>
        <w:jc w:val="both"/>
        <w:ind w:left="620" w:right="120" w:hanging="619"/>
        <w:spacing w:after="0" w:line="310" w:lineRule="auto"/>
        <w:tabs>
          <w:tab w:leader="none" w:pos="600" w:val="left"/>
        </w:tabs>
        <w:rPr>
          <w:sz w:val="20"/>
          <w:szCs w:val="20"/>
          <w:color w:val="auto"/>
        </w:rPr>
      </w:pPr>
      <w:r>
        <w:rPr>
          <w:rFonts w:ascii="Times New Roman" w:cs="Times New Roman" w:eastAsia="Times New Roman" w:hAnsi="Times New Roman"/>
          <w:sz w:val="16"/>
          <w:szCs w:val="16"/>
          <w:color w:val="auto"/>
        </w:rPr>
        <w:t>10h.</w:t>
      </w:r>
      <w:r>
        <w:rPr>
          <w:sz w:val="20"/>
          <w:szCs w:val="20"/>
          <w:color w:val="auto"/>
        </w:rPr>
        <w:tab/>
      </w:r>
      <w:r>
        <w:rPr>
          <w:rFonts w:ascii="Times New Roman" w:cs="Times New Roman" w:eastAsia="Times New Roman" w:hAnsi="Times New Roman"/>
          <w:sz w:val="16"/>
          <w:szCs w:val="16"/>
          <w:color w:val="auto"/>
        </w:rPr>
        <w:t>Winnebago Industries, Inc. Rights Plan Agreement previously filed with the Registrant’s Current Report on Form 8-K dated May 3, 2000 (Commission File Number 1-6403), and incorporated by reference herein and the Amendment dated January 13, 2003 previously filed with the Registrant’s Quarterly Report on Form 10-Q for the quarter ended March 1, 2003 (Commission File Number 1-6403), and incorporated by reference herein.</w:t>
      </w:r>
    </w:p>
    <w:p>
      <w:pPr>
        <w:spacing w:after="0" w:line="178" w:lineRule="exact"/>
        <w:rPr>
          <w:sz w:val="20"/>
          <w:szCs w:val="20"/>
          <w:color w:val="auto"/>
        </w:rPr>
      </w:pPr>
    </w:p>
    <w:p>
      <w:pPr>
        <w:ind w:left="620" w:right="100" w:hanging="619"/>
        <w:spacing w:after="0" w:line="262" w:lineRule="auto"/>
        <w:tabs>
          <w:tab w:leader="none" w:pos="600" w:val="left"/>
        </w:tabs>
        <w:rPr>
          <w:sz w:val="20"/>
          <w:szCs w:val="20"/>
          <w:color w:val="auto"/>
        </w:rPr>
      </w:pPr>
      <w:r>
        <w:rPr>
          <w:rFonts w:ascii="Times New Roman" w:cs="Times New Roman" w:eastAsia="Times New Roman" w:hAnsi="Times New Roman"/>
          <w:sz w:val="18"/>
          <w:szCs w:val="18"/>
          <w:color w:val="auto"/>
        </w:rPr>
        <w:t>10i.</w:t>
      </w:r>
      <w:r>
        <w:rPr>
          <w:sz w:val="20"/>
          <w:szCs w:val="20"/>
          <w:color w:val="auto"/>
        </w:rPr>
        <w:tab/>
      </w:r>
      <w:r>
        <w:rPr>
          <w:rFonts w:ascii="Times New Roman" w:cs="Times New Roman" w:eastAsia="Times New Roman" w:hAnsi="Times New Roman"/>
          <w:sz w:val="18"/>
          <w:szCs w:val="18"/>
          <w:color w:val="auto"/>
        </w:rPr>
        <w:t>Executive Change of Control Agreement dated January 17, 2001 between Winnebago Industries, Inc. and Bruce D. Hertzke previously filed with the Registrant’s Quarterly Report on Form 10-Q for the quarter ended February 24, 2001 (Commission File Number 1-6403), and incorporated by reference herein.*</w:t>
      </w:r>
    </w:p>
    <w:p>
      <w:pPr>
        <w:spacing w:after="0" w:line="213" w:lineRule="exact"/>
        <w:rPr>
          <w:sz w:val="20"/>
          <w:szCs w:val="20"/>
          <w:color w:val="auto"/>
        </w:rPr>
      </w:pPr>
    </w:p>
    <w:p>
      <w:pPr>
        <w:ind w:left="620" w:right="100" w:hanging="619"/>
        <w:spacing w:after="0" w:line="262" w:lineRule="auto"/>
        <w:tabs>
          <w:tab w:leader="none" w:pos="600" w:val="left"/>
        </w:tabs>
        <w:rPr>
          <w:sz w:val="20"/>
          <w:szCs w:val="20"/>
          <w:color w:val="auto"/>
        </w:rPr>
      </w:pPr>
      <w:r>
        <w:rPr>
          <w:rFonts w:ascii="Times New Roman" w:cs="Times New Roman" w:eastAsia="Times New Roman" w:hAnsi="Times New Roman"/>
          <w:sz w:val="18"/>
          <w:szCs w:val="18"/>
          <w:color w:val="auto"/>
        </w:rPr>
        <w:t>10j.</w:t>
      </w:r>
      <w:r>
        <w:rPr>
          <w:sz w:val="20"/>
          <w:szCs w:val="20"/>
          <w:color w:val="auto"/>
        </w:rPr>
        <w:tab/>
      </w:r>
      <w:r>
        <w:rPr>
          <w:rFonts w:ascii="Times New Roman" w:cs="Times New Roman" w:eastAsia="Times New Roman" w:hAnsi="Times New Roman"/>
          <w:sz w:val="18"/>
          <w:szCs w:val="18"/>
          <w:color w:val="auto"/>
        </w:rPr>
        <w:t>Executive Change of Control Agreement dated January 17, 2001 between Winnebago Industries, Inc. and Edwin F. Barker previously filed with the Registrant’s Quarterly Report on Form 10-Q for the quarter ended February 24, 2001 (Commission File Number 1-6403), and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Index</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Two</w:t>
      </w:r>
    </w:p>
    <w:p>
      <w:pPr>
        <w:spacing w:after="0" w:line="213" w:lineRule="exact"/>
        <w:rPr>
          <w:sz w:val="20"/>
          <w:szCs w:val="20"/>
          <w:color w:val="auto"/>
        </w:rPr>
      </w:pPr>
    </w:p>
    <w:p>
      <w:pPr>
        <w:jc w:val="both"/>
        <w:ind w:left="620" w:right="100" w:hanging="619"/>
        <w:spacing w:after="0" w:line="262" w:lineRule="auto"/>
        <w:tabs>
          <w:tab w:leader="none" w:pos="600" w:val="left"/>
        </w:tabs>
        <w:rPr>
          <w:sz w:val="20"/>
          <w:szCs w:val="20"/>
          <w:color w:val="auto"/>
        </w:rPr>
      </w:pPr>
      <w:r>
        <w:rPr>
          <w:rFonts w:ascii="Times New Roman" w:cs="Times New Roman" w:eastAsia="Times New Roman" w:hAnsi="Times New Roman"/>
          <w:sz w:val="18"/>
          <w:szCs w:val="18"/>
          <w:color w:val="auto"/>
        </w:rPr>
        <w:t>10k.</w:t>
      </w:r>
      <w:r>
        <w:rPr>
          <w:sz w:val="20"/>
          <w:szCs w:val="20"/>
          <w:color w:val="auto"/>
        </w:rPr>
        <w:tab/>
      </w:r>
      <w:r>
        <w:rPr>
          <w:rFonts w:ascii="Times New Roman" w:cs="Times New Roman" w:eastAsia="Times New Roman" w:hAnsi="Times New Roman"/>
          <w:sz w:val="18"/>
          <w:szCs w:val="18"/>
          <w:color w:val="auto"/>
        </w:rPr>
        <w:t>Executive Change of Control Agreement dated January 17, 2001 between Winnebago Industries, Inc. and Raymond M. Beebe previously filed with the Registrant’s Quarterly Report on Form 10-Q for the quarter ended February 24, 2001 (Commission File Number 1-6403), and incorporated by reference herein.*</w:t>
      </w:r>
    </w:p>
    <w:p>
      <w:pPr>
        <w:spacing w:after="0" w:line="213" w:lineRule="exact"/>
        <w:rPr>
          <w:sz w:val="20"/>
          <w:szCs w:val="20"/>
          <w:color w:val="auto"/>
        </w:rPr>
      </w:pPr>
    </w:p>
    <w:p>
      <w:pPr>
        <w:ind w:left="620" w:right="100" w:hanging="619"/>
        <w:spacing w:after="0" w:line="262" w:lineRule="auto"/>
        <w:tabs>
          <w:tab w:leader="none" w:pos="600" w:val="left"/>
        </w:tabs>
        <w:rPr>
          <w:sz w:val="20"/>
          <w:szCs w:val="20"/>
          <w:color w:val="auto"/>
        </w:rPr>
      </w:pPr>
      <w:r>
        <w:rPr>
          <w:rFonts w:ascii="Times New Roman" w:cs="Times New Roman" w:eastAsia="Times New Roman" w:hAnsi="Times New Roman"/>
          <w:sz w:val="18"/>
          <w:szCs w:val="18"/>
          <w:color w:val="auto"/>
        </w:rPr>
        <w:t>10l.</w:t>
      </w:r>
      <w:r>
        <w:rPr>
          <w:sz w:val="20"/>
          <w:szCs w:val="20"/>
          <w:color w:val="auto"/>
        </w:rPr>
        <w:tab/>
      </w:r>
      <w:r>
        <w:rPr>
          <w:rFonts w:ascii="Times New Roman" w:cs="Times New Roman" w:eastAsia="Times New Roman" w:hAnsi="Times New Roman"/>
          <w:sz w:val="18"/>
          <w:szCs w:val="18"/>
          <w:color w:val="auto"/>
        </w:rPr>
        <w:t>Executive Change of Control Agreement dated January 17, 2001 between Winnebago Industries, Inc. and Robert L. Gossett previously filed with the Registrant’s Quarterly Report on Form 10-Q for the quarter ended February 24, 2001 (Commission File Number 1-6403), and incorporated by reference herein.*</w:t>
      </w:r>
    </w:p>
    <w:p>
      <w:pPr>
        <w:spacing w:after="0" w:line="213" w:lineRule="exact"/>
        <w:rPr>
          <w:sz w:val="20"/>
          <w:szCs w:val="20"/>
          <w:color w:val="auto"/>
        </w:rPr>
      </w:pPr>
    </w:p>
    <w:p>
      <w:pPr>
        <w:ind w:left="620" w:right="100" w:hanging="619"/>
        <w:spacing w:after="0" w:line="262" w:lineRule="auto"/>
        <w:tabs>
          <w:tab w:leader="none" w:pos="600" w:val="left"/>
        </w:tabs>
        <w:rPr>
          <w:sz w:val="20"/>
          <w:szCs w:val="20"/>
          <w:color w:val="auto"/>
        </w:rPr>
      </w:pPr>
      <w:r>
        <w:rPr>
          <w:rFonts w:ascii="Times New Roman" w:cs="Times New Roman" w:eastAsia="Times New Roman" w:hAnsi="Times New Roman"/>
          <w:sz w:val="18"/>
          <w:szCs w:val="18"/>
          <w:color w:val="auto"/>
        </w:rPr>
        <w:t>10m.</w:t>
        <w:tab/>
        <w:t>Executive Change of Control Agreement dated January 17, 2001 between Winnebago Industries, Inc. and Robert J. Olson previously filed with the Registrant’s Quarterly Report on Form 10-Q for the quarter ended February 24, 2001 (Commission File Number 1-6403), and incorporated by reference herein.*</w:t>
      </w:r>
    </w:p>
    <w:p>
      <w:pPr>
        <w:spacing w:after="0" w:line="213" w:lineRule="exact"/>
        <w:rPr>
          <w:sz w:val="20"/>
          <w:szCs w:val="20"/>
          <w:color w:val="auto"/>
        </w:rPr>
      </w:pPr>
    </w:p>
    <w:p>
      <w:pPr>
        <w:ind w:left="620" w:right="460" w:hanging="619"/>
        <w:spacing w:after="0" w:line="262" w:lineRule="auto"/>
        <w:tabs>
          <w:tab w:leader="none" w:pos="600" w:val="left"/>
        </w:tabs>
        <w:rPr>
          <w:sz w:val="20"/>
          <w:szCs w:val="20"/>
          <w:color w:val="auto"/>
        </w:rPr>
      </w:pPr>
      <w:r>
        <w:rPr>
          <w:rFonts w:ascii="Times New Roman" w:cs="Times New Roman" w:eastAsia="Times New Roman" w:hAnsi="Times New Roman"/>
          <w:sz w:val="18"/>
          <w:szCs w:val="18"/>
          <w:color w:val="auto"/>
        </w:rPr>
        <w:t>10n.</w:t>
      </w:r>
      <w:r>
        <w:rPr>
          <w:sz w:val="20"/>
          <w:szCs w:val="20"/>
          <w:color w:val="auto"/>
        </w:rPr>
        <w:tab/>
      </w:r>
      <w:r>
        <w:rPr>
          <w:rFonts w:ascii="Times New Roman" w:cs="Times New Roman" w:eastAsia="Times New Roman" w:hAnsi="Times New Roman"/>
          <w:sz w:val="18"/>
          <w:szCs w:val="18"/>
          <w:color w:val="auto"/>
        </w:rPr>
        <w:t>Executive Change of Control Agreement dated July 12, 2001 between Winnebago Industries, Inc. and William J. O’Leary previously filed with the Registrant’s Annual Report on Form 10-K for the fiscal year ended August 25, 2001 (Commission Report Number 1-6403), and incorporated by reference herein.*</w:t>
      </w:r>
    </w:p>
    <w:p>
      <w:pPr>
        <w:spacing w:after="0" w:line="213" w:lineRule="exact"/>
        <w:rPr>
          <w:sz w:val="20"/>
          <w:szCs w:val="20"/>
          <w:color w:val="auto"/>
        </w:rPr>
      </w:pPr>
    </w:p>
    <w:p>
      <w:pPr>
        <w:ind w:left="620" w:right="280" w:hanging="619"/>
        <w:spacing w:after="0" w:line="275" w:lineRule="auto"/>
        <w:tabs>
          <w:tab w:leader="none" w:pos="600" w:val="left"/>
        </w:tabs>
        <w:rPr>
          <w:sz w:val="20"/>
          <w:szCs w:val="20"/>
          <w:color w:val="auto"/>
        </w:rPr>
      </w:pPr>
      <w:r>
        <w:rPr>
          <w:rFonts w:ascii="Times New Roman" w:cs="Times New Roman" w:eastAsia="Times New Roman" w:hAnsi="Times New Roman"/>
          <w:sz w:val="18"/>
          <w:szCs w:val="18"/>
          <w:color w:val="auto"/>
        </w:rPr>
        <w:t>10o.</w:t>
      </w:r>
      <w:r>
        <w:rPr>
          <w:sz w:val="20"/>
          <w:szCs w:val="20"/>
          <w:color w:val="auto"/>
        </w:rPr>
        <w:tab/>
      </w:r>
      <w:r>
        <w:rPr>
          <w:rFonts w:ascii="Times New Roman" w:cs="Times New Roman" w:eastAsia="Times New Roman" w:hAnsi="Times New Roman"/>
          <w:sz w:val="18"/>
          <w:szCs w:val="18"/>
          <w:color w:val="auto"/>
        </w:rPr>
        <w:t>Winnebago Industries, Inc. Officers’ Incentive Compensation Plan for Fiscal 2006 previously filed with the Registrant’s Current Report on Form 8-K dated August 30, 2005 (Commission File Number 1-6403), and incorporated by reference herein.*</w:t>
      </w:r>
    </w:p>
    <w:p>
      <w:pPr>
        <w:spacing w:after="0" w:line="201" w:lineRule="exact"/>
        <w:rPr>
          <w:sz w:val="20"/>
          <w:szCs w:val="20"/>
          <w:color w:val="auto"/>
        </w:rPr>
      </w:pPr>
    </w:p>
    <w:p>
      <w:pPr>
        <w:ind w:left="620" w:right="120" w:hanging="619"/>
        <w:spacing w:after="0" w:line="275" w:lineRule="auto"/>
        <w:tabs>
          <w:tab w:leader="none" w:pos="600" w:val="left"/>
        </w:tabs>
        <w:rPr>
          <w:sz w:val="20"/>
          <w:szCs w:val="20"/>
          <w:color w:val="auto"/>
        </w:rPr>
      </w:pPr>
      <w:r>
        <w:rPr>
          <w:rFonts w:ascii="Times New Roman" w:cs="Times New Roman" w:eastAsia="Times New Roman" w:hAnsi="Times New Roman"/>
          <w:sz w:val="18"/>
          <w:szCs w:val="18"/>
          <w:color w:val="auto"/>
        </w:rPr>
        <w:t>10p.</w:t>
      </w:r>
      <w:r>
        <w:rPr>
          <w:sz w:val="20"/>
          <w:szCs w:val="20"/>
          <w:color w:val="auto"/>
        </w:rPr>
        <w:tab/>
      </w:r>
      <w:r>
        <w:rPr>
          <w:rFonts w:ascii="Times New Roman" w:cs="Times New Roman" w:eastAsia="Times New Roman" w:hAnsi="Times New Roman"/>
          <w:sz w:val="18"/>
          <w:szCs w:val="18"/>
          <w:color w:val="auto"/>
        </w:rPr>
        <w:t>Agreement dated March 13, 2002 between Winnebago Industries, Inc. and Bruce D. Hertzke filed with the Registrant’s Quarterly Report on Form 10-Q for the quarter ended March 2, 2002 (Commission File Number 1-6403), and incorporated by reference herein.*</w:t>
      </w:r>
    </w:p>
    <w:p>
      <w:pPr>
        <w:spacing w:after="0" w:line="201" w:lineRule="exact"/>
        <w:rPr>
          <w:sz w:val="20"/>
          <w:szCs w:val="20"/>
          <w:color w:val="auto"/>
        </w:rPr>
      </w:pPr>
    </w:p>
    <w:p>
      <w:pPr>
        <w:ind w:left="620" w:right="160" w:hanging="619"/>
        <w:spacing w:after="0" w:line="262" w:lineRule="auto"/>
        <w:tabs>
          <w:tab w:leader="none" w:pos="600" w:val="left"/>
        </w:tabs>
        <w:rPr>
          <w:sz w:val="20"/>
          <w:szCs w:val="20"/>
          <w:color w:val="auto"/>
        </w:rPr>
      </w:pPr>
      <w:r>
        <w:rPr>
          <w:rFonts w:ascii="Times New Roman" w:cs="Times New Roman" w:eastAsia="Times New Roman" w:hAnsi="Times New Roman"/>
          <w:sz w:val="18"/>
          <w:szCs w:val="18"/>
          <w:color w:val="auto"/>
        </w:rPr>
        <w:t>10q.</w:t>
      </w:r>
      <w:r>
        <w:rPr>
          <w:sz w:val="20"/>
          <w:szCs w:val="20"/>
          <w:color w:val="auto"/>
        </w:rPr>
        <w:tab/>
      </w:r>
      <w:r>
        <w:rPr>
          <w:rFonts w:ascii="Times New Roman" w:cs="Times New Roman" w:eastAsia="Times New Roman" w:hAnsi="Times New Roman"/>
          <w:sz w:val="18"/>
          <w:szCs w:val="18"/>
          <w:color w:val="auto"/>
        </w:rPr>
        <w:t>Executive Change of Control Agreement dated March 13, 2003 between Winnebago Industries, Inc. and Roger W. Martin previously filed with the Registrant’s Quarterly Report on Form 10-Q for the quarter ended March 1, 2003 (Commission Report Number 1-6043), and incorporated by reference herein.*</w:t>
      </w:r>
    </w:p>
    <w:p>
      <w:pPr>
        <w:spacing w:after="0" w:line="213" w:lineRule="exact"/>
        <w:rPr>
          <w:sz w:val="20"/>
          <w:szCs w:val="20"/>
          <w:color w:val="auto"/>
        </w:rPr>
      </w:pPr>
    </w:p>
    <w:p>
      <w:pPr>
        <w:ind w:left="620" w:right="340" w:hanging="619"/>
        <w:spacing w:after="0" w:line="339" w:lineRule="auto"/>
        <w:tabs>
          <w:tab w:leader="none" w:pos="600" w:val="left"/>
        </w:tabs>
        <w:rPr>
          <w:sz w:val="20"/>
          <w:szCs w:val="20"/>
          <w:color w:val="auto"/>
        </w:rPr>
      </w:pPr>
      <w:r>
        <w:rPr>
          <w:rFonts w:ascii="Times New Roman" w:cs="Times New Roman" w:eastAsia="Times New Roman" w:hAnsi="Times New Roman"/>
          <w:sz w:val="16"/>
          <w:szCs w:val="16"/>
          <w:color w:val="auto"/>
        </w:rPr>
        <w:t>10r.</w:t>
      </w:r>
      <w:r>
        <w:rPr>
          <w:sz w:val="20"/>
          <w:szCs w:val="20"/>
          <w:color w:val="auto"/>
        </w:rPr>
        <w:tab/>
      </w:r>
      <w:r>
        <w:rPr>
          <w:rFonts w:ascii="Times New Roman" w:cs="Times New Roman" w:eastAsia="Times New Roman" w:hAnsi="Times New Roman"/>
          <w:sz w:val="16"/>
          <w:szCs w:val="16"/>
          <w:color w:val="auto"/>
        </w:rPr>
        <w:t>Two Subordination Agreements both dated April 24, 2003 between Winnebago Acceptance Corporation and GE Commercial Distribution Finance Corporation previously filed with the Registrant’s Quarterly Report on Form 10-Q for the quarter ended May 31, 2003 (Commission File Number 1-</w:t>
      </w:r>
    </w:p>
    <w:p>
      <w:pPr>
        <w:sectPr>
          <w:pgSz w:w="11900" w:h="16849" w:orient="portrait"/>
          <w:cols w:equalWidth="0" w:num="1">
            <w:col w:w="11400"/>
          </w:cols>
          <w:pgMar w:left="240" w:top="368" w:right="259" w:bottom="0" w:gutter="0" w:footer="0" w:header="0"/>
        </w:sectPr>
      </w:pPr>
    </w:p>
    <w:bookmarkStart w:id="18" w:name="page19"/>
    <w:bookmarkEnd w:id="18"/>
    <w:p>
      <w:pPr>
        <w:ind w:left="620"/>
        <w:spacing w:after="0"/>
        <w:rPr>
          <w:sz w:val="20"/>
          <w:szCs w:val="20"/>
          <w:color w:val="auto"/>
        </w:rPr>
      </w:pPr>
      <w:r>
        <w:rPr>
          <w:rFonts w:ascii="Times New Roman" w:cs="Times New Roman" w:eastAsia="Times New Roman" w:hAnsi="Times New Roman"/>
          <w:sz w:val="18"/>
          <w:szCs w:val="18"/>
          <w:color w:val="auto"/>
        </w:rPr>
        <w:t>6403), and incorporated by reference herein.</w:t>
      </w:r>
    </w:p>
    <w:p>
      <w:pPr>
        <w:spacing w:after="0" w:line="252" w:lineRule="exact"/>
        <w:rPr>
          <w:sz w:val="20"/>
          <w:szCs w:val="20"/>
          <w:color w:val="auto"/>
        </w:rPr>
      </w:pPr>
    </w:p>
    <w:p>
      <w:pPr>
        <w:jc w:val="both"/>
        <w:ind w:left="620" w:right="400" w:hanging="619"/>
        <w:spacing w:after="0" w:line="339" w:lineRule="auto"/>
        <w:tabs>
          <w:tab w:leader="none" w:pos="600" w:val="left"/>
        </w:tabs>
        <w:rPr>
          <w:sz w:val="20"/>
          <w:szCs w:val="20"/>
          <w:color w:val="auto"/>
        </w:rPr>
      </w:pPr>
      <w:r>
        <w:rPr>
          <w:rFonts w:ascii="Times New Roman" w:cs="Times New Roman" w:eastAsia="Times New Roman" w:hAnsi="Times New Roman"/>
          <w:sz w:val="16"/>
          <w:szCs w:val="16"/>
          <w:color w:val="auto"/>
        </w:rPr>
        <w:t>10s.</w:t>
      </w:r>
      <w:r>
        <w:rPr>
          <w:sz w:val="20"/>
          <w:szCs w:val="20"/>
          <w:color w:val="auto"/>
        </w:rPr>
        <w:tab/>
      </w:r>
      <w:r>
        <w:rPr>
          <w:rFonts w:ascii="Times New Roman" w:cs="Times New Roman" w:eastAsia="Times New Roman" w:hAnsi="Times New Roman"/>
          <w:sz w:val="16"/>
          <w:szCs w:val="16"/>
          <w:color w:val="auto"/>
        </w:rPr>
        <w:t>Winnebago Industries, Inc. Officers’ Long-Term Incentive Plan, fiscal three-year period 2004, 2005 and 2006 previously filed with the Registrant’s Annual Report on Form 10-K for the fiscal year ended August 30, 2003 (Commission File Number 1-6403), and incorporated by reference herein.*</w:t>
      </w:r>
    </w:p>
    <w:p>
      <w:pPr>
        <w:spacing w:after="0" w:line="156" w:lineRule="exact"/>
        <w:rPr>
          <w:sz w:val="20"/>
          <w:szCs w:val="20"/>
          <w:color w:val="auto"/>
        </w:rPr>
      </w:pPr>
    </w:p>
    <w:p>
      <w:pPr>
        <w:jc w:val="both"/>
        <w:ind w:left="620" w:right="400" w:hanging="619"/>
        <w:spacing w:after="0" w:line="339" w:lineRule="auto"/>
        <w:tabs>
          <w:tab w:leader="none" w:pos="600" w:val="left"/>
        </w:tabs>
        <w:rPr>
          <w:sz w:val="20"/>
          <w:szCs w:val="20"/>
          <w:color w:val="auto"/>
        </w:rPr>
      </w:pPr>
      <w:r>
        <w:rPr>
          <w:rFonts w:ascii="Times New Roman" w:cs="Times New Roman" w:eastAsia="Times New Roman" w:hAnsi="Times New Roman"/>
          <w:sz w:val="16"/>
          <w:szCs w:val="16"/>
          <w:color w:val="auto"/>
        </w:rPr>
        <w:t>10t.</w:t>
      </w:r>
      <w:r>
        <w:rPr>
          <w:sz w:val="20"/>
          <w:szCs w:val="20"/>
          <w:color w:val="auto"/>
        </w:rPr>
        <w:tab/>
      </w:r>
      <w:r>
        <w:rPr>
          <w:rFonts w:ascii="Times New Roman" w:cs="Times New Roman" w:eastAsia="Times New Roman" w:hAnsi="Times New Roman"/>
          <w:sz w:val="16"/>
          <w:szCs w:val="16"/>
          <w:color w:val="auto"/>
        </w:rPr>
        <w:t>Winnebago Industries, Inc. Officers’ Long Term Incentive Plan, fiscal three-year period 2005, 2006 and 2007 previously filed with the Registrant’s Annual Report on Form 10-K for the fiscal year ended August 28, 2004 (Commission File Number 1-6403), and incorporated by reference herein.</w:t>
      </w:r>
      <w:r>
        <w:rPr>
          <w:rFonts w:ascii="Times New Roman" w:cs="Times New Roman" w:eastAsia="Times New Roman" w:hAnsi="Times New Roman"/>
          <w:sz w:val="16"/>
          <w:szCs w:val="16"/>
          <w:b w:val="1"/>
          <w:bCs w:val="1"/>
          <w:color w:val="auto"/>
        </w:rPr>
        <w:t>*</w:t>
      </w:r>
    </w:p>
    <w:p>
      <w:pPr>
        <w:spacing w:after="0" w:line="156" w:lineRule="exact"/>
        <w:rPr>
          <w:sz w:val="20"/>
          <w:szCs w:val="20"/>
          <w:color w:val="auto"/>
        </w:rPr>
      </w:pPr>
    </w:p>
    <w:p>
      <w:pPr>
        <w:ind w:left="620" w:right="420" w:hanging="619"/>
        <w:spacing w:after="0" w:line="275" w:lineRule="auto"/>
        <w:tabs>
          <w:tab w:leader="none" w:pos="600" w:val="left"/>
        </w:tabs>
        <w:rPr>
          <w:sz w:val="20"/>
          <w:szCs w:val="20"/>
          <w:color w:val="auto"/>
        </w:rPr>
      </w:pPr>
      <w:r>
        <w:rPr>
          <w:rFonts w:ascii="Times New Roman" w:cs="Times New Roman" w:eastAsia="Times New Roman" w:hAnsi="Times New Roman"/>
          <w:sz w:val="18"/>
          <w:szCs w:val="18"/>
          <w:color w:val="auto"/>
        </w:rPr>
        <w:t>10u.</w:t>
      </w:r>
      <w:r>
        <w:rPr>
          <w:sz w:val="20"/>
          <w:szCs w:val="20"/>
          <w:color w:val="auto"/>
        </w:rPr>
        <w:tab/>
      </w:r>
      <w:r>
        <w:rPr>
          <w:rFonts w:ascii="Times New Roman" w:cs="Times New Roman" w:eastAsia="Times New Roman" w:hAnsi="Times New Roman"/>
          <w:sz w:val="18"/>
          <w:szCs w:val="18"/>
          <w:color w:val="auto"/>
        </w:rPr>
        <w:t>Winnebago Industries, Inc. Officers’ Long-Term Incentive Plan, fiscal three-year period 2006, 2007 and 2008 previously filed with the Registrant’s Current Report on Form 8-K dated August 30, 2005 (Commission File Number 1-6403), and incorporated by reference herein.*</w:t>
      </w:r>
    </w:p>
    <w:p>
      <w:pPr>
        <w:spacing w:after="0" w:line="201" w:lineRule="exact"/>
        <w:rPr>
          <w:sz w:val="20"/>
          <w:szCs w:val="20"/>
          <w:color w:val="auto"/>
        </w:rPr>
      </w:pPr>
    </w:p>
    <w:p>
      <w:pPr>
        <w:ind w:left="620" w:right="40" w:hanging="619"/>
        <w:spacing w:after="0" w:line="262" w:lineRule="auto"/>
        <w:tabs>
          <w:tab w:leader="none" w:pos="600" w:val="left"/>
        </w:tabs>
        <w:rPr>
          <w:sz w:val="20"/>
          <w:szCs w:val="20"/>
          <w:color w:val="auto"/>
        </w:rPr>
      </w:pPr>
      <w:r>
        <w:rPr>
          <w:rFonts w:ascii="Times New Roman" w:cs="Times New Roman" w:eastAsia="Times New Roman" w:hAnsi="Times New Roman"/>
          <w:sz w:val="18"/>
          <w:szCs w:val="18"/>
          <w:color w:val="auto"/>
        </w:rPr>
        <w:t>10v.</w:t>
      </w:r>
      <w:r>
        <w:rPr>
          <w:sz w:val="20"/>
          <w:szCs w:val="20"/>
          <w:color w:val="auto"/>
        </w:rPr>
        <w:tab/>
      </w:r>
      <w:r>
        <w:rPr>
          <w:rFonts w:ascii="Times New Roman" w:cs="Times New Roman" w:eastAsia="Times New Roman" w:hAnsi="Times New Roman"/>
          <w:sz w:val="18"/>
          <w:szCs w:val="18"/>
          <w:color w:val="auto"/>
        </w:rPr>
        <w:t>Form of Winnebago Industries, Inc. Incentive Stock Option Agreement for grants of Incentive Stock Options under the 2004 Incentive Compensation Plan previously filed with the Registrant’s Current Report on Form 8-K dated October 13, 2004 (Commission File Number 1-6403), and incorporated by reference herein.*</w:t>
      </w:r>
    </w:p>
    <w:p>
      <w:pPr>
        <w:spacing w:after="0" w:line="213" w:lineRule="exact"/>
        <w:rPr>
          <w:sz w:val="20"/>
          <w:szCs w:val="20"/>
          <w:color w:val="auto"/>
        </w:rPr>
      </w:pPr>
    </w:p>
    <w:p>
      <w:pPr>
        <w:ind w:left="620" w:right="120" w:hanging="619"/>
        <w:spacing w:after="0" w:line="262" w:lineRule="auto"/>
        <w:tabs>
          <w:tab w:leader="none" w:pos="600" w:val="left"/>
        </w:tabs>
        <w:rPr>
          <w:sz w:val="20"/>
          <w:szCs w:val="20"/>
          <w:color w:val="auto"/>
        </w:rPr>
      </w:pPr>
      <w:r>
        <w:rPr>
          <w:rFonts w:ascii="Times New Roman" w:cs="Times New Roman" w:eastAsia="Times New Roman" w:hAnsi="Times New Roman"/>
          <w:sz w:val="18"/>
          <w:szCs w:val="18"/>
          <w:color w:val="auto"/>
        </w:rPr>
        <w:t>10w.</w:t>
      </w:r>
      <w:r>
        <w:rPr>
          <w:sz w:val="20"/>
          <w:szCs w:val="20"/>
          <w:color w:val="auto"/>
        </w:rPr>
        <w:tab/>
      </w:r>
      <w:r>
        <w:rPr>
          <w:rFonts w:ascii="Times New Roman" w:cs="Times New Roman" w:eastAsia="Times New Roman" w:hAnsi="Times New Roman"/>
          <w:sz w:val="18"/>
          <w:szCs w:val="18"/>
          <w:color w:val="auto"/>
        </w:rPr>
        <w:t>Form of Winnebago Industries, Inc. Non-Qualified Stock Option Agreement for grants on Non-Qualified Stock Options under the 2004 Incentive Compensation Plan previously filed with the Registrant’s Current Report on Form 8-K dated October 13, 2004 (Commission File Number 1-6403), and incorporated by reference herein.*</w:t>
      </w:r>
    </w:p>
    <w:p>
      <w:pPr>
        <w:spacing w:after="0" w:line="213" w:lineRule="exact"/>
        <w:rPr>
          <w:sz w:val="20"/>
          <w:szCs w:val="20"/>
          <w:color w:val="auto"/>
        </w:rPr>
      </w:pPr>
    </w:p>
    <w:p>
      <w:pPr>
        <w:ind w:left="620" w:hanging="612"/>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Winnebago Industries, Inc. Annual Report to Shareholders for the year ended August 27, 2005.</w:t>
      </w:r>
    </w:p>
    <w:p>
      <w:pPr>
        <w:spacing w:after="0" w:line="252" w:lineRule="exact"/>
        <w:rPr>
          <w:sz w:val="20"/>
          <w:szCs w:val="20"/>
          <w:color w:val="auto"/>
        </w:rPr>
      </w:pPr>
    </w:p>
    <w:p>
      <w:pPr>
        <w:ind w:left="620" w:hanging="607"/>
        <w:spacing w:after="0" w:line="275" w:lineRule="auto"/>
        <w:tabs>
          <w:tab w:leader="none" w:pos="600"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color w:val="auto"/>
        </w:rPr>
        <w:t>Winnebago Industries, Inc. Code of Ethics for CEO and Senior Financial Officers previously filed with the Registrant’s Annual Report on Form 10-K for the fiscal year ended August 30, 2003 (Commission File Number 1-6403), and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Index</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Three</w:t>
      </w:r>
    </w:p>
    <w:p>
      <w:pPr>
        <w:spacing w:after="0" w:line="213" w:lineRule="exact"/>
        <w:rPr>
          <w:sz w:val="20"/>
          <w:szCs w:val="20"/>
          <w:color w:val="auto"/>
        </w:rPr>
      </w:pPr>
    </w:p>
    <w:p>
      <w:pPr>
        <w:ind w:left="620" w:hanging="612"/>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 of Subsidiaries.</w:t>
      </w:r>
    </w:p>
    <w:p>
      <w:pPr>
        <w:spacing w:after="0" w:line="252" w:lineRule="exact"/>
        <w:rPr>
          <w:sz w:val="20"/>
          <w:szCs w:val="20"/>
          <w:color w:val="auto"/>
        </w:rPr>
      </w:pPr>
    </w:p>
    <w:p>
      <w:pPr>
        <w:ind w:left="620" w:hanging="612"/>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of Independent Auditors.</w:t>
      </w:r>
    </w:p>
    <w:p>
      <w:pPr>
        <w:spacing w:after="0" w:line="25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color w:val="auto"/>
        </w:rPr>
        <w:t>Certification by the Chief Executive Officer pursuant to Section 302 of the Sarbanes-Oxley Act of 2002 dated November 10, 2005.</w:t>
      </w:r>
    </w:p>
    <w:p>
      <w:pPr>
        <w:spacing w:after="0" w:line="25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6"/>
          <w:szCs w:val="16"/>
          <w:color w:val="auto"/>
        </w:rPr>
        <w:t>Certification by the Chief Financial Officer pursuant to Section 302 of the Sarbanes-Oxley Act of 2002 dated November 10, 2005.</w:t>
      </w:r>
    </w:p>
    <w:p>
      <w:pPr>
        <w:spacing w:after="0" w:line="252" w:lineRule="exact"/>
        <w:rPr>
          <w:sz w:val="20"/>
          <w:szCs w:val="20"/>
          <w:color w:val="auto"/>
        </w:rPr>
      </w:pPr>
    </w:p>
    <w:p>
      <w:pPr>
        <w:ind w:left="620" w:right="420" w:hanging="607"/>
        <w:spacing w:after="0" w:line="275" w:lineRule="auto"/>
        <w:tabs>
          <w:tab w:leader="none" w:pos="6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 by the Chief Executive Officer pursuant to Section 1350, as adopted pursuant to Section 906 of the Sarbanes-Oxley Act of 2002 dated November 10, 2005.</w:t>
      </w:r>
    </w:p>
    <w:p>
      <w:pPr>
        <w:spacing w:after="0" w:line="201" w:lineRule="exact"/>
        <w:rPr>
          <w:sz w:val="20"/>
          <w:szCs w:val="20"/>
          <w:color w:val="auto"/>
        </w:rPr>
      </w:pPr>
    </w:p>
    <w:p>
      <w:pPr>
        <w:ind w:left="620" w:right="460" w:hanging="607"/>
        <w:spacing w:after="0" w:line="275" w:lineRule="auto"/>
        <w:tabs>
          <w:tab w:leader="none" w:pos="60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Certification by the Chief Financial Officer pursuant to Section 1300, as adopted pursuant to Section 906 of the Sarbanes-Oxley Act of 2002 dated November 10, 2005.</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contract or compensation plan or arrangement.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EXHIBIT 13</w:t>
      </w: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[GRAPHIC]</w:t>
      </w:r>
    </w:p>
    <w:p>
      <w:pPr>
        <w:spacing w:after="0" w:line="26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32"/>
          <w:szCs w:val="32"/>
          <w:b w:val="1"/>
          <w:bCs w:val="1"/>
          <w:color w:val="auto"/>
        </w:rPr>
        <w:t>Management’s Discussion and Analysis of</w:t>
      </w:r>
    </w:p>
    <w:p>
      <w:pPr>
        <w:spacing w:after="0" w:line="39"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32"/>
          <w:szCs w:val="32"/>
          <w:b w:val="1"/>
          <w:bCs w:val="1"/>
          <w:color w:val="auto"/>
        </w:rPr>
        <w:t>Financial Condition and Results of Operations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 LOOKING INFORMATION</w:t>
      </w:r>
    </w:p>
    <w:p>
      <w:pPr>
        <w:spacing w:after="0" w:line="29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Certain of the matters discussed in this Annual Report are “forward looking statements” within the meaning of Section 27A of the Securities Act of 1933, as amended, and Section 21E of the Securities Exchange Act of 1934, as amended, which involve risks and uncertainties, including, but not limited to, reactions to actual or threatened terrorist attacks, a further decline in consumer confidence, availability and price of fuel, a significant increase in interest rates, a slowdown in the economy, availability of chassis and other key component parts, sales order cancellations, slower than anticipated sales of new or existing products, new product introductions by competitors, and other factors which may be disclosed throughout this Annual Report. Although management believes that the expectations reflected in the forward looking statements are reasonable, the Company cannot guarantee future results, levels of activity, performance or achievements. Undue reliance should not be placed on these forward looking statements, which speak only as of the date of this report. The Company undertakes no obligation to publicly update or revise any forward looking statements whether as a result of new information, future events or otherwise, except as required by law or the rules of the New York Stock Exchange.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9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Motorized products represented 60 percent of the RV industry revenues in Calendar 2004. For this reason and because we believe there are further growth opportunities in this segment, Winnebago Industries has continued to focus on the motorized segment of the RV industry. Funds for RV purchases, especially the motorized segment, usually come from a buyer’s discretionary income. The RV market, long known as a cyclical market, follows consumer confidence levels; therefore, as confidence levels decline so may the number of units sold. The RV industry as a whole is currently experiencing decreased sales of units in the motorized segment. There are recent indications that industry-wide motor home production has exceeded market demand. The Company remains a market share leader and will monitor its inventories on hand to ensure that production is in line with market demand.</w:t>
      </w:r>
    </w:p>
    <w:p>
      <w:pPr>
        <w:spacing w:after="0" w:line="19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Winnebago Industries manufactures and sells a variety of motor homes throughout the United States and Canada, as well as retail parts and accessories. RV classifications are based upon standards established by the RVIA. The only types of RVs that we produce are Class A and Class C motor homes. Winnebago Industries is a leader in the motorized RV segment of the industry in the combined retail sale of Class A and Class C motor homes with a retail market share of 17.5 percent for calendar year-to-date through August 2005.</w:t>
      </w:r>
    </w:p>
    <w:p>
      <w:pPr>
        <w:spacing w:after="0" w:line="190" w:lineRule="exact"/>
        <w:rPr>
          <w:sz w:val="20"/>
          <w:szCs w:val="20"/>
          <w:color w:val="auto"/>
        </w:rPr>
      </w:pPr>
    </w:p>
    <w:p>
      <w:pPr>
        <w:ind w:right="820"/>
        <w:spacing w:after="0" w:line="275" w:lineRule="auto"/>
        <w:rPr>
          <w:sz w:val="20"/>
          <w:szCs w:val="20"/>
          <w:color w:val="auto"/>
        </w:rPr>
      </w:pPr>
      <w:r>
        <w:rPr>
          <w:rFonts w:ascii="Times New Roman" w:cs="Times New Roman" w:eastAsia="Times New Roman" w:hAnsi="Times New Roman"/>
          <w:sz w:val="18"/>
          <w:szCs w:val="18"/>
          <w:color w:val="auto"/>
        </w:rPr>
        <w:t>While market share is important, the Company’s primary goal is to be the most profitable public company in the RV industry. The Company measures profitability by using five guidelines: ROA, ROE, ROIC, operating income as a percent of sales and net income as a percent of sales.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w:t>
      </w:r>
    </w:p>
    <w:p>
      <w:pPr>
        <w:spacing w:after="0" w:line="29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preparing the consolidated financial statements, we follow accounting principles generally accepted in the United States of America, which in many cases require us to make assumptions, estimates and judgments that affect the amounts reported. Actual results could differ from estimates in amounts that may be material to the financial statements. Some of our accounting policies are critical because they are important in determining the financial condition and results of operations. These policies are described below and involve additional management judgment due to the sensitivity of the methods, assumptions and estimates necessary in determining the related income statement, asset and/or liability amounts.</w:t>
      </w:r>
    </w:p>
    <w:p>
      <w:pPr>
        <w:spacing w:after="0" w:line="191"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6"/>
          <w:szCs w:val="16"/>
          <w:b w:val="1"/>
          <w:bCs w:val="1"/>
          <w:color w:val="auto"/>
        </w:rPr>
        <w:t xml:space="preserve">Revenue. </w:t>
      </w:r>
      <w:r>
        <w:rPr>
          <w:rFonts w:ascii="Times New Roman" w:cs="Times New Roman" w:eastAsia="Times New Roman" w:hAnsi="Times New Roman"/>
          <w:sz w:val="16"/>
          <w:szCs w:val="16"/>
          <w:color w:val="auto"/>
        </w:rPr>
        <w:t>Generally, revenues for motor homes are recorded when all of the following conditions are met: an order for a product has been received from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dealer; written or verbal approval for payment has been received from the dealer’s floorplan financing institution; and the product is delivered to the dealer who placed the order. Sales are generally made to dealers who finance their purchases under floorplan financing arrangements with banks or finance companies.</w:t>
      </w:r>
    </w:p>
    <w:p>
      <w:pPr>
        <w:spacing w:after="0" w:line="14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Revenues for the Company’s original equipment manufacturing (OEM) components and recreation vehicle related parts are recorded as the products are shipped from the Company’s location. The title of ownership transfers on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[GRAPHIC]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as they leave the Company’s location due to the freight terms of F.O.B. — Forest City, Iowa.</w:t>
      </w:r>
    </w:p>
    <w:p>
      <w:pPr>
        <w:spacing w:after="0" w:line="22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Postretirement Benefits Obligations and Costs. </w:t>
      </w:r>
      <w:r>
        <w:rPr>
          <w:rFonts w:ascii="Times New Roman" w:cs="Times New Roman" w:eastAsia="Times New Roman" w:hAnsi="Times New Roman"/>
          <w:sz w:val="18"/>
          <w:szCs w:val="18"/>
          <w:color w:val="auto"/>
        </w:rPr>
        <w:t>The Company provides certain health care and other benefits for retired employees, hired before April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2001, who have fulfilled eligibility requirements at age 55 with 15 years of continuous service. Postretirement benefit liabilities are determined by actuaries using assumptions about the discount rate and health care cost-trend rates. A significant increase or decrease in interest rates could have a significant impact on our operating results. Further discussion of our postretirement benefit plan and related assumptions are included in Note 6 to the Company’s 2005 Consolidated Financial Statements.</w:t>
      </w:r>
    </w:p>
    <w:p>
      <w:pPr>
        <w:sectPr>
          <w:pgSz w:w="11900" w:h="16838" w:orient="portrait"/>
          <w:cols w:equalWidth="0" w:num="1">
            <w:col w:w="11380"/>
          </w:cols>
          <w:pgMar w:left="240" w:top="635" w:right="279" w:bottom="0" w:gutter="0" w:footer="0" w:header="0"/>
        </w:sectPr>
      </w:pPr>
    </w:p>
    <w:bookmarkStart w:id="20" w:name="page21"/>
    <w:bookmarkEnd w:id="20"/>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Warranty. </w:t>
      </w:r>
      <w:r>
        <w:rPr>
          <w:rFonts w:ascii="Times New Roman" w:cs="Times New Roman" w:eastAsia="Times New Roman" w:hAnsi="Times New Roman"/>
          <w:sz w:val="18"/>
          <w:szCs w:val="18"/>
          <w:color w:val="auto"/>
        </w:rPr>
        <w:t>The Company offers with the purchase of any new Winnebago or Itasca motor home, a comprehensive 12-month/15,000-mile warranty and a 3-year/36,000-mile warranty on sidewalls and floors. Estimated costs related to product warranty are accrued at the time of sale and included in cost of sales in the Company’s Statements of Income and as a separate line item, Product Warranties, in the Company’s Balance Sheets. Estimates of future warranty costs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w:t>
      </w:r>
    </w:p>
    <w:p>
      <w:pPr>
        <w:spacing w:after="0" w:line="19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to the costs associated with the contractual warranty coverage provided on our motor homes, we also incur costs as a result of additional service actions not covered by our warranties, including product recalls and customer satisfaction actions. The Company estimates the cost of these service actions using past claim rate experiences and the estimated cost of the repairs. Estimated costs are accrued at the time the service action is implemented and included in cost of sales in the Company’s Statements of Income and as other accrued expenses in the Company’s Balance Sheets. See Note 5 to the Company’s 2005 Consolidated Financial Statements for further warranty information.</w:t>
      </w:r>
    </w:p>
    <w:p>
      <w:pPr>
        <w:spacing w:after="0" w:line="19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Repurchase Commitments. </w:t>
      </w:r>
      <w:r>
        <w:rPr>
          <w:rFonts w:ascii="Times New Roman" w:cs="Times New Roman" w:eastAsia="Times New Roman" w:hAnsi="Times New Roman"/>
          <w:sz w:val="18"/>
          <w:szCs w:val="18"/>
          <w:color w:val="auto"/>
        </w:rPr>
        <w:t>Generally, companies in the RV industry enter into repurchase agreements with lending institutions which have provided wholesale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floorplan financing to dealers. The Company’s repurchase agreements provide that, in the event of default by the dealer on the agreement to pay the lending institution, the Company will repurchase the financed motor homes. The agreements also provide that the Company’s liability will not exceed 100 percent of the dealer invoice and provide for periodic liability reductions based on the time since the date of the original invoice. These repurchase obligations generally expire upon the earlier to occur of (i) the dealer’s sale of the financed unit or (ii) one year from the date of the original invoice. The Company’s obligations under these repurchase agreements are reduced by the proceeds received upon the resale of any repurchased unit. The gross repurchase obligation will vary depending on the season and the level of dealer inventories. Past losses under these agreements have not been significant and lender repurchase obligations have been funded out of working capital. (See Note 7 to the Company’s 2005 Consolidated Financial Statements.)</w:t>
      </w:r>
    </w:p>
    <w:p>
      <w:pPr>
        <w:spacing w:after="0" w:line="192"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The Company has reserves for other loss exposures, such as litigation, taxes, product liability, worker’s compensation, employee medical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inventory and accounts receivable. The Company also has loss exposure on loan guarantees. Establishing loss reserves for these matters requires the use of estimates and judgment in regards to risk exposure and ultimate liability. The Company estimates losses under the programs using consistent and appropriate methods; however, changes in assumptions could materially affect the Company’s recorded liabilities for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[GRAPHIC]</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2005 Compared to Fiscal 2004</w:t>
      </w:r>
    </w:p>
    <w:p>
      <w:pPr>
        <w:spacing w:after="0" w:line="29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following is an analysis of changes in key items included in the consolidated statements of income for the year ended August 27, 2005 compared to the year ended August 28, 2004.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 and per share data)</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8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56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562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(Adjusted for the 2-for-1 stock split on March 5, 2004)</w:t>
            </w:r>
          </w:p>
        </w:tc>
        <w:tc>
          <w:tcPr>
            <w:tcW w:w="140" w:type="dxa"/>
            <w:vAlign w:val="bottom"/>
          </w:tcPr>
          <w:p>
            <w:pPr>
              <w:spacing w:after="0"/>
              <w:rPr>
                <w:sz w:val="3"/>
                <w:szCs w:val="3"/>
                <w:color w:val="auto"/>
              </w:rPr>
            </w:pPr>
          </w:p>
        </w:tc>
        <w:tc>
          <w:tcPr>
            <w:tcW w:w="1560" w:type="dxa"/>
            <w:vAlign w:val="bottom"/>
            <w:gridSpan w:val="3"/>
            <w:vMerge w:val="restart"/>
          </w:tcPr>
          <w:p>
            <w:pPr>
              <w:jc w:val="center"/>
              <w:ind w:left="479"/>
              <w:spacing w:after="0" w:line="149" w:lineRule="exact"/>
              <w:rPr>
                <w:sz w:val="20"/>
                <w:szCs w:val="20"/>
                <w:color w:val="auto"/>
              </w:rPr>
            </w:pPr>
            <w:r>
              <w:rPr>
                <w:rFonts w:ascii="Times New Roman" w:cs="Times New Roman" w:eastAsia="Times New Roman" w:hAnsi="Times New Roman"/>
                <w:sz w:val="14"/>
                <w:szCs w:val="14"/>
                <w:b w:val="1"/>
                <w:bCs w:val="1"/>
                <w:color w:val="auto"/>
                <w:w w:val="96"/>
              </w:rPr>
              <w:t>August 27, 2005</w:t>
            </w: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562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560" w:type="dxa"/>
            <w:vAlign w:val="bottom"/>
            <w:gridSpan w:val="3"/>
            <w:vMerge w:val="continue"/>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jc w:val="center"/>
              <w:ind w:left="479"/>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Compared to</w:t>
            </w: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27,</w:t>
            </w:r>
          </w:p>
        </w:tc>
        <w:tc>
          <w:tcPr>
            <w:tcW w:w="10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August 28,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w w:val="96"/>
              </w:rPr>
              <w:t>August 28, 2004</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2005</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2004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4"/>
              </w:rPr>
              <w:t>Increase</w:t>
            </w:r>
          </w:p>
        </w:tc>
        <w:tc>
          <w:tcPr>
            <w:tcW w:w="7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w w:val="95"/>
              </w:rPr>
              <w:t>(Decrease)</w:t>
            </w:r>
          </w:p>
        </w:tc>
        <w:tc>
          <w:tcPr>
            <w:tcW w:w="150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 of Net Revenues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D6F3E8"/>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(122,179)</w:t>
            </w:r>
          </w:p>
        </w:tc>
        <w:tc>
          <w:tcPr>
            <w:tcW w:w="200" w:type="dxa"/>
            <w:vAlign w:val="bottom"/>
            <w:shd w:val="clear" w:color="auto" w:fill="D6F3E8"/>
          </w:tcPr>
          <w:p>
            <w:pPr>
              <w:spacing w:after="0"/>
              <w:rPr>
                <w:sz w:val="18"/>
                <w:szCs w:val="18"/>
                <w:color w:val="auto"/>
              </w:rPr>
            </w:pPr>
          </w:p>
        </w:tc>
        <w:tc>
          <w:tcPr>
            <w:tcW w:w="1500" w:type="dxa"/>
            <w:vAlign w:val="bottom"/>
            <w:gridSpan w:val="2"/>
            <w:shd w:val="clear" w:color="auto" w:fill="D6F3E8"/>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(11.0)%</w:t>
            </w:r>
          </w:p>
        </w:tc>
        <w:tc>
          <w:tcPr>
            <w:tcW w:w="1480" w:type="dxa"/>
            <w:vAlign w:val="bottom"/>
            <w:gridSpan w:val="2"/>
            <w:shd w:val="clear" w:color="auto" w:fill="D6F3E8"/>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(96,988)</w:t>
            </w:r>
          </w:p>
        </w:tc>
        <w:tc>
          <w:tcPr>
            <w:tcW w:w="200" w:type="dxa"/>
            <w:vAlign w:val="bottom"/>
          </w:tcPr>
          <w:p>
            <w:pPr>
              <w:spacing w:after="0"/>
              <w:rPr>
                <w:sz w:val="20"/>
                <w:szCs w:val="20"/>
                <w:color w:val="auto"/>
              </w:rPr>
            </w:pPr>
          </w:p>
        </w:tc>
        <w:tc>
          <w:tcPr>
            <w:tcW w:w="15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(10.2)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(25,191)</w:t>
            </w:r>
          </w:p>
        </w:tc>
        <w:tc>
          <w:tcPr>
            <w:tcW w:w="200" w:type="dxa"/>
            <w:vAlign w:val="bottom"/>
            <w:shd w:val="clear" w:color="auto" w:fill="D6F3E8"/>
          </w:tcPr>
          <w:p>
            <w:pPr>
              <w:spacing w:after="0"/>
              <w:rPr>
                <w:sz w:val="18"/>
                <w:szCs w:val="18"/>
                <w:color w:val="auto"/>
              </w:rPr>
            </w:pPr>
          </w:p>
        </w:tc>
        <w:tc>
          <w:tcPr>
            <w:tcW w:w="150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(15.5)</w:t>
            </w:r>
          </w:p>
        </w:tc>
        <w:tc>
          <w:tcPr>
            <w:tcW w:w="9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13.8</w:t>
            </w:r>
          </w:p>
        </w:tc>
        <w:tc>
          <w:tcPr>
            <w:tcW w:w="5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w:t>
            </w:r>
          </w:p>
        </w:tc>
        <w:tc>
          <w:tcPr>
            <w:tcW w:w="14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(828)</w:t>
            </w:r>
          </w:p>
        </w:tc>
        <w:tc>
          <w:tcPr>
            <w:tcW w:w="200" w:type="dxa"/>
            <w:vAlign w:val="bottom"/>
          </w:tcPr>
          <w:p>
            <w:pPr>
              <w:spacing w:after="0"/>
              <w:rPr>
                <w:sz w:val="18"/>
                <w:szCs w:val="18"/>
                <w:color w:val="auto"/>
              </w:rPr>
            </w:pPr>
          </w:p>
        </w:tc>
        <w:tc>
          <w:tcPr>
            <w:tcW w:w="15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(4.0)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(11,820)</w:t>
            </w:r>
          </w:p>
        </w:tc>
        <w:tc>
          <w:tcPr>
            <w:tcW w:w="200" w:type="dxa"/>
            <w:vAlign w:val="bottom"/>
            <w:shd w:val="clear" w:color="auto" w:fill="D6F3E8"/>
          </w:tcPr>
          <w:p>
            <w:pPr>
              <w:spacing w:after="0"/>
              <w:rPr>
                <w:sz w:val="18"/>
                <w:szCs w:val="18"/>
                <w:color w:val="auto"/>
              </w:rPr>
            </w:pPr>
          </w:p>
        </w:tc>
        <w:tc>
          <w:tcPr>
            <w:tcW w:w="150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(38.6)</w:t>
            </w:r>
          </w:p>
        </w:tc>
        <w:tc>
          <w:tcPr>
            <w:tcW w:w="9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5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24"/>
                <w:szCs w:val="24"/>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(12,543)</w:t>
            </w:r>
          </w:p>
        </w:tc>
        <w:tc>
          <w:tcPr>
            <w:tcW w:w="200" w:type="dxa"/>
            <w:vAlign w:val="bottom"/>
          </w:tcPr>
          <w:p>
            <w:pPr>
              <w:spacing w:after="0"/>
              <w:rPr>
                <w:sz w:val="24"/>
                <w:szCs w:val="24"/>
                <w:color w:val="auto"/>
              </w:rPr>
            </w:pPr>
          </w:p>
        </w:tc>
        <w:tc>
          <w:tcPr>
            <w:tcW w:w="15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(11.3)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14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1,199</w:t>
            </w:r>
          </w:p>
        </w:tc>
        <w:tc>
          <w:tcPr>
            <w:tcW w:w="58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83.5</w:t>
            </w:r>
          </w:p>
        </w:tc>
        <w:tc>
          <w:tcPr>
            <w:tcW w:w="78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c>
          <w:tcPr>
            <w:tcW w:w="5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taxes</w:t>
            </w:r>
          </w:p>
        </w:tc>
        <w:tc>
          <w:tcPr>
            <w:tcW w:w="14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(5,776)</w:t>
            </w:r>
          </w:p>
        </w:tc>
        <w:tc>
          <w:tcPr>
            <w:tcW w:w="200" w:type="dxa"/>
            <w:vAlign w:val="bottom"/>
          </w:tcPr>
          <w:p>
            <w:pPr>
              <w:spacing w:after="0"/>
              <w:rPr>
                <w:sz w:val="20"/>
                <w:szCs w:val="20"/>
                <w:color w:val="auto"/>
              </w:rPr>
            </w:pPr>
          </w:p>
        </w:tc>
        <w:tc>
          <w:tcPr>
            <w:tcW w:w="15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(13.9)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D6F3E8"/>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(5,568)</w:t>
            </w:r>
          </w:p>
        </w:tc>
        <w:tc>
          <w:tcPr>
            <w:tcW w:w="200" w:type="dxa"/>
            <w:vAlign w:val="bottom"/>
            <w:shd w:val="clear" w:color="auto" w:fill="D6F3E8"/>
          </w:tcPr>
          <w:p>
            <w:pPr>
              <w:spacing w:after="0"/>
              <w:rPr>
                <w:sz w:val="18"/>
                <w:szCs w:val="18"/>
                <w:color w:val="auto"/>
              </w:rPr>
            </w:pPr>
          </w:p>
        </w:tc>
        <w:tc>
          <w:tcPr>
            <w:tcW w:w="1500" w:type="dxa"/>
            <w:vAlign w:val="bottom"/>
            <w:gridSpan w:val="2"/>
            <w:shd w:val="clear" w:color="auto" w:fill="D6F3E8"/>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(7.9)%</w:t>
            </w:r>
          </w:p>
        </w:tc>
        <w:tc>
          <w:tcPr>
            <w:tcW w:w="9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5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60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(0.11)</w:t>
            </w:r>
          </w:p>
        </w:tc>
        <w:tc>
          <w:tcPr>
            <w:tcW w:w="200" w:type="dxa"/>
            <w:vAlign w:val="bottom"/>
          </w:tcPr>
          <w:p>
            <w:pPr>
              <w:spacing w:after="0"/>
              <w:rPr>
                <w:sz w:val="24"/>
                <w:szCs w:val="24"/>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(5.4)%</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Fully diluted average shares outstanding</w:t>
            </w:r>
          </w:p>
        </w:tc>
        <w:tc>
          <w:tcPr>
            <w:tcW w:w="14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(977)</w:t>
            </w:r>
          </w:p>
        </w:tc>
        <w:tc>
          <w:tcPr>
            <w:tcW w:w="200" w:type="dxa"/>
            <w:vAlign w:val="bottom"/>
            <w:shd w:val="clear" w:color="auto" w:fill="D6F3E8"/>
          </w:tcPr>
          <w:p>
            <w:pPr>
              <w:spacing w:after="0"/>
              <w:rPr>
                <w:sz w:val="18"/>
                <w:szCs w:val="18"/>
                <w:color w:val="auto"/>
              </w:rPr>
            </w:pPr>
          </w:p>
        </w:tc>
        <w:tc>
          <w:tcPr>
            <w:tcW w:w="1500" w:type="dxa"/>
            <w:vAlign w:val="bottom"/>
            <w:gridSpan w:val="2"/>
            <w:shd w:val="clear" w:color="auto" w:fill="D6F3E8"/>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(2.8)%</w:t>
            </w:r>
          </w:p>
        </w:tc>
        <w:tc>
          <w:tcPr>
            <w:tcW w:w="92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-629285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-629285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-629285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-629285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-629285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-629285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-629285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-629285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-329565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-329565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-329565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-329565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3" w:right="239" w:bottom="0" w:gutter="0" w:footer="0" w:header="0"/>
        </w:sectPr>
      </w:pPr>
    </w:p>
    <w:bookmarkStart w:id="21" w:name="page22"/>
    <w:bookmarkEnd w:id="21"/>
    <w:p>
      <w:pPr>
        <w:spacing w:after="0" w:line="62"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Net revenues for the 52 weeks ended August 27, 2005 decreased 11.0 percent to $992.0 million compared to $1.1 billion for the fiscal year ended August 28, 2004.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 deliveries consisted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August 27, 2005</w:t>
            </w:r>
          </w:p>
        </w:tc>
        <w:tc>
          <w:tcPr>
            <w:tcW w:w="860" w:type="dxa"/>
            <w:vAlign w:val="bottom"/>
          </w:tcPr>
          <w:p>
            <w:pPr>
              <w:spacing w:after="0"/>
              <w:rPr>
                <w:sz w:val="22"/>
                <w:szCs w:val="22"/>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August 28, 2004</w:t>
            </w:r>
          </w:p>
        </w:tc>
        <w:tc>
          <w:tcPr>
            <w:tcW w:w="1880" w:type="dxa"/>
            <w:vAlign w:val="bottom"/>
            <w:gridSpan w:val="2"/>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Class A motor homes (gas)</w:t>
            </w:r>
          </w:p>
        </w:tc>
        <w:tc>
          <w:tcPr>
            <w:tcW w:w="9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4,527</w:t>
            </w:r>
          </w:p>
        </w:tc>
        <w:tc>
          <w:tcPr>
            <w:tcW w:w="1860" w:type="dxa"/>
            <w:vAlign w:val="bottom"/>
            <w:gridSpan w:val="3"/>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5,277</w:t>
            </w:r>
          </w:p>
        </w:tc>
        <w:tc>
          <w:tcPr>
            <w:tcW w:w="860" w:type="dxa"/>
            <w:vAlign w:val="bottom"/>
            <w:shd w:val="clear" w:color="auto" w:fill="D6F3E8"/>
          </w:tcPr>
          <w:p>
            <w:pPr>
              <w:spacing w:after="0"/>
              <w:rPr>
                <w:sz w:val="18"/>
                <w:szCs w:val="18"/>
                <w:color w:val="auto"/>
              </w:rPr>
            </w:pPr>
          </w:p>
        </w:tc>
        <w:tc>
          <w:tcPr>
            <w:tcW w:w="1880" w:type="dxa"/>
            <w:vAlign w:val="bottom"/>
            <w:gridSpan w:val="2"/>
            <w:shd w:val="clear" w:color="auto" w:fill="D6F3E8"/>
          </w:tcPr>
          <w:p>
            <w:pPr>
              <w:jc w:val="right"/>
              <w:ind w:right="820"/>
              <w:spacing w:after="0"/>
              <w:rPr>
                <w:sz w:val="20"/>
                <w:szCs w:val="20"/>
                <w:color w:val="auto"/>
              </w:rPr>
            </w:pPr>
            <w:r>
              <w:rPr>
                <w:rFonts w:ascii="Times New Roman" w:cs="Times New Roman" w:eastAsia="Times New Roman" w:hAnsi="Times New Roman"/>
                <w:sz w:val="18"/>
                <w:szCs w:val="18"/>
                <w:color w:val="auto"/>
              </w:rPr>
              <w:t>(750)</w:t>
            </w:r>
          </w:p>
        </w:tc>
        <w:tc>
          <w:tcPr>
            <w:tcW w:w="1260" w:type="dxa"/>
            <w:vAlign w:val="bottom"/>
            <w:gridSpan w:val="2"/>
            <w:shd w:val="clear" w:color="auto" w:fill="D6F3E8"/>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Class A motor homes (diesel)</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2,147</w:t>
            </w: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2,831</w:t>
            </w:r>
          </w:p>
        </w:tc>
        <w:tc>
          <w:tcPr>
            <w:tcW w:w="860" w:type="dxa"/>
            <w:vAlign w:val="bottom"/>
          </w:tcPr>
          <w:p>
            <w:pPr>
              <w:spacing w:after="0"/>
              <w:rPr>
                <w:sz w:val="18"/>
                <w:szCs w:val="18"/>
                <w:color w:val="auto"/>
              </w:rPr>
            </w:pPr>
          </w:p>
        </w:tc>
        <w:tc>
          <w:tcPr>
            <w:tcW w:w="18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(684)</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Class C motor homes</w:t>
            </w:r>
          </w:p>
        </w:tc>
        <w:tc>
          <w:tcPr>
            <w:tcW w:w="9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3,963</w:t>
            </w:r>
          </w:p>
        </w:tc>
        <w:tc>
          <w:tcPr>
            <w:tcW w:w="1860" w:type="dxa"/>
            <w:vAlign w:val="bottom"/>
            <w:gridSpan w:val="3"/>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4,408</w:t>
            </w:r>
          </w:p>
        </w:tc>
        <w:tc>
          <w:tcPr>
            <w:tcW w:w="860" w:type="dxa"/>
            <w:vAlign w:val="bottom"/>
            <w:shd w:val="clear" w:color="auto" w:fill="D6F3E8"/>
          </w:tcPr>
          <w:p>
            <w:pPr>
              <w:spacing w:after="0"/>
              <w:rPr>
                <w:sz w:val="18"/>
                <w:szCs w:val="18"/>
                <w:color w:val="auto"/>
              </w:rPr>
            </w:pPr>
          </w:p>
        </w:tc>
        <w:tc>
          <w:tcPr>
            <w:tcW w:w="1880" w:type="dxa"/>
            <w:vAlign w:val="bottom"/>
            <w:gridSpan w:val="2"/>
            <w:shd w:val="clear" w:color="auto" w:fill="D6F3E8"/>
          </w:tcPr>
          <w:p>
            <w:pPr>
              <w:jc w:val="right"/>
              <w:ind w:right="820"/>
              <w:spacing w:after="0"/>
              <w:rPr>
                <w:sz w:val="20"/>
                <w:szCs w:val="20"/>
                <w:color w:val="auto"/>
              </w:rPr>
            </w:pPr>
            <w:r>
              <w:rPr>
                <w:rFonts w:ascii="Times New Roman" w:cs="Times New Roman" w:eastAsia="Times New Roman" w:hAnsi="Times New Roman"/>
                <w:sz w:val="18"/>
                <w:szCs w:val="18"/>
                <w:color w:val="auto"/>
              </w:rPr>
              <w:t>(445)</w:t>
            </w:r>
          </w:p>
        </w:tc>
        <w:tc>
          <w:tcPr>
            <w:tcW w:w="1260" w:type="dxa"/>
            <w:vAlign w:val="bottom"/>
            <w:gridSpan w:val="2"/>
            <w:shd w:val="clear" w:color="auto" w:fill="D6F3E8"/>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08"/>
        </w:trPr>
        <w:tc>
          <w:tcPr>
            <w:tcW w:w="4580" w:type="dxa"/>
            <w:vAlign w:val="bottom"/>
            <w:gridSpan w:val="2"/>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deliveries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10,637</w:t>
            </w: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12,516</w:t>
            </w:r>
          </w:p>
        </w:tc>
        <w:tc>
          <w:tcPr>
            <w:tcW w:w="860" w:type="dxa"/>
            <w:vAlign w:val="bottom"/>
          </w:tcPr>
          <w:p>
            <w:pPr>
              <w:spacing w:after="0"/>
              <w:rPr>
                <w:sz w:val="24"/>
                <w:szCs w:val="24"/>
                <w:color w:val="auto"/>
              </w:rPr>
            </w:pPr>
          </w:p>
        </w:tc>
        <w:tc>
          <w:tcPr>
            <w:tcW w:w="188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color w:val="auto"/>
              </w:rPr>
              <w:t>(1,879)</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Revenues decreased 11.0 percent during the fiscal year ended August 27, 2005, while unit deliveries decreased 15.0 percent. The percentage decrease in net revenues was less than the percentage decrease in unit deliveries due to an increase in the average sales price per unit when comparing the two fiscal years. In Fiscal 2005, the decrease in deliveries, especially in Class A motor homes, which are higher priced, was a result of lower consumer confidence caused primarily by increases in fuel costs.</w:t>
      </w:r>
    </w:p>
    <w:p>
      <w:pPr>
        <w:spacing w:after="0" w:line="1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Gross profit as a percentage of net revenue decreased 0.8 percent from Fiscal 2004 to Fiscal 2005. The gross profit percentage of 13.8 percent for Fiscal 2005 was unfavorably impacted by a decrease in production volume which increased fixed costs per unit of production and resulted in a decline in manufacturing efficiencies. Partially offsetting this decrease was a reduction in net postretirement health care benefit expense of $6.0 million due to a plan amendment made at the beginning of the fiscal year which established maximum employer contributions to be paid in Fiscal 2005 and subsequent years.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expenses decreased 4.0 percent or $828,000 from Fiscal 2004 to Fiscal 2005. The decrease was primarily a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[GRAPHIC]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reduction in incentive compensation to the Company’s field sales force and a reduction in net postretirement health care benefit expense.</w:t>
      </w:r>
    </w:p>
    <w:p>
      <w:pPr>
        <w:spacing w:after="0" w:line="225" w:lineRule="exact"/>
        <w:rPr>
          <w:sz w:val="20"/>
          <w:szCs w:val="20"/>
          <w:color w:val="auto"/>
        </w:rPr>
      </w:pPr>
    </w:p>
    <w:p>
      <w:pPr>
        <w:jc w:val="both"/>
        <w:ind w:right="400"/>
        <w:spacing w:after="0" w:line="310" w:lineRule="auto"/>
        <w:rPr>
          <w:sz w:val="20"/>
          <w:szCs w:val="20"/>
          <w:color w:val="auto"/>
        </w:rPr>
      </w:pPr>
      <w:r>
        <w:rPr>
          <w:rFonts w:ascii="Times New Roman" w:cs="Times New Roman" w:eastAsia="Times New Roman" w:hAnsi="Times New Roman"/>
          <w:sz w:val="16"/>
          <w:szCs w:val="16"/>
          <w:color w:val="auto"/>
        </w:rPr>
        <w:t>General and administrative expenses decreased 38.6 percent or $11.8 million from Fiscal 2004 to Fiscal 2005. The decrease was primarily a result of a $7.3 million charge that was recorded in Fiscal 2004 in connection with a lawsuit settlement relating to deferred compensation, a reduction of approximately $4.2 million in management incentive compensation costs and a reduction in net postretirement health care benefit expense, both in Fiscal 2005.</w:t>
      </w:r>
    </w:p>
    <w:p>
      <w:pPr>
        <w:spacing w:after="0" w:line="151" w:lineRule="exact"/>
        <w:rPr>
          <w:sz w:val="20"/>
          <w:szCs w:val="20"/>
          <w:color w:val="auto"/>
        </w:rPr>
      </w:pPr>
    </w:p>
    <w:p>
      <w:pPr>
        <w:ind w:right="380"/>
        <w:spacing w:after="0" w:line="339" w:lineRule="auto"/>
        <w:rPr>
          <w:sz w:val="20"/>
          <w:szCs w:val="20"/>
          <w:color w:val="auto"/>
        </w:rPr>
      </w:pPr>
      <w:r>
        <w:rPr>
          <w:rFonts w:ascii="Times New Roman" w:cs="Times New Roman" w:eastAsia="Times New Roman" w:hAnsi="Times New Roman"/>
          <w:sz w:val="16"/>
          <w:szCs w:val="16"/>
          <w:color w:val="auto"/>
        </w:rPr>
        <w:t>Financial income increased 83.5 percent when comparing Fiscal 2005 ($2.6 million) to Fiscal 2004 ($1.4 million). The increase in financial income when comparing the two periods was due primarily to a higher average rate of return and more cash available for investing during the year ended August 27, 2005.</w:t>
      </w:r>
    </w:p>
    <w:p>
      <w:pPr>
        <w:spacing w:after="0" w:line="128"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color w:val="auto"/>
        </w:rPr>
        <w:t>The overall effective income tax rate decreased to 35.5 percent for Fiscal 2005 from 37.1 percent for Fiscal 2004. The decrease was primarily due to the elimination of nondeductible losses in Winnebago Health Care Management Company, a subsidiary of the Company.</w:t>
      </w:r>
    </w:p>
    <w:p>
      <w:pPr>
        <w:spacing w:after="0" w:line="17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Net income and earnings per diluted share decreased by 7.9 percent and 5.4 percent, respectively, when comparing the year ended August 27, 2005 to the year ended August 28, 2004. The difference in percentages was primarily due to a lower number of outstanding shares of the Company’s common stock during the fiscal year ended August 27, 2005 as a result of the repurchases of approximately 860,000 shares of the Company’s common stock. (See Consolidated Statements of Changes in Stockholder’s Equity in the Company’s 2005 Consolidated 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2004 Compared to Fiscal 2003</w:t>
      </w:r>
    </w:p>
    <w:p>
      <w:pPr>
        <w:spacing w:after="0" w:line="308"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following is an analysis of changes in key items included in the consolidated statements of income for the year ended August 28, 2004 compared to the year ended August 30, 2003.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 and per share data)</w:t>
            </w: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8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562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562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(Adjusted for the 2-for-1 stock split on March 5, 2004)</w:t>
            </w:r>
          </w:p>
        </w:tc>
        <w:tc>
          <w:tcPr>
            <w:tcW w:w="1700" w:type="dxa"/>
            <w:vAlign w:val="bottom"/>
            <w:gridSpan w:val="3"/>
            <w:vMerge w:val="restart"/>
          </w:tcPr>
          <w:p>
            <w:pPr>
              <w:jc w:val="center"/>
              <w:ind w:left="621"/>
              <w:spacing w:after="0" w:line="149" w:lineRule="exact"/>
              <w:rPr>
                <w:sz w:val="20"/>
                <w:szCs w:val="20"/>
                <w:color w:val="auto"/>
              </w:rPr>
            </w:pPr>
            <w:r>
              <w:rPr>
                <w:rFonts w:ascii="Times New Roman" w:cs="Times New Roman" w:eastAsia="Times New Roman" w:hAnsi="Times New Roman"/>
                <w:sz w:val="14"/>
                <w:szCs w:val="14"/>
                <w:b w:val="1"/>
                <w:bCs w:val="1"/>
                <w:color w:val="auto"/>
                <w:w w:val="96"/>
              </w:rPr>
              <w:t>August 28, 2004</w:t>
            </w: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5620" w:type="dxa"/>
            <w:vAlign w:val="bottom"/>
            <w:gridSpan w:val="2"/>
            <w:vMerge w:val="continue"/>
          </w:tcPr>
          <w:p>
            <w:pPr>
              <w:spacing w:after="0"/>
              <w:rPr>
                <w:sz w:val="7"/>
                <w:szCs w:val="7"/>
                <w:color w:val="auto"/>
              </w:rPr>
            </w:pPr>
          </w:p>
        </w:tc>
        <w:tc>
          <w:tcPr>
            <w:tcW w:w="1700" w:type="dxa"/>
            <w:vAlign w:val="bottom"/>
            <w:gridSpan w:val="3"/>
            <w:vMerge w:val="continue"/>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700" w:type="dxa"/>
            <w:vAlign w:val="bottom"/>
            <w:gridSpan w:val="3"/>
          </w:tcPr>
          <w:p>
            <w:pPr>
              <w:jc w:val="center"/>
              <w:ind w:left="621"/>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Compared to</w:t>
            </w: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80" w:type="dxa"/>
            <w:vAlign w:val="bottom"/>
            <w:gridSpan w:val="3"/>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August 28,</w:t>
            </w:r>
          </w:p>
        </w:tc>
        <w:tc>
          <w:tcPr>
            <w:tcW w:w="10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August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700" w:type="dxa"/>
            <w:vAlign w:val="bottom"/>
            <w:gridSpan w:val="3"/>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w w:val="96"/>
              </w:rPr>
              <w:t>August 30, 2003</w:t>
            </w: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2004</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70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4"/>
              </w:rPr>
              <w:t>Increase</w:t>
            </w:r>
          </w:p>
        </w:tc>
        <w:tc>
          <w:tcPr>
            <w:tcW w:w="72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170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5"/>
              </w:rPr>
              <w:t>(Decrease)</w:t>
            </w:r>
          </w:p>
        </w:tc>
        <w:tc>
          <w:tcPr>
            <w:tcW w:w="150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 of Net Revenues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500" w:type="dxa"/>
            <w:vAlign w:val="bottom"/>
            <w:gridSpan w:val="2"/>
            <w:shd w:val="clear" w:color="auto" w:fill="D6F3E8"/>
          </w:tcPr>
          <w:p>
            <w:pPr>
              <w:jc w:val="right"/>
              <w:ind w:right="580"/>
              <w:spacing w:after="0"/>
              <w:rPr>
                <w:sz w:val="20"/>
                <w:szCs w:val="20"/>
                <w:color w:val="auto"/>
              </w:rPr>
            </w:pPr>
            <w:r>
              <w:rPr>
                <w:rFonts w:ascii="Times New Roman" w:cs="Times New Roman" w:eastAsia="Times New Roman" w:hAnsi="Times New Roman"/>
                <w:sz w:val="18"/>
                <w:szCs w:val="18"/>
                <w:color w:val="auto"/>
              </w:rPr>
              <w:t>$   268,944</w:t>
            </w:r>
          </w:p>
        </w:tc>
        <w:tc>
          <w:tcPr>
            <w:tcW w:w="200" w:type="dxa"/>
            <w:vAlign w:val="bottom"/>
            <w:shd w:val="clear" w:color="auto" w:fill="D6F3E8"/>
          </w:tcPr>
          <w:p>
            <w:pPr>
              <w:spacing w:after="0"/>
              <w:rPr>
                <w:sz w:val="18"/>
                <w:szCs w:val="18"/>
                <w:color w:val="auto"/>
              </w:rPr>
            </w:pPr>
          </w:p>
        </w:tc>
        <w:tc>
          <w:tcPr>
            <w:tcW w:w="1500" w:type="dxa"/>
            <w:vAlign w:val="bottom"/>
            <w:gridSpan w:val="2"/>
            <w:shd w:val="clear" w:color="auto" w:fill="D6F3E8"/>
          </w:tcPr>
          <w:p>
            <w:pPr>
              <w:jc w:val="right"/>
              <w:ind w:right="640"/>
              <w:spacing w:after="0"/>
              <w:rPr>
                <w:sz w:val="20"/>
                <w:szCs w:val="20"/>
                <w:color w:val="auto"/>
              </w:rPr>
            </w:pPr>
            <w:r>
              <w:rPr>
                <w:rFonts w:ascii="Times New Roman" w:cs="Times New Roman" w:eastAsia="Times New Roman" w:hAnsi="Times New Roman"/>
                <w:sz w:val="18"/>
                <w:szCs w:val="18"/>
                <w:color w:val="auto"/>
              </w:rPr>
              <w:t>31.8%</w:t>
            </w:r>
          </w:p>
        </w:tc>
        <w:tc>
          <w:tcPr>
            <w:tcW w:w="1480" w:type="dxa"/>
            <w:vAlign w:val="bottom"/>
            <w:gridSpan w:val="2"/>
            <w:shd w:val="clear" w:color="auto" w:fill="D6F3E8"/>
          </w:tcPr>
          <w:p>
            <w:pPr>
              <w:jc w:val="right"/>
              <w:ind w:right="4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220,153</w:t>
            </w:r>
          </w:p>
        </w:tc>
        <w:tc>
          <w:tcPr>
            <w:tcW w:w="200" w:type="dxa"/>
            <w:vAlign w:val="bottom"/>
          </w:tcPr>
          <w:p>
            <w:pPr>
              <w:spacing w:after="0"/>
              <w:rPr>
                <w:sz w:val="19"/>
                <w:szCs w:val="19"/>
                <w:color w:val="auto"/>
              </w:rPr>
            </w:pPr>
          </w:p>
        </w:tc>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30.1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00" w:type="dxa"/>
            <w:vAlign w:val="bottom"/>
            <w:gridSpan w:val="2"/>
            <w:shd w:val="clear" w:color="auto" w:fill="D6F3E8"/>
          </w:tcPr>
          <w:p>
            <w:pPr>
              <w:jc w:val="right"/>
              <w:ind w:right="580"/>
              <w:spacing w:after="0"/>
              <w:rPr>
                <w:sz w:val="20"/>
                <w:szCs w:val="20"/>
                <w:color w:val="auto"/>
              </w:rPr>
            </w:pPr>
            <w:r>
              <w:rPr>
                <w:rFonts w:ascii="Times New Roman" w:cs="Times New Roman" w:eastAsia="Times New Roman" w:hAnsi="Times New Roman"/>
                <w:sz w:val="18"/>
                <w:szCs w:val="18"/>
                <w:color w:val="auto"/>
              </w:rPr>
              <w:t>48,791</w:t>
            </w:r>
          </w:p>
        </w:tc>
        <w:tc>
          <w:tcPr>
            <w:tcW w:w="200" w:type="dxa"/>
            <w:vAlign w:val="bottom"/>
            <w:shd w:val="clear" w:color="auto" w:fill="D6F3E8"/>
          </w:tcPr>
          <w:p>
            <w:pPr>
              <w:spacing w:after="0"/>
              <w:rPr>
                <w:sz w:val="18"/>
                <w:szCs w:val="18"/>
                <w:color w:val="auto"/>
              </w:rPr>
            </w:pPr>
          </w:p>
        </w:tc>
        <w:tc>
          <w:tcPr>
            <w:tcW w:w="1500" w:type="dxa"/>
            <w:vAlign w:val="bottom"/>
            <w:gridSpan w:val="2"/>
            <w:shd w:val="clear" w:color="auto" w:fill="D6F3E8"/>
          </w:tcPr>
          <w:p>
            <w:pPr>
              <w:jc w:val="right"/>
              <w:ind w:right="780"/>
              <w:spacing w:after="0"/>
              <w:rPr>
                <w:sz w:val="20"/>
                <w:szCs w:val="20"/>
                <w:color w:val="auto"/>
              </w:rPr>
            </w:pPr>
            <w:r>
              <w:rPr>
                <w:rFonts w:ascii="Times New Roman" w:cs="Times New Roman" w:eastAsia="Times New Roman" w:hAnsi="Times New Roman"/>
                <w:sz w:val="18"/>
                <w:szCs w:val="18"/>
                <w:color w:val="auto"/>
              </w:rPr>
              <w:t>43.0</w:t>
            </w:r>
          </w:p>
        </w:tc>
        <w:tc>
          <w:tcPr>
            <w:tcW w:w="9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5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Selling</w:t>
            </w: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1,011</w:t>
            </w:r>
          </w:p>
        </w:tc>
        <w:tc>
          <w:tcPr>
            <w:tcW w:w="200" w:type="dxa"/>
            <w:vAlign w:val="bottom"/>
          </w:tcPr>
          <w:p>
            <w:pPr>
              <w:spacing w:after="0"/>
              <w:rPr>
                <w:sz w:val="18"/>
                <w:szCs w:val="18"/>
                <w:color w:val="auto"/>
              </w:rPr>
            </w:pPr>
          </w:p>
        </w:tc>
        <w:tc>
          <w:tcPr>
            <w:tcW w:w="15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5.1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00" w:type="dxa"/>
            <w:vAlign w:val="bottom"/>
            <w:gridSpan w:val="2"/>
            <w:shd w:val="clear" w:color="auto" w:fill="D6F3E8"/>
          </w:tcPr>
          <w:p>
            <w:pPr>
              <w:jc w:val="right"/>
              <w:ind w:right="580"/>
              <w:spacing w:after="0"/>
              <w:rPr>
                <w:sz w:val="20"/>
                <w:szCs w:val="20"/>
                <w:color w:val="auto"/>
              </w:rPr>
            </w:pPr>
            <w:r>
              <w:rPr>
                <w:rFonts w:ascii="Times New Roman" w:cs="Times New Roman" w:eastAsia="Times New Roman" w:hAnsi="Times New Roman"/>
                <w:sz w:val="18"/>
                <w:szCs w:val="18"/>
                <w:color w:val="auto"/>
              </w:rPr>
              <w:t>14,276</w:t>
            </w:r>
          </w:p>
        </w:tc>
        <w:tc>
          <w:tcPr>
            <w:tcW w:w="200" w:type="dxa"/>
            <w:vAlign w:val="bottom"/>
            <w:shd w:val="clear" w:color="auto" w:fill="D6F3E8"/>
          </w:tcPr>
          <w:p>
            <w:pPr>
              <w:spacing w:after="0"/>
              <w:rPr>
                <w:sz w:val="18"/>
                <w:szCs w:val="18"/>
                <w:color w:val="auto"/>
              </w:rPr>
            </w:pPr>
          </w:p>
        </w:tc>
        <w:tc>
          <w:tcPr>
            <w:tcW w:w="1500" w:type="dxa"/>
            <w:vAlign w:val="bottom"/>
            <w:gridSpan w:val="2"/>
            <w:shd w:val="clear" w:color="auto" w:fill="D6F3E8"/>
          </w:tcPr>
          <w:p>
            <w:pPr>
              <w:jc w:val="right"/>
              <w:ind w:right="780"/>
              <w:spacing w:after="0"/>
              <w:rPr>
                <w:sz w:val="20"/>
                <w:szCs w:val="20"/>
                <w:color w:val="auto"/>
              </w:rPr>
            </w:pPr>
            <w:r>
              <w:rPr>
                <w:rFonts w:ascii="Times New Roman" w:cs="Times New Roman" w:eastAsia="Times New Roman" w:hAnsi="Times New Roman"/>
                <w:sz w:val="18"/>
                <w:szCs w:val="18"/>
                <w:color w:val="auto"/>
              </w:rPr>
              <w:t>87.4</w:t>
            </w:r>
          </w:p>
        </w:tc>
        <w:tc>
          <w:tcPr>
            <w:tcW w:w="9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20" w:type="dxa"/>
            <w:vAlign w:val="bottom"/>
            <w:gridSpan w:val="2"/>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4"/>
        </w:trPr>
        <w:tc>
          <w:tcPr>
            <w:tcW w:w="5620" w:type="dxa"/>
            <w:vAlign w:val="bottom"/>
            <w:tcBorders>
              <w:bottom w:val="single" w:sz="8" w:color="D6F3E8"/>
            </w:tcBorders>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00" w:type="dxa"/>
            <w:vAlign w:val="bottom"/>
            <w:tcBorders>
              <w:bottom w:val="single" w:sz="8" w:color="D6F3E8"/>
            </w:tcBorders>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33,504</w:t>
            </w:r>
          </w:p>
        </w:tc>
        <w:tc>
          <w:tcPr>
            <w:tcW w:w="200" w:type="dxa"/>
            <w:vAlign w:val="bottom"/>
            <w:tcBorders>
              <w:bottom w:val="single" w:sz="8" w:color="D6F3E8"/>
            </w:tcBorders>
          </w:tcPr>
          <w:p>
            <w:pPr>
              <w:spacing w:after="0"/>
              <w:rPr>
                <w:sz w:val="24"/>
                <w:szCs w:val="24"/>
                <w:color w:val="auto"/>
              </w:rPr>
            </w:pPr>
          </w:p>
        </w:tc>
        <w:tc>
          <w:tcPr>
            <w:tcW w:w="1500" w:type="dxa"/>
            <w:vAlign w:val="bottom"/>
            <w:tcBorders>
              <w:bottom w:val="single" w:sz="8" w:color="D6F3E8"/>
            </w:tcBorders>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43.3</w:t>
            </w:r>
          </w:p>
        </w:tc>
        <w:tc>
          <w:tcPr>
            <w:tcW w:w="920" w:type="dxa"/>
            <w:vAlign w:val="bottom"/>
            <w:tcBorders>
              <w:bottom w:val="single" w:sz="8" w:color="D6F3E8"/>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Borders>
              <w:bottom w:val="single" w:sz="8" w:color="D6F3E8"/>
            </w:tcBorders>
          </w:tcPr>
          <w:p>
            <w:pPr>
              <w:spacing w:after="0"/>
              <w:rPr>
                <w:sz w:val="24"/>
                <w:szCs w:val="24"/>
                <w:color w:val="auto"/>
              </w:rPr>
            </w:pPr>
          </w:p>
        </w:tc>
        <w:tc>
          <w:tcPr>
            <w:tcW w:w="100" w:type="dxa"/>
            <w:vAlign w:val="bottom"/>
            <w:tcBorders>
              <w:bottom w:val="single" w:sz="8" w:color="D6F3E8"/>
            </w:tcBorders>
          </w:tcPr>
          <w:p>
            <w:pPr>
              <w:spacing w:after="0"/>
              <w:rPr>
                <w:sz w:val="24"/>
                <w:szCs w:val="24"/>
                <w:color w:val="auto"/>
              </w:rPr>
            </w:pPr>
          </w:p>
        </w:tc>
        <w:tc>
          <w:tcPr>
            <w:tcW w:w="800" w:type="dxa"/>
            <w:vAlign w:val="bottom"/>
            <w:tcBorders>
              <w:bottom w:val="single" w:sz="8" w:color="D6F3E8"/>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Borders>
              <w:bottom w:val="single" w:sz="8" w:color="D6F3E8"/>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280" w:type="dxa"/>
            <w:vAlign w:val="bottom"/>
            <w:shd w:val="clear" w:color="auto" w:fill="D6F3E8"/>
          </w:tcPr>
          <w:p>
            <w:pPr>
              <w:spacing w:after="0"/>
              <w:rPr>
                <w:sz w:val="18"/>
                <w:szCs w:val="18"/>
                <w:color w:val="auto"/>
              </w:rPr>
            </w:pPr>
          </w:p>
        </w:tc>
        <w:tc>
          <w:tcPr>
            <w:tcW w:w="6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58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78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6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taxes</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5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7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income before discontinued operations</w:t>
            </w:r>
          </w:p>
        </w:tc>
        <w:tc>
          <w:tcPr>
            <w:tcW w:w="280" w:type="dxa"/>
            <w:vAlign w:val="bottom"/>
            <w:shd w:val="clear" w:color="auto" w:fill="D6F3E8"/>
          </w:tcPr>
          <w:p>
            <w:pPr>
              <w:spacing w:after="0"/>
              <w:rPr>
                <w:sz w:val="18"/>
                <w:szCs w:val="18"/>
                <w:color w:val="auto"/>
              </w:rPr>
            </w:pPr>
          </w:p>
        </w:tc>
        <w:tc>
          <w:tcPr>
            <w:tcW w:w="6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21,909</w:t>
            </w:r>
          </w:p>
        </w:tc>
        <w:tc>
          <w:tcPr>
            <w:tcW w:w="58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78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6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28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(1,152)</w:t>
            </w:r>
          </w:p>
        </w:tc>
        <w:tc>
          <w:tcPr>
            <w:tcW w:w="17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(100.0)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D6F3E8"/>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20,757</w:t>
            </w:r>
          </w:p>
        </w:tc>
        <w:tc>
          <w:tcPr>
            <w:tcW w:w="580" w:type="dxa"/>
            <w:vAlign w:val="bottom"/>
            <w:shd w:val="clear" w:color="auto" w:fill="D6F3E8"/>
          </w:tcPr>
          <w:p>
            <w:pPr>
              <w:spacing w:after="0"/>
              <w:rPr>
                <w:sz w:val="18"/>
                <w:szCs w:val="18"/>
                <w:color w:val="auto"/>
              </w:rPr>
            </w:pPr>
          </w:p>
        </w:tc>
        <w:tc>
          <w:tcPr>
            <w:tcW w:w="1700" w:type="dxa"/>
            <w:vAlign w:val="bottom"/>
            <w:gridSpan w:val="2"/>
            <w:shd w:val="clear" w:color="auto" w:fill="D6F3E8"/>
          </w:tcPr>
          <w:p>
            <w:pPr>
              <w:jc w:val="right"/>
              <w:ind w:right="640"/>
              <w:spacing w:after="0"/>
              <w:rPr>
                <w:sz w:val="20"/>
                <w:szCs w:val="20"/>
                <w:color w:val="auto"/>
              </w:rPr>
            </w:pPr>
            <w:r>
              <w:rPr>
                <w:rFonts w:ascii="Times New Roman" w:cs="Times New Roman" w:eastAsia="Times New Roman" w:hAnsi="Times New Roman"/>
                <w:sz w:val="18"/>
                <w:szCs w:val="18"/>
                <w:color w:val="auto"/>
              </w:rPr>
              <w:t>41.6%</w:t>
            </w:r>
          </w:p>
        </w:tc>
        <w:tc>
          <w:tcPr>
            <w:tcW w:w="9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6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60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580" w:type="dxa"/>
            <w:vAlign w:val="bottom"/>
          </w:tcPr>
          <w:p>
            <w:pPr>
              <w:spacing w:after="0"/>
              <w:rPr>
                <w:sz w:val="24"/>
                <w:szCs w:val="24"/>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52.6%</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Fully diluted average shares outstanding</w:t>
            </w:r>
          </w:p>
        </w:tc>
        <w:tc>
          <w:tcPr>
            <w:tcW w:w="28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520"/>
              <w:spacing w:after="0"/>
              <w:rPr>
                <w:sz w:val="20"/>
                <w:szCs w:val="20"/>
                <w:color w:val="auto"/>
              </w:rPr>
            </w:pPr>
            <w:r>
              <w:rPr>
                <w:rFonts w:ascii="Times New Roman" w:cs="Times New Roman" w:eastAsia="Times New Roman" w:hAnsi="Times New Roman"/>
                <w:sz w:val="18"/>
                <w:szCs w:val="18"/>
                <w:color w:val="auto"/>
              </w:rPr>
              <w:t>(2,847)</w:t>
            </w:r>
          </w:p>
        </w:tc>
        <w:tc>
          <w:tcPr>
            <w:tcW w:w="1700" w:type="dxa"/>
            <w:vAlign w:val="bottom"/>
            <w:gridSpan w:val="2"/>
            <w:shd w:val="clear" w:color="auto" w:fill="D6F3E8"/>
          </w:tcPr>
          <w:p>
            <w:pPr>
              <w:jc w:val="right"/>
              <w:ind w:right="580"/>
              <w:spacing w:after="0"/>
              <w:rPr>
                <w:sz w:val="20"/>
                <w:szCs w:val="20"/>
                <w:color w:val="auto"/>
              </w:rPr>
            </w:pPr>
            <w:r>
              <w:rPr>
                <w:rFonts w:ascii="Times New Roman" w:cs="Times New Roman" w:eastAsia="Times New Roman" w:hAnsi="Times New Roman"/>
                <w:sz w:val="18"/>
                <w:szCs w:val="18"/>
                <w:color w:val="auto"/>
              </w:rPr>
              <w:t>(7.6)%</w:t>
            </w:r>
          </w:p>
        </w:tc>
        <w:tc>
          <w:tcPr>
            <w:tcW w:w="920" w:type="dxa"/>
            <w:vAlign w:val="bottom"/>
            <w:shd w:val="clear" w:color="auto" w:fill="D6F3E8"/>
          </w:tcPr>
          <w:p>
            <w:pPr>
              <w:spacing w:after="0"/>
              <w:rPr>
                <w:sz w:val="18"/>
                <w:szCs w:val="18"/>
                <w:color w:val="auto"/>
              </w:rPr>
            </w:pPr>
          </w:p>
        </w:tc>
        <w:tc>
          <w:tcPr>
            <w:tcW w:w="56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-629285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-629285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-629285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-629285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-629285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-629285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-629285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-629285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-329565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-329565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-329565</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-329565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[GRAPHIC]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for the year ended August 28, 2004 increased 31.8 percent to $1.1 billion compared to $845.2 million for the fiscal year ended August 30, 2003.</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 deliveries consisted of the following: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7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August 28, 2004</w:t>
            </w:r>
          </w:p>
        </w:tc>
        <w:tc>
          <w:tcPr>
            <w:tcW w:w="860" w:type="dxa"/>
            <w:vAlign w:val="bottom"/>
          </w:tcPr>
          <w:p>
            <w:pPr>
              <w:spacing w:after="0"/>
              <w:rPr>
                <w:sz w:val="22"/>
                <w:szCs w:val="22"/>
                <w:color w:val="auto"/>
              </w:rPr>
            </w:pPr>
          </w:p>
        </w:tc>
        <w:tc>
          <w:tcPr>
            <w:tcW w:w="18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August 30, 2003</w:t>
            </w:r>
          </w:p>
        </w:tc>
        <w:tc>
          <w:tcPr>
            <w:tcW w:w="100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880" w:type="dxa"/>
            <w:vAlign w:val="bottom"/>
          </w:tcPr>
          <w:p>
            <w:pPr>
              <w:spacing w:after="0"/>
              <w:rPr>
                <w:sz w:val="22"/>
                <w:szCs w:val="22"/>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Class A motor homes (gas)</w:t>
            </w:r>
          </w:p>
        </w:tc>
        <w:tc>
          <w:tcPr>
            <w:tcW w:w="9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860" w:type="dxa"/>
            <w:vAlign w:val="bottom"/>
            <w:gridSpan w:val="3"/>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5,152</w:t>
            </w:r>
          </w:p>
        </w:tc>
        <w:tc>
          <w:tcPr>
            <w:tcW w:w="86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140" w:type="dxa"/>
            <w:vAlign w:val="bottom"/>
            <w:gridSpan w:val="3"/>
            <w:shd w:val="clear" w:color="auto" w:fill="D6F3E8"/>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Class A motor homes (diesel)</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1,553</w:t>
            </w:r>
          </w:p>
        </w:tc>
        <w:tc>
          <w:tcPr>
            <w:tcW w:w="8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2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Class C motor homes</w:t>
            </w:r>
          </w:p>
        </w:tc>
        <w:tc>
          <w:tcPr>
            <w:tcW w:w="9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860" w:type="dxa"/>
            <w:vAlign w:val="bottom"/>
            <w:gridSpan w:val="3"/>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4,021</w:t>
            </w:r>
          </w:p>
        </w:tc>
        <w:tc>
          <w:tcPr>
            <w:tcW w:w="860" w:type="dxa"/>
            <w:vAlign w:val="bottom"/>
            <w:shd w:val="clear" w:color="auto" w:fill="D6F3E8"/>
          </w:tcPr>
          <w:p>
            <w:pPr>
              <w:spacing w:after="0"/>
              <w:rPr>
                <w:sz w:val="18"/>
                <w:szCs w:val="18"/>
                <w:color w:val="auto"/>
              </w:rPr>
            </w:pPr>
          </w:p>
        </w:tc>
        <w:tc>
          <w:tcPr>
            <w:tcW w:w="10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140" w:type="dxa"/>
            <w:vAlign w:val="bottom"/>
            <w:gridSpan w:val="3"/>
            <w:shd w:val="clear" w:color="auto" w:fill="D6F3E8"/>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08"/>
        </w:trPr>
        <w:tc>
          <w:tcPr>
            <w:tcW w:w="4580" w:type="dxa"/>
            <w:vAlign w:val="bottom"/>
            <w:gridSpan w:val="2"/>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deliveries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1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10,726</w:t>
            </w:r>
          </w:p>
        </w:tc>
        <w:tc>
          <w:tcPr>
            <w:tcW w:w="8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2910205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Revenues increased 31.8 percent during the fiscal year ended August 28, 2004, while unit deliveries increased 16.7 percent. The 82.3 percent increase in diesel deliveries, traditionally a higher priced unit, as well as the overall increase in total motor home volume, were the primary reasons for the differences in the percentage increase in revenues and unit deliveries.</w:t>
      </w:r>
    </w:p>
    <w:p>
      <w:pPr>
        <w:spacing w:after="0" w:line="186"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Gross profit as a percentage of net revenues was higher during the year ended August 28, 2004 (14.6 percent) when compared to the comparable period ended August 30, 2003 (13.4 percent). Favorably impacting gross profit in the period ended August 28, 2004 was a 20.4 percent increase in production volume which resulted in improved manufacturing efficiencies and lower fixed costs per unit of production.</w:t>
      </w:r>
    </w:p>
    <w:p>
      <w:pPr>
        <w:spacing w:after="0" w:line="186" w:lineRule="exact"/>
        <w:rPr>
          <w:sz w:val="20"/>
          <w:szCs w:val="20"/>
          <w:color w:val="auto"/>
        </w:rPr>
      </w:pPr>
    </w:p>
    <w:p>
      <w:pPr>
        <w:jc w:val="both"/>
        <w:ind w:right="440"/>
        <w:spacing w:after="0" w:line="262" w:lineRule="auto"/>
        <w:rPr>
          <w:sz w:val="20"/>
          <w:szCs w:val="20"/>
          <w:color w:val="auto"/>
        </w:rPr>
      </w:pPr>
      <w:r>
        <w:rPr>
          <w:rFonts w:ascii="Times New Roman" w:cs="Times New Roman" w:eastAsia="Times New Roman" w:hAnsi="Times New Roman"/>
          <w:sz w:val="18"/>
          <w:szCs w:val="18"/>
          <w:color w:val="auto"/>
        </w:rPr>
        <w:t>Selling expenses increased 5.1 percent when comparing Fiscal 2004 ($20.8 million) to Fiscal 2003 ($19.8 million). The increase in dollars can be attributed primarily to higher incentive payments to the Company’s field sales force. As a percentage of net revenues, selling expenses decreased to 1.9 percent during Fiscal 2004 from 2.4 percent during Fiscal 2003, caused primarily by decreased advertising costs.</w:t>
      </w:r>
    </w:p>
    <w:p>
      <w:pPr>
        <w:spacing w:after="0" w:line="186"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87.4 percent during the year ended August 28, 2004 to $30.6 million, or 2.7 percent of net revenues, compared to $16.3 million, or 1.9 percent of net revenues, for the year ended August 30, 2003. The increases in percentage and dollars in Fiscal 2004 were due primarily to a $7.3 million lawsuit settlement relating to deferred compensation, an increase of approximately $4.4 million in management incentive programs and an increase of approximately $1.8 million in product liability costs.</w:t>
      </w:r>
    </w:p>
    <w:p>
      <w:pPr>
        <w:spacing w:after="0" w:line="190"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The overall effective income tax rate decreased to 37.1 percent for Fiscal 2004 from 38.1 percent for Fiscal 2003. The decrease was primarily due to lower nondeductible losses in Winnebago Health Care Management Company.</w:t>
      </w:r>
    </w:p>
    <w:p>
      <w:pPr>
        <w:spacing w:after="0" w:line="17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Net income and earnings per diluted share increased by 41.6 percent and 52.6 percent, respectively, when comparing the year ended August 28, 2004 to the year ended August 30, 2003. The difference in percentages was primarily due to a lower number of outstanding shares of the Company’s common stock during the fiscal period ended August 28, 2004 as a result of approximately 3.4 million shares of common stock repurchased by the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ANALYSIS OF FINANCIAL CONDITION, LIQUIDITY AND RESOURCES</w:t>
      </w:r>
    </w:p>
    <w:p>
      <w:pPr>
        <w:spacing w:after="0" w:line="30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 has historically generated substantial cash from operations, which has enabled it to meet its working capital needs and make appropriate investments in manufacturing equipment and facilities, as well as pay increased cash dividends and repurchase stock. Cash and cash equivalents totaled $19.5 million and $24.4 million as of August 27, 2005 and August 28, 2004, respectively. Short-term investments consisting primarily of highly liquid investments totaled $93.1 million and $51.1 million as of August 27, 2005 and August 28, 2004, respectively. Working capital at August 27, 2005 and August 28, 2004 was $197.5 million and $164.2 million, respectively, an increase of $33.3 million. The Company has no long-term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Operating Activities.</w:t>
      </w:r>
    </w:p>
    <w:p>
      <w:pPr>
        <w:sectPr>
          <w:pgSz w:w="11900" w:h="16838" w:orient="portrait"/>
          <w:cols w:equalWidth="0" w:num="1">
            <w:col w:w="11420"/>
          </w:cols>
          <w:pgMar w:left="240" w:top="140" w:right="239" w:bottom="238"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provided by operating activities was $78.8 million in Fiscal 2005, or $12.0 million higher compared with Fiscal 2004.</w:t>
      </w:r>
    </w:p>
    <w:p>
      <w:pPr>
        <w:sectPr>
          <w:pgSz w:w="11900" w:h="16838" w:orient="portrait"/>
          <w:cols w:equalWidth="0" w:num="1">
            <w:col w:w="11420"/>
          </w:cols>
          <w:pgMar w:left="240" w:top="140" w:right="239" w:bottom="238"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[GRAPHIC]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net cash provided by operating activities was primarily attributable to the following items:</w:t>
      </w:r>
    </w:p>
    <w:p>
      <w:pPr>
        <w:spacing w:after="0" w:line="225"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raw material inventory as the Company continued to adjust its chassis inventory.</w:t>
      </w:r>
    </w:p>
    <w:p>
      <w:pPr>
        <w:spacing w:after="0" w:line="2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receivables and other assets due to a reduced level of unit deliveries at the end of Fiscal 2005 when compared to Fiscal 2004.</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net cash provided by operating activities was partially offset by the following:</w:t>
      </w:r>
    </w:p>
    <w:p>
      <w:pPr>
        <w:spacing w:after="0" w:line="225" w:lineRule="exact"/>
        <w:rPr>
          <w:sz w:val="20"/>
          <w:szCs w:val="20"/>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net income.</w:t>
      </w:r>
    </w:p>
    <w:p>
      <w:pPr>
        <w:spacing w:after="0" w:line="2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accounts payable and accrued expenses due to a reduced production schedule and lower employee incentive compensation accruals.</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postretirement benefit liability as a result of a plan amendment.</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finished goods inventory as a result of more diesel units on hand at year end.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Investing Activities.</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primary uses of cash for investing activities were for manufacturing equipment and facilities of $9.7 million for the year ended August 27, 2005, compared to $10.6 million during the year ended August 28, 2004. The Company purchased $255.0 million of short-term investments and received proceeds of $213.0 million from the sale or maturity of short-term investments during the year ended August 27, 2005. During the year ended August 28, 2004, the Company purchased $145.4 million of short-term investments and received proceeds of $184.4 million from the sale or maturity of short-term investments.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Financing Activities.</w:t>
      </w:r>
    </w:p>
    <w:p>
      <w:pPr>
        <w:spacing w:after="0" w:line="27"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8"/>
          <w:szCs w:val="18"/>
          <w:color w:val="auto"/>
        </w:rPr>
        <w:t>Primary uses of cash in financing activities for the fiscal period ended August 27, 2005 were $26.8 million for the repurchases of the Company’s common stock and payments of $9.4 million in dividends. Primary uses of cash in financing activities for the fiscal period ended August 27, 2004 were $77.7 million for the Company’s common stock repurchases and $6.9 million for the payment of dividends. (See Consolidated Statements of Cash Flows.)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Stock Repurchases.</w:t>
      </w:r>
    </w:p>
    <w:p>
      <w:pPr>
        <w:spacing w:after="0" w:line="27"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On June 16, 2004, the Board of Directors authorized the repurchase of outstanding shares of the Company’s common stock, depending on market conditions, for an aggregate of up to $30 million. As of August 27, 2005, 971,331 shares had been repurchased for an aggregate consideration of approximately $30 million which completed that authorization. On June 15, 2005, the Board of Directors authorized the repurchase of outstanding shares of the Company’s common stock, depending on market conditions, for an aggregate consideration of up to $30 million. As of August 27, 2005, no stock had been repurchased under this authorization.</w:t>
      </w:r>
    </w:p>
    <w:p>
      <w:pPr>
        <w:spacing w:after="0" w:line="19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Estimated demands at August 27, 2005 on the Company’s liquid assets for Fiscal 2006 include $10.8 million for capital expenditures, primarily for manufacturing equipment and facilities, and $11.9 million for payments of cash dividends. On October 12, 2005, the Board of Directors declared a quarterly cash dividend of $0.09 per common share payable January 9, 2006 to shareholders of record as of December 9, 2005.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currently expects its cash on hand and funds from operations to be sufficient to cover both short-term and long-term operation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[GRAPHIC]</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CONTRACTUAL OBLIGATIONS AND COMMERCIAL COMMITMENTS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principal contractual obligations and commercial commitments as of August 27, 2005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3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380" w:type="dxa"/>
            <w:vAlign w:val="bottom"/>
            <w:gridSpan w:val="5"/>
            <w:vMerge w:val="continue"/>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40" w:type="dxa"/>
            <w:vAlign w:val="bottom"/>
          </w:tcPr>
          <w:p>
            <w:pPr>
              <w:spacing w:after="0"/>
              <w:rPr>
                <w:sz w:val="9"/>
                <w:szCs w:val="9"/>
                <w:color w:val="auto"/>
              </w:rPr>
            </w:pPr>
          </w:p>
        </w:tc>
        <w:tc>
          <w:tcPr>
            <w:tcW w:w="78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More Than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3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22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2007-2008</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2009-2010</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2"/>
              </w:rPr>
              <w:t>5 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360" w:type="dxa"/>
            <w:vAlign w:val="bottom"/>
            <w:gridSpan w:val="4"/>
            <w:shd w:val="clear" w:color="auto" w:fill="D6F3E8"/>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9"/>
                <w:szCs w:val="29"/>
                <w:color w:val="auto"/>
                <w:vertAlign w:val="superscript"/>
              </w:rPr>
              <w:t>(1)</w:t>
            </w:r>
          </w:p>
        </w:tc>
        <w:tc>
          <w:tcPr>
            <w:tcW w:w="220" w:type="dxa"/>
            <w:vAlign w:val="bottom"/>
            <w:shd w:val="clear" w:color="auto" w:fill="D6F3E8"/>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780" w:type="dxa"/>
            <w:vAlign w:val="bottom"/>
            <w:gridSpan w:val="2"/>
            <w:shd w:val="clear" w:color="auto" w:fill="D6F3E8"/>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700" w:type="dxa"/>
            <w:vAlign w:val="bottom"/>
            <w:gridSpan w:val="3"/>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560" w:type="dxa"/>
            <w:vAlign w:val="bottom"/>
            <w:shd w:val="clear" w:color="auto" w:fill="D6F3E8"/>
          </w:tcPr>
          <w:p>
            <w:pPr>
              <w:spacing w:after="0"/>
              <w:rPr>
                <w:sz w:val="22"/>
                <w:szCs w:val="22"/>
                <w:color w:val="auto"/>
              </w:rPr>
            </w:pP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8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Postretirement health care obligations </w:t>
            </w:r>
            <w:r>
              <w:rPr>
                <w:rFonts w:ascii="Times New Roman" w:cs="Times New Roman" w:eastAsia="Times New Roman" w:hAnsi="Times New Roman"/>
                <w:sz w:val="29"/>
                <w:szCs w:val="29"/>
                <w:color w:val="auto"/>
                <w:vertAlign w:val="superscript"/>
              </w:rPr>
              <w:t>(2)</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52,490</w:t>
            </w:r>
          </w:p>
        </w:tc>
        <w:tc>
          <w:tcPr>
            <w:tcW w:w="5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46,653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4"/>
            <w:shd w:val="clear" w:color="auto" w:fill="D6F3E8"/>
          </w:tcPr>
          <w:p>
            <w:pPr>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220" w:type="dxa"/>
            <w:vAlign w:val="bottom"/>
            <w:shd w:val="clear" w:color="auto" w:fill="D6F3E8"/>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52,832</w:t>
            </w:r>
          </w:p>
        </w:tc>
        <w:tc>
          <w:tcPr>
            <w:tcW w:w="780" w:type="dxa"/>
            <w:vAlign w:val="bottom"/>
            <w:gridSpan w:val="2"/>
            <w:shd w:val="clear" w:color="auto" w:fill="D6F3E8"/>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700" w:type="dxa"/>
            <w:vAlign w:val="bottom"/>
            <w:gridSpan w:val="3"/>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56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68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46,659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4"/>
          <w:szCs w:val="14"/>
          <w:b w:val="1"/>
          <w:bCs w:val="1"/>
          <w:color w:val="auto"/>
        </w:rPr>
        <w:t>Amount of Commitment Expiration By Period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-73660</wp:posOffset>
            </wp:positionV>
            <wp:extent cx="43395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ectPr>
          <w:pgSz w:w="11900" w:h="16838" w:orient="portrait"/>
          <w:cols w:equalWidth="0" w:num="1">
            <w:col w:w="11420"/>
          </w:cols>
          <w:pgMar w:left="240" w:top="827" w:right="239" w:bottom="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2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Commercial Commitments</w:t>
            </w:r>
          </w:p>
        </w:tc>
        <w:tc>
          <w:tcPr>
            <w:tcW w:w="1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40" w:type="dxa"/>
            <w:vAlign w:val="bottom"/>
          </w:tcPr>
          <w:p>
            <w:pPr>
              <w:spacing w:after="0"/>
              <w:rPr>
                <w:sz w:val="13"/>
                <w:szCs w:val="13"/>
                <w:color w:val="auto"/>
              </w:rPr>
            </w:pPr>
          </w:p>
        </w:tc>
        <w:tc>
          <w:tcPr>
            <w:tcW w:w="7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More Than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ind w:right="221"/>
              <w:spacing w:after="0" w:line="118" w:lineRule="exact"/>
              <w:rPr>
                <w:sz w:val="20"/>
                <w:szCs w:val="20"/>
                <w:color w:val="auto"/>
              </w:rPr>
            </w:pPr>
            <w:r>
              <w:rPr>
                <w:rFonts w:ascii="Times New Roman" w:cs="Times New Roman" w:eastAsia="Times New Roman" w:hAnsi="Times New Roman"/>
                <w:sz w:val="12"/>
                <w:szCs w:val="12"/>
                <w:b w:val="1"/>
                <w:bCs w:val="1"/>
                <w:color w:val="auto"/>
              </w:rPr>
              <w:t>2006</w:t>
            </w: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ind w:right="81"/>
              <w:spacing w:after="0" w:line="118" w:lineRule="exact"/>
              <w:rPr>
                <w:sz w:val="20"/>
                <w:szCs w:val="20"/>
                <w:color w:val="auto"/>
              </w:rPr>
            </w:pPr>
            <w:r>
              <w:rPr>
                <w:rFonts w:ascii="Times New Roman" w:cs="Times New Roman" w:eastAsia="Times New Roman" w:hAnsi="Times New Roman"/>
                <w:sz w:val="12"/>
                <w:szCs w:val="12"/>
                <w:b w:val="1"/>
                <w:bCs w:val="1"/>
                <w:color w:val="auto"/>
              </w:rPr>
              <w:t>2007-2008</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right"/>
              <w:ind w:right="81"/>
              <w:spacing w:after="0" w:line="118" w:lineRule="exact"/>
              <w:rPr>
                <w:sz w:val="20"/>
                <w:szCs w:val="20"/>
                <w:color w:val="auto"/>
              </w:rPr>
            </w:pPr>
            <w:r>
              <w:rPr>
                <w:rFonts w:ascii="Times New Roman" w:cs="Times New Roman" w:eastAsia="Times New Roman" w:hAnsi="Times New Roman"/>
                <w:sz w:val="12"/>
                <w:szCs w:val="12"/>
                <w:b w:val="1"/>
                <w:bCs w:val="1"/>
                <w:color w:val="auto"/>
              </w:rPr>
              <w:t>2009-2010</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2"/>
                <w:szCs w:val="12"/>
                <w:b w:val="1"/>
                <w:bCs w:val="1"/>
                <w:color w:val="auto"/>
              </w:rPr>
              <w:t>5 Years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520" w:type="dxa"/>
            <w:vAlign w:val="bottom"/>
            <w:gridSpan w:val="2"/>
            <w:shd w:val="clear" w:color="auto" w:fill="D6F3E8"/>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Guarantees </w:t>
            </w:r>
            <w:r>
              <w:rPr>
                <w:rFonts w:ascii="Times New Roman" w:cs="Times New Roman" w:eastAsia="Times New Roman" w:hAnsi="Times New Roman"/>
                <w:sz w:val="29"/>
                <w:szCs w:val="29"/>
                <w:color w:val="auto"/>
                <w:vertAlign w:val="superscript"/>
              </w:rPr>
              <w:t>(1)</w:t>
            </w:r>
          </w:p>
        </w:tc>
        <w:tc>
          <w:tcPr>
            <w:tcW w:w="2060" w:type="dxa"/>
            <w:vAlign w:val="bottom"/>
            <w:gridSpan w:val="3"/>
            <w:shd w:val="clear" w:color="auto" w:fill="D6F3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780" w:type="dxa"/>
            <w:vAlign w:val="bottom"/>
            <w:gridSpan w:val="2"/>
            <w:shd w:val="clear" w:color="auto" w:fill="D6F3E8"/>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560" w:type="dxa"/>
            <w:vAlign w:val="bottom"/>
            <w:shd w:val="clear" w:color="auto" w:fill="D6F3E8"/>
          </w:tcPr>
          <w:p>
            <w:pPr>
              <w:spacing w:after="0"/>
              <w:rPr>
                <w:sz w:val="22"/>
                <w:szCs w:val="22"/>
                <w:color w:val="auto"/>
              </w:rPr>
            </w:pP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68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D6F3E8"/>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Repurchase obligations </w:t>
            </w:r>
            <w:r>
              <w:rPr>
                <w:rFonts w:ascii="Times New Roman" w:cs="Times New Roman" w:eastAsia="Times New Roman" w:hAnsi="Times New Roman"/>
                <w:sz w:val="29"/>
                <w:szCs w:val="29"/>
                <w:color w:val="auto"/>
                <w:vertAlign w:val="superscript"/>
              </w:rPr>
              <w:t>(1)</w:t>
            </w: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345,215</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345,215</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Total commitments</w:t>
            </w:r>
          </w:p>
        </w:tc>
        <w:tc>
          <w:tcPr>
            <w:tcW w:w="2060" w:type="dxa"/>
            <w:vAlign w:val="bottom"/>
            <w:gridSpan w:val="3"/>
            <w:shd w:val="clear" w:color="auto" w:fill="D6F3E8"/>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351,393</w:t>
            </w:r>
          </w:p>
        </w:tc>
        <w:tc>
          <w:tcPr>
            <w:tcW w:w="780" w:type="dxa"/>
            <w:vAlign w:val="bottom"/>
            <w:gridSpan w:val="2"/>
            <w:shd w:val="clear" w:color="auto" w:fill="D6F3E8"/>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345,215</w:t>
            </w:r>
          </w:p>
        </w:tc>
        <w:tc>
          <w:tcPr>
            <w:tcW w:w="700" w:type="dxa"/>
            <w:vAlign w:val="bottom"/>
            <w:gridSpan w:val="3"/>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4,054</w:t>
            </w:r>
          </w:p>
        </w:tc>
        <w:tc>
          <w:tcPr>
            <w:tcW w:w="56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68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D6F3E8"/>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60" w:hanging="352"/>
        <w:spacing w:after="0"/>
        <w:tabs>
          <w:tab w:leader="none" w:pos="360" w:val="left"/>
        </w:tabs>
        <w:numPr>
          <w:ilvl w:val="0"/>
          <w:numId w:val="17"/>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See Note 7 to the Company’s 2005 Consolidated Financial Statements.</w:t>
      </w:r>
    </w:p>
    <w:p>
      <w:pPr>
        <w:spacing w:after="0" w:line="139" w:lineRule="exact"/>
        <w:rPr>
          <w:rFonts w:ascii="Times New Roman" w:cs="Times New Roman" w:eastAsia="Times New Roman" w:hAnsi="Times New Roman"/>
          <w:sz w:val="29"/>
          <w:szCs w:val="29"/>
          <w:i w:val="1"/>
          <w:iCs w:val="1"/>
          <w:color w:val="auto"/>
          <w:vertAlign w:val="superscript"/>
        </w:rPr>
      </w:pPr>
    </w:p>
    <w:p>
      <w:pPr>
        <w:ind w:left="360" w:hanging="352"/>
        <w:spacing w:after="0"/>
        <w:tabs>
          <w:tab w:leader="none" w:pos="360" w:val="left"/>
        </w:tabs>
        <w:numPr>
          <w:ilvl w:val="0"/>
          <w:numId w:val="17"/>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See Note 6 to the Company’s 2005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ACCOUNTING PRONOUNCEMENTS.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the Company’s 2005 Consolidated Financial Statements.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IMPACT OF INFLATION</w:t>
      </w:r>
    </w:p>
    <w:p>
      <w:pPr>
        <w:spacing w:after="0" w:line="304"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Historically, the impact of inflation on the Company’s operations has not been significantly detrimental, as the Company has usually been able to adjust its prices to reflect the inflationary impact on the cost of manufacturing its product. In recent months, the costs of a number of raw materials and component parts utilized in manufacturing the Company’s motor homes have increased. While the Company has been able to pass on these increases historically, in the event the Company is unable to continue to do so, future increases in manufacturing costs could have a material adverse effect on the Company’s 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COMPANY OUTLOOK</w:t>
      </w:r>
    </w:p>
    <w:p>
      <w:pPr>
        <w:spacing w:after="0" w:line="30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RV industry is cyclical and susceptible to slowdowns in the general economy. RV industry sales have been characterized by cycles of growth and contraction in consumer demand, reflecting prevailing economic, demographic and political conditions that affect disposable income for leisure-time activities. Some of the factors that contribute to this cyclicality include fuel availability and costs, interest rate levels, the level of discretionary spending and availability of credit and consumer confidence. The recent decline in consumer confidence and slowing of the overall economy have adversely affected the RV market. An extended continuation of these conditions would materially adversely affect our business, results of operations and financial condition.</w:t>
      </w:r>
    </w:p>
    <w:p>
      <w:pPr>
        <w:spacing w:after="0" w:line="19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Long-term demographics, however, are favorable for the Company as its target market of consumers age 50 and older is expected to increase, due to the aging of the baby boom generation, over the next 30 years. According to a 2001 study conducted by the University of Michigan for the RV industry, buyers of RV products include younger buyers, older buyers and a larger percentage of U.S. households than in the past.</w:t>
      </w:r>
    </w:p>
    <w:p>
      <w:pPr>
        <w:spacing w:after="0" w:line="186" w:lineRule="exact"/>
        <w:rPr>
          <w:sz w:val="20"/>
          <w:szCs w:val="20"/>
          <w:color w:val="auto"/>
        </w:rPr>
      </w:pPr>
    </w:p>
    <w:p>
      <w:pPr>
        <w:ind w:right="520"/>
        <w:spacing w:after="0" w:line="339" w:lineRule="auto"/>
        <w:rPr>
          <w:sz w:val="20"/>
          <w:szCs w:val="20"/>
          <w:color w:val="auto"/>
        </w:rPr>
      </w:pPr>
      <w:r>
        <w:rPr>
          <w:rFonts w:ascii="Times New Roman" w:cs="Times New Roman" w:eastAsia="Times New Roman" w:hAnsi="Times New Roman"/>
          <w:sz w:val="16"/>
          <w:szCs w:val="16"/>
          <w:color w:val="auto"/>
        </w:rPr>
        <w:t>The Company includes in its backlog all accepted purchase orders from dealers shippable within the next six months. Orders in backlog can be canceled or postponed at the option of the purchaser at any time without penalty and, therefore, backlog may not necessarily be an accurate measure of future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[GRAPHIC]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Order backlog for the Company’s motor homes was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3"/>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9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August 27, 2005</w:t>
            </w: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August 28, 2004</w:t>
            </w:r>
          </w:p>
        </w:tc>
        <w:tc>
          <w:tcPr>
            <w:tcW w:w="160" w:type="dxa"/>
            <w:vAlign w:val="bottom"/>
          </w:tcPr>
          <w:p>
            <w:pPr>
              <w:spacing w:after="0"/>
              <w:rPr>
                <w:sz w:val="15"/>
                <w:szCs w:val="15"/>
                <w:color w:val="auto"/>
              </w:rPr>
            </w:pPr>
          </w:p>
        </w:tc>
        <w:tc>
          <w:tcPr>
            <w:tcW w:w="1740" w:type="dxa"/>
            <w:vAlign w:val="bottom"/>
            <w:gridSpan w:val="3"/>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w w:val="98"/>
              </w:rPr>
              <w:t>(Decrease)</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Class A motor homes (gas)</w:t>
            </w:r>
          </w:p>
        </w:tc>
        <w:tc>
          <w:tcPr>
            <w:tcW w:w="28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c>
          <w:tcPr>
            <w:tcW w:w="8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9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740" w:type="dxa"/>
            <w:vAlign w:val="bottom"/>
            <w:gridSpan w:val="3"/>
            <w:shd w:val="clear" w:color="auto" w:fill="D6F3E8"/>
          </w:tcPr>
          <w:p>
            <w:pPr>
              <w:jc w:val="right"/>
              <w:ind w:right="840"/>
              <w:spacing w:after="0"/>
              <w:rPr>
                <w:sz w:val="20"/>
                <w:szCs w:val="20"/>
                <w:color w:val="auto"/>
              </w:rPr>
            </w:pPr>
            <w:r>
              <w:rPr>
                <w:rFonts w:ascii="Times New Roman" w:cs="Times New Roman" w:eastAsia="Times New Roman" w:hAnsi="Times New Roman"/>
                <w:sz w:val="18"/>
                <w:szCs w:val="18"/>
                <w:color w:val="auto"/>
              </w:rPr>
              <w:t>(550)</w:t>
            </w:r>
          </w:p>
        </w:tc>
        <w:tc>
          <w:tcPr>
            <w:tcW w:w="1000" w:type="dxa"/>
            <w:vAlign w:val="bottom"/>
            <w:gridSpan w:val="2"/>
            <w:shd w:val="clear" w:color="auto" w:fill="D6F3E8"/>
          </w:tcPr>
          <w:p>
            <w:pPr>
              <w:jc w:val="right"/>
              <w:ind w:right="140"/>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Class A motor homes (diesel)</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(278)</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Class C motor homes</w:t>
            </w:r>
          </w:p>
        </w:tc>
        <w:tc>
          <w:tcPr>
            <w:tcW w:w="28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1,086</w:t>
            </w:r>
          </w:p>
        </w:tc>
        <w:tc>
          <w:tcPr>
            <w:tcW w:w="8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9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0" w:type="dxa"/>
            <w:vAlign w:val="bottom"/>
            <w:shd w:val="clear" w:color="auto" w:fill="D6F3E8"/>
          </w:tcPr>
          <w:p>
            <w:pPr>
              <w:spacing w:after="0"/>
              <w:rPr>
                <w:sz w:val="18"/>
                <w:szCs w:val="18"/>
                <w:color w:val="auto"/>
              </w:rPr>
            </w:pPr>
          </w:p>
        </w:tc>
        <w:tc>
          <w:tcPr>
            <w:tcW w:w="88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200"/>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108"/>
        </w:trPr>
        <w:tc>
          <w:tcPr>
            <w:tcW w:w="4700" w:type="dxa"/>
            <w:vAlign w:val="bottom"/>
            <w:gridSpan w:val="2"/>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backlog</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2,059</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color w:val="auto"/>
              </w:rPr>
              <w:t>(482)</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Total approximate revenue dollars (in thousands)</w:t>
            </w:r>
          </w:p>
        </w:tc>
        <w:tc>
          <w:tcPr>
            <w:tcW w:w="280" w:type="dxa"/>
            <w:vAlign w:val="bottom"/>
            <w:shd w:val="clear" w:color="auto" w:fill="D6F3E8"/>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170,000</w:t>
            </w:r>
          </w:p>
        </w:tc>
        <w:tc>
          <w:tcPr>
            <w:tcW w:w="88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280" w:type="dxa"/>
            <w:vAlign w:val="bottom"/>
            <w:shd w:val="clear" w:color="auto" w:fill="D6F3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900" w:type="dxa"/>
            <w:vAlign w:val="bottom"/>
            <w:shd w:val="clear" w:color="auto" w:fill="D6F3E8"/>
          </w:tcPr>
          <w:p>
            <w:pPr>
              <w:spacing w:after="0"/>
              <w:rPr>
                <w:sz w:val="18"/>
                <w:szCs w:val="18"/>
                <w:color w:val="auto"/>
              </w:rPr>
            </w:pPr>
          </w:p>
        </w:tc>
        <w:tc>
          <w:tcPr>
            <w:tcW w:w="1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D6F3E8"/>
          </w:tcPr>
          <w:p>
            <w:pPr>
              <w:jc w:val="right"/>
              <w:ind w:right="840"/>
              <w:spacing w:after="0"/>
              <w:rPr>
                <w:sz w:val="20"/>
                <w:szCs w:val="20"/>
                <w:color w:val="auto"/>
              </w:rPr>
            </w:pPr>
            <w:r>
              <w:rPr>
                <w:rFonts w:ascii="Times New Roman" w:cs="Times New Roman" w:eastAsia="Times New Roman" w:hAnsi="Times New Roman"/>
                <w:sz w:val="18"/>
                <w:szCs w:val="18"/>
                <w:color w:val="auto"/>
              </w:rPr>
              <w:t>(50,000)</w:t>
            </w:r>
          </w:p>
        </w:tc>
        <w:tc>
          <w:tcPr>
            <w:tcW w:w="1000" w:type="dxa"/>
            <w:vAlign w:val="bottom"/>
            <w:gridSpan w:val="2"/>
            <w:shd w:val="clear" w:color="auto" w:fill="D6F3E8"/>
          </w:tcPr>
          <w:p>
            <w:pPr>
              <w:jc w:val="right"/>
              <w:ind w:right="140"/>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2987675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QUANTITATIVE AND QUALITATIVE DISCLOSURES ABOUT MARKET RISK</w:t>
      </w:r>
    </w:p>
    <w:p>
      <w:pPr>
        <w:spacing w:after="0" w:line="304"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As of August 27, 2005, the Company had $112.6 million of cash and short-term investments consisting of $19.5 million of cash and cash equivalents and available-for-sale securities of $93.1 million. Taking into account the credit risk criteria of our investments policies, the primary market risk associated with these investments is interest rate risk and a decline in value if market interest rates increase. However, the Company has the ability to hold its fixed income investments until maturity or for the typical Dutch auction period (an average of 36 days) and based upon historical experience does not believe there are significant risks of a</w:t>
      </w:r>
    </w:p>
    <w:p>
      <w:pPr>
        <w:sectPr>
          <w:pgSz w:w="11900" w:h="16838" w:orient="portrait"/>
          <w:cols w:equalWidth="0" w:num="1">
            <w:col w:w="11420"/>
          </w:cols>
          <w:pgMar w:left="240" w:top="110" w:right="239" w:bottom="0" w:gutter="0" w:footer="0" w:header="0"/>
        </w:sectPr>
      </w:pPr>
    </w:p>
    <w:bookmarkStart w:id="25" w:name="page26"/>
    <w:bookmarkEnd w:id="25"/>
    <w:p>
      <w:pPr>
        <w:ind w:right="120"/>
        <w:spacing w:after="0" w:line="275" w:lineRule="auto"/>
        <w:rPr>
          <w:sz w:val="20"/>
          <w:szCs w:val="20"/>
          <w:color w:val="auto"/>
        </w:rPr>
      </w:pPr>
      <w:r>
        <w:rPr>
          <w:rFonts w:ascii="Times New Roman" w:cs="Times New Roman" w:eastAsia="Times New Roman" w:hAnsi="Times New Roman"/>
          <w:sz w:val="18"/>
          <w:szCs w:val="18"/>
          <w:color w:val="auto"/>
        </w:rPr>
        <w:t>failed Dutch auction. Therefore, the Company would not expect to recognize a material adverse impact in income or cash flows in the event of a decline in value due to an increase in market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Consolidated Statements of Income</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2"/>
          </w:tcPr>
          <w:p>
            <w:pPr>
              <w:jc w:val="center"/>
              <w:ind w:right="116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6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5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20" w:type="dxa"/>
            <w:vAlign w:val="bottom"/>
          </w:tcPr>
          <w:p>
            <w:pPr>
              <w:spacing w:after="0"/>
              <w:rPr>
                <w:sz w:val="20"/>
                <w:szCs w:val="20"/>
                <w:color w:val="auto"/>
              </w:rPr>
            </w:pPr>
          </w:p>
        </w:tc>
        <w:tc>
          <w:tcPr>
            <w:tcW w:w="10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August 27,</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w w:val="97"/>
              </w:rPr>
              <w:t>August 28,</w:t>
            </w: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August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2005</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shd w:val="clear" w:color="auto" w:fill="D6F3E8"/>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991,975</w:t>
            </w:r>
          </w:p>
        </w:tc>
        <w:tc>
          <w:tcPr>
            <w:tcW w:w="1120" w:type="dxa"/>
            <w:vAlign w:val="bottom"/>
            <w:gridSpan w:val="2"/>
            <w:shd w:val="clear" w:color="auto" w:fill="D6F3E8"/>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1,114,154</w:t>
            </w: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845,210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854,997</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951,985</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731,832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136,978</w:t>
            </w:r>
          </w:p>
        </w:tc>
        <w:tc>
          <w:tcPr>
            <w:tcW w:w="9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162,169</w:t>
            </w: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113,378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0"/>
        </w:trPr>
        <w:tc>
          <w:tcPr>
            <w:tcW w:w="56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gridSpan w:val="2"/>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Selling</w:t>
            </w:r>
          </w:p>
        </w:tc>
        <w:tc>
          <w:tcPr>
            <w:tcW w:w="2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19,936</w:t>
            </w:r>
          </w:p>
        </w:tc>
        <w:tc>
          <w:tcPr>
            <w:tcW w:w="9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20,764</w:t>
            </w: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19,753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18,787</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30,607</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D6F3E8"/>
          </w:tcPr>
          <w:p>
            <w:pPr>
              <w:ind w:left="1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38,723</w:t>
            </w:r>
          </w:p>
        </w:tc>
        <w:tc>
          <w:tcPr>
            <w:tcW w:w="9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51,371</w:t>
            </w: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36,084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98,255</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110,798</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Financial income</w:t>
            </w:r>
          </w:p>
        </w:tc>
        <w:tc>
          <w:tcPr>
            <w:tcW w:w="2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2,635</w:t>
            </w:r>
          </w:p>
        </w:tc>
        <w:tc>
          <w:tcPr>
            <w:tcW w:w="9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100,890</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112,234</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Provision for taxes</w:t>
            </w:r>
          </w:p>
        </w:tc>
        <w:tc>
          <w:tcPr>
            <w:tcW w:w="2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35,817</w:t>
            </w:r>
          </w:p>
        </w:tc>
        <w:tc>
          <w:tcPr>
            <w:tcW w:w="9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41,593</w:t>
            </w: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29,961</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65,073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70,641</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00" w:type="dxa"/>
            <w:vAlign w:val="bottom"/>
            <w:gridSpan w:val="2"/>
            <w:shd w:val="clear" w:color="auto" w:fill="D6F3E8"/>
          </w:tcPr>
          <w:p>
            <w:pPr>
              <w:spacing w:after="0" w:line="204" w:lineRule="exact"/>
              <w:rPr>
                <w:sz w:val="20"/>
                <w:szCs w:val="20"/>
                <w:color w:val="auto"/>
              </w:rPr>
            </w:pPr>
            <w:r>
              <w:rPr>
                <w:rFonts w:ascii="Times New Roman" w:cs="Times New Roman" w:eastAsia="Times New Roman" w:hAnsi="Times New Roman"/>
                <w:sz w:val="18"/>
                <w:szCs w:val="18"/>
                <w:color w:val="auto"/>
              </w:rPr>
              <w:t>Income from discontinued operations</w:t>
            </w:r>
          </w:p>
        </w:tc>
        <w:tc>
          <w:tcPr>
            <w:tcW w:w="220" w:type="dxa"/>
            <w:vAlign w:val="bottom"/>
            <w:shd w:val="clear" w:color="auto" w:fill="D6F3E8"/>
          </w:tcPr>
          <w:p>
            <w:pPr>
              <w:spacing w:after="0"/>
              <w:rPr>
                <w:sz w:val="17"/>
                <w:szCs w:val="17"/>
                <w:color w:val="auto"/>
              </w:rPr>
            </w:pPr>
          </w:p>
        </w:tc>
        <w:tc>
          <w:tcPr>
            <w:tcW w:w="1040" w:type="dxa"/>
            <w:vAlign w:val="bottom"/>
            <w:vMerge w:val="restart"/>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D6F3E8"/>
          </w:tcPr>
          <w:p>
            <w:pPr>
              <w:spacing w:after="0"/>
              <w:rPr>
                <w:sz w:val="17"/>
                <w:szCs w:val="17"/>
                <w:color w:val="auto"/>
              </w:rPr>
            </w:pPr>
          </w:p>
        </w:tc>
        <w:tc>
          <w:tcPr>
            <w:tcW w:w="200" w:type="dxa"/>
            <w:vAlign w:val="bottom"/>
            <w:shd w:val="clear" w:color="auto" w:fill="D6F3E8"/>
          </w:tcPr>
          <w:p>
            <w:pPr>
              <w:spacing w:after="0"/>
              <w:rPr>
                <w:sz w:val="17"/>
                <w:szCs w:val="17"/>
                <w:color w:val="auto"/>
              </w:rPr>
            </w:pPr>
          </w:p>
        </w:tc>
        <w:tc>
          <w:tcPr>
            <w:tcW w:w="1060" w:type="dxa"/>
            <w:vAlign w:val="bottom"/>
            <w:shd w:val="clear" w:color="auto" w:fill="D6F3E8"/>
          </w:tcPr>
          <w:p>
            <w:pPr>
              <w:spacing w:after="0"/>
              <w:rPr>
                <w:sz w:val="17"/>
                <w:szCs w:val="17"/>
                <w:color w:val="auto"/>
              </w:rPr>
            </w:pPr>
          </w:p>
        </w:tc>
        <w:tc>
          <w:tcPr>
            <w:tcW w:w="90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102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(net of income taxes of $619)</w:t>
            </w:r>
          </w:p>
        </w:tc>
        <w:tc>
          <w:tcPr>
            <w:tcW w:w="220" w:type="dxa"/>
            <w:vAlign w:val="bottom"/>
            <w:shd w:val="clear" w:color="auto" w:fill="D6F3E8"/>
          </w:tcPr>
          <w:p>
            <w:pPr>
              <w:spacing w:after="0"/>
              <w:rPr>
                <w:sz w:val="20"/>
                <w:szCs w:val="20"/>
                <w:color w:val="auto"/>
              </w:rPr>
            </w:pPr>
          </w:p>
        </w:tc>
        <w:tc>
          <w:tcPr>
            <w:tcW w:w="1040" w:type="dxa"/>
            <w:vAlign w:val="bottom"/>
            <w:vMerge w:val="continue"/>
            <w:shd w:val="clear" w:color="auto" w:fill="D6F3E8"/>
          </w:tcPr>
          <w:p>
            <w:pPr>
              <w:spacing w:after="0"/>
              <w:rPr>
                <w:sz w:val="20"/>
                <w:szCs w:val="20"/>
                <w:color w:val="auto"/>
              </w:rPr>
            </w:pPr>
          </w:p>
        </w:tc>
        <w:tc>
          <w:tcPr>
            <w:tcW w:w="920" w:type="dxa"/>
            <w:vAlign w:val="bottom"/>
            <w:shd w:val="clear" w:color="auto" w:fill="D6F3E8"/>
          </w:tcPr>
          <w:p>
            <w:pPr>
              <w:spacing w:after="0"/>
              <w:rPr>
                <w:sz w:val="20"/>
                <w:szCs w:val="20"/>
                <w:color w:val="auto"/>
              </w:rPr>
            </w:pPr>
          </w:p>
        </w:tc>
        <w:tc>
          <w:tcPr>
            <w:tcW w:w="200" w:type="dxa"/>
            <w:vAlign w:val="bottom"/>
            <w:shd w:val="clear" w:color="auto" w:fill="D6F3E8"/>
          </w:tcPr>
          <w:p>
            <w:pPr>
              <w:spacing w:after="0"/>
              <w:rPr>
                <w:sz w:val="20"/>
                <w:szCs w:val="20"/>
                <w:color w:val="auto"/>
              </w:rPr>
            </w:pPr>
          </w:p>
        </w:tc>
        <w:tc>
          <w:tcPr>
            <w:tcW w:w="1960" w:type="dxa"/>
            <w:vAlign w:val="bottom"/>
            <w:gridSpan w:val="2"/>
            <w:shd w:val="clear" w:color="auto" w:fill="D6F3E8"/>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6F3E8"/>
          </w:tcPr>
          <w:p>
            <w:pPr>
              <w:spacing w:after="0"/>
              <w:rPr>
                <w:sz w:val="20"/>
                <w:szCs w:val="20"/>
                <w:color w:val="auto"/>
              </w:rPr>
            </w:pPr>
          </w:p>
        </w:tc>
        <w:tc>
          <w:tcPr>
            <w:tcW w:w="10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65,073</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70,641</w:t>
            </w:r>
          </w:p>
        </w:tc>
        <w:tc>
          <w:tcPr>
            <w:tcW w:w="90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8"/>
        </w:trPr>
        <w:tc>
          <w:tcPr>
            <w:tcW w:w="20" w:type="dxa"/>
            <w:vAlign w:val="bottom"/>
            <w:vMerge w:val="restart"/>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00" w:type="dxa"/>
            <w:vAlign w:val="bottom"/>
            <w:gridSpan w:val="2"/>
            <w:shd w:val="clear" w:color="auto" w:fill="D6F3E8"/>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Basic income per common share: </w:t>
            </w:r>
            <w:r>
              <w:rPr>
                <w:rFonts w:ascii="Times New Roman" w:cs="Times New Roman" w:eastAsia="Times New Roman" w:hAnsi="Times New Roman"/>
                <w:sz w:val="29"/>
                <w:szCs w:val="29"/>
                <w:b w:val="1"/>
                <w:bCs w:val="1"/>
                <w:color w:val="auto"/>
                <w:vertAlign w:val="superscript"/>
              </w:rPr>
              <w:t>(1)</w:t>
            </w:r>
          </w:p>
        </w:tc>
        <w:tc>
          <w:tcPr>
            <w:tcW w:w="220" w:type="dxa"/>
            <w:vAlign w:val="bottom"/>
            <w:shd w:val="clear" w:color="auto" w:fill="D6F3E8"/>
          </w:tcPr>
          <w:p>
            <w:pPr>
              <w:spacing w:after="0"/>
              <w:rPr>
                <w:sz w:val="22"/>
                <w:szCs w:val="22"/>
                <w:color w:val="auto"/>
              </w:rPr>
            </w:pPr>
          </w:p>
        </w:tc>
        <w:tc>
          <w:tcPr>
            <w:tcW w:w="1040" w:type="dxa"/>
            <w:vAlign w:val="bottom"/>
            <w:shd w:val="clear" w:color="auto" w:fill="D6F3E8"/>
          </w:tcPr>
          <w:p>
            <w:pPr>
              <w:spacing w:after="0"/>
              <w:rPr>
                <w:sz w:val="22"/>
                <w:szCs w:val="22"/>
                <w:color w:val="auto"/>
              </w:rPr>
            </w:pPr>
          </w:p>
        </w:tc>
        <w:tc>
          <w:tcPr>
            <w:tcW w:w="92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060" w:type="dxa"/>
            <w:vAlign w:val="bottom"/>
            <w:shd w:val="clear" w:color="auto" w:fill="D6F3E8"/>
          </w:tcPr>
          <w:p>
            <w:pPr>
              <w:spacing w:after="0"/>
              <w:rPr>
                <w:sz w:val="22"/>
                <w:szCs w:val="22"/>
                <w:color w:val="auto"/>
              </w:rPr>
            </w:pPr>
          </w:p>
        </w:tc>
        <w:tc>
          <w:tcPr>
            <w:tcW w:w="90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102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90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From discontinued operations</w:t>
            </w:r>
          </w:p>
        </w:tc>
        <w:tc>
          <w:tcPr>
            <w:tcW w:w="2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960" w:type="dxa"/>
            <w:vAlign w:val="bottom"/>
            <w:gridSpan w:val="2"/>
            <w:shd w:val="clear" w:color="auto" w:fill="D6F3E8"/>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-764540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-764540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-764540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-764540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-764540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-764540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117"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income per share</w:t>
            </w: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3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8"/>
        </w:trPr>
        <w:tc>
          <w:tcPr>
            <w:tcW w:w="20" w:type="dxa"/>
            <w:vAlign w:val="bottom"/>
            <w:vMerge w:val="restart"/>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580" w:type="dxa"/>
            <w:vAlign w:val="bottom"/>
            <w:shd w:val="clear" w:color="auto" w:fill="D6F3E8"/>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Diluted income per common share: </w:t>
            </w:r>
            <w:r>
              <w:rPr>
                <w:rFonts w:ascii="Times New Roman" w:cs="Times New Roman" w:eastAsia="Times New Roman" w:hAnsi="Times New Roman"/>
                <w:sz w:val="29"/>
                <w:szCs w:val="29"/>
                <w:b w:val="1"/>
                <w:bCs w:val="1"/>
                <w:color w:val="auto"/>
                <w:vertAlign w:val="superscript"/>
              </w:rPr>
              <w:t>(1)</w:t>
            </w:r>
          </w:p>
        </w:tc>
        <w:tc>
          <w:tcPr>
            <w:tcW w:w="2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820" w:type="dxa"/>
            <w:vAlign w:val="bottom"/>
            <w:shd w:val="clear" w:color="auto" w:fill="D6F3E8"/>
          </w:tcPr>
          <w:p>
            <w:pPr>
              <w:spacing w:after="0"/>
              <w:rPr>
                <w:sz w:val="22"/>
                <w:szCs w:val="22"/>
                <w:color w:val="auto"/>
              </w:rPr>
            </w:pPr>
          </w:p>
        </w:tc>
        <w:tc>
          <w:tcPr>
            <w:tcW w:w="920" w:type="dxa"/>
            <w:vAlign w:val="bottom"/>
            <w:shd w:val="clear" w:color="auto" w:fill="D6F3E8"/>
          </w:tcPr>
          <w:p>
            <w:pPr>
              <w:spacing w:after="0"/>
              <w:rPr>
                <w:sz w:val="22"/>
                <w:szCs w:val="22"/>
                <w:color w:val="auto"/>
              </w:rPr>
            </w:pPr>
          </w:p>
        </w:tc>
        <w:tc>
          <w:tcPr>
            <w:tcW w:w="20" w:type="dxa"/>
            <w:vAlign w:val="bottom"/>
            <w:shd w:val="clear" w:color="auto" w:fill="D6F3E8"/>
          </w:tcPr>
          <w:p>
            <w:pPr>
              <w:spacing w:after="0"/>
              <w:rPr>
                <w:sz w:val="22"/>
                <w:szCs w:val="22"/>
                <w:color w:val="auto"/>
              </w:rPr>
            </w:pPr>
          </w:p>
        </w:tc>
        <w:tc>
          <w:tcPr>
            <w:tcW w:w="420" w:type="dxa"/>
            <w:vAlign w:val="bottom"/>
            <w:shd w:val="clear" w:color="auto" w:fill="D6F3E8"/>
          </w:tcPr>
          <w:p>
            <w:pPr>
              <w:spacing w:after="0"/>
              <w:rPr>
                <w:sz w:val="22"/>
                <w:szCs w:val="22"/>
                <w:color w:val="auto"/>
              </w:rPr>
            </w:pPr>
          </w:p>
        </w:tc>
        <w:tc>
          <w:tcPr>
            <w:tcW w:w="820" w:type="dxa"/>
            <w:vAlign w:val="bottom"/>
            <w:shd w:val="clear" w:color="auto" w:fill="D6F3E8"/>
          </w:tcPr>
          <w:p>
            <w:pPr>
              <w:spacing w:after="0"/>
              <w:rPr>
                <w:sz w:val="22"/>
                <w:szCs w:val="22"/>
                <w:color w:val="auto"/>
              </w:rPr>
            </w:pPr>
          </w:p>
        </w:tc>
        <w:tc>
          <w:tcPr>
            <w:tcW w:w="900" w:type="dxa"/>
            <w:vAlign w:val="bottom"/>
            <w:shd w:val="clear" w:color="auto" w:fill="D6F3E8"/>
          </w:tcPr>
          <w:p>
            <w:pPr>
              <w:spacing w:after="0"/>
              <w:rPr>
                <w:sz w:val="22"/>
                <w:szCs w:val="22"/>
                <w:color w:val="auto"/>
              </w:rPr>
            </w:pPr>
          </w:p>
        </w:tc>
        <w:tc>
          <w:tcPr>
            <w:tcW w:w="20" w:type="dxa"/>
            <w:vAlign w:val="bottom"/>
            <w:shd w:val="clear" w:color="auto" w:fill="D6F3E8"/>
          </w:tcPr>
          <w:p>
            <w:pPr>
              <w:spacing w:after="0"/>
              <w:rPr>
                <w:sz w:val="22"/>
                <w:szCs w:val="22"/>
                <w:color w:val="auto"/>
              </w:rPr>
            </w:pPr>
          </w:p>
        </w:tc>
        <w:tc>
          <w:tcPr>
            <w:tcW w:w="420" w:type="dxa"/>
            <w:vAlign w:val="bottom"/>
            <w:shd w:val="clear" w:color="auto" w:fill="D6F3E8"/>
          </w:tcPr>
          <w:p>
            <w:pPr>
              <w:spacing w:after="0"/>
              <w:rPr>
                <w:sz w:val="22"/>
                <w:szCs w:val="22"/>
                <w:color w:val="auto"/>
              </w:rPr>
            </w:pPr>
          </w:p>
        </w:tc>
        <w:tc>
          <w:tcPr>
            <w:tcW w:w="80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3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From discontinued operations</w:t>
            </w:r>
          </w:p>
        </w:tc>
        <w:tc>
          <w:tcPr>
            <w:tcW w:w="2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42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42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940" w:type="dxa"/>
            <w:vAlign w:val="bottom"/>
            <w:gridSpan w:val="2"/>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920" w:type="dxa"/>
            <w:vAlign w:val="bottom"/>
            <w:gridSpan w:val="2"/>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income per share</w:t>
            </w:r>
          </w:p>
        </w:tc>
        <w:tc>
          <w:tcPr>
            <w:tcW w:w="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3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8"/>
        </w:trPr>
        <w:tc>
          <w:tcPr>
            <w:tcW w:w="20" w:type="dxa"/>
            <w:vAlign w:val="bottom"/>
            <w:vMerge w:val="restart"/>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580" w:type="dxa"/>
            <w:vAlign w:val="bottom"/>
            <w:shd w:val="clear" w:color="auto" w:fill="D6F3E8"/>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Weighted average common shares outstanding: </w:t>
            </w:r>
            <w:r>
              <w:rPr>
                <w:rFonts w:ascii="Times New Roman" w:cs="Times New Roman" w:eastAsia="Times New Roman" w:hAnsi="Times New Roman"/>
                <w:sz w:val="29"/>
                <w:szCs w:val="29"/>
                <w:b w:val="1"/>
                <w:bCs w:val="1"/>
                <w:color w:val="auto"/>
                <w:vertAlign w:val="superscript"/>
              </w:rPr>
              <w:t>(1)</w:t>
            </w:r>
          </w:p>
        </w:tc>
        <w:tc>
          <w:tcPr>
            <w:tcW w:w="20" w:type="dxa"/>
            <w:vAlign w:val="bottom"/>
            <w:shd w:val="clear" w:color="auto" w:fill="D6F3E8"/>
          </w:tcPr>
          <w:p>
            <w:pPr>
              <w:spacing w:after="0"/>
              <w:rPr>
                <w:sz w:val="22"/>
                <w:szCs w:val="22"/>
                <w:color w:val="auto"/>
              </w:rPr>
            </w:pPr>
          </w:p>
        </w:tc>
        <w:tc>
          <w:tcPr>
            <w:tcW w:w="440" w:type="dxa"/>
            <w:vAlign w:val="bottom"/>
            <w:shd w:val="clear" w:color="auto" w:fill="D6F3E8"/>
          </w:tcPr>
          <w:p>
            <w:pPr>
              <w:spacing w:after="0"/>
              <w:rPr>
                <w:sz w:val="22"/>
                <w:szCs w:val="22"/>
                <w:color w:val="auto"/>
              </w:rPr>
            </w:pPr>
          </w:p>
        </w:tc>
        <w:tc>
          <w:tcPr>
            <w:tcW w:w="820" w:type="dxa"/>
            <w:vAlign w:val="bottom"/>
            <w:shd w:val="clear" w:color="auto" w:fill="D6F3E8"/>
          </w:tcPr>
          <w:p>
            <w:pPr>
              <w:spacing w:after="0"/>
              <w:rPr>
                <w:sz w:val="22"/>
                <w:szCs w:val="22"/>
                <w:color w:val="auto"/>
              </w:rPr>
            </w:pPr>
          </w:p>
        </w:tc>
        <w:tc>
          <w:tcPr>
            <w:tcW w:w="920" w:type="dxa"/>
            <w:vAlign w:val="bottom"/>
            <w:shd w:val="clear" w:color="auto" w:fill="D6F3E8"/>
          </w:tcPr>
          <w:p>
            <w:pPr>
              <w:spacing w:after="0"/>
              <w:rPr>
                <w:sz w:val="22"/>
                <w:szCs w:val="22"/>
                <w:color w:val="auto"/>
              </w:rPr>
            </w:pPr>
          </w:p>
        </w:tc>
        <w:tc>
          <w:tcPr>
            <w:tcW w:w="20" w:type="dxa"/>
            <w:vAlign w:val="bottom"/>
            <w:shd w:val="clear" w:color="auto" w:fill="D6F3E8"/>
          </w:tcPr>
          <w:p>
            <w:pPr>
              <w:spacing w:after="0"/>
              <w:rPr>
                <w:sz w:val="22"/>
                <w:szCs w:val="22"/>
                <w:color w:val="auto"/>
              </w:rPr>
            </w:pPr>
          </w:p>
        </w:tc>
        <w:tc>
          <w:tcPr>
            <w:tcW w:w="420" w:type="dxa"/>
            <w:vAlign w:val="bottom"/>
            <w:shd w:val="clear" w:color="auto" w:fill="D6F3E8"/>
          </w:tcPr>
          <w:p>
            <w:pPr>
              <w:spacing w:after="0"/>
              <w:rPr>
                <w:sz w:val="22"/>
                <w:szCs w:val="22"/>
                <w:color w:val="auto"/>
              </w:rPr>
            </w:pPr>
          </w:p>
        </w:tc>
        <w:tc>
          <w:tcPr>
            <w:tcW w:w="820" w:type="dxa"/>
            <w:vAlign w:val="bottom"/>
            <w:shd w:val="clear" w:color="auto" w:fill="D6F3E8"/>
          </w:tcPr>
          <w:p>
            <w:pPr>
              <w:spacing w:after="0"/>
              <w:rPr>
                <w:sz w:val="22"/>
                <w:szCs w:val="22"/>
                <w:color w:val="auto"/>
              </w:rPr>
            </w:pPr>
          </w:p>
        </w:tc>
        <w:tc>
          <w:tcPr>
            <w:tcW w:w="900" w:type="dxa"/>
            <w:vAlign w:val="bottom"/>
            <w:shd w:val="clear" w:color="auto" w:fill="D6F3E8"/>
          </w:tcPr>
          <w:p>
            <w:pPr>
              <w:spacing w:after="0"/>
              <w:rPr>
                <w:sz w:val="22"/>
                <w:szCs w:val="22"/>
                <w:color w:val="auto"/>
              </w:rPr>
            </w:pPr>
          </w:p>
        </w:tc>
        <w:tc>
          <w:tcPr>
            <w:tcW w:w="20" w:type="dxa"/>
            <w:vAlign w:val="bottom"/>
            <w:shd w:val="clear" w:color="auto" w:fill="D6F3E8"/>
          </w:tcPr>
          <w:p>
            <w:pPr>
              <w:spacing w:after="0"/>
              <w:rPr>
                <w:sz w:val="22"/>
                <w:szCs w:val="22"/>
                <w:color w:val="auto"/>
              </w:rPr>
            </w:pPr>
          </w:p>
        </w:tc>
        <w:tc>
          <w:tcPr>
            <w:tcW w:w="420" w:type="dxa"/>
            <w:vAlign w:val="bottom"/>
            <w:shd w:val="clear" w:color="auto" w:fill="D6F3E8"/>
          </w:tcPr>
          <w:p>
            <w:pPr>
              <w:spacing w:after="0"/>
              <w:rPr>
                <w:sz w:val="22"/>
                <w:szCs w:val="22"/>
                <w:color w:val="auto"/>
              </w:rPr>
            </w:pPr>
          </w:p>
        </w:tc>
        <w:tc>
          <w:tcPr>
            <w:tcW w:w="800" w:type="dxa"/>
            <w:vAlign w:val="bottom"/>
            <w:shd w:val="clear" w:color="auto" w:fill="D6F3E8"/>
          </w:tcPr>
          <w:p>
            <w:pPr>
              <w:spacing w:after="0"/>
              <w:rPr>
                <w:sz w:val="22"/>
                <w:szCs w:val="22"/>
                <w:color w:val="auto"/>
              </w:rPr>
            </w:pP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33,382</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34,214</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33,812</w:t>
            </w:r>
          </w:p>
        </w:tc>
        <w:tc>
          <w:tcPr>
            <w:tcW w:w="9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42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34,789</w:t>
            </w:r>
          </w:p>
        </w:tc>
        <w:tc>
          <w:tcPr>
            <w:tcW w:w="9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42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37,636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-1879600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-1879600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-1879600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-1879600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-1879600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-1879600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-687705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-687705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-687705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-687705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-687705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-687705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174" w:lineRule="exact"/>
        <w:rPr>
          <w:sz w:val="20"/>
          <w:szCs w:val="20"/>
          <w:color w:val="auto"/>
        </w:rPr>
      </w:pPr>
    </w:p>
    <w:p>
      <w:pPr>
        <w:ind w:left="360" w:hanging="352"/>
        <w:spacing w:after="0"/>
        <w:tabs>
          <w:tab w:leader="none" w:pos="360" w:val="left"/>
        </w:tabs>
        <w:numPr>
          <w:ilvl w:val="0"/>
          <w:numId w:val="18"/>
        </w:numPr>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17"/>
          <w:szCs w:val="17"/>
          <w:i w:val="1"/>
          <w:iCs w:val="1"/>
          <w:color w:val="auto"/>
        </w:rPr>
        <w:t>Income per share calculations and weighted average shares outstanding have been restated to record the effect of the 2-for-1 stock split on March 5, 2004.</w:t>
      </w:r>
    </w:p>
    <w:p>
      <w:pPr>
        <w:spacing w:after="0" w:line="200" w:lineRule="exact"/>
        <w:rPr>
          <w:rFonts w:ascii="Times New Roman" w:cs="Times New Roman" w:eastAsia="Times New Roman" w:hAnsi="Times New Roman"/>
          <w:sz w:val="28"/>
          <w:szCs w:val="28"/>
          <w:i w:val="1"/>
          <w:iCs w:val="1"/>
          <w:color w:val="auto"/>
          <w:vertAlign w:val="superscript"/>
        </w:rPr>
      </w:pPr>
    </w:p>
    <w:p>
      <w:pPr>
        <w:spacing w:after="0" w:line="200" w:lineRule="exact"/>
        <w:rPr>
          <w:rFonts w:ascii="Times New Roman" w:cs="Times New Roman" w:eastAsia="Times New Roman" w:hAnsi="Times New Roman"/>
          <w:sz w:val="28"/>
          <w:szCs w:val="28"/>
          <w:i w:val="1"/>
          <w:iCs w:val="1"/>
          <w:color w:val="auto"/>
          <w:vertAlign w:val="superscript"/>
        </w:rPr>
      </w:pPr>
    </w:p>
    <w:p>
      <w:pPr>
        <w:spacing w:after="0" w:line="262" w:lineRule="exact"/>
        <w:rPr>
          <w:rFonts w:ascii="Times New Roman" w:cs="Times New Roman" w:eastAsia="Times New Roman" w:hAnsi="Times New Roman"/>
          <w:sz w:val="28"/>
          <w:szCs w:val="28"/>
          <w:i w:val="1"/>
          <w:iCs w:val="1"/>
          <w:color w:val="auto"/>
          <w:vertAlign w:val="superscript"/>
        </w:rPr>
      </w:pPr>
    </w:p>
    <w:p>
      <w:pPr>
        <w:ind w:left="5620"/>
        <w:spacing w:after="0"/>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Consolidated Balance Sheets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2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27, 2005</w:t>
            </w:r>
          </w:p>
        </w:tc>
        <w:tc>
          <w:tcPr>
            <w:tcW w:w="1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28,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D6F3E8"/>
          </w:tcPr>
          <w:p>
            <w:pPr>
              <w:spacing w:after="0"/>
              <w:rPr>
                <w:sz w:val="18"/>
                <w:szCs w:val="18"/>
                <w:color w:val="auto"/>
              </w:rPr>
            </w:pPr>
          </w:p>
        </w:tc>
        <w:tc>
          <w:tcPr>
            <w:tcW w:w="1280" w:type="dxa"/>
            <w:vAlign w:val="bottom"/>
            <w:shd w:val="clear" w:color="auto" w:fill="D6F3E8"/>
          </w:tcPr>
          <w:p>
            <w:pPr>
              <w:spacing w:after="0"/>
              <w:rPr>
                <w:sz w:val="18"/>
                <w:szCs w:val="18"/>
                <w:color w:val="auto"/>
              </w:rPr>
            </w:pPr>
          </w:p>
        </w:tc>
        <w:tc>
          <w:tcPr>
            <w:tcW w:w="13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19,484</w:t>
            </w:r>
          </w:p>
        </w:tc>
        <w:tc>
          <w:tcPr>
            <w:tcW w:w="1380" w:type="dxa"/>
            <w:vAlign w:val="bottom"/>
            <w:shd w:val="clear" w:color="auto" w:fill="D6F3E8"/>
          </w:tcPr>
          <w:p>
            <w:pPr>
              <w:spacing w:after="0"/>
              <w:rPr>
                <w:sz w:val="18"/>
                <w:szCs w:val="18"/>
                <w:color w:val="auto"/>
              </w:rPr>
            </w:pPr>
          </w:p>
        </w:tc>
        <w:tc>
          <w:tcPr>
            <w:tcW w:w="1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93,100</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40" w:type="dxa"/>
            <w:vAlign w:val="bottom"/>
            <w:shd w:val="clear" w:color="auto" w:fill="D6F3E8"/>
          </w:tcPr>
          <w:p>
            <w:pPr>
              <w:ind w:left="380"/>
              <w:spacing w:after="0" w:line="201" w:lineRule="exact"/>
              <w:rPr>
                <w:sz w:val="20"/>
                <w:szCs w:val="20"/>
                <w:color w:val="auto"/>
              </w:rPr>
            </w:pPr>
            <w:r>
              <w:rPr>
                <w:rFonts w:ascii="Times New Roman" w:cs="Times New Roman" w:eastAsia="Times New Roman" w:hAnsi="Times New Roman"/>
                <w:sz w:val="18"/>
                <w:szCs w:val="18"/>
                <w:color w:val="auto"/>
              </w:rPr>
              <w:t>Receivables, less allowance for doubtful accounts</w:t>
            </w:r>
          </w:p>
        </w:tc>
        <w:tc>
          <w:tcPr>
            <w:tcW w:w="220" w:type="dxa"/>
            <w:vAlign w:val="bottom"/>
            <w:shd w:val="clear" w:color="auto" w:fill="D6F3E8"/>
          </w:tcPr>
          <w:p>
            <w:pPr>
              <w:spacing w:after="0"/>
              <w:rPr>
                <w:sz w:val="17"/>
                <w:szCs w:val="17"/>
                <w:color w:val="auto"/>
              </w:rPr>
            </w:pPr>
          </w:p>
        </w:tc>
        <w:tc>
          <w:tcPr>
            <w:tcW w:w="1280" w:type="dxa"/>
            <w:vAlign w:val="bottom"/>
            <w:vMerge w:val="restart"/>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40,910</w:t>
            </w:r>
          </w:p>
        </w:tc>
        <w:tc>
          <w:tcPr>
            <w:tcW w:w="1380" w:type="dxa"/>
            <w:vAlign w:val="bottom"/>
            <w:shd w:val="clear" w:color="auto" w:fill="D6F3E8"/>
          </w:tcPr>
          <w:p>
            <w:pPr>
              <w:spacing w:after="0"/>
              <w:rPr>
                <w:sz w:val="17"/>
                <w:szCs w:val="17"/>
                <w:color w:val="auto"/>
              </w:rPr>
            </w:pPr>
          </w:p>
        </w:tc>
        <w:tc>
          <w:tcPr>
            <w:tcW w:w="180" w:type="dxa"/>
            <w:vAlign w:val="bottom"/>
            <w:shd w:val="clear" w:color="auto" w:fill="D6F3E8"/>
          </w:tcPr>
          <w:p>
            <w:pPr>
              <w:spacing w:after="0"/>
              <w:rPr>
                <w:sz w:val="17"/>
                <w:szCs w:val="17"/>
                <w:color w:val="auto"/>
              </w:rPr>
            </w:pPr>
          </w:p>
        </w:tc>
        <w:tc>
          <w:tcPr>
            <w:tcW w:w="128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shd w:val="clear" w:color="auto" w:fill="D6F3E8"/>
          </w:tcPr>
          <w:p>
            <w:pPr>
              <w:ind w:left="780"/>
              <w:spacing w:after="0"/>
              <w:rPr>
                <w:sz w:val="20"/>
                <w:szCs w:val="20"/>
                <w:color w:val="auto"/>
              </w:rPr>
            </w:pPr>
            <w:r>
              <w:rPr>
                <w:rFonts w:ascii="Times New Roman" w:cs="Times New Roman" w:eastAsia="Times New Roman" w:hAnsi="Times New Roman"/>
                <w:sz w:val="18"/>
                <w:szCs w:val="18"/>
                <w:color w:val="auto"/>
              </w:rPr>
              <w:t>($270 and $161, respectively)</w:t>
            </w:r>
          </w:p>
        </w:tc>
        <w:tc>
          <w:tcPr>
            <w:tcW w:w="220" w:type="dxa"/>
            <w:vAlign w:val="bottom"/>
            <w:shd w:val="clear" w:color="auto" w:fill="D6F3E8"/>
          </w:tcPr>
          <w:p>
            <w:pPr>
              <w:spacing w:after="0"/>
              <w:rPr>
                <w:sz w:val="20"/>
                <w:szCs w:val="20"/>
                <w:color w:val="auto"/>
              </w:rPr>
            </w:pPr>
          </w:p>
        </w:tc>
        <w:tc>
          <w:tcPr>
            <w:tcW w:w="1280" w:type="dxa"/>
            <w:vAlign w:val="bottom"/>
            <w:vMerge w:val="continue"/>
            <w:shd w:val="clear" w:color="auto" w:fill="D6F3E8"/>
          </w:tcPr>
          <w:p>
            <w:pPr>
              <w:spacing w:after="0"/>
              <w:rPr>
                <w:sz w:val="20"/>
                <w:szCs w:val="20"/>
                <w:color w:val="auto"/>
              </w:rPr>
            </w:pPr>
          </w:p>
        </w:tc>
        <w:tc>
          <w:tcPr>
            <w:tcW w:w="138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46,112</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120,655</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4,333</w:t>
            </w:r>
          </w:p>
        </w:tc>
        <w:tc>
          <w:tcPr>
            <w:tcW w:w="13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9,610</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288,092</w:t>
            </w:r>
          </w:p>
        </w:tc>
        <w:tc>
          <w:tcPr>
            <w:tcW w:w="13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270,069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Buildings</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60,282</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100,601</w:t>
            </w:r>
          </w:p>
        </w:tc>
        <w:tc>
          <w:tcPr>
            <w:tcW w:w="13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99,511</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Transportation equipment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9,487</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Total property and equipment, at cost</w:t>
            </w:r>
          </w:p>
        </w:tc>
        <w:tc>
          <w:tcPr>
            <w:tcW w:w="22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171,370</w:t>
            </w:r>
          </w:p>
        </w:tc>
        <w:tc>
          <w:tcPr>
            <w:tcW w:w="13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166,889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107,517</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102,894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63,853</w:t>
            </w:r>
          </w:p>
        </w:tc>
        <w:tc>
          <w:tcPr>
            <w:tcW w:w="13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63,995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in life insurance</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22,066</w:t>
            </w: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24,997</w:t>
            </w:r>
          </w:p>
        </w:tc>
        <w:tc>
          <w:tcPr>
            <w:tcW w:w="13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25,166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13,952</w:t>
            </w: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3" w:right="239" w:bottom="318" w:gutter="0" w:footer="0" w:header="0"/>
        </w:sectPr>
      </w:pPr>
    </w:p>
    <w:p>
      <w:pPr>
        <w:spacing w:after="0" w:line="135" w:lineRule="exact"/>
        <w:rPr>
          <w:sz w:val="20"/>
          <w:szCs w:val="20"/>
          <w:color w:val="auto"/>
        </w:rPr>
      </w:pPr>
    </w:p>
    <w:p>
      <w:pPr>
        <w:ind w:left="400"/>
        <w:spacing w:after="0"/>
        <w:tabs>
          <w:tab w:leader="none" w:pos="6880" w:val="left"/>
          <w:tab w:leader="none" w:pos="7780" w:val="left"/>
          <w:tab w:leader="none" w:pos="9740" w:val="left"/>
          <w:tab w:leader="none" w:pos="10620" w:val="left"/>
        </w:tabs>
        <w:rPr>
          <w:sz w:val="20"/>
          <w:szCs w:val="20"/>
          <w:color w:val="auto"/>
        </w:rPr>
      </w:pPr>
      <w:r>
        <w:rPr>
          <w:rFonts w:ascii="Times New Roman" w:cs="Times New Roman" w:eastAsia="Times New Roman" w:hAnsi="Times New Roman"/>
          <w:sz w:val="18"/>
          <w:szCs w:val="18"/>
          <w:color w:val="auto"/>
        </w:rPr>
        <w:t>Total assets</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412,960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394,556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82550</wp:posOffset>
            </wp:positionV>
            <wp:extent cx="95631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5631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82550</wp:posOffset>
            </wp:positionV>
            <wp:extent cx="93916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39165" cy="29845"/>
                    </a:xfrm>
                    <a:prstGeom prst="rect">
                      <a:avLst/>
                    </a:prstGeom>
                    <a:noFill/>
                  </pic:spPr>
                </pic:pic>
              </a:graphicData>
            </a:graphic>
          </wp:anchor>
        </w:drawing>
      </w:r>
    </w:p>
    <w:p>
      <w:pPr>
        <w:sectPr>
          <w:pgSz w:w="11900" w:h="16838" w:orient="portrait"/>
          <w:cols w:equalWidth="0" w:num="1">
            <w:col w:w="11420"/>
          </w:cols>
          <w:pgMar w:left="240" w:top="123" w:right="239" w:bottom="318"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prior year information has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20" w:type="dxa"/>
            <w:vAlign w:val="bottom"/>
          </w:tcPr>
          <w:p>
            <w:pPr>
              <w:spacing w:after="0"/>
              <w:rPr>
                <w:sz w:val="15"/>
                <w:szCs w:val="15"/>
                <w:color w:val="auto"/>
              </w:rPr>
            </w:pPr>
          </w:p>
        </w:tc>
        <w:tc>
          <w:tcPr>
            <w:tcW w:w="2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27, 2005</w:t>
            </w:r>
          </w:p>
        </w:tc>
        <w:tc>
          <w:tcPr>
            <w:tcW w:w="1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August 28,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D6F3E8"/>
          </w:tcPr>
          <w:p>
            <w:pPr>
              <w:spacing w:after="0"/>
              <w:rPr>
                <w:sz w:val="18"/>
                <w:szCs w:val="18"/>
                <w:color w:val="auto"/>
              </w:rPr>
            </w:pPr>
          </w:p>
        </w:tc>
        <w:tc>
          <w:tcPr>
            <w:tcW w:w="1280" w:type="dxa"/>
            <w:vAlign w:val="bottom"/>
            <w:shd w:val="clear" w:color="auto" w:fill="D6F3E8"/>
          </w:tcPr>
          <w:p>
            <w:pPr>
              <w:spacing w:after="0"/>
              <w:rPr>
                <w:sz w:val="18"/>
                <w:szCs w:val="18"/>
                <w:color w:val="auto"/>
              </w:rPr>
            </w:pPr>
          </w:p>
        </w:tc>
        <w:tc>
          <w:tcPr>
            <w:tcW w:w="13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Accounts payable, trade</w:t>
            </w:r>
          </w:p>
        </w:tc>
        <w:tc>
          <w:tcPr>
            <w:tcW w:w="2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37,229</w:t>
            </w:r>
          </w:p>
        </w:tc>
        <w:tc>
          <w:tcPr>
            <w:tcW w:w="1380" w:type="dxa"/>
            <w:vAlign w:val="bottom"/>
            <w:shd w:val="clear" w:color="auto" w:fill="D6F3E8"/>
          </w:tcPr>
          <w:p>
            <w:pPr>
              <w:spacing w:after="0"/>
              <w:rPr>
                <w:sz w:val="18"/>
                <w:szCs w:val="18"/>
                <w:color w:val="auto"/>
              </w:rPr>
            </w:pPr>
          </w:p>
        </w:tc>
        <w:tc>
          <w:tcPr>
            <w:tcW w:w="1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46,659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4,458</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D6F3E8"/>
          </w:tcPr>
          <w:p>
            <w:pPr>
              <w:spacing w:after="0"/>
              <w:rPr>
                <w:sz w:val="18"/>
                <w:szCs w:val="18"/>
                <w:color w:val="auto"/>
              </w:rPr>
            </w:pPr>
          </w:p>
        </w:tc>
        <w:tc>
          <w:tcPr>
            <w:tcW w:w="1280" w:type="dxa"/>
            <w:vAlign w:val="bottom"/>
            <w:shd w:val="clear" w:color="auto" w:fill="D6F3E8"/>
          </w:tcPr>
          <w:p>
            <w:pPr>
              <w:spacing w:after="0"/>
              <w:rPr>
                <w:sz w:val="18"/>
                <w:szCs w:val="18"/>
                <w:color w:val="auto"/>
              </w:rPr>
            </w:pPr>
          </w:p>
        </w:tc>
        <w:tc>
          <w:tcPr>
            <w:tcW w:w="13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16,380</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6F3E8"/>
          </w:tcPr>
          <w:p>
            <w:pPr>
              <w:ind w:left="780"/>
              <w:spacing w:after="0"/>
              <w:rPr>
                <w:sz w:val="20"/>
                <w:szCs w:val="20"/>
                <w:color w:val="auto"/>
              </w:rPr>
            </w:pPr>
            <w:r>
              <w:rPr>
                <w:rFonts w:ascii="Times New Roman" w:cs="Times New Roman" w:eastAsia="Times New Roman" w:hAnsi="Times New Roman"/>
                <w:sz w:val="18"/>
                <w:szCs w:val="18"/>
                <w:color w:val="auto"/>
              </w:rPr>
              <w:t>Product warranties</w:t>
            </w:r>
          </w:p>
        </w:tc>
        <w:tc>
          <w:tcPr>
            <w:tcW w:w="22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12,183</w:t>
            </w:r>
          </w:p>
        </w:tc>
        <w:tc>
          <w:tcPr>
            <w:tcW w:w="13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Self-insurance</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6,728</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6F3E8"/>
          </w:tcPr>
          <w:p>
            <w:pPr>
              <w:ind w:left="780"/>
              <w:spacing w:after="0"/>
              <w:rPr>
                <w:sz w:val="20"/>
                <w:szCs w:val="20"/>
                <w:color w:val="auto"/>
              </w:rPr>
            </w:pPr>
            <w:r>
              <w:rPr>
                <w:rFonts w:ascii="Times New Roman" w:cs="Times New Roman" w:eastAsia="Times New Roman" w:hAnsi="Times New Roman"/>
                <w:sz w:val="18"/>
                <w:szCs w:val="18"/>
                <w:color w:val="auto"/>
              </w:rPr>
              <w:t>Promotional</w:t>
            </w:r>
          </w:p>
        </w:tc>
        <w:tc>
          <w:tcPr>
            <w:tcW w:w="22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5,495</w:t>
            </w:r>
          </w:p>
        </w:tc>
        <w:tc>
          <w:tcPr>
            <w:tcW w:w="13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8,150</w:t>
            </w: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6F3E8"/>
          </w:tcPr>
          <w:p>
            <w:pPr>
              <w:ind w:left="7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90,623</w:t>
            </w:r>
          </w:p>
        </w:tc>
        <w:tc>
          <w:tcPr>
            <w:tcW w:w="13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105,894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Postretirement health care and deferred</w:t>
            </w:r>
          </w:p>
        </w:tc>
        <w:tc>
          <w:tcPr>
            <w:tcW w:w="2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6"/>
        </w:trPr>
        <w:tc>
          <w:tcPr>
            <w:tcW w:w="68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86,450</w:t>
            </w: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compensation benefits, net of current portion</w:t>
            </w:r>
          </w:p>
        </w:tc>
        <w:tc>
          <w:tcPr>
            <w:tcW w:w="2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6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Contingent liabilities and commitments</w:t>
            </w:r>
          </w:p>
        </w:tc>
        <w:tc>
          <w:tcPr>
            <w:tcW w:w="220" w:type="dxa"/>
            <w:vAlign w:val="bottom"/>
            <w:shd w:val="clear" w:color="auto" w:fill="D6F3E8"/>
          </w:tcPr>
          <w:p>
            <w:pPr>
              <w:spacing w:after="0"/>
              <w:rPr>
                <w:sz w:val="18"/>
                <w:szCs w:val="18"/>
                <w:color w:val="auto"/>
              </w:rPr>
            </w:pPr>
          </w:p>
        </w:tc>
        <w:tc>
          <w:tcPr>
            <w:tcW w:w="1280" w:type="dxa"/>
            <w:vAlign w:val="bottom"/>
            <w:shd w:val="clear" w:color="auto" w:fill="D6F3E8"/>
          </w:tcPr>
          <w:p>
            <w:pPr>
              <w:spacing w:after="0"/>
              <w:rPr>
                <w:sz w:val="18"/>
                <w:szCs w:val="18"/>
                <w:color w:val="auto"/>
              </w:rPr>
            </w:pPr>
          </w:p>
        </w:tc>
        <w:tc>
          <w:tcPr>
            <w:tcW w:w="13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D6F3E8"/>
          </w:tcPr>
          <w:p>
            <w:pPr>
              <w:ind w:left="380"/>
              <w:spacing w:after="0" w:line="203" w:lineRule="exact"/>
              <w:rPr>
                <w:sz w:val="20"/>
                <w:szCs w:val="20"/>
                <w:color w:val="auto"/>
              </w:rPr>
            </w:pPr>
            <w:r>
              <w:rPr>
                <w:rFonts w:ascii="Times New Roman" w:cs="Times New Roman" w:eastAsia="Times New Roman" w:hAnsi="Times New Roman"/>
                <w:sz w:val="18"/>
                <w:szCs w:val="18"/>
                <w:color w:val="auto"/>
              </w:rPr>
              <w:t>Capital stock common, par value $0.50; authorized 60,000 shares,</w:t>
            </w:r>
          </w:p>
        </w:tc>
        <w:tc>
          <w:tcPr>
            <w:tcW w:w="220" w:type="dxa"/>
            <w:vAlign w:val="bottom"/>
            <w:shd w:val="clear" w:color="auto" w:fill="D6F3E8"/>
          </w:tcPr>
          <w:p>
            <w:pPr>
              <w:spacing w:after="0"/>
              <w:rPr>
                <w:sz w:val="17"/>
                <w:szCs w:val="17"/>
                <w:color w:val="auto"/>
              </w:rPr>
            </w:pPr>
          </w:p>
        </w:tc>
        <w:tc>
          <w:tcPr>
            <w:tcW w:w="1280" w:type="dxa"/>
            <w:vAlign w:val="bottom"/>
            <w:vMerge w:val="restart"/>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25,888</w:t>
            </w:r>
          </w:p>
        </w:tc>
        <w:tc>
          <w:tcPr>
            <w:tcW w:w="1380" w:type="dxa"/>
            <w:vAlign w:val="bottom"/>
            <w:shd w:val="clear" w:color="auto" w:fill="D6F3E8"/>
          </w:tcPr>
          <w:p>
            <w:pPr>
              <w:spacing w:after="0"/>
              <w:rPr>
                <w:sz w:val="17"/>
                <w:szCs w:val="17"/>
                <w:color w:val="auto"/>
              </w:rPr>
            </w:pPr>
          </w:p>
        </w:tc>
        <w:tc>
          <w:tcPr>
            <w:tcW w:w="180" w:type="dxa"/>
            <w:vAlign w:val="bottom"/>
            <w:shd w:val="clear" w:color="auto" w:fill="D6F3E8"/>
          </w:tcPr>
          <w:p>
            <w:pPr>
              <w:spacing w:after="0"/>
              <w:rPr>
                <w:sz w:val="17"/>
                <w:szCs w:val="17"/>
                <w:color w:val="auto"/>
              </w:rPr>
            </w:pPr>
          </w:p>
        </w:tc>
        <w:tc>
          <w:tcPr>
            <w:tcW w:w="128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40" w:type="dxa"/>
            <w:vAlign w:val="bottom"/>
            <w:shd w:val="clear" w:color="auto" w:fill="D6F3E8"/>
          </w:tcPr>
          <w:p>
            <w:pPr>
              <w:ind w:left="780"/>
              <w:spacing w:after="0"/>
              <w:rPr>
                <w:sz w:val="20"/>
                <w:szCs w:val="20"/>
                <w:color w:val="auto"/>
              </w:rPr>
            </w:pPr>
            <w:r>
              <w:rPr>
                <w:rFonts w:ascii="Times New Roman" w:cs="Times New Roman" w:eastAsia="Times New Roman" w:hAnsi="Times New Roman"/>
                <w:sz w:val="18"/>
                <w:szCs w:val="18"/>
                <w:color w:val="auto"/>
              </w:rPr>
              <w:t>issued 51,776 shares</w:t>
            </w:r>
          </w:p>
        </w:tc>
        <w:tc>
          <w:tcPr>
            <w:tcW w:w="220" w:type="dxa"/>
            <w:vAlign w:val="bottom"/>
            <w:shd w:val="clear" w:color="auto" w:fill="D6F3E8"/>
          </w:tcPr>
          <w:p>
            <w:pPr>
              <w:spacing w:after="0"/>
              <w:rPr>
                <w:sz w:val="20"/>
                <w:szCs w:val="20"/>
                <w:color w:val="auto"/>
              </w:rPr>
            </w:pPr>
          </w:p>
        </w:tc>
        <w:tc>
          <w:tcPr>
            <w:tcW w:w="1280" w:type="dxa"/>
            <w:vAlign w:val="bottom"/>
            <w:vMerge w:val="continue"/>
            <w:shd w:val="clear" w:color="auto" w:fill="D6F3E8"/>
          </w:tcPr>
          <w:p>
            <w:pPr>
              <w:spacing w:after="0"/>
              <w:rPr>
                <w:sz w:val="20"/>
                <w:szCs w:val="20"/>
                <w:color w:val="auto"/>
              </w:rPr>
            </w:pPr>
          </w:p>
        </w:tc>
        <w:tc>
          <w:tcPr>
            <w:tcW w:w="1380" w:type="dxa"/>
            <w:vAlign w:val="bottom"/>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25,888</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16,811</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Reinvested earnings</w:t>
            </w:r>
          </w:p>
        </w:tc>
        <w:tc>
          <w:tcPr>
            <w:tcW w:w="22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447,518</w:t>
            </w:r>
          </w:p>
        </w:tc>
        <w:tc>
          <w:tcPr>
            <w:tcW w:w="13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392,430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490,217</w:t>
            </w: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432,888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Less treasury stock, at cost (18,787 and 18,195 shares)</w:t>
            </w:r>
          </w:p>
        </w:tc>
        <w:tc>
          <w:tcPr>
            <w:tcW w:w="22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254,330</w:t>
            </w:r>
          </w:p>
        </w:tc>
        <w:tc>
          <w:tcPr>
            <w:tcW w:w="13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2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231,013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20" w:type="dxa"/>
            <w:vAlign w:val="bottom"/>
          </w:tcPr>
          <w:p>
            <w:pPr>
              <w:spacing w:after="0"/>
              <w:rPr>
                <w:sz w:val="24"/>
                <w:szCs w:val="24"/>
                <w:color w:val="auto"/>
              </w:rPr>
            </w:pPr>
          </w:p>
        </w:tc>
        <w:tc>
          <w:tcPr>
            <w:tcW w:w="6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235,887</w:t>
            </w: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201,875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3" w:right="239" w:bottom="1440" w:gutter="0" w:footer="0" w:header="0"/>
        </w:sectPr>
      </w:pPr>
    </w:p>
    <w:p>
      <w:pPr>
        <w:spacing w:after="0" w:line="135" w:lineRule="exact"/>
        <w:rPr>
          <w:sz w:val="20"/>
          <w:szCs w:val="20"/>
          <w:color w:val="auto"/>
        </w:rPr>
      </w:pPr>
    </w:p>
    <w:p>
      <w:pPr>
        <w:ind w:left="800"/>
        <w:spacing w:after="0"/>
        <w:tabs>
          <w:tab w:leader="none" w:pos="6880" w:val="left"/>
          <w:tab w:leader="none" w:pos="7780" w:val="left"/>
          <w:tab w:leader="none" w:pos="9740" w:val="left"/>
          <w:tab w:leader="none" w:pos="10620" w:val="left"/>
        </w:tabs>
        <w:rPr>
          <w:sz w:val="20"/>
          <w:szCs w:val="20"/>
          <w:color w:val="auto"/>
        </w:rPr>
      </w:pPr>
      <w:r>
        <w:rPr>
          <w:rFonts w:ascii="Times New Roman" w:cs="Times New Roman" w:eastAsia="Times New Roman" w:hAnsi="Times New Roman"/>
          <w:sz w:val="18"/>
          <w:szCs w:val="18"/>
          <w:color w:val="auto"/>
        </w:rPr>
        <w:t>Total liabilities and stockholders' equity</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412,960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394,556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82550</wp:posOffset>
            </wp:positionV>
            <wp:extent cx="95631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5631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82550</wp:posOffset>
            </wp:positionV>
            <wp:extent cx="93916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165" cy="2984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type w:val="continuous"/>
        </w:sectPr>
      </w:pPr>
    </w:p>
    <w:bookmarkStart w:id="28" w:name="page29"/>
    <w:bookmarkEnd w:id="28"/>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4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Consolidated Statements of Cash Flows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2"/>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200" w:type="dxa"/>
            <w:vAlign w:val="bottom"/>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20"/>
                <w:szCs w:val="20"/>
                <w:color w:val="auto"/>
              </w:rPr>
            </w:pPr>
          </w:p>
        </w:tc>
        <w:tc>
          <w:tcPr>
            <w:tcW w:w="176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August 27,</w:t>
            </w:r>
          </w:p>
        </w:tc>
        <w:tc>
          <w:tcPr>
            <w:tcW w:w="160" w:type="dxa"/>
            <w:vAlign w:val="bottom"/>
          </w:tcPr>
          <w:p>
            <w:pPr>
              <w:spacing w:after="0"/>
              <w:rPr>
                <w:sz w:val="20"/>
                <w:szCs w:val="20"/>
                <w:color w:val="auto"/>
              </w:rPr>
            </w:pPr>
          </w:p>
        </w:tc>
        <w:tc>
          <w:tcPr>
            <w:tcW w:w="176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w w:val="97"/>
              </w:rPr>
              <w:t>August 28,</w:t>
            </w:r>
          </w:p>
        </w:tc>
        <w:tc>
          <w:tcPr>
            <w:tcW w:w="24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August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2"/>
              </w:rPr>
              <w:t>2004</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65,073</w:t>
            </w:r>
          </w:p>
        </w:tc>
        <w:tc>
          <w:tcPr>
            <w:tcW w:w="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70,641</w:t>
            </w:r>
          </w:p>
        </w:tc>
        <w:tc>
          <w:tcPr>
            <w:tcW w:w="780" w:type="dxa"/>
            <w:vAlign w:val="bottom"/>
          </w:tcPr>
          <w:p>
            <w:pPr>
              <w:spacing w:after="0"/>
              <w:rPr>
                <w:sz w:val="18"/>
                <w:szCs w:val="18"/>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80" w:type="dxa"/>
            <w:vAlign w:val="bottom"/>
            <w:shd w:val="clear" w:color="auto" w:fill="D6F3E8"/>
          </w:tcPr>
          <w:p>
            <w:pPr>
              <w:spacing w:after="0"/>
              <w:rPr>
                <w:sz w:val="18"/>
                <w:szCs w:val="18"/>
                <w:color w:val="auto"/>
              </w:rPr>
            </w:pPr>
          </w:p>
        </w:tc>
        <w:tc>
          <w:tcPr>
            <w:tcW w:w="1760" w:type="dxa"/>
            <w:vAlign w:val="bottom"/>
            <w:gridSpan w:val="2"/>
            <w:shd w:val="clear" w:color="auto" w:fill="D6F3E8"/>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D6F3E8"/>
          </w:tcPr>
          <w:p>
            <w:pPr>
              <w:spacing w:after="0"/>
              <w:rPr>
                <w:sz w:val="18"/>
                <w:szCs w:val="18"/>
                <w:color w:val="auto"/>
              </w:rPr>
            </w:pPr>
          </w:p>
        </w:tc>
        <w:tc>
          <w:tcPr>
            <w:tcW w:w="1760" w:type="dxa"/>
            <w:vAlign w:val="bottom"/>
            <w:gridSpan w:val="2"/>
            <w:shd w:val="clear" w:color="auto" w:fill="D6F3E8"/>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(1,152)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65,073</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70,641</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180" w:type="dxa"/>
            <w:vAlign w:val="bottom"/>
            <w:shd w:val="clear" w:color="auto" w:fill="D6F3E8"/>
          </w:tcPr>
          <w:p>
            <w:pPr>
              <w:spacing w:after="0" w:line="204" w:lineRule="exact"/>
              <w:rPr>
                <w:sz w:val="20"/>
                <w:szCs w:val="20"/>
                <w:color w:val="auto"/>
              </w:rPr>
            </w:pPr>
            <w:r>
              <w:rPr>
                <w:rFonts w:ascii="Times New Roman" w:cs="Times New Roman" w:eastAsia="Times New Roman" w:hAnsi="Times New Roman"/>
                <w:sz w:val="18"/>
                <w:szCs w:val="18"/>
                <w:color w:val="auto"/>
              </w:rPr>
              <w:t>Adjustments to reconcile net income to net cash</w:t>
            </w:r>
          </w:p>
        </w:tc>
        <w:tc>
          <w:tcPr>
            <w:tcW w:w="180" w:type="dxa"/>
            <w:vAlign w:val="bottom"/>
            <w:shd w:val="clear" w:color="auto" w:fill="D6F3E8"/>
          </w:tcPr>
          <w:p>
            <w:pPr>
              <w:spacing w:after="0"/>
              <w:rPr>
                <w:sz w:val="17"/>
                <w:szCs w:val="17"/>
                <w:color w:val="auto"/>
              </w:rPr>
            </w:pPr>
          </w:p>
        </w:tc>
        <w:tc>
          <w:tcPr>
            <w:tcW w:w="960" w:type="dxa"/>
            <w:vAlign w:val="bottom"/>
            <w:shd w:val="clear" w:color="auto" w:fill="D6F3E8"/>
          </w:tcPr>
          <w:p>
            <w:pPr>
              <w:spacing w:after="0"/>
              <w:rPr>
                <w:sz w:val="17"/>
                <w:szCs w:val="17"/>
                <w:color w:val="auto"/>
              </w:rPr>
            </w:pPr>
          </w:p>
        </w:tc>
        <w:tc>
          <w:tcPr>
            <w:tcW w:w="80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980" w:type="dxa"/>
            <w:vAlign w:val="bottom"/>
            <w:shd w:val="clear" w:color="auto" w:fill="D6F3E8"/>
          </w:tcPr>
          <w:p>
            <w:pPr>
              <w:spacing w:after="0"/>
              <w:rPr>
                <w:sz w:val="17"/>
                <w:szCs w:val="17"/>
                <w:color w:val="auto"/>
              </w:rPr>
            </w:pPr>
          </w:p>
        </w:tc>
        <w:tc>
          <w:tcPr>
            <w:tcW w:w="780" w:type="dxa"/>
            <w:vAlign w:val="bottom"/>
            <w:shd w:val="clear" w:color="auto" w:fill="D6F3E8"/>
          </w:tcPr>
          <w:p>
            <w:pPr>
              <w:spacing w:after="0"/>
              <w:rPr>
                <w:sz w:val="17"/>
                <w:szCs w:val="17"/>
                <w:color w:val="auto"/>
              </w:rPr>
            </w:pPr>
          </w:p>
        </w:tc>
        <w:tc>
          <w:tcPr>
            <w:tcW w:w="240" w:type="dxa"/>
            <w:vAlign w:val="bottom"/>
            <w:shd w:val="clear" w:color="auto" w:fill="D6F3E8"/>
          </w:tcPr>
          <w:p>
            <w:pPr>
              <w:spacing w:after="0"/>
              <w:rPr>
                <w:sz w:val="17"/>
                <w:szCs w:val="17"/>
                <w:color w:val="auto"/>
              </w:rPr>
            </w:pPr>
          </w:p>
        </w:tc>
        <w:tc>
          <w:tcPr>
            <w:tcW w:w="90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shd w:val="clear" w:color="auto" w:fill="D6F3E8"/>
          </w:tcPr>
          <w:p>
            <w:pPr>
              <w:ind w:left="16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180" w:type="dxa"/>
            <w:vAlign w:val="bottom"/>
            <w:shd w:val="clear" w:color="auto" w:fill="D6F3E8"/>
          </w:tcPr>
          <w:p>
            <w:pPr>
              <w:spacing w:after="0"/>
              <w:rPr>
                <w:sz w:val="20"/>
                <w:szCs w:val="20"/>
                <w:color w:val="auto"/>
              </w:rPr>
            </w:pPr>
          </w:p>
        </w:tc>
        <w:tc>
          <w:tcPr>
            <w:tcW w:w="960" w:type="dxa"/>
            <w:vAlign w:val="bottom"/>
            <w:shd w:val="clear" w:color="auto" w:fill="D6F3E8"/>
          </w:tcPr>
          <w:p>
            <w:pPr>
              <w:spacing w:after="0"/>
              <w:rPr>
                <w:sz w:val="20"/>
                <w:szCs w:val="20"/>
                <w:color w:val="auto"/>
              </w:rPr>
            </w:pPr>
          </w:p>
        </w:tc>
        <w:tc>
          <w:tcPr>
            <w:tcW w:w="800" w:type="dxa"/>
            <w:vAlign w:val="bottom"/>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980" w:type="dxa"/>
            <w:vAlign w:val="bottom"/>
            <w:shd w:val="clear" w:color="auto" w:fill="D6F3E8"/>
          </w:tcPr>
          <w:p>
            <w:pPr>
              <w:spacing w:after="0"/>
              <w:rPr>
                <w:sz w:val="20"/>
                <w:szCs w:val="20"/>
                <w:color w:val="auto"/>
              </w:rPr>
            </w:pPr>
          </w:p>
        </w:tc>
        <w:tc>
          <w:tcPr>
            <w:tcW w:w="780" w:type="dxa"/>
            <w:vAlign w:val="bottom"/>
            <w:shd w:val="clear" w:color="auto" w:fill="D6F3E8"/>
          </w:tcPr>
          <w:p>
            <w:pPr>
              <w:spacing w:after="0"/>
              <w:rPr>
                <w:sz w:val="20"/>
                <w:szCs w:val="20"/>
                <w:color w:val="auto"/>
              </w:rPr>
            </w:pPr>
          </w:p>
        </w:tc>
        <w:tc>
          <w:tcPr>
            <w:tcW w:w="240" w:type="dxa"/>
            <w:vAlign w:val="bottom"/>
            <w:shd w:val="clear" w:color="auto" w:fill="D6F3E8"/>
          </w:tcPr>
          <w:p>
            <w:pPr>
              <w:spacing w:after="0"/>
              <w:rPr>
                <w:sz w:val="20"/>
                <w:szCs w:val="20"/>
                <w:color w:val="auto"/>
              </w:rPr>
            </w:pPr>
          </w:p>
        </w:tc>
        <w:tc>
          <w:tcPr>
            <w:tcW w:w="900" w:type="dxa"/>
            <w:vAlign w:val="bottom"/>
            <w:shd w:val="clear" w:color="auto" w:fill="D6F3E8"/>
          </w:tcPr>
          <w:p>
            <w:pPr>
              <w:spacing w:after="0"/>
              <w:rPr>
                <w:sz w:val="20"/>
                <w:szCs w:val="20"/>
                <w:color w:val="auto"/>
              </w:rPr>
            </w:pP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9,999</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9,628</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Tax benefit of stock options</w:t>
            </w:r>
          </w:p>
        </w:tc>
        <w:tc>
          <w:tcPr>
            <w:tcW w:w="18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1,177</w:t>
            </w:r>
          </w:p>
        </w:tc>
        <w:tc>
          <w:tcPr>
            <w:tcW w:w="8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7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disposal of property, leases and other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924</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Stock compensation</w:t>
            </w:r>
          </w:p>
        </w:tc>
        <w:tc>
          <w:tcPr>
            <w:tcW w:w="18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8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7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8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and other assets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5,522</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(16,764)</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10,078</w:t>
            </w:r>
          </w:p>
        </w:tc>
        <w:tc>
          <w:tcPr>
            <w:tcW w:w="8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760" w:type="dxa"/>
            <w:vAlign w:val="bottom"/>
            <w:gridSpan w:val="2"/>
            <w:shd w:val="clear" w:color="auto" w:fill="D6F3E8"/>
          </w:tcPr>
          <w:p>
            <w:pPr>
              <w:jc w:val="right"/>
              <w:ind w:right="720"/>
              <w:spacing w:after="0"/>
              <w:rPr>
                <w:sz w:val="20"/>
                <w:szCs w:val="20"/>
                <w:color w:val="auto"/>
              </w:rPr>
            </w:pPr>
            <w:r>
              <w:rPr>
                <w:rFonts w:ascii="Times New Roman" w:cs="Times New Roman" w:eastAsia="Times New Roman" w:hAnsi="Times New Roman"/>
                <w:sz w:val="18"/>
                <w:szCs w:val="18"/>
                <w:color w:val="auto"/>
              </w:rPr>
              <w:t>(16,451)</w:t>
            </w:r>
          </w:p>
        </w:tc>
        <w:tc>
          <w:tcPr>
            <w:tcW w:w="2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3,424</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(7,615)</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shd w:val="clear" w:color="auto" w:fill="D6F3E8"/>
          </w:tcPr>
          <w:p>
            <w:pPr>
              <w:spacing w:after="0"/>
              <w:rPr>
                <w:sz w:val="18"/>
                <w:szCs w:val="18"/>
                <w:color w:val="auto"/>
              </w:rPr>
            </w:pPr>
          </w:p>
        </w:tc>
        <w:tc>
          <w:tcPr>
            <w:tcW w:w="176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(16,738)</w:t>
            </w: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7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Postretirement benefits</w:t>
            </w:r>
          </w:p>
        </w:tc>
        <w:tc>
          <w:tcPr>
            <w:tcW w:w="180" w:type="dxa"/>
            <w:vAlign w:val="bottom"/>
            <w:shd w:val="clear" w:color="auto" w:fill="D6F3E8"/>
          </w:tcPr>
          <w:p>
            <w:pPr>
              <w:spacing w:after="0"/>
              <w:rPr>
                <w:sz w:val="18"/>
                <w:szCs w:val="18"/>
                <w:color w:val="auto"/>
              </w:rPr>
            </w:pPr>
          </w:p>
        </w:tc>
        <w:tc>
          <w:tcPr>
            <w:tcW w:w="176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(1,081)</w:t>
            </w: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7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provided by continuing operations</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78,764</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66,772</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Net cash provided by discontinued operations</w:t>
            </w:r>
          </w:p>
        </w:tc>
        <w:tc>
          <w:tcPr>
            <w:tcW w:w="180" w:type="dxa"/>
            <w:vAlign w:val="bottom"/>
            <w:shd w:val="clear" w:color="auto" w:fill="D6F3E8"/>
          </w:tcPr>
          <w:p>
            <w:pPr>
              <w:spacing w:after="0"/>
              <w:rPr>
                <w:sz w:val="18"/>
                <w:szCs w:val="18"/>
                <w:color w:val="auto"/>
              </w:rPr>
            </w:pPr>
          </w:p>
        </w:tc>
        <w:tc>
          <w:tcPr>
            <w:tcW w:w="1760" w:type="dxa"/>
            <w:vAlign w:val="bottom"/>
            <w:gridSpan w:val="2"/>
            <w:shd w:val="clear" w:color="auto" w:fill="D6F3E8"/>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D6F3E8"/>
          </w:tcPr>
          <w:p>
            <w:pPr>
              <w:spacing w:after="0"/>
              <w:rPr>
                <w:sz w:val="18"/>
                <w:szCs w:val="18"/>
                <w:color w:val="auto"/>
              </w:rPr>
            </w:pPr>
          </w:p>
        </w:tc>
        <w:tc>
          <w:tcPr>
            <w:tcW w:w="1760" w:type="dxa"/>
            <w:vAlign w:val="bottom"/>
            <w:gridSpan w:val="2"/>
            <w:shd w:val="clear" w:color="auto" w:fill="D6F3E8"/>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00" w:type="dxa"/>
            <w:vAlign w:val="bottom"/>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78,764</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66,772</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63,628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80" w:type="dxa"/>
            <w:vAlign w:val="bottom"/>
          </w:tcPr>
          <w:p>
            <w:pPr>
              <w:spacing w:after="0"/>
              <w:rPr>
                <w:sz w:val="18"/>
                <w:szCs w:val="18"/>
                <w:color w:val="auto"/>
              </w:rPr>
            </w:pPr>
          </w:p>
        </w:tc>
        <w:tc>
          <w:tcPr>
            <w:tcW w:w="17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(9,653)</w:t>
            </w:r>
          </w:p>
        </w:tc>
        <w:tc>
          <w:tcPr>
            <w:tcW w:w="16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(10,588)</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80" w:type="dxa"/>
            <w:vAlign w:val="bottom"/>
            <w:shd w:val="clear" w:color="auto" w:fill="D6F3E8"/>
          </w:tcPr>
          <w:p>
            <w:pPr>
              <w:spacing w:after="0"/>
              <w:rPr>
                <w:sz w:val="18"/>
                <w:szCs w:val="18"/>
                <w:color w:val="auto"/>
              </w:rPr>
            </w:pPr>
          </w:p>
        </w:tc>
        <w:tc>
          <w:tcPr>
            <w:tcW w:w="176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(255,023)</w:t>
            </w:r>
          </w:p>
        </w:tc>
        <w:tc>
          <w:tcPr>
            <w:tcW w:w="160" w:type="dxa"/>
            <w:vAlign w:val="bottom"/>
            <w:shd w:val="clear" w:color="auto" w:fill="D6F3E8"/>
          </w:tcPr>
          <w:p>
            <w:pPr>
              <w:spacing w:after="0"/>
              <w:rPr>
                <w:sz w:val="18"/>
                <w:szCs w:val="18"/>
                <w:color w:val="auto"/>
              </w:rPr>
            </w:pPr>
          </w:p>
        </w:tc>
        <w:tc>
          <w:tcPr>
            <w:tcW w:w="1760" w:type="dxa"/>
            <w:vAlign w:val="bottom"/>
            <w:gridSpan w:val="2"/>
            <w:shd w:val="clear" w:color="auto" w:fill="D6F3E8"/>
          </w:tcPr>
          <w:p>
            <w:pPr>
              <w:jc w:val="right"/>
              <w:ind w:right="720"/>
              <w:spacing w:after="0"/>
              <w:rPr>
                <w:sz w:val="20"/>
                <w:szCs w:val="20"/>
                <w:color w:val="auto"/>
              </w:rPr>
            </w:pPr>
            <w:r>
              <w:rPr>
                <w:rFonts w:ascii="Times New Roman" w:cs="Times New Roman" w:eastAsia="Times New Roman" w:hAnsi="Times New Roman"/>
                <w:sz w:val="18"/>
                <w:szCs w:val="18"/>
                <w:color w:val="auto"/>
              </w:rPr>
              <w:t>(145,382)</w:t>
            </w:r>
          </w:p>
        </w:tc>
        <w:tc>
          <w:tcPr>
            <w:tcW w:w="2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(157,700)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80" w:type="dxa"/>
            <w:vAlign w:val="bottom"/>
          </w:tcPr>
          <w:p>
            <w:pPr>
              <w:ind w:left="380"/>
              <w:spacing w:after="0" w:line="201" w:lineRule="exact"/>
              <w:rPr>
                <w:sz w:val="20"/>
                <w:szCs w:val="20"/>
                <w:color w:val="auto"/>
              </w:rPr>
            </w:pPr>
            <w:r>
              <w:rPr>
                <w:rFonts w:ascii="Times New Roman" w:cs="Times New Roman" w:eastAsia="Times New Roman" w:hAnsi="Times New Roman"/>
                <w:sz w:val="18"/>
                <w:szCs w:val="18"/>
                <w:color w:val="auto"/>
              </w:rPr>
              <w:t>Proceeds from the sale or maturity of</w:t>
            </w: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213,023</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short-term investments</w:t>
            </w:r>
          </w:p>
        </w:tc>
        <w:tc>
          <w:tcPr>
            <w:tcW w:w="18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184,391</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97,269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D6F3E8"/>
          </w:tcPr>
          <w:p>
            <w:pPr>
              <w:spacing w:after="0"/>
              <w:rPr>
                <w:sz w:val="18"/>
                <w:szCs w:val="18"/>
                <w:color w:val="auto"/>
              </w:rPr>
            </w:pPr>
          </w:p>
        </w:tc>
        <w:tc>
          <w:tcPr>
            <w:tcW w:w="176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(276)</w:t>
            </w:r>
          </w:p>
        </w:tc>
        <w:tc>
          <w:tcPr>
            <w:tcW w:w="160" w:type="dxa"/>
            <w:vAlign w:val="bottom"/>
            <w:shd w:val="clear" w:color="auto" w:fill="D6F3E8"/>
          </w:tcPr>
          <w:p>
            <w:pPr>
              <w:spacing w:after="0"/>
              <w:rPr>
                <w:sz w:val="18"/>
                <w:szCs w:val="18"/>
                <w:color w:val="auto"/>
              </w:rPr>
            </w:pPr>
          </w:p>
        </w:tc>
        <w:tc>
          <w:tcPr>
            <w:tcW w:w="1760" w:type="dxa"/>
            <w:vAlign w:val="bottom"/>
            <w:gridSpan w:val="2"/>
            <w:shd w:val="clear" w:color="auto" w:fill="D6F3E8"/>
          </w:tcPr>
          <w:p>
            <w:pPr>
              <w:jc w:val="right"/>
              <w:ind w:right="720"/>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provided by continuing operations</w:t>
            </w:r>
          </w:p>
        </w:tc>
        <w:tc>
          <w:tcPr>
            <w:tcW w:w="180" w:type="dxa"/>
            <w:vAlign w:val="bottom"/>
          </w:tcPr>
          <w:p>
            <w:pPr>
              <w:spacing w:after="0"/>
              <w:rPr>
                <w:sz w:val="24"/>
                <w:szCs w:val="24"/>
                <w:color w:val="auto"/>
              </w:rPr>
            </w:pPr>
          </w:p>
        </w:tc>
        <w:tc>
          <w:tcPr>
            <w:tcW w:w="17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(51,929)</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28,103</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(85,150)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8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Net cash provided by discontinued operations</w:t>
            </w:r>
          </w:p>
        </w:tc>
        <w:tc>
          <w:tcPr>
            <w:tcW w:w="180" w:type="dxa"/>
            <w:vAlign w:val="bottom"/>
            <w:shd w:val="clear" w:color="auto" w:fill="D6F3E8"/>
          </w:tcPr>
          <w:p>
            <w:pPr>
              <w:spacing w:after="0"/>
              <w:rPr>
                <w:sz w:val="18"/>
                <w:szCs w:val="18"/>
                <w:color w:val="auto"/>
              </w:rPr>
            </w:pPr>
          </w:p>
        </w:tc>
        <w:tc>
          <w:tcPr>
            <w:tcW w:w="1760" w:type="dxa"/>
            <w:vAlign w:val="bottom"/>
            <w:gridSpan w:val="2"/>
            <w:shd w:val="clear" w:color="auto" w:fill="D6F3E8"/>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D6F3E8"/>
          </w:tcPr>
          <w:p>
            <w:pPr>
              <w:spacing w:after="0"/>
              <w:rPr>
                <w:sz w:val="18"/>
                <w:szCs w:val="18"/>
                <w:color w:val="auto"/>
              </w:rPr>
            </w:pPr>
          </w:p>
        </w:tc>
        <w:tc>
          <w:tcPr>
            <w:tcW w:w="1760" w:type="dxa"/>
            <w:vAlign w:val="bottom"/>
            <w:gridSpan w:val="2"/>
            <w:shd w:val="clear" w:color="auto" w:fill="D6F3E8"/>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39,288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00" w:type="dxa"/>
            <w:vAlign w:val="bottom"/>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80" w:type="dxa"/>
            <w:vAlign w:val="bottom"/>
          </w:tcPr>
          <w:p>
            <w:pPr>
              <w:spacing w:after="0"/>
              <w:rPr>
                <w:sz w:val="24"/>
                <w:szCs w:val="24"/>
                <w:color w:val="auto"/>
              </w:rPr>
            </w:pPr>
          </w:p>
        </w:tc>
        <w:tc>
          <w:tcPr>
            <w:tcW w:w="17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(51,929)</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28,103</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(45,862)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for purchase of common stock</w:t>
            </w:r>
          </w:p>
        </w:tc>
        <w:tc>
          <w:tcPr>
            <w:tcW w:w="180" w:type="dxa"/>
            <w:vAlign w:val="bottom"/>
          </w:tcPr>
          <w:p>
            <w:pPr>
              <w:spacing w:after="0"/>
              <w:rPr>
                <w:sz w:val="18"/>
                <w:szCs w:val="18"/>
                <w:color w:val="auto"/>
              </w:rPr>
            </w:pPr>
          </w:p>
        </w:tc>
        <w:tc>
          <w:tcPr>
            <w:tcW w:w="17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(26,796)</w:t>
            </w:r>
          </w:p>
        </w:tc>
        <w:tc>
          <w:tcPr>
            <w:tcW w:w="160" w:type="dxa"/>
            <w:vAlign w:val="bottom"/>
          </w:tcPr>
          <w:p>
            <w:pPr>
              <w:spacing w:after="0"/>
              <w:rPr>
                <w:sz w:val="18"/>
                <w:szCs w:val="18"/>
                <w:color w:val="auto"/>
              </w:rPr>
            </w:pPr>
          </w:p>
        </w:tc>
        <w:tc>
          <w:tcPr>
            <w:tcW w:w="17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(77,668)</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Payments of cash dividends</w:t>
            </w:r>
          </w:p>
        </w:tc>
        <w:tc>
          <w:tcPr>
            <w:tcW w:w="180" w:type="dxa"/>
            <w:vAlign w:val="bottom"/>
            <w:shd w:val="clear" w:color="auto" w:fill="D6F3E8"/>
          </w:tcPr>
          <w:p>
            <w:pPr>
              <w:spacing w:after="0"/>
              <w:rPr>
                <w:sz w:val="18"/>
                <w:szCs w:val="18"/>
                <w:color w:val="auto"/>
              </w:rPr>
            </w:pPr>
          </w:p>
        </w:tc>
        <w:tc>
          <w:tcPr>
            <w:tcW w:w="176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(9,400)</w:t>
            </w:r>
          </w:p>
        </w:tc>
        <w:tc>
          <w:tcPr>
            <w:tcW w:w="160" w:type="dxa"/>
            <w:vAlign w:val="bottom"/>
            <w:shd w:val="clear" w:color="auto" w:fill="D6F3E8"/>
          </w:tcPr>
          <w:p>
            <w:pPr>
              <w:spacing w:after="0"/>
              <w:rPr>
                <w:sz w:val="18"/>
                <w:szCs w:val="18"/>
                <w:color w:val="auto"/>
              </w:rPr>
            </w:pPr>
          </w:p>
        </w:tc>
        <w:tc>
          <w:tcPr>
            <w:tcW w:w="1760" w:type="dxa"/>
            <w:vAlign w:val="bottom"/>
            <w:gridSpan w:val="2"/>
            <w:shd w:val="clear" w:color="auto" w:fill="D6F3E8"/>
          </w:tcPr>
          <w:p>
            <w:pPr>
              <w:jc w:val="right"/>
              <w:ind w:right="720"/>
              <w:spacing w:after="0"/>
              <w:rPr>
                <w:sz w:val="20"/>
                <w:szCs w:val="20"/>
                <w:color w:val="auto"/>
              </w:rPr>
            </w:pPr>
            <w:r>
              <w:rPr>
                <w:rFonts w:ascii="Times New Roman" w:cs="Times New Roman" w:eastAsia="Times New Roman" w:hAnsi="Times New Roman"/>
                <w:sz w:val="18"/>
                <w:szCs w:val="18"/>
                <w:color w:val="auto"/>
              </w:rPr>
              <w:t>(6,899)</w:t>
            </w:r>
          </w:p>
        </w:tc>
        <w:tc>
          <w:tcPr>
            <w:tcW w:w="2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(3,701)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issuance of treasury stock</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4,400</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shd w:val="clear" w:color="auto" w:fill="D6F3E8"/>
          </w:tcPr>
          <w:p>
            <w:pPr>
              <w:spacing w:after="0"/>
              <w:rPr>
                <w:sz w:val="18"/>
                <w:szCs w:val="18"/>
                <w:color w:val="auto"/>
              </w:rPr>
            </w:pPr>
          </w:p>
        </w:tc>
        <w:tc>
          <w:tcPr>
            <w:tcW w:w="176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(31,796)</w:t>
            </w:r>
          </w:p>
        </w:tc>
        <w:tc>
          <w:tcPr>
            <w:tcW w:w="160" w:type="dxa"/>
            <w:vAlign w:val="bottom"/>
            <w:shd w:val="clear" w:color="auto" w:fill="D6F3E8"/>
          </w:tcPr>
          <w:p>
            <w:pPr>
              <w:spacing w:after="0"/>
              <w:rPr>
                <w:sz w:val="18"/>
                <w:szCs w:val="18"/>
                <w:color w:val="auto"/>
              </w:rPr>
            </w:pPr>
          </w:p>
        </w:tc>
        <w:tc>
          <w:tcPr>
            <w:tcW w:w="1760" w:type="dxa"/>
            <w:vAlign w:val="bottom"/>
            <w:gridSpan w:val="2"/>
            <w:shd w:val="clear" w:color="auto" w:fill="D6F3E8"/>
          </w:tcPr>
          <w:p>
            <w:pPr>
              <w:jc w:val="right"/>
              <w:ind w:right="720"/>
              <w:spacing w:after="0"/>
              <w:rPr>
                <w:sz w:val="20"/>
                <w:szCs w:val="20"/>
                <w:color w:val="auto"/>
              </w:rPr>
            </w:pPr>
            <w:r>
              <w:rPr>
                <w:rFonts w:ascii="Times New Roman" w:cs="Times New Roman" w:eastAsia="Times New Roman" w:hAnsi="Times New Roman"/>
                <w:sz w:val="18"/>
                <w:szCs w:val="18"/>
                <w:color w:val="auto"/>
              </w:rPr>
              <w:t>(79,702)</w:t>
            </w:r>
          </w:p>
        </w:tc>
        <w:tc>
          <w:tcPr>
            <w:tcW w:w="2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(21,041)</w:t>
            </w:r>
          </w:p>
        </w:tc>
        <w:tc>
          <w:tcPr>
            <w:tcW w:w="0" w:type="dxa"/>
            <w:vAlign w:val="bottom"/>
          </w:tcPr>
          <w:p>
            <w:pPr>
              <w:spacing w:after="0"/>
              <w:rPr>
                <w:sz w:val="1"/>
                <w:szCs w:val="1"/>
                <w:color w:val="auto"/>
              </w:rPr>
            </w:pPr>
          </w:p>
        </w:tc>
      </w:tr>
      <w:tr>
        <w:trPr>
          <w:trHeight w:val="108"/>
        </w:trPr>
        <w:tc>
          <w:tcPr>
            <w:tcW w:w="6200" w:type="dxa"/>
            <w:vAlign w:val="bottom"/>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80" w:type="dxa"/>
            <w:vAlign w:val="bottom"/>
          </w:tcPr>
          <w:p>
            <w:pPr>
              <w:spacing w:after="0"/>
              <w:rPr>
                <w:sz w:val="24"/>
                <w:szCs w:val="24"/>
                <w:color w:val="auto"/>
              </w:rPr>
            </w:pPr>
          </w:p>
        </w:tc>
        <w:tc>
          <w:tcPr>
            <w:tcW w:w="17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(4,961)</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15,173</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8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24,445</w:t>
            </w:r>
          </w:p>
        </w:tc>
        <w:tc>
          <w:tcPr>
            <w:tcW w:w="8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7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12,547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200" w:type="dxa"/>
            <w:vAlign w:val="bottom"/>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19,484</w:t>
            </w:r>
          </w:p>
        </w:tc>
        <w:tc>
          <w:tcPr>
            <w:tcW w:w="8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24,445</w:t>
            </w:r>
          </w:p>
        </w:tc>
        <w:tc>
          <w:tcPr>
            <w:tcW w:w="780" w:type="dxa"/>
            <w:vAlign w:val="bottom"/>
          </w:tcPr>
          <w:p>
            <w:pPr>
              <w:spacing w:after="0"/>
              <w:rPr>
                <w:sz w:val="24"/>
                <w:szCs w:val="24"/>
                <w:color w:val="auto"/>
              </w:rPr>
            </w:pP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440" w:right="239" w:bottom="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notes to consolidated financial statements.</w:t>
      </w:r>
    </w:p>
    <w:p>
      <w:pPr>
        <w:sectPr>
          <w:pgSz w:w="11900" w:h="16838" w:orient="portrait"/>
          <w:cols w:equalWidth="0" w:num="1">
            <w:col w:w="11420"/>
          </w:cols>
          <w:pgMar w:left="240" w:top="1440" w:right="239"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Certain prior year information has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32"/>
          <w:szCs w:val="32"/>
          <w:b w:val="1"/>
          <w:bCs w:val="1"/>
          <w:color w:val="auto"/>
        </w:rPr>
        <w:t>Consolidated Statements of</w:t>
      </w:r>
    </w:p>
    <w:p>
      <w:pPr>
        <w:spacing w:after="0" w:line="3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32"/>
          <w:szCs w:val="32"/>
          <w:b w:val="1"/>
          <w:bCs w:val="1"/>
          <w:color w:val="auto"/>
        </w:rPr>
        <w:t>Changes in Stockholders’ Equity</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gridSpan w:val="4"/>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460" w:type="dxa"/>
            <w:vAlign w:val="bottom"/>
          </w:tcPr>
          <w:p>
            <w:pPr>
              <w:spacing w:after="0"/>
              <w:rPr>
                <w:sz w:val="15"/>
                <w:szCs w:val="15"/>
                <w:color w:val="auto"/>
              </w:rPr>
            </w:pPr>
          </w:p>
        </w:tc>
        <w:tc>
          <w:tcPr>
            <w:tcW w:w="1280" w:type="dxa"/>
            <w:vAlign w:val="bottom"/>
            <w:gridSpan w:val="4"/>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5"/>
                <w:szCs w:val="15"/>
                <w:color w:val="auto"/>
              </w:rPr>
            </w:pPr>
          </w:p>
        </w:tc>
        <w:tc>
          <w:tcPr>
            <w:tcW w:w="8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3"/>
            <w:vMerge w:val="restart"/>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2"/>
              </w:rPr>
              <w:t>Paid-In</w:t>
            </w:r>
          </w:p>
        </w:tc>
        <w:tc>
          <w:tcPr>
            <w:tcW w:w="1280" w:type="dxa"/>
            <w:vAlign w:val="bottom"/>
            <w:gridSpan w:val="4"/>
            <w:vMerge w:val="restart"/>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Reinvested</w:t>
            </w:r>
          </w:p>
        </w:tc>
        <w:tc>
          <w:tcPr>
            <w:tcW w:w="7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440" w:type="dxa"/>
            <w:vAlign w:val="bottom"/>
          </w:tcPr>
          <w:p>
            <w:pPr>
              <w:spacing w:after="0"/>
              <w:rPr>
                <w:sz w:val="3"/>
                <w:szCs w:val="3"/>
                <w:color w:val="auto"/>
              </w:rPr>
            </w:pPr>
          </w:p>
        </w:tc>
        <w:tc>
          <w:tcPr>
            <w:tcW w:w="100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85"/>
        </w:trPr>
        <w:tc>
          <w:tcPr>
            <w:tcW w:w="290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1280" w:type="dxa"/>
            <w:vAlign w:val="bottom"/>
            <w:gridSpan w:val="4"/>
            <w:vMerge w:val="continue"/>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900" w:type="dxa"/>
            <w:vAlign w:val="bottom"/>
            <w:gridSpan w:val="3"/>
            <w:vMerge w:val="continue"/>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7"/>
                <w:szCs w:val="7"/>
                <w:color w:val="auto"/>
              </w:rPr>
            </w:pPr>
          </w:p>
        </w:tc>
        <w:tc>
          <w:tcPr>
            <w:tcW w:w="6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20" w:type="dxa"/>
            <w:vAlign w:val="bottom"/>
            <w:gridSpan w:val="3"/>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20" w:type="dxa"/>
            <w:vAlign w:val="bottom"/>
          </w:tcPr>
          <w:p>
            <w:pPr>
              <w:spacing w:after="0"/>
              <w:rPr>
                <w:sz w:val="7"/>
                <w:szCs w:val="7"/>
                <w:color w:val="auto"/>
              </w:rPr>
            </w:pPr>
          </w:p>
        </w:tc>
        <w:tc>
          <w:tcPr>
            <w:tcW w:w="116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95"/>
              </w:rPr>
              <w:t>Earnings</w:t>
            </w:r>
          </w:p>
        </w:tc>
        <w:tc>
          <w:tcPr>
            <w:tcW w:w="12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7"/>
                <w:szCs w:val="7"/>
                <w:color w:val="auto"/>
              </w:rPr>
            </w:pPr>
          </w:p>
        </w:tc>
        <w:tc>
          <w:tcPr>
            <w:tcW w:w="11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7"/>
                <w:szCs w:val="7"/>
                <w:color w:val="auto"/>
              </w:rPr>
            </w:pPr>
          </w:p>
        </w:tc>
        <w:tc>
          <w:tcPr>
            <w:tcW w:w="8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97"/>
        </w:trPr>
        <w:tc>
          <w:tcPr>
            <w:tcW w:w="29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12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900" w:type="dxa"/>
            <w:vAlign w:val="bottom"/>
            <w:gridSpan w:val="3"/>
            <w:vMerge w:val="continue"/>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b w:val="1"/>
                <w:bCs w:val="1"/>
                <w:color w:val="auto"/>
              </w:rPr>
              <w:t>Balance, August 31, 2002</w:t>
            </w:r>
          </w:p>
        </w:tc>
        <w:tc>
          <w:tcPr>
            <w:tcW w:w="8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25,888</w:t>
            </w:r>
          </w:p>
        </w:tc>
        <w:tc>
          <w:tcPr>
            <w:tcW w:w="46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12,944</w:t>
            </w:r>
          </w:p>
        </w:tc>
        <w:tc>
          <w:tcPr>
            <w:tcW w:w="6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25,740</w:t>
            </w:r>
          </w:p>
        </w:tc>
        <w:tc>
          <w:tcPr>
            <w:tcW w:w="4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284,856</w:t>
            </w:r>
          </w:p>
        </w:tc>
        <w:tc>
          <w:tcPr>
            <w:tcW w:w="4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7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4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143,725</w:t>
            </w:r>
          </w:p>
        </w:tc>
        <w:tc>
          <w:tcPr>
            <w:tcW w:w="440" w:type="dxa"/>
            <w:vAlign w:val="bottom"/>
            <w:shd w:val="clear" w:color="auto" w:fill="D6F3E8"/>
          </w:tcPr>
          <w:p>
            <w:pPr>
              <w:spacing w:after="0"/>
              <w:rPr>
                <w:sz w:val="18"/>
                <w:szCs w:val="18"/>
                <w:color w:val="auto"/>
              </w:rPr>
            </w:pPr>
          </w:p>
        </w:tc>
        <w:tc>
          <w:tcPr>
            <w:tcW w:w="160" w:type="dxa"/>
            <w:vAlign w:val="bottom"/>
            <w:shd w:val="clear" w:color="auto" w:fill="D6F3E8"/>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179,815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2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(1,396)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(4,277)</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gridSpan w:val="2"/>
            <w:shd w:val="clear" w:color="auto" w:fill="D6F3E8"/>
          </w:tcPr>
          <w:p>
            <w:pPr>
              <w:ind w:left="160"/>
              <w:spacing w:after="0" w:line="203" w:lineRule="exact"/>
              <w:rPr>
                <w:sz w:val="20"/>
                <w:szCs w:val="20"/>
                <w:color w:val="auto"/>
              </w:rPr>
            </w:pPr>
            <w:r>
              <w:rPr>
                <w:rFonts w:ascii="Times New Roman" w:cs="Times New Roman" w:eastAsia="Times New Roman" w:hAnsi="Times New Roman"/>
                <w:sz w:val="18"/>
                <w:szCs w:val="18"/>
                <w:color w:val="auto"/>
              </w:rPr>
              <w:t>Issuance of stock to officers</w:t>
            </w:r>
          </w:p>
        </w:tc>
        <w:tc>
          <w:tcPr>
            <w:tcW w:w="800" w:type="dxa"/>
            <w:vAlign w:val="bottom"/>
            <w:shd w:val="clear" w:color="auto" w:fill="D6F3E8"/>
          </w:tcPr>
          <w:p>
            <w:pPr>
              <w:spacing w:after="0"/>
              <w:rPr>
                <w:sz w:val="17"/>
                <w:szCs w:val="17"/>
                <w:color w:val="auto"/>
              </w:rPr>
            </w:pPr>
          </w:p>
        </w:tc>
        <w:tc>
          <w:tcPr>
            <w:tcW w:w="460" w:type="dxa"/>
            <w:vAlign w:val="bottom"/>
            <w:shd w:val="clear" w:color="auto" w:fill="D6F3E8"/>
          </w:tcPr>
          <w:p>
            <w:pPr>
              <w:spacing w:after="0"/>
              <w:rPr>
                <w:sz w:val="17"/>
                <w:szCs w:val="17"/>
                <w:color w:val="auto"/>
              </w:rPr>
            </w:pPr>
          </w:p>
        </w:tc>
        <w:tc>
          <w:tcPr>
            <w:tcW w:w="140" w:type="dxa"/>
            <w:vAlign w:val="bottom"/>
            <w:shd w:val="clear" w:color="auto" w:fill="D6F3E8"/>
          </w:tcPr>
          <w:p>
            <w:pPr>
              <w:spacing w:after="0"/>
              <w:rPr>
                <w:sz w:val="17"/>
                <w:szCs w:val="17"/>
                <w:color w:val="auto"/>
              </w:rPr>
            </w:pPr>
          </w:p>
        </w:tc>
        <w:tc>
          <w:tcPr>
            <w:tcW w:w="660" w:type="dxa"/>
            <w:vAlign w:val="bottom"/>
            <w:shd w:val="clear" w:color="auto" w:fill="D6F3E8"/>
          </w:tcPr>
          <w:p>
            <w:pPr>
              <w:spacing w:after="0"/>
              <w:rPr>
                <w:sz w:val="17"/>
                <w:szCs w:val="17"/>
                <w:color w:val="auto"/>
              </w:rPr>
            </w:pPr>
          </w:p>
        </w:tc>
        <w:tc>
          <w:tcPr>
            <w:tcW w:w="46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660" w:type="dxa"/>
            <w:vAlign w:val="bottom"/>
            <w:shd w:val="clear" w:color="auto" w:fill="D6F3E8"/>
          </w:tcPr>
          <w:p>
            <w:pPr>
              <w:spacing w:after="0"/>
              <w:rPr>
                <w:sz w:val="17"/>
                <w:szCs w:val="17"/>
                <w:color w:val="auto"/>
              </w:rPr>
            </w:pPr>
          </w:p>
        </w:tc>
        <w:tc>
          <w:tcPr>
            <w:tcW w:w="440" w:type="dxa"/>
            <w:vAlign w:val="bottom"/>
            <w:shd w:val="clear" w:color="auto" w:fill="D6F3E8"/>
          </w:tcPr>
          <w:p>
            <w:pPr>
              <w:spacing w:after="0"/>
              <w:rPr>
                <w:sz w:val="17"/>
                <w:szCs w:val="17"/>
                <w:color w:val="auto"/>
              </w:rPr>
            </w:pPr>
          </w:p>
        </w:tc>
        <w:tc>
          <w:tcPr>
            <w:tcW w:w="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680" w:type="dxa"/>
            <w:vAlign w:val="bottom"/>
            <w:shd w:val="clear" w:color="auto" w:fill="D6F3E8"/>
          </w:tcPr>
          <w:p>
            <w:pPr>
              <w:spacing w:after="0"/>
              <w:rPr>
                <w:sz w:val="17"/>
                <w:szCs w:val="17"/>
                <w:color w:val="auto"/>
              </w:rPr>
            </w:pPr>
          </w:p>
        </w:tc>
        <w:tc>
          <w:tcPr>
            <w:tcW w:w="460" w:type="dxa"/>
            <w:vAlign w:val="bottom"/>
            <w:shd w:val="clear" w:color="auto" w:fill="D6F3E8"/>
          </w:tcPr>
          <w:p>
            <w:pPr>
              <w:spacing w:after="0"/>
              <w:rPr>
                <w:sz w:val="17"/>
                <w:szCs w:val="17"/>
                <w:color w:val="auto"/>
              </w:rPr>
            </w:pPr>
          </w:p>
        </w:tc>
        <w:tc>
          <w:tcPr>
            <w:tcW w:w="20" w:type="dxa"/>
            <w:vAlign w:val="bottom"/>
            <w:shd w:val="clear" w:color="auto" w:fill="D6F3E8"/>
          </w:tcPr>
          <w:p>
            <w:pPr>
              <w:spacing w:after="0"/>
              <w:rPr>
                <w:sz w:val="17"/>
                <w:szCs w:val="17"/>
                <w:color w:val="auto"/>
              </w:rPr>
            </w:pPr>
          </w:p>
        </w:tc>
        <w:tc>
          <w:tcPr>
            <w:tcW w:w="760" w:type="dxa"/>
            <w:vAlign w:val="bottom"/>
            <w:shd w:val="clear" w:color="auto" w:fill="D6F3E8"/>
          </w:tcPr>
          <w:p>
            <w:pPr>
              <w:spacing w:after="0"/>
              <w:rPr>
                <w:sz w:val="17"/>
                <w:szCs w:val="17"/>
                <w:color w:val="auto"/>
              </w:rPr>
            </w:pPr>
          </w:p>
        </w:tc>
        <w:tc>
          <w:tcPr>
            <w:tcW w:w="440" w:type="dxa"/>
            <w:vAlign w:val="bottom"/>
            <w:shd w:val="clear" w:color="auto" w:fill="D6F3E8"/>
          </w:tcPr>
          <w:p>
            <w:pPr>
              <w:spacing w:after="0"/>
              <w:rPr>
                <w:sz w:val="17"/>
                <w:szCs w:val="17"/>
                <w:color w:val="auto"/>
              </w:rPr>
            </w:pPr>
          </w:p>
        </w:tc>
        <w:tc>
          <w:tcPr>
            <w:tcW w:w="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660" w:type="dxa"/>
            <w:vAlign w:val="bottom"/>
            <w:shd w:val="clear" w:color="auto" w:fill="D6F3E8"/>
          </w:tcPr>
          <w:p>
            <w:pPr>
              <w:spacing w:after="0"/>
              <w:rPr>
                <w:sz w:val="17"/>
                <w:szCs w:val="17"/>
                <w:color w:val="auto"/>
              </w:rPr>
            </w:pPr>
          </w:p>
        </w:tc>
        <w:tc>
          <w:tcPr>
            <w:tcW w:w="44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62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gridSpan w:val="2"/>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rPr>
              <w:t>and directors</w:t>
            </w:r>
          </w:p>
        </w:tc>
        <w:tc>
          <w:tcPr>
            <w:tcW w:w="1260" w:type="dxa"/>
            <w:vAlign w:val="bottom"/>
            <w:gridSpan w:val="2"/>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6F3E8"/>
          </w:tcPr>
          <w:p>
            <w:pPr>
              <w:spacing w:after="0"/>
              <w:rPr>
                <w:sz w:val="20"/>
                <w:szCs w:val="20"/>
                <w:color w:val="auto"/>
              </w:rPr>
            </w:pPr>
          </w:p>
        </w:tc>
        <w:tc>
          <w:tcPr>
            <w:tcW w:w="6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6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440" w:type="dxa"/>
            <w:vAlign w:val="bottom"/>
            <w:shd w:val="clear" w:color="auto" w:fill="D6F3E8"/>
          </w:tcPr>
          <w:p>
            <w:pPr>
              <w:spacing w:after="0"/>
              <w:rPr>
                <w:sz w:val="20"/>
                <w:szCs w:val="20"/>
                <w:color w:val="auto"/>
              </w:rPr>
            </w:pPr>
          </w:p>
        </w:tc>
        <w:tc>
          <w:tcPr>
            <w:tcW w:w="2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1160" w:type="dxa"/>
            <w:vAlign w:val="bottom"/>
            <w:gridSpan w:val="3"/>
            <w:shd w:val="clear" w:color="auto" w:fill="D6F3E8"/>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D6F3E8"/>
          </w:tcPr>
          <w:p>
            <w:pPr>
              <w:jc w:val="right"/>
              <w:ind w:right="38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1100" w:type="dxa"/>
            <w:vAlign w:val="bottom"/>
            <w:gridSpan w:val="2"/>
            <w:shd w:val="clear" w:color="auto" w:fill="D6F3E8"/>
          </w:tcPr>
          <w:p>
            <w:pPr>
              <w:jc w:val="right"/>
              <w:ind w:right="380"/>
              <w:spacing w:after="0"/>
              <w:rPr>
                <w:sz w:val="20"/>
                <w:szCs w:val="20"/>
                <w:color w:val="auto"/>
              </w:rPr>
            </w:pPr>
            <w:r>
              <w:rPr>
                <w:rFonts w:ascii="Times New Roman" w:cs="Times New Roman" w:eastAsia="Times New Roman" w:hAnsi="Times New Roman"/>
                <w:sz w:val="18"/>
                <w:szCs w:val="18"/>
                <w:color w:val="auto"/>
              </w:rPr>
              <w:t>(343)</w:t>
            </w:r>
          </w:p>
        </w:tc>
        <w:tc>
          <w:tcPr>
            <w:tcW w:w="160" w:type="dxa"/>
            <w:vAlign w:val="bottom"/>
            <w:shd w:val="clear" w:color="auto" w:fill="D6F3E8"/>
          </w:tcPr>
          <w:p>
            <w:pPr>
              <w:spacing w:after="0"/>
              <w:rPr>
                <w:sz w:val="20"/>
                <w:szCs w:val="20"/>
                <w:color w:val="auto"/>
              </w:rPr>
            </w:pPr>
          </w:p>
        </w:tc>
        <w:tc>
          <w:tcPr>
            <w:tcW w:w="6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Tax benefit of stock options</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gridSpan w:val="2"/>
            <w:shd w:val="clear" w:color="auto" w:fill="D6F3E8"/>
          </w:tcPr>
          <w:p>
            <w:pPr>
              <w:ind w:left="160"/>
              <w:spacing w:after="0" w:line="201" w:lineRule="exact"/>
              <w:rPr>
                <w:sz w:val="20"/>
                <w:szCs w:val="20"/>
                <w:color w:val="auto"/>
              </w:rPr>
            </w:pPr>
            <w:r>
              <w:rPr>
                <w:rFonts w:ascii="Times New Roman" w:cs="Times New Roman" w:eastAsia="Times New Roman" w:hAnsi="Times New Roman"/>
                <w:sz w:val="18"/>
                <w:szCs w:val="18"/>
                <w:color w:val="auto"/>
              </w:rPr>
              <w:t>Payments for purchase</w:t>
            </w:r>
          </w:p>
        </w:tc>
        <w:tc>
          <w:tcPr>
            <w:tcW w:w="800" w:type="dxa"/>
            <w:vAlign w:val="bottom"/>
            <w:shd w:val="clear" w:color="auto" w:fill="D6F3E8"/>
          </w:tcPr>
          <w:p>
            <w:pPr>
              <w:spacing w:after="0"/>
              <w:rPr>
                <w:sz w:val="17"/>
                <w:szCs w:val="17"/>
                <w:color w:val="auto"/>
              </w:rPr>
            </w:pPr>
          </w:p>
        </w:tc>
        <w:tc>
          <w:tcPr>
            <w:tcW w:w="460" w:type="dxa"/>
            <w:vAlign w:val="bottom"/>
            <w:shd w:val="clear" w:color="auto" w:fill="D6F3E8"/>
          </w:tcPr>
          <w:p>
            <w:pPr>
              <w:spacing w:after="0"/>
              <w:rPr>
                <w:sz w:val="17"/>
                <w:szCs w:val="17"/>
                <w:color w:val="auto"/>
              </w:rPr>
            </w:pPr>
          </w:p>
        </w:tc>
        <w:tc>
          <w:tcPr>
            <w:tcW w:w="140" w:type="dxa"/>
            <w:vAlign w:val="bottom"/>
            <w:shd w:val="clear" w:color="auto" w:fill="D6F3E8"/>
          </w:tcPr>
          <w:p>
            <w:pPr>
              <w:spacing w:after="0"/>
              <w:rPr>
                <w:sz w:val="17"/>
                <w:szCs w:val="17"/>
                <w:color w:val="auto"/>
              </w:rPr>
            </w:pPr>
          </w:p>
        </w:tc>
        <w:tc>
          <w:tcPr>
            <w:tcW w:w="660" w:type="dxa"/>
            <w:vAlign w:val="bottom"/>
            <w:shd w:val="clear" w:color="auto" w:fill="D6F3E8"/>
          </w:tcPr>
          <w:p>
            <w:pPr>
              <w:spacing w:after="0"/>
              <w:rPr>
                <w:sz w:val="17"/>
                <w:szCs w:val="17"/>
                <w:color w:val="auto"/>
              </w:rPr>
            </w:pPr>
          </w:p>
        </w:tc>
        <w:tc>
          <w:tcPr>
            <w:tcW w:w="46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660" w:type="dxa"/>
            <w:vAlign w:val="bottom"/>
            <w:shd w:val="clear" w:color="auto" w:fill="D6F3E8"/>
          </w:tcPr>
          <w:p>
            <w:pPr>
              <w:spacing w:after="0"/>
              <w:rPr>
                <w:sz w:val="17"/>
                <w:szCs w:val="17"/>
                <w:color w:val="auto"/>
              </w:rPr>
            </w:pPr>
          </w:p>
        </w:tc>
        <w:tc>
          <w:tcPr>
            <w:tcW w:w="440" w:type="dxa"/>
            <w:vAlign w:val="bottom"/>
            <w:shd w:val="clear" w:color="auto" w:fill="D6F3E8"/>
          </w:tcPr>
          <w:p>
            <w:pPr>
              <w:spacing w:after="0"/>
              <w:rPr>
                <w:sz w:val="17"/>
                <w:szCs w:val="17"/>
                <w:color w:val="auto"/>
              </w:rPr>
            </w:pPr>
          </w:p>
        </w:tc>
        <w:tc>
          <w:tcPr>
            <w:tcW w:w="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680" w:type="dxa"/>
            <w:vAlign w:val="bottom"/>
            <w:shd w:val="clear" w:color="auto" w:fill="D6F3E8"/>
          </w:tcPr>
          <w:p>
            <w:pPr>
              <w:spacing w:after="0"/>
              <w:rPr>
                <w:sz w:val="17"/>
                <w:szCs w:val="17"/>
                <w:color w:val="auto"/>
              </w:rPr>
            </w:pPr>
          </w:p>
        </w:tc>
        <w:tc>
          <w:tcPr>
            <w:tcW w:w="460" w:type="dxa"/>
            <w:vAlign w:val="bottom"/>
            <w:shd w:val="clear" w:color="auto" w:fill="D6F3E8"/>
          </w:tcPr>
          <w:p>
            <w:pPr>
              <w:spacing w:after="0"/>
              <w:rPr>
                <w:sz w:val="17"/>
                <w:szCs w:val="17"/>
                <w:color w:val="auto"/>
              </w:rPr>
            </w:pPr>
          </w:p>
        </w:tc>
        <w:tc>
          <w:tcPr>
            <w:tcW w:w="20" w:type="dxa"/>
            <w:vAlign w:val="bottom"/>
            <w:shd w:val="clear" w:color="auto" w:fill="D6F3E8"/>
          </w:tcPr>
          <w:p>
            <w:pPr>
              <w:spacing w:after="0"/>
              <w:rPr>
                <w:sz w:val="17"/>
                <w:szCs w:val="17"/>
                <w:color w:val="auto"/>
              </w:rPr>
            </w:pPr>
          </w:p>
        </w:tc>
        <w:tc>
          <w:tcPr>
            <w:tcW w:w="760" w:type="dxa"/>
            <w:vAlign w:val="bottom"/>
            <w:shd w:val="clear" w:color="auto" w:fill="D6F3E8"/>
          </w:tcPr>
          <w:p>
            <w:pPr>
              <w:spacing w:after="0"/>
              <w:rPr>
                <w:sz w:val="17"/>
                <w:szCs w:val="17"/>
                <w:color w:val="auto"/>
              </w:rPr>
            </w:pPr>
          </w:p>
        </w:tc>
        <w:tc>
          <w:tcPr>
            <w:tcW w:w="440" w:type="dxa"/>
            <w:vAlign w:val="bottom"/>
            <w:shd w:val="clear" w:color="auto" w:fill="D6F3E8"/>
          </w:tcPr>
          <w:p>
            <w:pPr>
              <w:spacing w:after="0"/>
              <w:rPr>
                <w:sz w:val="17"/>
                <w:szCs w:val="17"/>
                <w:color w:val="auto"/>
              </w:rPr>
            </w:pPr>
          </w:p>
        </w:tc>
        <w:tc>
          <w:tcPr>
            <w:tcW w:w="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660" w:type="dxa"/>
            <w:vAlign w:val="bottom"/>
            <w:shd w:val="clear" w:color="auto" w:fill="D6F3E8"/>
          </w:tcPr>
          <w:p>
            <w:pPr>
              <w:spacing w:after="0"/>
              <w:rPr>
                <w:sz w:val="17"/>
                <w:szCs w:val="17"/>
                <w:color w:val="auto"/>
              </w:rPr>
            </w:pPr>
          </w:p>
        </w:tc>
        <w:tc>
          <w:tcPr>
            <w:tcW w:w="44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62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gridSpan w:val="2"/>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rPr>
              <w:t>of common stock</w:t>
            </w:r>
          </w:p>
        </w:tc>
        <w:tc>
          <w:tcPr>
            <w:tcW w:w="1260" w:type="dxa"/>
            <w:vAlign w:val="bottom"/>
            <w:gridSpan w:val="2"/>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6F3E8"/>
          </w:tcPr>
          <w:p>
            <w:pPr>
              <w:spacing w:after="0"/>
              <w:rPr>
                <w:sz w:val="20"/>
                <w:szCs w:val="20"/>
                <w:color w:val="auto"/>
              </w:rPr>
            </w:pPr>
          </w:p>
        </w:tc>
        <w:tc>
          <w:tcPr>
            <w:tcW w:w="6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1120" w:type="dxa"/>
            <w:vAlign w:val="bottom"/>
            <w:gridSpan w:val="3"/>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6F3E8"/>
          </w:tcPr>
          <w:p>
            <w:pPr>
              <w:spacing w:after="0"/>
              <w:rPr>
                <w:sz w:val="20"/>
                <w:szCs w:val="20"/>
                <w:color w:val="auto"/>
              </w:rPr>
            </w:pPr>
          </w:p>
        </w:tc>
        <w:tc>
          <w:tcPr>
            <w:tcW w:w="1160" w:type="dxa"/>
            <w:vAlign w:val="bottom"/>
            <w:gridSpan w:val="3"/>
            <w:shd w:val="clear" w:color="auto" w:fill="D6F3E8"/>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440" w:type="dxa"/>
            <w:vAlign w:val="bottom"/>
            <w:shd w:val="clear" w:color="auto" w:fill="D6F3E8"/>
          </w:tcPr>
          <w:p>
            <w:pPr>
              <w:spacing w:after="0"/>
              <w:rPr>
                <w:sz w:val="20"/>
                <w:szCs w:val="20"/>
                <w:color w:val="auto"/>
              </w:rPr>
            </w:pPr>
          </w:p>
        </w:tc>
        <w:tc>
          <w:tcPr>
            <w:tcW w:w="20" w:type="dxa"/>
            <w:vAlign w:val="bottom"/>
            <w:shd w:val="clear" w:color="auto" w:fill="D6F3E8"/>
          </w:tcPr>
          <w:p>
            <w:pPr>
              <w:spacing w:after="0"/>
              <w:rPr>
                <w:sz w:val="20"/>
                <w:szCs w:val="20"/>
                <w:color w:val="auto"/>
              </w:rPr>
            </w:pPr>
          </w:p>
        </w:tc>
        <w:tc>
          <w:tcPr>
            <w:tcW w:w="120" w:type="dxa"/>
            <w:vAlign w:val="bottom"/>
            <w:shd w:val="clear" w:color="auto" w:fill="D6F3E8"/>
          </w:tcPr>
          <w:p>
            <w:pPr>
              <w:spacing w:after="0"/>
              <w:rPr>
                <w:sz w:val="20"/>
                <w:szCs w:val="20"/>
                <w:color w:val="auto"/>
              </w:rPr>
            </w:pPr>
          </w:p>
        </w:tc>
        <w:tc>
          <w:tcPr>
            <w:tcW w:w="6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20,221</w:t>
            </w:r>
          </w:p>
        </w:tc>
        <w:tc>
          <w:tcPr>
            <w:tcW w:w="440" w:type="dxa"/>
            <w:vAlign w:val="bottom"/>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84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(20,221)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880" w:type="dxa"/>
            <w:vAlign w:val="bottom"/>
            <w:gridSpan w:val="2"/>
          </w:tcPr>
          <w:p>
            <w:pPr>
              <w:ind w:left="160"/>
              <w:spacing w:after="0" w:line="205" w:lineRule="exact"/>
              <w:rPr>
                <w:sz w:val="20"/>
                <w:szCs w:val="20"/>
                <w:color w:val="auto"/>
              </w:rPr>
            </w:pPr>
            <w:r>
              <w:rPr>
                <w:rFonts w:ascii="Times New Roman" w:cs="Times New Roman" w:eastAsia="Times New Roman" w:hAnsi="Times New Roman"/>
                <w:sz w:val="18"/>
                <w:szCs w:val="18"/>
                <w:color w:val="auto"/>
              </w:rPr>
              <w:t>Cash dividends on common</w:t>
            </w: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gridSpan w:val="2"/>
          </w:tcPr>
          <w:p>
            <w:pPr>
              <w:ind w:left="340"/>
              <w:spacing w:after="0" w:line="267" w:lineRule="exact"/>
              <w:rPr>
                <w:sz w:val="20"/>
                <w:szCs w:val="20"/>
                <w:color w:val="auto"/>
              </w:rPr>
            </w:pPr>
            <w:r>
              <w:rPr>
                <w:rFonts w:ascii="Times New Roman" w:cs="Times New Roman" w:eastAsia="Times New Roman" w:hAnsi="Times New Roman"/>
                <w:sz w:val="18"/>
                <w:szCs w:val="18"/>
                <w:color w:val="auto"/>
              </w:rPr>
              <w:t xml:space="preserve">stock – $0.10 per share </w:t>
            </w:r>
            <w:r>
              <w:rPr>
                <w:rFonts w:ascii="Times New Roman" w:cs="Times New Roman" w:eastAsia="Times New Roman" w:hAnsi="Times New Roman"/>
                <w:sz w:val="29"/>
                <w:szCs w:val="29"/>
                <w:color w:val="auto"/>
                <w:vertAlign w:val="superscript"/>
              </w:rPr>
              <w:t>(1)</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(3,701)</w:t>
            </w:r>
          </w:p>
        </w:tc>
        <w:tc>
          <w:tcPr>
            <w:tcW w:w="20" w:type="dxa"/>
            <w:vAlign w:val="bottom"/>
          </w:tcPr>
          <w:p>
            <w:pPr>
              <w:spacing w:after="0"/>
              <w:rPr>
                <w:sz w:val="23"/>
                <w:szCs w:val="23"/>
                <w:color w:val="auto"/>
              </w:rPr>
            </w:pPr>
          </w:p>
        </w:tc>
        <w:tc>
          <w:tcPr>
            <w:tcW w:w="12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D6F3E8"/>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6F3E8"/>
          </w:tcPr>
          <w:p>
            <w:pPr>
              <w:spacing w:after="0"/>
              <w:rPr>
                <w:sz w:val="18"/>
                <w:szCs w:val="18"/>
                <w:color w:val="auto"/>
              </w:rPr>
            </w:pPr>
          </w:p>
        </w:tc>
        <w:tc>
          <w:tcPr>
            <w:tcW w:w="6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20" w:type="dxa"/>
            <w:vAlign w:val="bottom"/>
            <w:gridSpan w:val="3"/>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49,884</w:t>
            </w:r>
          </w:p>
        </w:tc>
        <w:tc>
          <w:tcPr>
            <w:tcW w:w="4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20" w:type="dxa"/>
            <w:vAlign w:val="bottom"/>
            <w:gridSpan w:val="3"/>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6F3E8"/>
          </w:tcPr>
          <w:p>
            <w:pPr>
              <w:spacing w:after="0"/>
              <w:rPr>
                <w:sz w:val="18"/>
                <w:szCs w:val="18"/>
                <w:color w:val="auto"/>
              </w:rPr>
            </w:pPr>
          </w:p>
        </w:tc>
        <w:tc>
          <w:tcPr>
            <w:tcW w:w="6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49,884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August 30, 2003</w:t>
            </w: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00" w:type="dxa"/>
            <w:vAlign w:val="bottom"/>
            <w:gridSpan w:val="3"/>
            <w:vMerge w:val="continue"/>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25,888</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25,969</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331,039</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159,326</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210,626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D6F3E8"/>
          </w:tcPr>
          <w:p>
            <w:pPr>
              <w:ind w:left="1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60" w:type="dxa"/>
            <w:vAlign w:val="bottom"/>
            <w:gridSpan w:val="2"/>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6F3E8"/>
          </w:tcPr>
          <w:p>
            <w:pPr>
              <w:spacing w:after="0"/>
              <w:rPr>
                <w:sz w:val="18"/>
                <w:szCs w:val="18"/>
                <w:color w:val="auto"/>
              </w:rPr>
            </w:pPr>
          </w:p>
        </w:tc>
        <w:tc>
          <w:tcPr>
            <w:tcW w:w="6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380"/>
              <w:spacing w:after="0"/>
              <w:rPr>
                <w:sz w:val="20"/>
                <w:szCs w:val="20"/>
                <w:color w:val="auto"/>
              </w:rPr>
            </w:pPr>
            <w:r>
              <w:rPr>
                <w:rFonts w:ascii="Times New Roman" w:cs="Times New Roman" w:eastAsia="Times New Roman" w:hAnsi="Times New Roman"/>
                <w:sz w:val="18"/>
                <w:szCs w:val="18"/>
                <w:color w:val="auto"/>
              </w:rPr>
              <w:t>(1,074)</w:t>
            </w: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60" w:type="dxa"/>
            <w:vAlign w:val="bottom"/>
            <w:gridSpan w:val="3"/>
            <w:shd w:val="clear" w:color="auto" w:fill="D6F3E8"/>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D6F3E8"/>
          </w:tcPr>
          <w:p>
            <w:pPr>
              <w:jc w:val="right"/>
              <w:ind w:right="380"/>
              <w:spacing w:after="0"/>
              <w:rPr>
                <w:sz w:val="20"/>
                <w:szCs w:val="20"/>
                <w:color w:val="auto"/>
              </w:rPr>
            </w:pPr>
            <w:r>
              <w:rPr>
                <w:rFonts w:ascii="Times New Roman" w:cs="Times New Roman" w:eastAsia="Times New Roman" w:hAnsi="Times New Roman"/>
                <w:sz w:val="18"/>
                <w:szCs w:val="18"/>
                <w:color w:val="auto"/>
              </w:rPr>
              <w:t>(520)</w:t>
            </w: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380"/>
              <w:spacing w:after="0"/>
              <w:rPr>
                <w:sz w:val="20"/>
                <w:szCs w:val="20"/>
                <w:color w:val="auto"/>
              </w:rPr>
            </w:pPr>
            <w:r>
              <w:rPr>
                <w:rFonts w:ascii="Times New Roman" w:cs="Times New Roman" w:eastAsia="Times New Roman" w:hAnsi="Times New Roman"/>
                <w:sz w:val="18"/>
                <w:szCs w:val="18"/>
                <w:color w:val="auto"/>
              </w:rPr>
              <w:t>(5,939)</w:t>
            </w:r>
          </w:p>
        </w:tc>
        <w:tc>
          <w:tcPr>
            <w:tcW w:w="160" w:type="dxa"/>
            <w:vAlign w:val="bottom"/>
            <w:shd w:val="clear" w:color="auto" w:fill="D6F3E8"/>
          </w:tcPr>
          <w:p>
            <w:pPr>
              <w:spacing w:after="0"/>
              <w:rPr>
                <w:sz w:val="18"/>
                <w:szCs w:val="18"/>
                <w:color w:val="auto"/>
              </w:rPr>
            </w:pPr>
          </w:p>
        </w:tc>
        <w:tc>
          <w:tcPr>
            <w:tcW w:w="6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Issuance of stock to directors</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D6F3E8"/>
          </w:tcPr>
          <w:p>
            <w:pPr>
              <w:ind w:left="160"/>
              <w:spacing w:after="0"/>
              <w:rPr>
                <w:sz w:val="20"/>
                <w:szCs w:val="20"/>
                <w:color w:val="auto"/>
              </w:rPr>
            </w:pPr>
            <w:r>
              <w:rPr>
                <w:rFonts w:ascii="Times New Roman" w:cs="Times New Roman" w:eastAsia="Times New Roman" w:hAnsi="Times New Roman"/>
                <w:sz w:val="18"/>
                <w:szCs w:val="18"/>
                <w:color w:val="auto"/>
              </w:rPr>
              <w:t>Tax benefit of stock options</w:t>
            </w:r>
          </w:p>
        </w:tc>
        <w:tc>
          <w:tcPr>
            <w:tcW w:w="1260" w:type="dxa"/>
            <w:vAlign w:val="bottom"/>
            <w:gridSpan w:val="2"/>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6F3E8"/>
          </w:tcPr>
          <w:p>
            <w:pPr>
              <w:spacing w:after="0"/>
              <w:rPr>
                <w:sz w:val="18"/>
                <w:szCs w:val="18"/>
                <w:color w:val="auto"/>
              </w:rPr>
            </w:pPr>
          </w:p>
        </w:tc>
        <w:tc>
          <w:tcPr>
            <w:tcW w:w="6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6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4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60" w:type="dxa"/>
            <w:vAlign w:val="bottom"/>
            <w:gridSpan w:val="3"/>
            <w:shd w:val="clear" w:color="auto" w:fill="D6F3E8"/>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6F3E8"/>
          </w:tcPr>
          <w:p>
            <w:pPr>
              <w:spacing w:after="0"/>
              <w:rPr>
                <w:sz w:val="18"/>
                <w:szCs w:val="18"/>
                <w:color w:val="auto"/>
              </w:rPr>
            </w:pPr>
          </w:p>
        </w:tc>
        <w:tc>
          <w:tcPr>
            <w:tcW w:w="6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gridSpan w:val="2"/>
          </w:tcPr>
          <w:p>
            <w:pPr>
              <w:ind w:left="160"/>
              <w:spacing w:after="0" w:line="201" w:lineRule="exact"/>
              <w:rPr>
                <w:sz w:val="20"/>
                <w:szCs w:val="20"/>
                <w:color w:val="auto"/>
              </w:rPr>
            </w:pPr>
            <w:r>
              <w:rPr>
                <w:rFonts w:ascii="Times New Roman" w:cs="Times New Roman" w:eastAsia="Times New Roman" w:hAnsi="Times New Roman"/>
                <w:sz w:val="18"/>
                <w:szCs w:val="18"/>
                <w:color w:val="auto"/>
              </w:rPr>
              <w:t>Payments for purchase of</w:t>
            </w: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common stock</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77,668</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(77,668)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80" w:type="dxa"/>
            <w:vAlign w:val="bottom"/>
            <w:gridSpan w:val="2"/>
            <w:shd w:val="clear" w:color="auto" w:fill="D6F3E8"/>
          </w:tcPr>
          <w:p>
            <w:pPr>
              <w:ind w:left="160"/>
              <w:spacing w:after="0" w:line="203" w:lineRule="exact"/>
              <w:rPr>
                <w:sz w:val="20"/>
                <w:szCs w:val="20"/>
                <w:color w:val="auto"/>
              </w:rPr>
            </w:pPr>
            <w:r>
              <w:rPr>
                <w:rFonts w:ascii="Times New Roman" w:cs="Times New Roman" w:eastAsia="Times New Roman" w:hAnsi="Times New Roman"/>
                <w:sz w:val="18"/>
                <w:szCs w:val="18"/>
                <w:color w:val="auto"/>
              </w:rPr>
              <w:t>Cash dividends paid and accrued</w:t>
            </w:r>
          </w:p>
        </w:tc>
        <w:tc>
          <w:tcPr>
            <w:tcW w:w="800" w:type="dxa"/>
            <w:vAlign w:val="bottom"/>
            <w:shd w:val="clear" w:color="auto" w:fill="D6F3E8"/>
          </w:tcPr>
          <w:p>
            <w:pPr>
              <w:spacing w:after="0"/>
              <w:rPr>
                <w:sz w:val="17"/>
                <w:szCs w:val="17"/>
                <w:color w:val="auto"/>
              </w:rPr>
            </w:pPr>
          </w:p>
        </w:tc>
        <w:tc>
          <w:tcPr>
            <w:tcW w:w="460" w:type="dxa"/>
            <w:vAlign w:val="bottom"/>
            <w:shd w:val="clear" w:color="auto" w:fill="D6F3E8"/>
          </w:tcPr>
          <w:p>
            <w:pPr>
              <w:spacing w:after="0"/>
              <w:rPr>
                <w:sz w:val="17"/>
                <w:szCs w:val="17"/>
                <w:color w:val="auto"/>
              </w:rPr>
            </w:pPr>
          </w:p>
        </w:tc>
        <w:tc>
          <w:tcPr>
            <w:tcW w:w="140" w:type="dxa"/>
            <w:vAlign w:val="bottom"/>
            <w:shd w:val="clear" w:color="auto" w:fill="D6F3E8"/>
          </w:tcPr>
          <w:p>
            <w:pPr>
              <w:spacing w:after="0"/>
              <w:rPr>
                <w:sz w:val="17"/>
                <w:szCs w:val="17"/>
                <w:color w:val="auto"/>
              </w:rPr>
            </w:pPr>
          </w:p>
        </w:tc>
        <w:tc>
          <w:tcPr>
            <w:tcW w:w="660" w:type="dxa"/>
            <w:vAlign w:val="bottom"/>
            <w:shd w:val="clear" w:color="auto" w:fill="D6F3E8"/>
          </w:tcPr>
          <w:p>
            <w:pPr>
              <w:spacing w:after="0"/>
              <w:rPr>
                <w:sz w:val="17"/>
                <w:szCs w:val="17"/>
                <w:color w:val="auto"/>
              </w:rPr>
            </w:pPr>
          </w:p>
        </w:tc>
        <w:tc>
          <w:tcPr>
            <w:tcW w:w="46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660" w:type="dxa"/>
            <w:vAlign w:val="bottom"/>
            <w:shd w:val="clear" w:color="auto" w:fill="D6F3E8"/>
          </w:tcPr>
          <w:p>
            <w:pPr>
              <w:spacing w:after="0"/>
              <w:rPr>
                <w:sz w:val="17"/>
                <w:szCs w:val="17"/>
                <w:color w:val="auto"/>
              </w:rPr>
            </w:pPr>
          </w:p>
        </w:tc>
        <w:tc>
          <w:tcPr>
            <w:tcW w:w="440" w:type="dxa"/>
            <w:vAlign w:val="bottom"/>
            <w:shd w:val="clear" w:color="auto" w:fill="D6F3E8"/>
          </w:tcPr>
          <w:p>
            <w:pPr>
              <w:spacing w:after="0"/>
              <w:rPr>
                <w:sz w:val="17"/>
                <w:szCs w:val="17"/>
                <w:color w:val="auto"/>
              </w:rPr>
            </w:pPr>
          </w:p>
        </w:tc>
        <w:tc>
          <w:tcPr>
            <w:tcW w:w="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680" w:type="dxa"/>
            <w:vAlign w:val="bottom"/>
            <w:shd w:val="clear" w:color="auto" w:fill="D6F3E8"/>
          </w:tcPr>
          <w:p>
            <w:pPr>
              <w:spacing w:after="0"/>
              <w:rPr>
                <w:sz w:val="17"/>
                <w:szCs w:val="17"/>
                <w:color w:val="auto"/>
              </w:rPr>
            </w:pPr>
          </w:p>
        </w:tc>
        <w:tc>
          <w:tcPr>
            <w:tcW w:w="460" w:type="dxa"/>
            <w:vAlign w:val="bottom"/>
            <w:shd w:val="clear" w:color="auto" w:fill="D6F3E8"/>
          </w:tcPr>
          <w:p>
            <w:pPr>
              <w:spacing w:after="0"/>
              <w:rPr>
                <w:sz w:val="17"/>
                <w:szCs w:val="17"/>
                <w:color w:val="auto"/>
              </w:rPr>
            </w:pPr>
          </w:p>
        </w:tc>
        <w:tc>
          <w:tcPr>
            <w:tcW w:w="20" w:type="dxa"/>
            <w:vAlign w:val="bottom"/>
            <w:shd w:val="clear" w:color="auto" w:fill="D6F3E8"/>
          </w:tcPr>
          <w:p>
            <w:pPr>
              <w:spacing w:after="0"/>
              <w:rPr>
                <w:sz w:val="17"/>
                <w:szCs w:val="17"/>
                <w:color w:val="auto"/>
              </w:rPr>
            </w:pPr>
          </w:p>
        </w:tc>
        <w:tc>
          <w:tcPr>
            <w:tcW w:w="760" w:type="dxa"/>
            <w:vAlign w:val="bottom"/>
            <w:shd w:val="clear" w:color="auto" w:fill="D6F3E8"/>
          </w:tcPr>
          <w:p>
            <w:pPr>
              <w:spacing w:after="0"/>
              <w:rPr>
                <w:sz w:val="17"/>
                <w:szCs w:val="17"/>
                <w:color w:val="auto"/>
              </w:rPr>
            </w:pPr>
          </w:p>
        </w:tc>
        <w:tc>
          <w:tcPr>
            <w:tcW w:w="440" w:type="dxa"/>
            <w:vAlign w:val="bottom"/>
            <w:shd w:val="clear" w:color="auto" w:fill="D6F3E8"/>
          </w:tcPr>
          <w:p>
            <w:pPr>
              <w:spacing w:after="0"/>
              <w:rPr>
                <w:sz w:val="17"/>
                <w:szCs w:val="17"/>
                <w:color w:val="auto"/>
              </w:rPr>
            </w:pPr>
          </w:p>
        </w:tc>
        <w:tc>
          <w:tcPr>
            <w:tcW w:w="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660" w:type="dxa"/>
            <w:vAlign w:val="bottom"/>
            <w:shd w:val="clear" w:color="auto" w:fill="D6F3E8"/>
          </w:tcPr>
          <w:p>
            <w:pPr>
              <w:spacing w:after="0"/>
              <w:rPr>
                <w:sz w:val="17"/>
                <w:szCs w:val="17"/>
                <w:color w:val="auto"/>
              </w:rPr>
            </w:pPr>
          </w:p>
        </w:tc>
        <w:tc>
          <w:tcPr>
            <w:tcW w:w="44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62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880" w:type="dxa"/>
            <w:vAlign w:val="bottom"/>
            <w:gridSpan w:val="2"/>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rPr>
              <w:t>on common stock –</w:t>
            </w:r>
          </w:p>
        </w:tc>
        <w:tc>
          <w:tcPr>
            <w:tcW w:w="800" w:type="dxa"/>
            <w:vAlign w:val="bottom"/>
            <w:shd w:val="clear" w:color="auto" w:fill="D6F3E8"/>
          </w:tcPr>
          <w:p>
            <w:pPr>
              <w:spacing w:after="0"/>
              <w:rPr>
                <w:sz w:val="19"/>
                <w:szCs w:val="19"/>
                <w:color w:val="auto"/>
              </w:rPr>
            </w:pPr>
          </w:p>
        </w:tc>
        <w:tc>
          <w:tcPr>
            <w:tcW w:w="46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660" w:type="dxa"/>
            <w:vAlign w:val="bottom"/>
            <w:shd w:val="clear" w:color="auto" w:fill="D6F3E8"/>
          </w:tcPr>
          <w:p>
            <w:pPr>
              <w:spacing w:after="0"/>
              <w:rPr>
                <w:sz w:val="19"/>
                <w:szCs w:val="19"/>
                <w:color w:val="auto"/>
              </w:rPr>
            </w:pPr>
          </w:p>
        </w:tc>
        <w:tc>
          <w:tcPr>
            <w:tcW w:w="46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660" w:type="dxa"/>
            <w:vAlign w:val="bottom"/>
            <w:shd w:val="clear" w:color="auto" w:fill="D6F3E8"/>
          </w:tcPr>
          <w:p>
            <w:pPr>
              <w:spacing w:after="0"/>
              <w:rPr>
                <w:sz w:val="19"/>
                <w:szCs w:val="19"/>
                <w:color w:val="auto"/>
              </w:rPr>
            </w:pPr>
          </w:p>
        </w:tc>
        <w:tc>
          <w:tcPr>
            <w:tcW w:w="44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680" w:type="dxa"/>
            <w:vAlign w:val="bottom"/>
            <w:shd w:val="clear" w:color="auto" w:fill="D6F3E8"/>
          </w:tcPr>
          <w:p>
            <w:pPr>
              <w:spacing w:after="0"/>
              <w:rPr>
                <w:sz w:val="19"/>
                <w:szCs w:val="19"/>
                <w:color w:val="auto"/>
              </w:rPr>
            </w:pPr>
          </w:p>
        </w:tc>
        <w:tc>
          <w:tcPr>
            <w:tcW w:w="46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760" w:type="dxa"/>
            <w:vAlign w:val="bottom"/>
            <w:shd w:val="clear" w:color="auto" w:fill="D6F3E8"/>
          </w:tcPr>
          <w:p>
            <w:pPr>
              <w:spacing w:after="0"/>
              <w:rPr>
                <w:sz w:val="19"/>
                <w:szCs w:val="19"/>
                <w:color w:val="auto"/>
              </w:rPr>
            </w:pPr>
          </w:p>
        </w:tc>
        <w:tc>
          <w:tcPr>
            <w:tcW w:w="440" w:type="dxa"/>
            <w:vAlign w:val="bottom"/>
            <w:shd w:val="clear" w:color="auto" w:fill="D6F3E8"/>
          </w:tcPr>
          <w:p>
            <w:pPr>
              <w:spacing w:after="0"/>
              <w:rPr>
                <w:sz w:val="19"/>
                <w:szCs w:val="19"/>
                <w:color w:val="auto"/>
              </w:rPr>
            </w:pPr>
          </w:p>
        </w:tc>
        <w:tc>
          <w:tcPr>
            <w:tcW w:w="2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660" w:type="dxa"/>
            <w:vAlign w:val="bottom"/>
            <w:shd w:val="clear" w:color="auto" w:fill="D6F3E8"/>
          </w:tcPr>
          <w:p>
            <w:pPr>
              <w:spacing w:after="0"/>
              <w:rPr>
                <w:sz w:val="19"/>
                <w:szCs w:val="19"/>
                <w:color w:val="auto"/>
              </w:rPr>
            </w:pPr>
          </w:p>
        </w:tc>
        <w:tc>
          <w:tcPr>
            <w:tcW w:w="440" w:type="dxa"/>
            <w:vAlign w:val="bottom"/>
            <w:shd w:val="clear" w:color="auto" w:fill="D6F3E8"/>
          </w:tcPr>
          <w:p>
            <w:pPr>
              <w:spacing w:after="0"/>
              <w:rPr>
                <w:sz w:val="19"/>
                <w:szCs w:val="19"/>
                <w:color w:val="auto"/>
              </w:rPr>
            </w:pPr>
          </w:p>
        </w:tc>
        <w:tc>
          <w:tcPr>
            <w:tcW w:w="160" w:type="dxa"/>
            <w:vAlign w:val="bottom"/>
            <w:shd w:val="clear" w:color="auto" w:fill="D6F3E8"/>
          </w:tcPr>
          <w:p>
            <w:pPr>
              <w:spacing w:after="0"/>
              <w:rPr>
                <w:sz w:val="19"/>
                <w:szCs w:val="19"/>
                <w:color w:val="auto"/>
              </w:rPr>
            </w:pPr>
          </w:p>
        </w:tc>
        <w:tc>
          <w:tcPr>
            <w:tcW w:w="62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gridSpan w:val="2"/>
            <w:shd w:val="clear" w:color="auto" w:fill="D6F3E8"/>
          </w:tcPr>
          <w:p>
            <w:pPr>
              <w:ind w:left="340"/>
              <w:spacing w:after="0" w:line="267" w:lineRule="exact"/>
              <w:rPr>
                <w:sz w:val="20"/>
                <w:szCs w:val="20"/>
                <w:color w:val="auto"/>
              </w:rPr>
            </w:pPr>
            <w:r>
              <w:rPr>
                <w:rFonts w:ascii="Times New Roman" w:cs="Times New Roman" w:eastAsia="Times New Roman" w:hAnsi="Times New Roman"/>
                <w:sz w:val="18"/>
                <w:szCs w:val="18"/>
                <w:color w:val="auto"/>
              </w:rPr>
              <w:t xml:space="preserve">$0.27 per share </w:t>
            </w:r>
            <w:r>
              <w:rPr>
                <w:rFonts w:ascii="Times New Roman" w:cs="Times New Roman" w:eastAsia="Times New Roman" w:hAnsi="Times New Roman"/>
                <w:sz w:val="29"/>
                <w:szCs w:val="29"/>
                <w:color w:val="auto"/>
                <w:vertAlign w:val="superscript"/>
              </w:rPr>
              <w:t>(1)</w:t>
            </w:r>
          </w:p>
        </w:tc>
        <w:tc>
          <w:tcPr>
            <w:tcW w:w="1260" w:type="dxa"/>
            <w:vAlign w:val="bottom"/>
            <w:gridSpan w:val="2"/>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6F3E8"/>
          </w:tcPr>
          <w:p>
            <w:pPr>
              <w:spacing w:after="0"/>
              <w:rPr>
                <w:sz w:val="23"/>
                <w:szCs w:val="23"/>
                <w:color w:val="auto"/>
              </w:rPr>
            </w:pPr>
          </w:p>
        </w:tc>
        <w:tc>
          <w:tcPr>
            <w:tcW w:w="6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D6F3E8"/>
          </w:tcPr>
          <w:p>
            <w:pPr>
              <w:spacing w:after="0"/>
              <w:rPr>
                <w:sz w:val="23"/>
                <w:szCs w:val="23"/>
                <w:color w:val="auto"/>
              </w:rPr>
            </w:pPr>
          </w:p>
        </w:tc>
        <w:tc>
          <w:tcPr>
            <w:tcW w:w="160" w:type="dxa"/>
            <w:vAlign w:val="bottom"/>
            <w:shd w:val="clear" w:color="auto" w:fill="D6F3E8"/>
          </w:tcPr>
          <w:p>
            <w:pPr>
              <w:spacing w:after="0"/>
              <w:rPr>
                <w:sz w:val="23"/>
                <w:szCs w:val="23"/>
                <w:color w:val="auto"/>
              </w:rPr>
            </w:pPr>
          </w:p>
        </w:tc>
        <w:tc>
          <w:tcPr>
            <w:tcW w:w="1120" w:type="dxa"/>
            <w:vAlign w:val="bottom"/>
            <w:gridSpan w:val="3"/>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6F3E8"/>
          </w:tcPr>
          <w:p>
            <w:pPr>
              <w:spacing w:after="0"/>
              <w:rPr>
                <w:sz w:val="23"/>
                <w:szCs w:val="23"/>
                <w:color w:val="auto"/>
              </w:rPr>
            </w:pPr>
          </w:p>
        </w:tc>
        <w:tc>
          <w:tcPr>
            <w:tcW w:w="1140" w:type="dxa"/>
            <w:vAlign w:val="bottom"/>
            <w:gridSpan w:val="2"/>
            <w:shd w:val="clear" w:color="auto" w:fill="D6F3E8"/>
          </w:tcPr>
          <w:p>
            <w:pPr>
              <w:jc w:val="right"/>
              <w:ind w:right="400"/>
              <w:spacing w:after="0"/>
              <w:rPr>
                <w:sz w:val="20"/>
                <w:szCs w:val="20"/>
                <w:color w:val="auto"/>
              </w:rPr>
            </w:pPr>
            <w:r>
              <w:rPr>
                <w:rFonts w:ascii="Times New Roman" w:cs="Times New Roman" w:eastAsia="Times New Roman" w:hAnsi="Times New Roman"/>
                <w:sz w:val="18"/>
                <w:szCs w:val="18"/>
                <w:color w:val="auto"/>
              </w:rPr>
              <w:t>(9,250)</w:t>
            </w:r>
          </w:p>
        </w:tc>
        <w:tc>
          <w:tcPr>
            <w:tcW w:w="20" w:type="dxa"/>
            <w:vAlign w:val="bottom"/>
            <w:shd w:val="clear" w:color="auto" w:fill="D6F3E8"/>
          </w:tcPr>
          <w:p>
            <w:pPr>
              <w:spacing w:after="0"/>
              <w:rPr>
                <w:sz w:val="23"/>
                <w:szCs w:val="23"/>
                <w:color w:val="auto"/>
              </w:rPr>
            </w:pPr>
          </w:p>
        </w:tc>
        <w:tc>
          <w:tcPr>
            <w:tcW w:w="1220" w:type="dxa"/>
            <w:vAlign w:val="bottom"/>
            <w:gridSpan w:val="3"/>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6F3E8"/>
          </w:tcPr>
          <w:p>
            <w:pPr>
              <w:spacing w:after="0"/>
              <w:rPr>
                <w:sz w:val="23"/>
                <w:szCs w:val="23"/>
                <w:color w:val="auto"/>
              </w:rPr>
            </w:pPr>
          </w:p>
        </w:tc>
        <w:tc>
          <w:tcPr>
            <w:tcW w:w="1100" w:type="dxa"/>
            <w:vAlign w:val="bottom"/>
            <w:gridSpan w:val="2"/>
            <w:shd w:val="clear" w:color="auto" w:fill="D6F3E8"/>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6F3E8"/>
          </w:tcPr>
          <w:p>
            <w:pPr>
              <w:spacing w:after="0"/>
              <w:rPr>
                <w:sz w:val="23"/>
                <w:szCs w:val="23"/>
                <w:color w:val="auto"/>
              </w:rPr>
            </w:pPr>
          </w:p>
        </w:tc>
        <w:tc>
          <w:tcPr>
            <w:tcW w:w="84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(9,250)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gridSpan w:val="2"/>
          </w:tcPr>
          <w:p>
            <w:pPr>
              <w:ind w:left="160"/>
              <w:spacing w:after="0" w:line="201" w:lineRule="exact"/>
              <w:rPr>
                <w:sz w:val="20"/>
                <w:szCs w:val="20"/>
                <w:color w:val="auto"/>
              </w:rPr>
            </w:pPr>
            <w:r>
              <w:rPr>
                <w:rFonts w:ascii="Times New Roman" w:cs="Times New Roman" w:eastAsia="Times New Roman" w:hAnsi="Times New Roman"/>
                <w:sz w:val="18"/>
                <w:szCs w:val="18"/>
                <w:color w:val="auto"/>
              </w:rPr>
              <w:t>Stock Split – 2-for-1 on</w:t>
            </w: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March 5, 2004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25,888</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12,944</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(12,944)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gridSpan w:val="2"/>
            <w:shd w:val="clear" w:color="auto" w:fill="D6F3E8"/>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6F3E8"/>
          </w:tcPr>
          <w:p>
            <w:pPr>
              <w:spacing w:after="0"/>
              <w:rPr>
                <w:sz w:val="18"/>
                <w:szCs w:val="18"/>
                <w:color w:val="auto"/>
              </w:rPr>
            </w:pPr>
          </w:p>
        </w:tc>
        <w:tc>
          <w:tcPr>
            <w:tcW w:w="6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20" w:type="dxa"/>
            <w:vAlign w:val="bottom"/>
            <w:gridSpan w:val="3"/>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70,641</w:t>
            </w:r>
          </w:p>
        </w:tc>
        <w:tc>
          <w:tcPr>
            <w:tcW w:w="4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20" w:type="dxa"/>
            <w:vAlign w:val="bottom"/>
            <w:gridSpan w:val="3"/>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6F3E8"/>
          </w:tcPr>
          <w:p>
            <w:pPr>
              <w:spacing w:after="0"/>
              <w:rPr>
                <w:sz w:val="18"/>
                <w:szCs w:val="18"/>
                <w:color w:val="auto"/>
              </w:rPr>
            </w:pPr>
          </w:p>
        </w:tc>
        <w:tc>
          <w:tcPr>
            <w:tcW w:w="6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70,641</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9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August 28, 2004</w:t>
            </w: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900" w:type="dxa"/>
            <w:vAlign w:val="bottom"/>
            <w:gridSpan w:val="3"/>
            <w:vMerge w:val="continue"/>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51,776</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25,888</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14,570</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392,430</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18,195</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231,013</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201,875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D6F3E8"/>
          </w:tcPr>
          <w:p>
            <w:pPr>
              <w:ind w:left="160"/>
              <w:spacing w:after="0"/>
              <w:rPr>
                <w:sz w:val="20"/>
                <w:szCs w:val="20"/>
                <w:color w:val="auto"/>
              </w:rPr>
            </w:pPr>
            <w:r>
              <w:rPr>
                <w:rFonts w:ascii="Times New Roman" w:cs="Times New Roman" w:eastAsia="Times New Roman" w:hAnsi="Times New Roman"/>
                <w:sz w:val="18"/>
                <w:szCs w:val="18"/>
                <w:b w:val="1"/>
                <w:bCs w:val="1"/>
                <w:color w:val="auto"/>
              </w:rPr>
              <w:t>Exercise of stock options</w:t>
            </w:r>
          </w:p>
        </w:tc>
        <w:tc>
          <w:tcPr>
            <w:tcW w:w="1260" w:type="dxa"/>
            <w:vAlign w:val="bottom"/>
            <w:gridSpan w:val="2"/>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D6F3E8"/>
          </w:tcPr>
          <w:p>
            <w:pPr>
              <w:spacing w:after="0"/>
              <w:rPr>
                <w:sz w:val="18"/>
                <w:szCs w:val="18"/>
                <w:color w:val="auto"/>
              </w:rPr>
            </w:pPr>
          </w:p>
        </w:tc>
        <w:tc>
          <w:tcPr>
            <w:tcW w:w="6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6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992</w:t>
            </w:r>
          </w:p>
        </w:tc>
        <w:tc>
          <w:tcPr>
            <w:tcW w:w="4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60" w:type="dxa"/>
            <w:vAlign w:val="bottom"/>
            <w:gridSpan w:val="3"/>
            <w:shd w:val="clear" w:color="auto" w:fill="D6F3E8"/>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D6F3E8"/>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(263)</w:t>
            </w: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(3,408)</w:t>
            </w:r>
          </w:p>
        </w:tc>
        <w:tc>
          <w:tcPr>
            <w:tcW w:w="160" w:type="dxa"/>
            <w:vAlign w:val="bottom"/>
            <w:shd w:val="clear" w:color="auto" w:fill="D6F3E8"/>
          </w:tcPr>
          <w:p>
            <w:pPr>
              <w:spacing w:after="0"/>
              <w:rPr>
                <w:sz w:val="18"/>
                <w:szCs w:val="18"/>
                <w:color w:val="auto"/>
              </w:rPr>
            </w:pPr>
          </w:p>
        </w:tc>
        <w:tc>
          <w:tcPr>
            <w:tcW w:w="6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4,400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Issuance of stock to directors</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(71)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D6F3E8"/>
          </w:tcPr>
          <w:p>
            <w:pPr>
              <w:ind w:left="160"/>
              <w:spacing w:after="0"/>
              <w:rPr>
                <w:sz w:val="20"/>
                <w:szCs w:val="20"/>
                <w:color w:val="auto"/>
              </w:rPr>
            </w:pPr>
            <w:r>
              <w:rPr>
                <w:rFonts w:ascii="Times New Roman" w:cs="Times New Roman" w:eastAsia="Times New Roman" w:hAnsi="Times New Roman"/>
                <w:sz w:val="18"/>
                <w:szCs w:val="18"/>
                <w:b w:val="1"/>
                <w:bCs w:val="1"/>
                <w:color w:val="auto"/>
              </w:rPr>
              <w:t>Tax benefit of stock options</w:t>
            </w:r>
          </w:p>
        </w:tc>
        <w:tc>
          <w:tcPr>
            <w:tcW w:w="1260" w:type="dxa"/>
            <w:vAlign w:val="bottom"/>
            <w:gridSpan w:val="2"/>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D6F3E8"/>
          </w:tcPr>
          <w:p>
            <w:pPr>
              <w:spacing w:after="0"/>
              <w:rPr>
                <w:sz w:val="18"/>
                <w:szCs w:val="18"/>
                <w:color w:val="auto"/>
              </w:rPr>
            </w:pPr>
          </w:p>
        </w:tc>
        <w:tc>
          <w:tcPr>
            <w:tcW w:w="6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6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1,177</w:t>
            </w:r>
          </w:p>
        </w:tc>
        <w:tc>
          <w:tcPr>
            <w:tcW w:w="4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160" w:type="dxa"/>
            <w:vAlign w:val="bottom"/>
            <w:gridSpan w:val="3"/>
            <w:shd w:val="clear" w:color="auto" w:fill="D6F3E8"/>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D6F3E8"/>
          </w:tcPr>
          <w:p>
            <w:pPr>
              <w:spacing w:after="0"/>
              <w:rPr>
                <w:sz w:val="18"/>
                <w:szCs w:val="18"/>
                <w:color w:val="auto"/>
              </w:rPr>
            </w:pPr>
          </w:p>
        </w:tc>
        <w:tc>
          <w:tcPr>
            <w:tcW w:w="6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1,177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880" w:type="dxa"/>
            <w:vAlign w:val="bottom"/>
            <w:gridSpan w:val="2"/>
          </w:tcPr>
          <w:p>
            <w:pPr>
              <w:ind w:left="160"/>
              <w:spacing w:after="0" w:line="200" w:lineRule="exact"/>
              <w:rPr>
                <w:sz w:val="20"/>
                <w:szCs w:val="20"/>
                <w:color w:val="auto"/>
              </w:rPr>
            </w:pPr>
            <w:r>
              <w:rPr>
                <w:rFonts w:ascii="Times New Roman" w:cs="Times New Roman" w:eastAsia="Times New Roman" w:hAnsi="Times New Roman"/>
                <w:sz w:val="18"/>
                <w:szCs w:val="18"/>
                <w:b w:val="1"/>
                <w:bCs w:val="1"/>
                <w:color w:val="auto"/>
              </w:rPr>
              <w:t>Payments for purchase of</w:t>
            </w: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8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1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860</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26,796</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(26,796)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80" w:type="dxa"/>
            <w:vAlign w:val="bottom"/>
            <w:gridSpan w:val="2"/>
            <w:shd w:val="clear" w:color="auto" w:fill="D6F3E8"/>
          </w:tcPr>
          <w:p>
            <w:pPr>
              <w:ind w:left="160"/>
              <w:spacing w:after="0" w:line="201" w:lineRule="exact"/>
              <w:rPr>
                <w:sz w:val="20"/>
                <w:szCs w:val="20"/>
                <w:color w:val="auto"/>
              </w:rPr>
            </w:pPr>
            <w:r>
              <w:rPr>
                <w:rFonts w:ascii="Times New Roman" w:cs="Times New Roman" w:eastAsia="Times New Roman" w:hAnsi="Times New Roman"/>
                <w:sz w:val="18"/>
                <w:szCs w:val="18"/>
                <w:b w:val="1"/>
                <w:bCs w:val="1"/>
                <w:color w:val="auto"/>
              </w:rPr>
              <w:t>Cash dividends paid and accrued</w:t>
            </w:r>
          </w:p>
        </w:tc>
        <w:tc>
          <w:tcPr>
            <w:tcW w:w="800" w:type="dxa"/>
            <w:vAlign w:val="bottom"/>
            <w:shd w:val="clear" w:color="auto" w:fill="D6F3E8"/>
          </w:tcPr>
          <w:p>
            <w:pPr>
              <w:spacing w:after="0"/>
              <w:rPr>
                <w:sz w:val="17"/>
                <w:szCs w:val="17"/>
                <w:color w:val="auto"/>
              </w:rPr>
            </w:pPr>
          </w:p>
        </w:tc>
        <w:tc>
          <w:tcPr>
            <w:tcW w:w="460" w:type="dxa"/>
            <w:vAlign w:val="bottom"/>
            <w:shd w:val="clear" w:color="auto" w:fill="D6F3E8"/>
          </w:tcPr>
          <w:p>
            <w:pPr>
              <w:spacing w:after="0"/>
              <w:rPr>
                <w:sz w:val="17"/>
                <w:szCs w:val="17"/>
                <w:color w:val="auto"/>
              </w:rPr>
            </w:pPr>
          </w:p>
        </w:tc>
        <w:tc>
          <w:tcPr>
            <w:tcW w:w="140" w:type="dxa"/>
            <w:vAlign w:val="bottom"/>
            <w:shd w:val="clear" w:color="auto" w:fill="D6F3E8"/>
          </w:tcPr>
          <w:p>
            <w:pPr>
              <w:spacing w:after="0"/>
              <w:rPr>
                <w:sz w:val="17"/>
                <w:szCs w:val="17"/>
                <w:color w:val="auto"/>
              </w:rPr>
            </w:pPr>
          </w:p>
        </w:tc>
        <w:tc>
          <w:tcPr>
            <w:tcW w:w="660" w:type="dxa"/>
            <w:vAlign w:val="bottom"/>
            <w:shd w:val="clear" w:color="auto" w:fill="D6F3E8"/>
          </w:tcPr>
          <w:p>
            <w:pPr>
              <w:spacing w:after="0"/>
              <w:rPr>
                <w:sz w:val="17"/>
                <w:szCs w:val="17"/>
                <w:color w:val="auto"/>
              </w:rPr>
            </w:pPr>
          </w:p>
        </w:tc>
        <w:tc>
          <w:tcPr>
            <w:tcW w:w="46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660" w:type="dxa"/>
            <w:vAlign w:val="bottom"/>
            <w:shd w:val="clear" w:color="auto" w:fill="D6F3E8"/>
          </w:tcPr>
          <w:p>
            <w:pPr>
              <w:spacing w:after="0"/>
              <w:rPr>
                <w:sz w:val="17"/>
                <w:szCs w:val="17"/>
                <w:color w:val="auto"/>
              </w:rPr>
            </w:pPr>
          </w:p>
        </w:tc>
        <w:tc>
          <w:tcPr>
            <w:tcW w:w="440" w:type="dxa"/>
            <w:vAlign w:val="bottom"/>
            <w:shd w:val="clear" w:color="auto" w:fill="D6F3E8"/>
          </w:tcPr>
          <w:p>
            <w:pPr>
              <w:spacing w:after="0"/>
              <w:rPr>
                <w:sz w:val="17"/>
                <w:szCs w:val="17"/>
                <w:color w:val="auto"/>
              </w:rPr>
            </w:pPr>
          </w:p>
        </w:tc>
        <w:tc>
          <w:tcPr>
            <w:tcW w:w="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680" w:type="dxa"/>
            <w:vAlign w:val="bottom"/>
            <w:shd w:val="clear" w:color="auto" w:fill="D6F3E8"/>
          </w:tcPr>
          <w:p>
            <w:pPr>
              <w:spacing w:after="0"/>
              <w:rPr>
                <w:sz w:val="17"/>
                <w:szCs w:val="17"/>
                <w:color w:val="auto"/>
              </w:rPr>
            </w:pPr>
          </w:p>
        </w:tc>
        <w:tc>
          <w:tcPr>
            <w:tcW w:w="460" w:type="dxa"/>
            <w:vAlign w:val="bottom"/>
            <w:shd w:val="clear" w:color="auto" w:fill="D6F3E8"/>
          </w:tcPr>
          <w:p>
            <w:pPr>
              <w:spacing w:after="0"/>
              <w:rPr>
                <w:sz w:val="17"/>
                <w:szCs w:val="17"/>
                <w:color w:val="auto"/>
              </w:rPr>
            </w:pPr>
          </w:p>
        </w:tc>
        <w:tc>
          <w:tcPr>
            <w:tcW w:w="20" w:type="dxa"/>
            <w:vAlign w:val="bottom"/>
            <w:shd w:val="clear" w:color="auto" w:fill="D6F3E8"/>
          </w:tcPr>
          <w:p>
            <w:pPr>
              <w:spacing w:after="0"/>
              <w:rPr>
                <w:sz w:val="17"/>
                <w:szCs w:val="17"/>
                <w:color w:val="auto"/>
              </w:rPr>
            </w:pPr>
          </w:p>
        </w:tc>
        <w:tc>
          <w:tcPr>
            <w:tcW w:w="760" w:type="dxa"/>
            <w:vAlign w:val="bottom"/>
            <w:shd w:val="clear" w:color="auto" w:fill="D6F3E8"/>
          </w:tcPr>
          <w:p>
            <w:pPr>
              <w:spacing w:after="0"/>
              <w:rPr>
                <w:sz w:val="17"/>
                <w:szCs w:val="17"/>
                <w:color w:val="auto"/>
              </w:rPr>
            </w:pPr>
          </w:p>
        </w:tc>
        <w:tc>
          <w:tcPr>
            <w:tcW w:w="440" w:type="dxa"/>
            <w:vAlign w:val="bottom"/>
            <w:shd w:val="clear" w:color="auto" w:fill="D6F3E8"/>
          </w:tcPr>
          <w:p>
            <w:pPr>
              <w:spacing w:after="0"/>
              <w:rPr>
                <w:sz w:val="17"/>
                <w:szCs w:val="17"/>
                <w:color w:val="auto"/>
              </w:rPr>
            </w:pPr>
          </w:p>
        </w:tc>
        <w:tc>
          <w:tcPr>
            <w:tcW w:w="2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660" w:type="dxa"/>
            <w:vAlign w:val="bottom"/>
            <w:shd w:val="clear" w:color="auto" w:fill="D6F3E8"/>
          </w:tcPr>
          <w:p>
            <w:pPr>
              <w:spacing w:after="0"/>
              <w:rPr>
                <w:sz w:val="17"/>
                <w:szCs w:val="17"/>
                <w:color w:val="auto"/>
              </w:rPr>
            </w:pPr>
          </w:p>
        </w:tc>
        <w:tc>
          <w:tcPr>
            <w:tcW w:w="440" w:type="dxa"/>
            <w:vAlign w:val="bottom"/>
            <w:shd w:val="clear" w:color="auto" w:fill="D6F3E8"/>
          </w:tcPr>
          <w:p>
            <w:pPr>
              <w:spacing w:after="0"/>
              <w:rPr>
                <w:sz w:val="17"/>
                <w:szCs w:val="17"/>
                <w:color w:val="auto"/>
              </w:rPr>
            </w:pPr>
          </w:p>
        </w:tc>
        <w:tc>
          <w:tcPr>
            <w:tcW w:w="160" w:type="dxa"/>
            <w:vAlign w:val="bottom"/>
            <w:shd w:val="clear" w:color="auto" w:fill="D6F3E8"/>
          </w:tcPr>
          <w:p>
            <w:pPr>
              <w:spacing w:after="0"/>
              <w:rPr>
                <w:sz w:val="17"/>
                <w:szCs w:val="17"/>
                <w:color w:val="auto"/>
              </w:rPr>
            </w:pPr>
          </w:p>
        </w:tc>
        <w:tc>
          <w:tcPr>
            <w:tcW w:w="62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D6F3E8"/>
          </w:tcPr>
          <w:p>
            <w:pPr>
              <w:ind w:left="340"/>
              <w:spacing w:after="0"/>
              <w:rPr>
                <w:sz w:val="20"/>
                <w:szCs w:val="20"/>
                <w:color w:val="auto"/>
              </w:rPr>
            </w:pPr>
            <w:r>
              <w:rPr>
                <w:rFonts w:ascii="Times New Roman" w:cs="Times New Roman" w:eastAsia="Times New Roman" w:hAnsi="Times New Roman"/>
                <w:sz w:val="18"/>
                <w:szCs w:val="18"/>
                <w:b w:val="1"/>
                <w:bCs w:val="1"/>
                <w:color w:val="auto"/>
              </w:rPr>
              <w:t>on common stock –</w:t>
            </w:r>
          </w:p>
        </w:tc>
        <w:tc>
          <w:tcPr>
            <w:tcW w:w="80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66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6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880" w:type="dxa"/>
            <w:vAlign w:val="bottom"/>
            <w:gridSpan w:val="2"/>
            <w:shd w:val="clear" w:color="auto" w:fill="D6F3E8"/>
          </w:tcPr>
          <w:p>
            <w:pPr>
              <w:ind w:left="340"/>
              <w:spacing w:after="0"/>
              <w:rPr>
                <w:sz w:val="20"/>
                <w:szCs w:val="20"/>
                <w:color w:val="auto"/>
              </w:rPr>
            </w:pPr>
            <w:r>
              <w:rPr>
                <w:rFonts w:ascii="Times New Roman" w:cs="Times New Roman" w:eastAsia="Times New Roman" w:hAnsi="Times New Roman"/>
                <w:sz w:val="18"/>
                <w:szCs w:val="18"/>
                <w:b w:val="1"/>
                <w:bCs w:val="1"/>
                <w:color w:val="auto"/>
              </w:rPr>
              <w:t>$0.30 per share</w:t>
            </w:r>
          </w:p>
        </w:tc>
        <w:tc>
          <w:tcPr>
            <w:tcW w:w="1260" w:type="dxa"/>
            <w:vAlign w:val="bottom"/>
            <w:gridSpan w:val="2"/>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D6F3E8"/>
          </w:tcPr>
          <w:p>
            <w:pPr>
              <w:spacing w:after="0"/>
              <w:rPr>
                <w:sz w:val="20"/>
                <w:szCs w:val="20"/>
                <w:color w:val="auto"/>
              </w:rPr>
            </w:pPr>
          </w:p>
        </w:tc>
        <w:tc>
          <w:tcPr>
            <w:tcW w:w="6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D6F3E8"/>
          </w:tcPr>
          <w:p>
            <w:pPr>
              <w:spacing w:after="0"/>
              <w:rPr>
                <w:sz w:val="20"/>
                <w:szCs w:val="20"/>
                <w:color w:val="auto"/>
              </w:rPr>
            </w:pPr>
          </w:p>
        </w:tc>
        <w:tc>
          <w:tcPr>
            <w:tcW w:w="160" w:type="dxa"/>
            <w:vAlign w:val="bottom"/>
            <w:shd w:val="clear" w:color="auto" w:fill="D6F3E8"/>
          </w:tcPr>
          <w:p>
            <w:pPr>
              <w:spacing w:after="0"/>
              <w:rPr>
                <w:sz w:val="20"/>
                <w:szCs w:val="20"/>
                <w:color w:val="auto"/>
              </w:rPr>
            </w:pPr>
          </w:p>
        </w:tc>
        <w:tc>
          <w:tcPr>
            <w:tcW w:w="1120" w:type="dxa"/>
            <w:vAlign w:val="bottom"/>
            <w:gridSpan w:val="3"/>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D6F3E8"/>
          </w:tcPr>
          <w:p>
            <w:pPr>
              <w:spacing w:after="0"/>
              <w:rPr>
                <w:sz w:val="20"/>
                <w:szCs w:val="20"/>
                <w:color w:val="auto"/>
              </w:rPr>
            </w:pPr>
          </w:p>
        </w:tc>
        <w:tc>
          <w:tcPr>
            <w:tcW w:w="1140" w:type="dxa"/>
            <w:vAlign w:val="bottom"/>
            <w:gridSpan w:val="2"/>
            <w:shd w:val="clear" w:color="auto" w:fill="D6F3E8"/>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(9,985)</w:t>
            </w:r>
          </w:p>
        </w:tc>
        <w:tc>
          <w:tcPr>
            <w:tcW w:w="20" w:type="dxa"/>
            <w:vAlign w:val="bottom"/>
            <w:shd w:val="clear" w:color="auto" w:fill="D6F3E8"/>
          </w:tcPr>
          <w:p>
            <w:pPr>
              <w:spacing w:after="0"/>
              <w:rPr>
                <w:sz w:val="20"/>
                <w:szCs w:val="20"/>
                <w:color w:val="auto"/>
              </w:rPr>
            </w:pPr>
          </w:p>
        </w:tc>
        <w:tc>
          <w:tcPr>
            <w:tcW w:w="1220" w:type="dxa"/>
            <w:vAlign w:val="bottom"/>
            <w:gridSpan w:val="3"/>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D6F3E8"/>
          </w:tcPr>
          <w:p>
            <w:pPr>
              <w:spacing w:after="0"/>
              <w:rPr>
                <w:sz w:val="20"/>
                <w:szCs w:val="20"/>
                <w:color w:val="auto"/>
              </w:rPr>
            </w:pPr>
          </w:p>
        </w:tc>
        <w:tc>
          <w:tcPr>
            <w:tcW w:w="1100" w:type="dxa"/>
            <w:vAlign w:val="bottom"/>
            <w:gridSpan w:val="2"/>
            <w:shd w:val="clear" w:color="auto" w:fill="D6F3E8"/>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D6F3E8"/>
          </w:tcPr>
          <w:p>
            <w:pPr>
              <w:spacing w:after="0"/>
              <w:rPr>
                <w:sz w:val="20"/>
                <w:szCs w:val="20"/>
                <w:color w:val="auto"/>
              </w:rPr>
            </w:pPr>
          </w:p>
        </w:tc>
        <w:tc>
          <w:tcPr>
            <w:tcW w:w="84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(9,985)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65,073</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65,073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b w:val="1"/>
                <w:bCs w:val="1"/>
                <w:color w:val="auto"/>
              </w:rPr>
              <w:t>Balance, August 27, 2005</w:t>
            </w:r>
          </w:p>
        </w:tc>
        <w:tc>
          <w:tcPr>
            <w:tcW w:w="8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51,776</w:t>
            </w:r>
          </w:p>
        </w:tc>
        <w:tc>
          <w:tcPr>
            <w:tcW w:w="46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25,888</w:t>
            </w:r>
          </w:p>
        </w:tc>
        <w:tc>
          <w:tcPr>
            <w:tcW w:w="6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16,811</w:t>
            </w:r>
          </w:p>
        </w:tc>
        <w:tc>
          <w:tcPr>
            <w:tcW w:w="4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447,518</w:t>
            </w:r>
          </w:p>
        </w:tc>
        <w:tc>
          <w:tcPr>
            <w:tcW w:w="46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7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18,787</w:t>
            </w:r>
          </w:p>
        </w:tc>
        <w:tc>
          <w:tcPr>
            <w:tcW w:w="4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254,330</w:t>
            </w:r>
          </w:p>
        </w:tc>
        <w:tc>
          <w:tcPr>
            <w:tcW w:w="440" w:type="dxa"/>
            <w:vAlign w:val="bottom"/>
            <w:shd w:val="clear" w:color="auto" w:fill="D6F3E8"/>
          </w:tcPr>
          <w:p>
            <w:pPr>
              <w:spacing w:after="0"/>
              <w:rPr>
                <w:sz w:val="18"/>
                <w:szCs w:val="18"/>
                <w:color w:val="auto"/>
              </w:rPr>
            </w:pPr>
          </w:p>
        </w:tc>
        <w:tc>
          <w:tcPr>
            <w:tcW w:w="160" w:type="dxa"/>
            <w:vAlign w:val="bottom"/>
            <w:shd w:val="clear" w:color="auto" w:fill="D6F3E8"/>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235,887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1829435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3141980</wp:posOffset>
            </wp:positionH>
            <wp:positionV relativeFrom="paragraph">
              <wp:posOffset>-29210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-29210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-29210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ectPr>
          <w:pgSz w:w="11900" w:h="16838" w:orient="portrait"/>
          <w:cols w:equalWidth="0" w:num="1">
            <w:col w:w="11420"/>
          </w:cols>
          <w:pgMar w:left="240" w:top="123" w:right="239" w:bottom="1440" w:gutter="0" w:footer="0" w:header="0"/>
        </w:sectPr>
      </w:pPr>
    </w:p>
    <w:p>
      <w:pPr>
        <w:spacing w:after="0" w:line="174"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17"/>
          <w:szCs w:val="17"/>
          <w:i w:val="1"/>
          <w:iCs w:val="1"/>
          <w:color w:val="auto"/>
        </w:rPr>
        <w:t>Adjusted for the 2-for-1 stock split on March 5, 2004.</w:t>
      </w:r>
    </w:p>
    <w:p>
      <w:pPr>
        <w:sectPr>
          <w:pgSz w:w="11900" w:h="16838" w:orient="portrait"/>
          <w:cols w:equalWidth="0" w:num="1">
            <w:col w:w="11420"/>
          </w:cols>
          <w:pgMar w:left="240" w:top="123" w:right="239" w:bottom="1440" w:gutter="0" w:footer="0" w:header="0"/>
          <w:type w:val="continuous"/>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1070"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[GRAPHIC]</w:t>
      </w:r>
    </w:p>
    <w:p>
      <w:pPr>
        <w:spacing w:after="0" w:line="26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32"/>
          <w:szCs w:val="32"/>
          <w:b w:val="1"/>
          <w:bCs w:val="1"/>
          <w:color w:val="auto"/>
        </w:rPr>
        <w:t>Notes to Consolidated Financial Statements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  Nature of Business and Significant Accounting Policies</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Winnebago Industries, Inc. (the Company) is a leading U.S. manufacturer of motor homes, self-contained RVs used primarily in leisure travel and outdoor recreation activities. The RV market is highly competitive, both as to price and quality of the product. The Company believes its principal marketing advantages are its brand name recognition, the quality of its products, its dealer organization, its warranty and service capability and its marketing techniques. The Company also believes that its prices are competitive with the competition’s units of comparable size and quality.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Principles of Consolidation.</w:t>
      </w:r>
    </w:p>
    <w:p>
      <w:pPr>
        <w:spacing w:after="0" w:line="27" w:lineRule="exact"/>
        <w:rPr>
          <w:sz w:val="20"/>
          <w:szCs w:val="20"/>
          <w:color w:val="auto"/>
        </w:rPr>
      </w:pPr>
    </w:p>
    <w:p>
      <w:pPr>
        <w:ind w:right="760"/>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include the parent company and subsidiary companies. All material intercompany balances and transactions with subsidiaries have been eliminated.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Fiscal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follows a 52/53-week fiscal year period. The financial statements presented are all 52-week periods.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Estimates.</w:t>
      </w:r>
    </w:p>
    <w:p>
      <w:pPr>
        <w:spacing w:after="0" w:line="27"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and Cash Equivalents.</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Cash and cash equivalents consist primarily of highly liquid investments with an original maturity of three months or less. The carrying amount approximates fair value due to the short maturity of the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Fair Value Disclosures of Financial Instruments.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financial instruments are carried at amounts believed to approximate fair value.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Derivative Instruments and Hedging Activities.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contracts that contain provisions meeting the definition of a derivative also meet the requirements of, and have been designated as, normal purchases or sales.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policy is to not enter into contracts with terms that cannot be designated as normal purchases or sales.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Allowance for Doubtful Accounts.</w:t>
      </w:r>
    </w:p>
    <w:p>
      <w:pPr>
        <w:spacing w:after="0" w:line="27" w:lineRule="exact"/>
        <w:rPr>
          <w:sz w:val="20"/>
          <w:szCs w:val="20"/>
          <w:color w:val="auto"/>
        </w:rPr>
      </w:pPr>
    </w:p>
    <w:p>
      <w:pPr>
        <w:jc w:val="both"/>
        <w:ind w:right="160"/>
        <w:spacing w:after="0" w:line="251" w:lineRule="auto"/>
        <w:rPr>
          <w:sz w:val="20"/>
          <w:szCs w:val="20"/>
          <w:color w:val="auto"/>
        </w:rPr>
      </w:pPr>
      <w:r>
        <w:rPr>
          <w:rFonts w:ascii="Times New Roman" w:cs="Times New Roman" w:eastAsia="Times New Roman" w:hAnsi="Times New Roman"/>
          <w:sz w:val="18"/>
          <w:szCs w:val="18"/>
          <w:color w:val="auto"/>
        </w:rPr>
        <w:t>The allowance for doubtful accounts is based on previous loss experience. Additional amounts are provided through charges to income as management believes necessary after evaluation of receivables and current economic conditions. Amounts which are considered to be uncollectible are charged off and recoveries of amounts previously charged off are credited to the allowance upon recovery.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Inventories.</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Inventories are valued at the lower of cost or market, with cost being determined by using the last in, first out (LIFO) method and market defined as net realizable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Property and Equipment.</w:t>
      </w:r>
    </w:p>
    <w:p>
      <w:pPr>
        <w:spacing w:after="0" w:line="27"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Depreciation of property and equipment is computed using the straight line method on the cost of the assets, less allowance for salvage value where appropriate, at rates based upon their estimated service lives as follows:</w:t>
      </w:r>
    </w:p>
    <w:p>
      <w:pPr>
        <w:spacing w:after="0" w:line="191" w:lineRule="exact"/>
        <w:rPr>
          <w:sz w:val="20"/>
          <w:szCs w:val="20"/>
          <w:color w:val="auto"/>
        </w:rPr>
      </w:pPr>
    </w:p>
    <w:tbl>
      <w:tblPr>
        <w:tblLayout w:type="fixed"/>
        <w:tblInd w:w="2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8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Asset Class</w:t>
            </w:r>
          </w:p>
        </w:tc>
        <w:tc>
          <w:tcPr>
            <w:tcW w:w="104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Asset Life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Buildings</w:t>
            </w:r>
          </w:p>
        </w:tc>
        <w:tc>
          <w:tcPr>
            <w:tcW w:w="104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120"/>
              <w:spacing w:after="0"/>
              <w:rPr>
                <w:sz w:val="20"/>
                <w:szCs w:val="20"/>
                <w:color w:val="auto"/>
              </w:rPr>
            </w:pPr>
            <w:r>
              <w:rPr>
                <w:rFonts w:ascii="Times New Roman" w:cs="Times New Roman" w:eastAsia="Times New Roman" w:hAnsi="Times New Roman"/>
                <w:sz w:val="18"/>
                <w:szCs w:val="18"/>
                <w:color w:val="auto"/>
              </w:rPr>
              <w:t>10-30 yrs.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3-10 yrs.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Transportation equipment</w:t>
            </w:r>
          </w:p>
        </w:tc>
        <w:tc>
          <w:tcPr>
            <w:tcW w:w="104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120"/>
              <w:spacing w:after="0"/>
              <w:rPr>
                <w:sz w:val="20"/>
                <w:szCs w:val="20"/>
                <w:color w:val="auto"/>
              </w:rPr>
            </w:pPr>
            <w:r>
              <w:rPr>
                <w:rFonts w:ascii="Times New Roman" w:cs="Times New Roman" w:eastAsia="Times New Roman" w:hAnsi="Times New Roman"/>
                <w:sz w:val="18"/>
                <w:szCs w:val="18"/>
                <w:color w:val="auto"/>
              </w:rPr>
              <w:t>3-6 yrs.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Management periodically reviews the carrying values of long lived assets for impairment. In performing the review for recoverability, management estimates the nondiscounted future cash flows expected to result from the use of the asset and its eventual disposition.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Income Taxes.</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The Company accounts for income taxes under Statement of Financial Accounting Standards (SFAS) No. 109, Accounting for Income Taxes. This Statement requires recognition of deferred assets and liabilities for the expected future tax consequences of events that have been included in the financial statements or tax returns. Under this method, deferred tax assets and liabilities are determined based on the differences between the financial statement and tax basis of assets and liabilities using enacted tax rates in effect for the years in which the differences are expected to reverse.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Legal.</w:t>
      </w:r>
    </w:p>
    <w:p>
      <w:pPr>
        <w:sectPr>
          <w:pgSz w:w="11900" w:h="16838" w:orient="portrait"/>
          <w:cols w:equalWidth="0" w:num="1">
            <w:col w:w="11380"/>
          </w:cols>
          <w:pgMar w:left="240" w:top="1070" w:right="279" w:bottom="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accounting policy regarding litigation ex-</w:t>
      </w:r>
    </w:p>
    <w:p>
      <w:pPr>
        <w:sectPr>
          <w:pgSz w:w="11900" w:h="16838" w:orient="portrait"/>
          <w:cols w:equalWidth="0" w:num="1">
            <w:col w:w="11380"/>
          </w:cols>
          <w:pgMar w:left="240" w:top="1070" w:right="279" w:bottom="0" w:gutter="0" w:footer="0" w:header="0"/>
          <w:type w:val="continuous"/>
        </w:sectPr>
      </w:pPr>
    </w:p>
    <w:bookmarkStart w:id="31" w:name="page32"/>
    <w:bookmarkEnd w:id="31"/>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[GRAPHIC]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pense is to accrue for the estimated defense costs and for probable exposure if the Company is able to estimate the financial impact of an adverse outcome.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Revenue Recognition.</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Generally, revenues for motor homes are recorded when all of the following conditions are met: an order for a product has been received from a dealer; written or verbal approval for payment has been received from the dealer’s floorplan financing institution; and the product is delivered to the dealer who placed the order. Sales are generally made to dealers who finance their purchases under floorplan financing arrangements with banks or finance companies.</w:t>
      </w:r>
    </w:p>
    <w:p>
      <w:pPr>
        <w:spacing w:after="0" w:line="1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Revenues for the Company’s original equipment manufacturing (OEM) components and recreation vehicles related parts are recorded as the products are shipped from the Company’s location. The title of ownership transfers on these products as they leave the Company’s location due to the freight terms of F.O.B. — Forest City, Iowa.</w:t>
      </w:r>
    </w:p>
    <w:p>
      <w:pPr>
        <w:spacing w:after="0" w:line="186"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Certain payments to customers for cooperative advertising and certain sales incentive offers are shown as a reduction in net revenues, in accordance with EITF No. 01-9, Accounting for Consideration Given by a Vendor to a Customer or a Reseller of the Vendor’s Products.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Shipping Revenues and Expenses.</w:t>
      </w:r>
    </w:p>
    <w:p>
      <w:pPr>
        <w:spacing w:after="0" w:line="2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Shipping revenues for products shipped are included within sales, while shipping expenses are included within cost of goods sold, in accordance with Emerging Issues Task Force EITF No. 00-10, Accounting for Shipping and Handling Fees and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Research and Development.</w:t>
      </w:r>
    </w:p>
    <w:p>
      <w:pPr>
        <w:spacing w:after="0" w:line="27" w:lineRule="exact"/>
        <w:rPr>
          <w:sz w:val="20"/>
          <w:szCs w:val="20"/>
          <w:color w:val="auto"/>
        </w:rPr>
      </w:pPr>
    </w:p>
    <w:p>
      <w:pPr>
        <w:jc w:val="both"/>
        <w:ind w:right="260"/>
        <w:spacing w:after="0" w:line="251" w:lineRule="auto"/>
        <w:rPr>
          <w:sz w:val="20"/>
          <w:szCs w:val="20"/>
          <w:color w:val="auto"/>
        </w:rPr>
      </w:pPr>
      <w:r>
        <w:rPr>
          <w:rFonts w:ascii="Times New Roman" w:cs="Times New Roman" w:eastAsia="Times New Roman" w:hAnsi="Times New Roman"/>
          <w:sz w:val="18"/>
          <w:szCs w:val="18"/>
          <w:color w:val="auto"/>
        </w:rPr>
        <w:t>Research and development expenditures are expensed as incurred. Development activities generally relate to creating new products and improving or creating variations of existing products to meet new applications. During Fiscal 2005, 2004 and 2003, the Company spent approximately $3,630,000, $3,655,000 and $3,464,000, respectively, on research and development activities.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Stock Split.</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The Board of Directors approved a 2 for 1 stock split of the Company’s common stock effective on March 5, 2004 to shareholders of record on February 20, 2004. The stock split was effected in the form of a 100 percent stock dividend. Income per share calculations and weighted average shares outstanding for all the years presented have been restated to record the effect of the stock split.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Income Per Common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income per common share is computed by dividing net income by the weighted average common shares outstanding during the period.</w:t>
      </w:r>
    </w:p>
    <w:p>
      <w:pPr>
        <w:spacing w:after="0" w:line="205"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Diluted income per common share is computed by dividing net income by the weighted average common shares outstanding plus the incremental shares that would have been outstanding upon the assumed exercise of dilutive stock options. (See Note 13.)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Reclassifications.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the 2004 and 2003 financial statements and footnotes to conform to the presentation used in 2005.</w:t>
      </w:r>
    </w:p>
    <w:p>
      <w:pPr>
        <w:spacing w:after="0" w:line="205"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In the second quarter of Fiscal 2005, the Company began to classify its auction rate securities, municipal auction rate notes, and other investment-grade marketable debt securities as short-term investments-available-for-sale securities. These investments were included in cash and cash equivalents in previous periods ($51.1 million at August 28, 2004 and $90.1 million at August 30, 2003), and such amounts have been reclassified in the accompanying consolidated financial statements to conform to the current period classification. This reclassification had no effect on the amounts of total current assets, total assets, stockholders’ equity or net income.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Accounting Pronouncements.</w:t>
      </w:r>
    </w:p>
    <w:p>
      <w:pPr>
        <w:spacing w:after="0" w:line="27"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6"/>
          <w:szCs w:val="16"/>
          <w:color w:val="auto"/>
        </w:rPr>
        <w:t>In November 2004, the FASB issued Statement of Financial Accounting Standards No. 151, Inventory Costs (“SFAS 151”), which amends Accounting Research Bulletin (ARB) No. 43, Chapter 4. SFAS 151 clarifies the accounting for abnormal amounts of idle facility expense, freight, handling costs and wasted material (spoilage) as current period charges regardless of whether they meet the criteria of “so abnormal.” SFAS 151 also requires the allocation of fixed production overhead to the costs of conversion based on the normal capacity of the production facilities. The Company will adopt SFAS 151 at the beginning of Fiscal 2006 and does not anticipate that it will have a material impact on the Company’s consolidated results of operations, financial position, or cash flows.</w:t>
      </w:r>
    </w:p>
    <w:p>
      <w:pPr>
        <w:spacing w:after="0" w:line="169"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In December 2004, the FASB issued Statement of Financial Accounting Standards No. 123R (revised 2004), Share-Based Payment (“SFAS 123R”), which amends FASB Statement Nos. 123 and 95. SFAS 123R requires all companies to measure compensation cost for all share-based payments (including employee stock options) at fair value and is effective for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[GRAPHIC]</w:t>
      </w:r>
    </w:p>
    <w:p>
      <w:pPr>
        <w:spacing w:after="0" w:line="225" w:lineRule="exact"/>
        <w:rPr>
          <w:sz w:val="20"/>
          <w:szCs w:val="20"/>
          <w:color w:val="auto"/>
        </w:rPr>
      </w:pPr>
    </w:p>
    <w:p>
      <w:pPr>
        <w:jc w:val="both"/>
        <w:ind w:right="80"/>
        <w:spacing w:after="0" w:line="310" w:lineRule="auto"/>
        <w:rPr>
          <w:sz w:val="20"/>
          <w:szCs w:val="20"/>
          <w:color w:val="auto"/>
        </w:rPr>
      </w:pPr>
      <w:r>
        <w:rPr>
          <w:rFonts w:ascii="Times New Roman" w:cs="Times New Roman" w:eastAsia="Times New Roman" w:hAnsi="Times New Roman"/>
          <w:sz w:val="16"/>
          <w:szCs w:val="16"/>
          <w:color w:val="auto"/>
        </w:rPr>
        <w:t>all public companies for interim or annual periods beginning after June 15, 2005. The Company will adopt this standard at the beginning of Fiscal 2006 and will elect the modified-prospective transition method. Under the modified-prospective method, awards that are granted, modified, repurchased or cancelled after the date of adoption should be measured and accounted for in accordance with SFAS 123R. Awards that are granted prior to the effective date should continue to be</w:t>
      </w:r>
    </w:p>
    <w:p>
      <w:pPr>
        <w:sectPr>
          <w:pgSz w:w="11900" w:h="16838" w:orient="portrait"/>
          <w:cols w:equalWidth="0" w:num="1">
            <w:col w:w="11360"/>
          </w:cols>
          <w:pgMar w:left="240" w:top="584" w:right="299" w:bottom="0" w:gutter="0" w:footer="0" w:header="0"/>
        </w:sectPr>
      </w:pPr>
    </w:p>
    <w:bookmarkStart w:id="32" w:name="page33"/>
    <w:bookmarkEnd w:id="32"/>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accounted for in accordance with SFAS 123 except that stock option expense for unvested options must be recognized in the income statement. Adoption of the standard is currently expected to reduce Fiscal 2006 earnings by an amount consistent with the reductions shown in recent pro-forma disclosures provided under the provisions of SFAS 123 in the following section titled “Accounting for Stock-Based Compensation.”</w:t>
      </w:r>
    </w:p>
    <w:p>
      <w:pPr>
        <w:spacing w:after="0" w:line="18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December 2004, the FASB issued FASB No. 153, Exchange of Nonmonetary Assets (“SFAS 153”). SFAS 153 addresses the measurement of exchanges of nonmonetary assets. It eliminates the exception from fair value measurement for nonmonetary exchanges of similar productive assets and replaces it with a general exception for exchanges that do not have commercial substance. This Statement specifies that a nonmonetary exchange has commercial substance if the future cash flows of the entity are expected to change significantly as a result of the exchange. The provisions of this Statement shall be effective for nonmonetary asset exchanges occurring in fiscal periods beginning after June 15, 2005. The Company will adopt SFAS 153 at the beginning of Fiscal 2006 and does not anticipate that it will have a material impact on its consolidated results of operations, financial position, or cash flows.</w:t>
      </w:r>
    </w:p>
    <w:p>
      <w:pPr>
        <w:spacing w:after="0" w:line="19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December 2004, the FASB staff issued FASB Staff Position FSP FASB 109-1 that provides guidance on the application of FASB Statement No. 109, Accounting for Income Taxes, to the provision within the American Jobs Creation Act of 2004 that provides a tax deduction on qualified production activities. This FSP was effective upon issuance. The adoption of this FSP did not have a material impact on our results of operations or financial position for Fiscal 2005. The Company expects this FSP to affect its financial position and results of operations by reducing its effective tax rate by approximately one percentage point for Fiscal 2006.</w:t>
      </w:r>
    </w:p>
    <w:p>
      <w:pPr>
        <w:spacing w:after="0" w:line="19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May 2005, the FASB issued FASB No. 154, Accounting Changes and Error Corrections (“SFAS 154”). SFAS 154 provides guidance on the accounting for and reporting of accounting changes and error corrections. It requires retrospective application to the prior periods’ financial statements of voluntary changes in accounting principle and changes required by an accounting pronouncement in the event the pronouncement does not include specific transition provisions. The provision of this Statement shall be effective for accounting changes made in fiscal years beginning after December 15, 2005.</w:t>
      </w:r>
    </w:p>
    <w:p>
      <w:pPr>
        <w:spacing w:after="0" w:line="188"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6"/>
          <w:szCs w:val="16"/>
          <w:b w:val="1"/>
          <w:bCs w:val="1"/>
          <w:color w:val="auto"/>
        </w:rPr>
        <w:t xml:space="preserve">Accounting for Stock-Based Compensation. </w:t>
      </w:r>
      <w:r>
        <w:rPr>
          <w:rFonts w:ascii="Times New Roman" w:cs="Times New Roman" w:eastAsia="Times New Roman" w:hAnsi="Times New Roman"/>
          <w:sz w:val="16"/>
          <w:szCs w:val="16"/>
          <w:color w:val="auto"/>
        </w:rPr>
        <w:t>The Company adopted SFAS No. 123, Accounting for Stock-Based Compensation in Fiscal 1997. The Company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has elected to continue following the accounting guidance of Accounting Principles Board Opinion No. 25, Accounting for Stock Issued to Employees for measurement and recognition of stock based transactions with employees. No compensation cost has been recognized for options issued under the stock option plans because the exercise price of all options granted was not less than 100 percent of fair market value of the common stock on the date of grant. Had compensation cost for the stock options issued been determined based on the fair value at the grant date, consistent with other provisions of SFAS No. 123, the Company’s 2005, 2004 and 2003 income and income per share would have been changed to the pro forma amounts indicated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[GRAPHIC]</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0" w:type="dxa"/>
            <w:vAlign w:val="bottom"/>
            <w:gridSpan w:val="2"/>
          </w:tcPr>
          <w:p>
            <w:pPr>
              <w:jc w:val="center"/>
              <w:ind w:right="136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5160" w:type="dxa"/>
            <w:vAlign w:val="bottom"/>
            <w:gridSpan w:val="2"/>
            <w:vMerge w:val="continue"/>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have been recorded to reflect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2004</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 2-for-1 stock split on March 5, 2004)</w:t>
            </w:r>
          </w:p>
        </w:tc>
        <w:tc>
          <w:tcPr>
            <w:tcW w:w="78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160" w:type="dxa"/>
            <w:vAlign w:val="bottom"/>
            <w:gridSpan w:val="2"/>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shd w:val="clear" w:color="auto" w:fill="D6F3E8"/>
          </w:tcPr>
          <w:p>
            <w:pPr>
              <w:spacing w:after="0"/>
              <w:rPr>
                <w:sz w:val="18"/>
                <w:szCs w:val="18"/>
                <w:color w:val="auto"/>
              </w:rPr>
            </w:pPr>
          </w:p>
        </w:tc>
        <w:tc>
          <w:tcPr>
            <w:tcW w:w="50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 reported</w:t>
            </w:r>
          </w:p>
        </w:tc>
        <w:tc>
          <w:tcPr>
            <w:tcW w:w="780" w:type="dxa"/>
            <w:vAlign w:val="bottom"/>
          </w:tcPr>
          <w:p>
            <w:pPr>
              <w:jc w:val="right"/>
              <w:ind w:right="577"/>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w w:val="96"/>
              </w:rPr>
              <w:t>65,073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70,641</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Pro forma</w:t>
            </w:r>
          </w:p>
        </w:tc>
        <w:tc>
          <w:tcPr>
            <w:tcW w:w="780" w:type="dxa"/>
            <w:vAlign w:val="bottom"/>
            <w:shd w:val="clear" w:color="auto" w:fill="D6F3E8"/>
          </w:tcPr>
          <w:p>
            <w:pPr>
              <w:spacing w:after="0"/>
              <w:rPr>
                <w:sz w:val="18"/>
                <w:szCs w:val="18"/>
                <w:color w:val="auto"/>
              </w:rPr>
            </w:pPr>
          </w:p>
        </w:tc>
        <w:tc>
          <w:tcPr>
            <w:tcW w:w="1640" w:type="dxa"/>
            <w:vAlign w:val="bottom"/>
            <w:gridSpan w:val="2"/>
            <w:shd w:val="clear" w:color="auto" w:fill="D6F3E8"/>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w w:val="96"/>
              </w:rPr>
              <w:t>62,035</w:t>
            </w:r>
          </w:p>
        </w:tc>
        <w:tc>
          <w:tcPr>
            <w:tcW w:w="180" w:type="dxa"/>
            <w:vAlign w:val="bottom"/>
            <w:shd w:val="clear" w:color="auto" w:fill="D6F3E8"/>
          </w:tcPr>
          <w:p>
            <w:pPr>
              <w:spacing w:after="0"/>
              <w:rPr>
                <w:sz w:val="18"/>
                <w:szCs w:val="18"/>
                <w:color w:val="auto"/>
              </w:rPr>
            </w:pPr>
          </w:p>
        </w:tc>
        <w:tc>
          <w:tcPr>
            <w:tcW w:w="2200" w:type="dxa"/>
            <w:vAlign w:val="bottom"/>
            <w:gridSpan w:val="2"/>
            <w:shd w:val="clear" w:color="auto" w:fill="D6F3E8"/>
          </w:tcPr>
          <w:p>
            <w:pPr>
              <w:jc w:val="right"/>
              <w:ind w:right="1140"/>
              <w:spacing w:after="0"/>
              <w:rPr>
                <w:sz w:val="20"/>
                <w:szCs w:val="20"/>
                <w:color w:val="auto"/>
              </w:rPr>
            </w:pPr>
            <w:r>
              <w:rPr>
                <w:rFonts w:ascii="Times New Roman" w:cs="Times New Roman" w:eastAsia="Times New Roman" w:hAnsi="Times New Roman"/>
                <w:sz w:val="18"/>
                <w:szCs w:val="18"/>
                <w:color w:val="auto"/>
              </w:rPr>
              <w:t>68,271</w:t>
            </w:r>
          </w:p>
        </w:tc>
        <w:tc>
          <w:tcPr>
            <w:tcW w:w="30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48,320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per share (basic)</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As reported</w:t>
            </w:r>
          </w:p>
        </w:tc>
        <w:tc>
          <w:tcPr>
            <w:tcW w:w="780" w:type="dxa"/>
            <w:vAlign w:val="bottom"/>
            <w:shd w:val="clear" w:color="auto" w:fill="D6F3E8"/>
          </w:tcPr>
          <w:p>
            <w:pPr>
              <w:jc w:val="right"/>
              <w:ind w:right="577"/>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gridSpan w:val="2"/>
            <w:shd w:val="clear" w:color="auto" w:fill="D6F3E8"/>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1.95</w:t>
            </w:r>
          </w:p>
        </w:tc>
        <w:tc>
          <w:tcPr>
            <w:tcW w:w="1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D6F3E8"/>
          </w:tcPr>
          <w:p>
            <w:pPr>
              <w:jc w:val="right"/>
              <w:ind w:right="1140"/>
              <w:spacing w:after="0"/>
              <w:rPr>
                <w:sz w:val="20"/>
                <w:szCs w:val="20"/>
                <w:color w:val="auto"/>
              </w:rPr>
            </w:pPr>
            <w:r>
              <w:rPr>
                <w:rFonts w:ascii="Times New Roman" w:cs="Times New Roman" w:eastAsia="Times New Roman" w:hAnsi="Times New Roman"/>
                <w:sz w:val="18"/>
                <w:szCs w:val="18"/>
                <w:color w:val="auto"/>
              </w:rPr>
              <w:t>2.06</w:t>
            </w:r>
          </w:p>
        </w:tc>
        <w:tc>
          <w:tcPr>
            <w:tcW w:w="300" w:type="dxa"/>
            <w:vAlign w:val="bottom"/>
            <w:shd w:val="clear" w:color="auto" w:fill="D6F3E8"/>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 forma</w:t>
            </w:r>
          </w:p>
        </w:tc>
        <w:tc>
          <w:tcPr>
            <w:tcW w:w="780" w:type="dxa"/>
            <w:vAlign w:val="bottom"/>
          </w:tcPr>
          <w:p>
            <w:pPr>
              <w:spacing w:after="0"/>
              <w:rPr>
                <w:sz w:val="18"/>
                <w:szCs w:val="18"/>
                <w:color w:val="auto"/>
              </w:rPr>
            </w:pPr>
          </w:p>
        </w:tc>
        <w:tc>
          <w:tcPr>
            <w:tcW w:w="164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1.86</w:t>
            </w:r>
          </w:p>
        </w:tc>
        <w:tc>
          <w:tcPr>
            <w:tcW w:w="180" w:type="dxa"/>
            <w:vAlign w:val="bottom"/>
          </w:tcPr>
          <w:p>
            <w:pPr>
              <w:spacing w:after="0"/>
              <w:rPr>
                <w:sz w:val="18"/>
                <w:szCs w:val="18"/>
                <w:color w:val="auto"/>
              </w:rPr>
            </w:pPr>
          </w:p>
        </w:tc>
        <w:tc>
          <w:tcPr>
            <w:tcW w:w="220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Income per share (diluted)</w:t>
            </w:r>
          </w:p>
        </w:tc>
        <w:tc>
          <w:tcPr>
            <w:tcW w:w="780" w:type="dxa"/>
            <w:vAlign w:val="bottom"/>
            <w:shd w:val="clear" w:color="auto" w:fill="D6F3E8"/>
          </w:tcPr>
          <w:p>
            <w:pPr>
              <w:spacing w:after="0"/>
              <w:rPr>
                <w:sz w:val="18"/>
                <w:szCs w:val="18"/>
                <w:color w:val="auto"/>
              </w:rPr>
            </w:pPr>
          </w:p>
        </w:tc>
        <w:tc>
          <w:tcPr>
            <w:tcW w:w="50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94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 reported</w:t>
            </w:r>
          </w:p>
        </w:tc>
        <w:tc>
          <w:tcPr>
            <w:tcW w:w="780" w:type="dxa"/>
            <w:vAlign w:val="bottom"/>
          </w:tcPr>
          <w:p>
            <w:pPr>
              <w:jc w:val="right"/>
              <w:ind w:right="577"/>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1.92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2.03</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Pro forma</w:t>
            </w:r>
          </w:p>
        </w:tc>
        <w:tc>
          <w:tcPr>
            <w:tcW w:w="780" w:type="dxa"/>
            <w:vAlign w:val="bottom"/>
            <w:shd w:val="clear" w:color="auto" w:fill="D6F3E8"/>
          </w:tcPr>
          <w:p>
            <w:pPr>
              <w:spacing w:after="0"/>
              <w:rPr>
                <w:sz w:val="18"/>
                <w:szCs w:val="18"/>
                <w:color w:val="auto"/>
              </w:rPr>
            </w:pPr>
          </w:p>
        </w:tc>
        <w:tc>
          <w:tcPr>
            <w:tcW w:w="1640" w:type="dxa"/>
            <w:vAlign w:val="bottom"/>
            <w:gridSpan w:val="2"/>
            <w:shd w:val="clear" w:color="auto" w:fill="D6F3E8"/>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1.84</w:t>
            </w:r>
          </w:p>
        </w:tc>
        <w:tc>
          <w:tcPr>
            <w:tcW w:w="180" w:type="dxa"/>
            <w:vAlign w:val="bottom"/>
            <w:shd w:val="clear" w:color="auto" w:fill="D6F3E8"/>
          </w:tcPr>
          <w:p>
            <w:pPr>
              <w:spacing w:after="0"/>
              <w:rPr>
                <w:sz w:val="18"/>
                <w:szCs w:val="18"/>
                <w:color w:val="auto"/>
              </w:rPr>
            </w:pPr>
          </w:p>
        </w:tc>
        <w:tc>
          <w:tcPr>
            <w:tcW w:w="2200" w:type="dxa"/>
            <w:vAlign w:val="bottom"/>
            <w:gridSpan w:val="2"/>
            <w:shd w:val="clear" w:color="auto" w:fill="D6F3E8"/>
          </w:tcPr>
          <w:p>
            <w:pPr>
              <w:jc w:val="right"/>
              <w:ind w:right="1140"/>
              <w:spacing w:after="0"/>
              <w:rPr>
                <w:sz w:val="20"/>
                <w:szCs w:val="20"/>
                <w:color w:val="auto"/>
              </w:rPr>
            </w:pPr>
            <w:r>
              <w:rPr>
                <w:rFonts w:ascii="Times New Roman" w:cs="Times New Roman" w:eastAsia="Times New Roman" w:hAnsi="Times New Roman"/>
                <w:sz w:val="18"/>
                <w:szCs w:val="18"/>
                <w:color w:val="auto"/>
              </w:rPr>
              <w:t>1.97</w:t>
            </w:r>
          </w:p>
        </w:tc>
        <w:tc>
          <w:tcPr>
            <w:tcW w:w="30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780" w:type="dxa"/>
            <w:vAlign w:val="bottom"/>
          </w:tcPr>
          <w:p>
            <w:pPr>
              <w:spacing w:after="0"/>
              <w:rPr>
                <w:sz w:val="17"/>
                <w:szCs w:val="17"/>
                <w:color w:val="auto"/>
              </w:rPr>
            </w:pPr>
          </w:p>
        </w:tc>
        <w:tc>
          <w:tcPr>
            <w:tcW w:w="1640" w:type="dxa"/>
            <w:vAlign w:val="bottom"/>
            <w:gridSpan w:val="2"/>
            <w:vMerge w:val="restart"/>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w w:val="96"/>
              </w:rPr>
              <w:t>33,382</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basic earnings per share</w:t>
            </w:r>
          </w:p>
        </w:tc>
        <w:tc>
          <w:tcPr>
            <w:tcW w:w="78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220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34,214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140" w:type="dxa"/>
            <w:vAlign w:val="bottom"/>
            <w:shd w:val="clear" w:color="auto" w:fill="D6F3E8"/>
          </w:tcPr>
          <w:p>
            <w:pPr>
              <w:spacing w:after="0" w:line="204"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780" w:type="dxa"/>
            <w:vAlign w:val="bottom"/>
            <w:shd w:val="clear" w:color="auto" w:fill="D6F3E8"/>
          </w:tcPr>
          <w:p>
            <w:pPr>
              <w:spacing w:after="0"/>
              <w:rPr>
                <w:sz w:val="17"/>
                <w:szCs w:val="17"/>
                <w:color w:val="auto"/>
              </w:rPr>
            </w:pPr>
          </w:p>
        </w:tc>
        <w:tc>
          <w:tcPr>
            <w:tcW w:w="1640" w:type="dxa"/>
            <w:vAlign w:val="bottom"/>
            <w:gridSpan w:val="2"/>
            <w:vMerge w:val="restart"/>
            <w:shd w:val="clear" w:color="auto" w:fill="D6F3E8"/>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w w:val="96"/>
              </w:rPr>
              <w:t>33,755</w:t>
            </w:r>
          </w:p>
        </w:tc>
        <w:tc>
          <w:tcPr>
            <w:tcW w:w="180" w:type="dxa"/>
            <w:vAlign w:val="bottom"/>
            <w:shd w:val="clear" w:color="auto" w:fill="D6F3E8"/>
          </w:tcPr>
          <w:p>
            <w:pPr>
              <w:spacing w:after="0"/>
              <w:rPr>
                <w:sz w:val="17"/>
                <w:szCs w:val="17"/>
                <w:color w:val="auto"/>
              </w:rPr>
            </w:pPr>
          </w:p>
        </w:tc>
        <w:tc>
          <w:tcPr>
            <w:tcW w:w="1060" w:type="dxa"/>
            <w:vAlign w:val="bottom"/>
            <w:shd w:val="clear" w:color="auto" w:fill="D6F3E8"/>
          </w:tcPr>
          <w:p>
            <w:pPr>
              <w:spacing w:after="0"/>
              <w:rPr>
                <w:sz w:val="17"/>
                <w:szCs w:val="17"/>
                <w:color w:val="auto"/>
              </w:rPr>
            </w:pPr>
          </w:p>
        </w:tc>
        <w:tc>
          <w:tcPr>
            <w:tcW w:w="1140" w:type="dxa"/>
            <w:vAlign w:val="bottom"/>
            <w:shd w:val="clear" w:color="auto" w:fill="D6F3E8"/>
          </w:tcPr>
          <w:p>
            <w:pPr>
              <w:spacing w:after="0"/>
              <w:rPr>
                <w:sz w:val="17"/>
                <w:szCs w:val="17"/>
                <w:color w:val="auto"/>
              </w:rPr>
            </w:pPr>
          </w:p>
        </w:tc>
        <w:tc>
          <w:tcPr>
            <w:tcW w:w="300" w:type="dxa"/>
            <w:vAlign w:val="bottom"/>
            <w:shd w:val="clear" w:color="auto" w:fill="D6F3E8"/>
          </w:tcPr>
          <w:p>
            <w:pPr>
              <w:spacing w:after="0"/>
              <w:rPr>
                <w:sz w:val="17"/>
                <w:szCs w:val="17"/>
                <w:color w:val="auto"/>
              </w:rPr>
            </w:pPr>
          </w:p>
        </w:tc>
        <w:tc>
          <w:tcPr>
            <w:tcW w:w="94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D6F3E8"/>
          </w:tcPr>
          <w:p>
            <w:pPr>
              <w:ind w:left="160"/>
              <w:spacing w:after="0"/>
              <w:rPr>
                <w:sz w:val="20"/>
                <w:szCs w:val="20"/>
                <w:color w:val="auto"/>
              </w:rPr>
            </w:pPr>
            <w:r>
              <w:rPr>
                <w:rFonts w:ascii="Times New Roman" w:cs="Times New Roman" w:eastAsia="Times New Roman" w:hAnsi="Times New Roman"/>
                <w:sz w:val="18"/>
                <w:szCs w:val="18"/>
                <w:color w:val="auto"/>
              </w:rPr>
              <w:t>assuming dilution</w:t>
            </w:r>
          </w:p>
        </w:tc>
        <w:tc>
          <w:tcPr>
            <w:tcW w:w="780" w:type="dxa"/>
            <w:vAlign w:val="bottom"/>
            <w:shd w:val="clear" w:color="auto" w:fill="D6F3E8"/>
          </w:tcPr>
          <w:p>
            <w:pPr>
              <w:spacing w:after="0"/>
              <w:rPr>
                <w:sz w:val="20"/>
                <w:szCs w:val="20"/>
                <w:color w:val="auto"/>
              </w:rPr>
            </w:pPr>
          </w:p>
        </w:tc>
        <w:tc>
          <w:tcPr>
            <w:tcW w:w="1640" w:type="dxa"/>
            <w:vAlign w:val="bottom"/>
            <w:gridSpan w:val="2"/>
            <w:vMerge w:val="continue"/>
            <w:shd w:val="clear" w:color="auto" w:fill="D6F3E8"/>
          </w:tcPr>
          <w:p>
            <w:pPr>
              <w:spacing w:after="0"/>
              <w:rPr>
                <w:sz w:val="20"/>
                <w:szCs w:val="20"/>
                <w:color w:val="auto"/>
              </w:rPr>
            </w:pPr>
          </w:p>
        </w:tc>
        <w:tc>
          <w:tcPr>
            <w:tcW w:w="180" w:type="dxa"/>
            <w:vAlign w:val="bottom"/>
            <w:shd w:val="clear" w:color="auto" w:fill="D6F3E8"/>
          </w:tcPr>
          <w:p>
            <w:pPr>
              <w:spacing w:after="0"/>
              <w:rPr>
                <w:sz w:val="20"/>
                <w:szCs w:val="20"/>
                <w:color w:val="auto"/>
              </w:rPr>
            </w:pPr>
          </w:p>
        </w:tc>
        <w:tc>
          <w:tcPr>
            <w:tcW w:w="2200" w:type="dxa"/>
            <w:vAlign w:val="bottom"/>
            <w:gridSpan w:val="2"/>
            <w:shd w:val="clear" w:color="auto" w:fill="D6F3E8"/>
          </w:tcPr>
          <w:p>
            <w:pPr>
              <w:jc w:val="right"/>
              <w:ind w:right="1140"/>
              <w:spacing w:after="0"/>
              <w:rPr>
                <w:sz w:val="20"/>
                <w:szCs w:val="20"/>
                <w:color w:val="auto"/>
              </w:rPr>
            </w:pPr>
            <w:r>
              <w:rPr>
                <w:rFonts w:ascii="Times New Roman" w:cs="Times New Roman" w:eastAsia="Times New Roman" w:hAnsi="Times New Roman"/>
                <w:sz w:val="18"/>
                <w:szCs w:val="18"/>
                <w:color w:val="auto"/>
              </w:rPr>
              <w:t>34,662</w:t>
            </w:r>
          </w:p>
        </w:tc>
        <w:tc>
          <w:tcPr>
            <w:tcW w:w="300" w:type="dxa"/>
            <w:vAlign w:val="bottom"/>
            <w:shd w:val="clear" w:color="auto" w:fill="D6F3E8"/>
          </w:tcPr>
          <w:p>
            <w:pPr>
              <w:spacing w:after="0"/>
              <w:rPr>
                <w:sz w:val="20"/>
                <w:szCs w:val="20"/>
                <w:color w:val="auto"/>
              </w:rPr>
            </w:pPr>
          </w:p>
        </w:tc>
        <w:tc>
          <w:tcPr>
            <w:tcW w:w="9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37,503</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each option grant is estimated on the date of grant using the Black-Scholes option-pricing model with the following assumptions: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2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2005</w:t>
            </w:r>
          </w:p>
        </w:tc>
        <w:tc>
          <w:tcPr>
            <w:tcW w:w="1140" w:type="dxa"/>
            <w:vAlign w:val="bottom"/>
          </w:tcPr>
          <w:p>
            <w:pPr>
              <w:spacing w:after="0"/>
              <w:rPr>
                <w:sz w:val="15"/>
                <w:szCs w:val="15"/>
                <w:color w:val="auto"/>
              </w:rPr>
            </w:pPr>
          </w:p>
        </w:tc>
        <w:tc>
          <w:tcPr>
            <w:tcW w:w="12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2004</w:t>
            </w:r>
          </w:p>
        </w:tc>
        <w:tc>
          <w:tcPr>
            <w:tcW w:w="1140" w:type="dxa"/>
            <w:vAlign w:val="bottom"/>
          </w:tcPr>
          <w:p>
            <w:pPr>
              <w:spacing w:after="0"/>
              <w:rPr>
                <w:sz w:val="15"/>
                <w:szCs w:val="15"/>
                <w:color w:val="auto"/>
              </w:rPr>
            </w:pPr>
          </w:p>
        </w:tc>
        <w:tc>
          <w:tcPr>
            <w:tcW w:w="12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420" w:type="dxa"/>
            <w:vAlign w:val="bottom"/>
            <w:gridSpan w:val="2"/>
            <w:shd w:val="clear" w:color="auto" w:fill="D6F3E8"/>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0.70%</w:t>
            </w:r>
          </w:p>
        </w:tc>
        <w:tc>
          <w:tcPr>
            <w:tcW w:w="2380" w:type="dxa"/>
            <w:vAlign w:val="bottom"/>
            <w:gridSpan w:val="2"/>
            <w:shd w:val="clear" w:color="auto" w:fill="D6F3E8"/>
          </w:tcPr>
          <w:p>
            <w:pPr>
              <w:jc w:val="right"/>
              <w:ind w:right="980"/>
              <w:spacing w:after="0"/>
              <w:rPr>
                <w:sz w:val="20"/>
                <w:szCs w:val="20"/>
                <w:color w:val="auto"/>
              </w:rPr>
            </w:pPr>
            <w:r>
              <w:rPr>
                <w:rFonts w:ascii="Times New Roman" w:cs="Times New Roman" w:eastAsia="Times New Roman" w:hAnsi="Times New Roman"/>
                <w:sz w:val="18"/>
                <w:szCs w:val="18"/>
                <w:color w:val="auto"/>
              </w:rPr>
              <w:t>0.72%</w:t>
            </w:r>
          </w:p>
        </w:tc>
        <w:tc>
          <w:tcPr>
            <w:tcW w:w="1460" w:type="dxa"/>
            <w:vAlign w:val="bottom"/>
            <w:gridSpan w:val="2"/>
            <w:shd w:val="clear" w:color="auto" w:fill="D6F3E8"/>
          </w:tcPr>
          <w:p>
            <w:pPr>
              <w:jc w:val="right"/>
              <w:ind w:right="60"/>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3.2%</w:t>
            </w:r>
          </w:p>
        </w:tc>
        <w:tc>
          <w:tcPr>
            <w:tcW w:w="23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2.81%</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2420" w:type="dxa"/>
            <w:vAlign w:val="bottom"/>
            <w:gridSpan w:val="2"/>
            <w:shd w:val="clear" w:color="auto" w:fill="D6F3E8"/>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2380" w:type="dxa"/>
            <w:vAlign w:val="bottom"/>
            <w:gridSpan w:val="2"/>
            <w:shd w:val="clear" w:color="auto" w:fill="D6F3E8"/>
          </w:tcPr>
          <w:p>
            <w:pPr>
              <w:jc w:val="right"/>
              <w:ind w:right="1140"/>
              <w:spacing w:after="0"/>
              <w:rPr>
                <w:sz w:val="20"/>
                <w:szCs w:val="20"/>
                <w:color w:val="auto"/>
              </w:rPr>
            </w:pPr>
            <w:r>
              <w:rPr>
                <w:rFonts w:ascii="Times New Roman" w:cs="Times New Roman" w:eastAsia="Times New Roman" w:hAnsi="Times New Roman"/>
                <w:sz w:val="18"/>
                <w:szCs w:val="18"/>
                <w:color w:val="auto"/>
              </w:rPr>
              <w:t>4 years</w:t>
            </w:r>
          </w:p>
        </w:tc>
        <w:tc>
          <w:tcPr>
            <w:tcW w:w="1460" w:type="dxa"/>
            <w:vAlign w:val="bottom"/>
            <w:gridSpan w:val="2"/>
            <w:shd w:val="clear" w:color="auto" w:fill="D6F3E8"/>
          </w:tcPr>
          <w:p>
            <w:pPr>
              <w:jc w:val="right"/>
              <w:ind w:right="22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2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46.35 – 46.56%</w:t>
            </w:r>
          </w:p>
        </w:tc>
        <w:tc>
          <w:tcPr>
            <w:tcW w:w="238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48.19 – 48.54%</w:t>
            </w: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Estimated per share fair value of options granted</w:t>
            </w:r>
          </w:p>
        </w:tc>
        <w:tc>
          <w:tcPr>
            <w:tcW w:w="2420" w:type="dxa"/>
            <w:vAlign w:val="bottom"/>
            <w:gridSpan w:val="2"/>
            <w:shd w:val="clear" w:color="auto" w:fill="D6F3E8"/>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$10.87</w:t>
            </w:r>
          </w:p>
        </w:tc>
        <w:tc>
          <w:tcPr>
            <w:tcW w:w="2380" w:type="dxa"/>
            <w:vAlign w:val="bottom"/>
            <w:gridSpan w:val="2"/>
            <w:shd w:val="clear" w:color="auto" w:fill="D6F3E8"/>
          </w:tcPr>
          <w:p>
            <w:pPr>
              <w:jc w:val="right"/>
              <w:ind w:right="1140"/>
              <w:spacing w:after="0"/>
              <w:rPr>
                <w:sz w:val="20"/>
                <w:szCs w:val="20"/>
                <w:color w:val="auto"/>
              </w:rPr>
            </w:pPr>
            <w:r>
              <w:rPr>
                <w:rFonts w:ascii="Times New Roman" w:cs="Times New Roman" w:eastAsia="Times New Roman" w:hAnsi="Times New Roman"/>
                <w:sz w:val="18"/>
                <w:szCs w:val="18"/>
                <w:color w:val="auto"/>
              </w:rPr>
              <w:t>$10.04</w:t>
            </w:r>
          </w:p>
        </w:tc>
        <w:tc>
          <w:tcPr>
            <w:tcW w:w="12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76"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b w:val="1"/>
          <w:bCs w:val="1"/>
          <w:color w:val="auto"/>
        </w:rPr>
        <w:t>Note 2:  Discontinued Operations</w:t>
      </w:r>
    </w:p>
    <w:p>
      <w:pPr>
        <w:spacing w:after="0" w:line="28" w:lineRule="exact"/>
        <w:rPr>
          <w:sz w:val="20"/>
          <w:szCs w:val="20"/>
          <w:color w:val="auto"/>
        </w:rPr>
      </w:pPr>
    </w:p>
    <w:p>
      <w:pPr>
        <w:ind w:right="380"/>
        <w:spacing w:after="0" w:line="251" w:lineRule="auto"/>
        <w:rPr>
          <w:sz w:val="20"/>
          <w:szCs w:val="20"/>
          <w:color w:val="auto"/>
        </w:rPr>
      </w:pPr>
      <w:r>
        <w:rPr>
          <w:rFonts w:ascii="Times New Roman" w:cs="Times New Roman" w:eastAsia="Times New Roman" w:hAnsi="Times New Roman"/>
          <w:sz w:val="18"/>
          <w:szCs w:val="18"/>
          <w:color w:val="auto"/>
        </w:rPr>
        <w:t>On April 24, 2003 the Company sold its dealer financing receivables in Winnebago Acceptance Corporation (WAC) to GE Commercial Distribution Finance Corporation for approximately $34 million and recorded no gain or loss as the receivables were sold at book value. With the sale of its WAC receivables, the Company has discontinued its dealer financing operations which are accounted for as discontinued operations in the accompanying consolidated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68"/>
        </w:trPr>
        <w:tc>
          <w:tcPr>
            <w:tcW w:w="690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have been recorded to reflect</w:t>
            </w:r>
          </w:p>
        </w:tc>
        <w:tc>
          <w:tcPr>
            <w:tcW w:w="12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6900" w:type="dxa"/>
            <w:vAlign w:val="bottom"/>
            <w:gridSpan w:val="2"/>
            <w:vMerge w:val="continue"/>
          </w:tcPr>
          <w:p>
            <w:pPr>
              <w:spacing w:after="0"/>
              <w:rPr>
                <w:sz w:val="7"/>
                <w:szCs w:val="7"/>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August 30, 2003</w:t>
            </w:r>
          </w:p>
        </w:tc>
        <w:tc>
          <w:tcPr>
            <w:tcW w:w="0" w:type="dxa"/>
            <w:vAlign w:val="bottom"/>
          </w:tcPr>
          <w:p>
            <w:pPr>
              <w:spacing w:after="0"/>
              <w:rPr>
                <w:sz w:val="1"/>
                <w:szCs w:val="1"/>
                <w:color w:val="auto"/>
              </w:rPr>
            </w:pPr>
          </w:p>
        </w:tc>
      </w:tr>
      <w:tr>
        <w:trPr>
          <w:trHeight w:val="97"/>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 2-for-1 stock split on March 5, 2004)</w:t>
            </w:r>
          </w:p>
        </w:tc>
        <w:tc>
          <w:tcPr>
            <w:tcW w:w="1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6900" w:type="dxa"/>
            <w:vAlign w:val="bottom"/>
            <w:gridSpan w:val="2"/>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Winnebago Acceptance Corporation</w:t>
            </w:r>
          </w:p>
        </w:tc>
        <w:tc>
          <w:tcPr>
            <w:tcW w:w="12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Income per share – basic</w:t>
            </w:r>
          </w:p>
        </w:tc>
        <w:tc>
          <w:tcPr>
            <w:tcW w:w="120" w:type="dxa"/>
            <w:vAlign w:val="bottom"/>
            <w:shd w:val="clear" w:color="auto" w:fill="D6F3E8"/>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Income per share – diluted</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vMerge w:val="restart"/>
          </w:tcPr>
          <w:p>
            <w:pPr>
              <w:spacing w:after="0"/>
              <w:rPr>
                <w:sz w:val="20"/>
                <w:szCs w:val="20"/>
                <w:color w:val="auto"/>
              </w:rPr>
            </w:pPr>
          </w:p>
        </w:tc>
        <w:tc>
          <w:tcPr>
            <w:tcW w:w="6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37,636</w:t>
            </w:r>
          </w:p>
        </w:tc>
        <w:tc>
          <w:tcPr>
            <w:tcW w:w="14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[GRAPHIC]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3:  Short-Term Investments – Available-for-Sale Securities</w:t>
      </w:r>
    </w:p>
    <w:p>
      <w:pPr>
        <w:spacing w:after="0" w:line="27"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6"/>
          <w:szCs w:val="16"/>
          <w:color w:val="auto"/>
        </w:rPr>
        <w:t>The Company’s short-term investments consist of auction rate preferred securities, variable rate auction preferred stock and other investment-grade marketable debt securities. These investments, a portion of which have original maturities beyond one year, may be classified as short-term based on their highly liquid nature and because these securities represent the investment of cash that is available for current operations. The Company’s short-term investments are classified as available-for-sale securities due to management’s intent regarding these securities. The carrying value of these securities approximates fair market value due to their liquidity profile. As of August 27, 2005 and August 28, 2004, there were no unrealized gains or losses associated with these investments. The Company had approximately $93.1 million and $51.1 million in short-term investments as of August 27, 2005 and August 28, 2004,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4:  Inventories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2260" w:type="dxa"/>
            <w:vAlign w:val="bottom"/>
            <w:gridSpan w:val="3"/>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w w:val="98"/>
              </w:rPr>
              <w:t>August 27, 2005</w:t>
            </w:r>
          </w:p>
        </w:tc>
        <w:tc>
          <w:tcPr>
            <w:tcW w:w="140" w:type="dxa"/>
            <w:vAlign w:val="bottom"/>
          </w:tcPr>
          <w:p>
            <w:pPr>
              <w:spacing w:after="0"/>
              <w:rPr>
                <w:sz w:val="15"/>
                <w:szCs w:val="15"/>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6"/>
              </w:rPr>
              <w:t>August 28, 2004</w:t>
            </w:r>
          </w:p>
        </w:tc>
        <w:tc>
          <w:tcPr>
            <w:tcW w:w="0" w:type="dxa"/>
            <w:vAlign w:val="bottom"/>
          </w:tcPr>
          <w:p>
            <w:pPr>
              <w:spacing w:after="0"/>
              <w:rPr>
                <w:sz w:val="1"/>
                <w:szCs w:val="1"/>
                <w:color w:val="auto"/>
              </w:rPr>
            </w:pPr>
          </w:p>
        </w:tc>
      </w:tr>
      <w:tr>
        <w:trPr>
          <w:trHeight w:val="89"/>
        </w:trPr>
        <w:tc>
          <w:tcPr>
            <w:tcW w:w="7560" w:type="dxa"/>
            <w:vAlign w:val="bottom"/>
            <w:gridSpan w:val="2"/>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67,998</w:t>
            </w: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58,913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45,657</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38,461</w:t>
            </w: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51,675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152,116</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157,925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LIFO reserve</w:t>
            </w:r>
          </w:p>
        </w:tc>
        <w:tc>
          <w:tcPr>
            <w:tcW w:w="140" w:type="dxa"/>
            <w:vAlign w:val="bottom"/>
            <w:shd w:val="clear" w:color="auto" w:fill="D6F3E8"/>
          </w:tcPr>
          <w:p>
            <w:pPr>
              <w:spacing w:after="0"/>
              <w:rPr>
                <w:sz w:val="18"/>
                <w:szCs w:val="18"/>
                <w:color w:val="auto"/>
              </w:rPr>
            </w:pPr>
          </w:p>
        </w:tc>
        <w:tc>
          <w:tcPr>
            <w:tcW w:w="2260" w:type="dxa"/>
            <w:vAlign w:val="bottom"/>
            <w:gridSpan w:val="3"/>
            <w:shd w:val="clear" w:color="auto" w:fill="D6F3E8"/>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(31,461)</w:t>
            </w:r>
          </w:p>
        </w:tc>
        <w:tc>
          <w:tcPr>
            <w:tcW w:w="14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(27,192)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120,655</w:t>
            </w:r>
          </w:p>
        </w:tc>
        <w:tc>
          <w:tcPr>
            <w:tcW w:w="1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value of inventories, before reduction for the LIFO reserve, approximates replacement cost at the respective dates.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5:  Warranty</w:t>
      </w:r>
    </w:p>
    <w:p>
      <w:pPr>
        <w:spacing w:after="0" w:line="27" w:lineRule="exact"/>
        <w:rPr>
          <w:sz w:val="20"/>
          <w:szCs w:val="20"/>
          <w:color w:val="auto"/>
        </w:rPr>
      </w:pPr>
    </w:p>
    <w:p>
      <w:pPr>
        <w:jc w:val="both"/>
        <w:ind w:right="40"/>
        <w:spacing w:after="0" w:line="251" w:lineRule="auto"/>
        <w:rPr>
          <w:sz w:val="20"/>
          <w:szCs w:val="20"/>
          <w:color w:val="auto"/>
        </w:rPr>
      </w:pPr>
      <w:r>
        <w:rPr>
          <w:rFonts w:ascii="Times New Roman" w:cs="Times New Roman" w:eastAsia="Times New Roman" w:hAnsi="Times New Roman"/>
          <w:sz w:val="18"/>
          <w:szCs w:val="18"/>
          <w:color w:val="auto"/>
        </w:rPr>
        <w:t>The Company provides its Winnebago and Itasca motor home customers a comprehensive 12-month/15,000-mile warranty, and a 3-year/36,000-mile warranty on sidewalls and floors. The Company records a liability based on its estimate of the amounts necessary to settle future and existing claims on products sold as of the balance sheet date. Changes in the Company’s product warranty liability during Fiscal 2005 and Fiscal 2004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2260" w:type="dxa"/>
            <w:vAlign w:val="bottom"/>
            <w:gridSpan w:val="3"/>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w w:val="98"/>
              </w:rPr>
              <w:t>August 27, 2005</w:t>
            </w:r>
          </w:p>
        </w:tc>
        <w:tc>
          <w:tcPr>
            <w:tcW w:w="140" w:type="dxa"/>
            <w:vAlign w:val="bottom"/>
          </w:tcPr>
          <w:p>
            <w:pPr>
              <w:spacing w:after="0"/>
              <w:rPr>
                <w:sz w:val="15"/>
                <w:szCs w:val="15"/>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6"/>
              </w:rPr>
              <w:t>August 28, 2004</w:t>
            </w:r>
          </w:p>
        </w:tc>
        <w:tc>
          <w:tcPr>
            <w:tcW w:w="0" w:type="dxa"/>
            <w:vAlign w:val="bottom"/>
          </w:tcPr>
          <w:p>
            <w:pPr>
              <w:spacing w:after="0"/>
              <w:rPr>
                <w:sz w:val="1"/>
                <w:szCs w:val="1"/>
                <w:color w:val="auto"/>
              </w:rPr>
            </w:pPr>
          </w:p>
        </w:tc>
      </w:tr>
      <w:tr>
        <w:trPr>
          <w:trHeight w:val="89"/>
        </w:trPr>
        <w:tc>
          <w:tcPr>
            <w:tcW w:w="7560" w:type="dxa"/>
            <w:vAlign w:val="bottom"/>
            <w:gridSpan w:val="2"/>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13,356</w:t>
            </w: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w:t>
            </w:r>
          </w:p>
        </w:tc>
        <w:tc>
          <w:tcPr>
            <w:tcW w:w="1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13,469</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6F3E8"/>
          </w:tcPr>
          <w:p>
            <w:pPr>
              <w:ind w:left="160"/>
              <w:spacing w:after="0"/>
              <w:rPr>
                <w:sz w:val="20"/>
                <w:szCs w:val="20"/>
                <w:color w:val="auto"/>
              </w:rPr>
            </w:pPr>
            <w:r>
              <w:rPr>
                <w:rFonts w:ascii="Times New Roman" w:cs="Times New Roman" w:eastAsia="Times New Roman" w:hAnsi="Times New Roman"/>
                <w:sz w:val="18"/>
                <w:szCs w:val="18"/>
                <w:color w:val="auto"/>
              </w:rPr>
              <w:t>Claims paid</w:t>
            </w:r>
          </w:p>
        </w:tc>
        <w:tc>
          <w:tcPr>
            <w:tcW w:w="140" w:type="dxa"/>
            <w:vAlign w:val="bottom"/>
            <w:shd w:val="clear" w:color="auto" w:fill="D6F3E8"/>
          </w:tcPr>
          <w:p>
            <w:pPr>
              <w:spacing w:after="0"/>
              <w:rPr>
                <w:sz w:val="18"/>
                <w:szCs w:val="18"/>
                <w:color w:val="auto"/>
              </w:rPr>
            </w:pPr>
          </w:p>
        </w:tc>
        <w:tc>
          <w:tcPr>
            <w:tcW w:w="2260" w:type="dxa"/>
            <w:vAlign w:val="bottom"/>
            <w:gridSpan w:val="3"/>
            <w:shd w:val="clear" w:color="auto" w:fill="D6F3E8"/>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(14,642)</w:t>
            </w:r>
          </w:p>
        </w:tc>
        <w:tc>
          <w:tcPr>
            <w:tcW w:w="14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(12,599)</w:t>
            </w:r>
          </w:p>
        </w:tc>
        <w:tc>
          <w:tcPr>
            <w:tcW w:w="0" w:type="dxa"/>
            <w:vAlign w:val="bottom"/>
          </w:tcPr>
          <w:p>
            <w:pPr>
              <w:spacing w:after="0"/>
              <w:rPr>
                <w:sz w:val="1"/>
                <w:szCs w:val="1"/>
                <w:color w:val="auto"/>
              </w:rPr>
            </w:pPr>
          </w:p>
        </w:tc>
      </w:tr>
      <w:tr>
        <w:trPr>
          <w:trHeight w:val="108"/>
        </w:trPr>
        <w:tc>
          <w:tcPr>
            <w:tcW w:w="7560" w:type="dxa"/>
            <w:vAlign w:val="bottom"/>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12,183</w:t>
            </w:r>
          </w:p>
        </w:tc>
        <w:tc>
          <w:tcPr>
            <w:tcW w:w="1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60"/>
        <w:spacing w:after="0" w:line="339" w:lineRule="auto"/>
        <w:rPr>
          <w:sz w:val="20"/>
          <w:szCs w:val="20"/>
          <w:color w:val="auto"/>
        </w:rPr>
      </w:pPr>
      <w:r>
        <w:rPr>
          <w:rFonts w:ascii="Times New Roman" w:cs="Times New Roman" w:eastAsia="Times New Roman" w:hAnsi="Times New Roman"/>
          <w:sz w:val="16"/>
          <w:szCs w:val="16"/>
          <w:color w:val="auto"/>
        </w:rPr>
        <w:t>In addition to the costs associated with the contractual warranty coverage provided on our motor homes, the Company also occasionally incurs costs as a result of additional service actions not covered by our warranties, including product recalls and customer satisfaction actions. The Company estimates the cost of these</w:t>
      </w:r>
    </w:p>
    <w:p>
      <w:pPr>
        <w:sectPr>
          <w:pgSz w:w="11900" w:h="16838" w:orient="portrait"/>
          <w:cols w:equalWidth="0" w:num="1">
            <w:col w:w="11420"/>
          </w:cols>
          <w:pgMar w:left="240" w:top="108" w:right="239" w:bottom="0" w:gutter="0" w:footer="0" w:header="0"/>
        </w:sectPr>
      </w:pPr>
    </w:p>
    <w:bookmarkStart w:id="34" w:name="page35"/>
    <w:bookmarkEnd w:id="34"/>
    <w:p>
      <w:pPr>
        <w:ind w:right="40"/>
        <w:spacing w:after="0" w:line="339" w:lineRule="auto"/>
        <w:rPr>
          <w:sz w:val="20"/>
          <w:szCs w:val="20"/>
          <w:color w:val="auto"/>
        </w:rPr>
      </w:pPr>
      <w:r>
        <w:rPr>
          <w:rFonts w:ascii="Times New Roman" w:cs="Times New Roman" w:eastAsia="Times New Roman" w:hAnsi="Times New Roman"/>
          <w:sz w:val="16"/>
          <w:szCs w:val="16"/>
          <w:color w:val="auto"/>
        </w:rPr>
        <w:t>service actions using past claim rate experiences and the estimated cost of the repairs. Estimated costs are accrued at the time the service action is implemented and included in cost of sales in the Company’s Consolidated Statements of Income and as other accrued expenses in the Company’s Consolidated Balance Sheets.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6:  Employee and Retiree Benefits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postretirement health care and deferred compensation benefits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2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August 27, 2005</w:t>
            </w:r>
          </w:p>
        </w:tc>
        <w:tc>
          <w:tcPr>
            <w:tcW w:w="14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28, 2004</w:t>
            </w:r>
          </w:p>
        </w:tc>
        <w:tc>
          <w:tcPr>
            <w:tcW w:w="0" w:type="dxa"/>
            <w:vAlign w:val="bottom"/>
          </w:tcPr>
          <w:p>
            <w:pPr>
              <w:spacing w:after="0"/>
              <w:rPr>
                <w:sz w:val="1"/>
                <w:szCs w:val="1"/>
                <w:color w:val="auto"/>
              </w:rPr>
            </w:pPr>
          </w:p>
        </w:tc>
      </w:tr>
      <w:tr>
        <w:trPr>
          <w:trHeight w:val="89"/>
        </w:trPr>
        <w:tc>
          <w:tcPr>
            <w:tcW w:w="7560" w:type="dxa"/>
            <w:vAlign w:val="bottom"/>
            <w:gridSpan w:val="2"/>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540" w:type="dxa"/>
            <w:vAlign w:val="bottom"/>
            <w:shd w:val="clear" w:color="auto" w:fill="D6F3E8"/>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Accrued postretirement health care benefit cost </w:t>
            </w:r>
            <w:r>
              <w:rPr>
                <w:rFonts w:ascii="Times New Roman" w:cs="Times New Roman" w:eastAsia="Times New Roman" w:hAnsi="Times New Roman"/>
                <w:sz w:val="29"/>
                <w:szCs w:val="29"/>
                <w:color w:val="auto"/>
                <w:vertAlign w:val="superscript"/>
              </w:rPr>
              <w:t>(1)</w:t>
            </w: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51,554</w:t>
            </w:r>
          </w:p>
        </w:tc>
        <w:tc>
          <w:tcPr>
            <w:tcW w:w="1120" w:type="dxa"/>
            <w:vAlign w:val="bottom"/>
            <w:shd w:val="clear" w:color="auto" w:fill="D6F3E8"/>
          </w:tcPr>
          <w:p>
            <w:pPr>
              <w:spacing w:after="0"/>
              <w:rPr>
                <w:sz w:val="22"/>
                <w:szCs w:val="22"/>
                <w:color w:val="auto"/>
              </w:rPr>
            </w:pP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52,752</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Deferred long-term compensation liability </w:t>
            </w:r>
            <w:r>
              <w:rPr>
                <w:rFonts w:ascii="Times New Roman" w:cs="Times New Roman" w:eastAsia="Times New Roman" w:hAnsi="Times New Roman"/>
                <w:sz w:val="29"/>
                <w:szCs w:val="29"/>
                <w:color w:val="auto"/>
                <w:vertAlign w:val="superscript"/>
              </w:rPr>
              <w:t>(2)</w:t>
            </w:r>
          </w:p>
        </w:tc>
        <w:tc>
          <w:tcPr>
            <w:tcW w:w="14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25,702</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Executive share option plan liability</w:t>
            </w:r>
          </w:p>
        </w:tc>
        <w:tc>
          <w:tcPr>
            <w:tcW w:w="14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9,896</w:t>
            </w: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560" w:type="dxa"/>
            <w:vAlign w:val="bottom"/>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postretirement health care and deferred compensation benefits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86,450</w:t>
            </w:r>
          </w:p>
        </w:tc>
        <w:tc>
          <w:tcPr>
            <w:tcW w:w="1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2" w:lineRule="exact"/>
        <w:rPr>
          <w:sz w:val="20"/>
          <w:szCs w:val="20"/>
          <w:color w:val="auto"/>
        </w:rPr>
      </w:pPr>
    </w:p>
    <w:p>
      <w:pPr>
        <w:ind w:left="360" w:right="220" w:hanging="352"/>
        <w:spacing w:after="0" w:line="198" w:lineRule="auto"/>
        <w:tabs>
          <w:tab w:leader="none" w:pos="360" w:val="left"/>
        </w:tabs>
        <w:numPr>
          <w:ilvl w:val="0"/>
          <w:numId w:val="20"/>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Current portion of accrued postretirement benefit cost of $936,00 and $616,00 as of August 27, 2005 and August 28, 2004, respectively, is included within other accrued expenses.</w:t>
      </w:r>
    </w:p>
    <w:p>
      <w:pPr>
        <w:spacing w:after="0" w:line="229" w:lineRule="exact"/>
        <w:rPr>
          <w:rFonts w:ascii="Times New Roman" w:cs="Times New Roman" w:eastAsia="Times New Roman" w:hAnsi="Times New Roman"/>
          <w:sz w:val="29"/>
          <w:szCs w:val="29"/>
          <w:i w:val="1"/>
          <w:iCs w:val="1"/>
          <w:color w:val="auto"/>
          <w:vertAlign w:val="superscript"/>
        </w:rPr>
      </w:pPr>
    </w:p>
    <w:p>
      <w:pPr>
        <w:ind w:left="360" w:right="60" w:hanging="352"/>
        <w:spacing w:after="0" w:line="198" w:lineRule="auto"/>
        <w:tabs>
          <w:tab w:leader="none" w:pos="360" w:val="left"/>
        </w:tabs>
        <w:numPr>
          <w:ilvl w:val="0"/>
          <w:numId w:val="20"/>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Current portion of deferred compensation liability of $2,007,000 and $1,959,000 as of August 27, 2005 and August 28, 2004, respectively, is included within accrued compensation.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[GRAPHIC]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Postretirement Health Care Benefits.</w:t>
      </w:r>
    </w:p>
    <w:p>
      <w:pPr>
        <w:spacing w:after="0" w:line="27"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The Company provides certain health care and other benefits for retired employees, hired before April 1, 2001, who have fulfilled eligibility requirements at age 55 with 15 years of continuous service. Retirees are required to pay a monthly premium for medical coverage based on years of service at retirement and then current age. The Company’s postretirement health care plan currently is not funded. The Company uses a September 1 measurement date for this plan. The status of the plan is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2260" w:type="dxa"/>
            <w:vAlign w:val="bottom"/>
            <w:gridSpan w:val="3"/>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w w:val="98"/>
              </w:rPr>
              <w:t>August 27, 2005</w:t>
            </w:r>
          </w:p>
        </w:tc>
        <w:tc>
          <w:tcPr>
            <w:tcW w:w="140" w:type="dxa"/>
            <w:vAlign w:val="bottom"/>
          </w:tcPr>
          <w:p>
            <w:pPr>
              <w:spacing w:after="0"/>
              <w:rPr>
                <w:sz w:val="15"/>
                <w:szCs w:val="15"/>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6"/>
              </w:rPr>
              <w:t>August 28, 2004</w:t>
            </w:r>
          </w:p>
        </w:tc>
        <w:tc>
          <w:tcPr>
            <w:tcW w:w="0" w:type="dxa"/>
            <w:vAlign w:val="bottom"/>
          </w:tcPr>
          <w:p>
            <w:pPr>
              <w:spacing w:after="0"/>
              <w:rPr>
                <w:sz w:val="1"/>
                <w:szCs w:val="1"/>
                <w:color w:val="auto"/>
              </w:rPr>
            </w:pPr>
          </w:p>
        </w:tc>
      </w:tr>
      <w:tr>
        <w:trPr>
          <w:trHeight w:val="89"/>
        </w:trPr>
        <w:tc>
          <w:tcPr>
            <w:tcW w:w="7560" w:type="dxa"/>
            <w:vAlign w:val="bottom"/>
            <w:gridSpan w:val="2"/>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14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benefit obligation, beginning of year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30,494</w:t>
            </w:r>
          </w:p>
        </w:tc>
        <w:tc>
          <w:tcPr>
            <w:tcW w:w="1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6F3E8"/>
          </w:tcPr>
          <w:p>
            <w:pPr>
              <w:ind w:left="160"/>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1,809</w:t>
            </w: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Actuarial loss</w:t>
            </w:r>
          </w:p>
        </w:tc>
        <w:tc>
          <w:tcPr>
            <w:tcW w:w="1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1,078</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6F3E8"/>
          </w:tcPr>
          <w:p>
            <w:pPr>
              <w:ind w:left="160"/>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910</w:t>
            </w: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benefits paid</w:t>
            </w:r>
          </w:p>
        </w:tc>
        <w:tc>
          <w:tcPr>
            <w:tcW w:w="140" w:type="dxa"/>
            <w:vAlign w:val="bottom"/>
          </w:tcPr>
          <w:p>
            <w:pPr>
              <w:spacing w:after="0"/>
              <w:rPr>
                <w:sz w:val="18"/>
                <w:szCs w:val="18"/>
                <w:color w:val="auto"/>
              </w:rPr>
            </w:pPr>
          </w:p>
        </w:tc>
        <w:tc>
          <w:tcPr>
            <w:tcW w:w="226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(619)</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6F3E8"/>
          </w:tcPr>
          <w:p>
            <w:pPr>
              <w:ind w:left="160"/>
              <w:spacing w:after="0"/>
              <w:rPr>
                <w:sz w:val="20"/>
                <w:szCs w:val="20"/>
                <w:color w:val="auto"/>
              </w:rPr>
            </w:pPr>
            <w:r>
              <w:rPr>
                <w:rFonts w:ascii="Times New Roman" w:cs="Times New Roman" w:eastAsia="Times New Roman" w:hAnsi="Times New Roman"/>
                <w:sz w:val="18"/>
                <w:szCs w:val="18"/>
                <w:color w:val="auto"/>
              </w:rPr>
              <w:t>Plan amendment</w:t>
            </w:r>
          </w:p>
        </w:tc>
        <w:tc>
          <w:tcPr>
            <w:tcW w:w="140" w:type="dxa"/>
            <w:vAlign w:val="bottom"/>
            <w:shd w:val="clear" w:color="auto" w:fill="D6F3E8"/>
          </w:tcPr>
          <w:p>
            <w:pPr>
              <w:spacing w:after="0"/>
              <w:rPr>
                <w:sz w:val="18"/>
                <w:szCs w:val="18"/>
                <w:color w:val="auto"/>
              </w:rPr>
            </w:pPr>
          </w:p>
        </w:tc>
        <w:tc>
          <w:tcPr>
            <w:tcW w:w="2260" w:type="dxa"/>
            <w:vAlign w:val="bottom"/>
            <w:gridSpan w:val="3"/>
            <w:shd w:val="clear" w:color="auto" w:fill="D6F3E8"/>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(40,414)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 obligation, end of year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33,672</w:t>
            </w:r>
          </w:p>
        </w:tc>
        <w:tc>
          <w:tcPr>
            <w:tcW w:w="1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Funded status</w:t>
            </w:r>
          </w:p>
        </w:tc>
        <w:tc>
          <w:tcPr>
            <w:tcW w:w="14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benefit obligation in excess of plan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33,672</w:t>
            </w:r>
          </w:p>
        </w:tc>
        <w:tc>
          <w:tcPr>
            <w:tcW w:w="1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Unrecognized cost:</w:t>
            </w:r>
          </w:p>
        </w:tc>
        <w:tc>
          <w:tcPr>
            <w:tcW w:w="14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actuarial loss</w:t>
            </w:r>
          </w:p>
        </w:tc>
        <w:tc>
          <w:tcPr>
            <w:tcW w:w="140" w:type="dxa"/>
            <w:vAlign w:val="bottom"/>
          </w:tcPr>
          <w:p>
            <w:pPr>
              <w:spacing w:after="0"/>
              <w:rPr>
                <w:sz w:val="18"/>
                <w:szCs w:val="18"/>
                <w:color w:val="auto"/>
              </w:rPr>
            </w:pPr>
          </w:p>
        </w:tc>
        <w:tc>
          <w:tcPr>
            <w:tcW w:w="2260" w:type="dxa"/>
            <w:vAlign w:val="bottom"/>
            <w:gridSpan w:val="3"/>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(24,325)</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D6F3E8"/>
          </w:tcPr>
          <w:p>
            <w:pPr>
              <w:ind w:left="160"/>
              <w:spacing w:after="0"/>
              <w:rPr>
                <w:sz w:val="20"/>
                <w:szCs w:val="20"/>
                <w:color w:val="auto"/>
              </w:rPr>
            </w:pPr>
            <w:r>
              <w:rPr>
                <w:rFonts w:ascii="Times New Roman" w:cs="Times New Roman" w:eastAsia="Times New Roman" w:hAnsi="Times New Roman"/>
                <w:sz w:val="18"/>
                <w:szCs w:val="18"/>
                <w:color w:val="auto"/>
              </w:rPr>
              <w:t>Prior service cost</w:t>
            </w:r>
          </w:p>
        </w:tc>
        <w:tc>
          <w:tcPr>
            <w:tcW w:w="14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43,143</w:t>
            </w: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47,391</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560" w:type="dxa"/>
            <w:vAlign w:val="bottom"/>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postretirement health care benefit cost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52,490</w:t>
            </w:r>
          </w:p>
        </w:tc>
        <w:tc>
          <w:tcPr>
            <w:tcW w:w="1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Effective September 2004, the Company amended its postretirement health care benefit by establishing a maximum employer contribution amount which resulted in a $40,414,000 reduction of the accumulated postretirement benefit obligation. This amendment significantly reduced the net postretirement health care expense in Fiscal 2005.</w:t>
      </w:r>
    </w:p>
    <w:p>
      <w:pPr>
        <w:spacing w:after="0" w:line="186"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The discount rate used in determining the accumulated postretirement benefit obligation was 5.5 percent at August 27, 2005 and 6.0 percent at August 28, 2004. The average assumed health care cost trend rate used in measuring the accumulated postretirement benefit obligations as of August 27, 2005 was 8.5 percent, decreasing each successive year until it reaches 4.5 percent in 2014 after which it remains constant.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postretirement benefit (income) expense for the past three fiscal years consisted of the following components: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August 27, 2005</w:t>
            </w:r>
          </w:p>
        </w:tc>
        <w:tc>
          <w:tcPr>
            <w:tcW w:w="140" w:type="dxa"/>
            <w:vAlign w:val="bottom"/>
          </w:tcPr>
          <w:p>
            <w:pPr>
              <w:spacing w:after="0"/>
              <w:rPr>
                <w:sz w:val="15"/>
                <w:szCs w:val="15"/>
                <w:color w:val="auto"/>
              </w:rPr>
            </w:pPr>
          </w:p>
        </w:tc>
        <w:tc>
          <w:tcPr>
            <w:tcW w:w="2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August 28, 2004</w:t>
            </w:r>
          </w:p>
        </w:tc>
        <w:tc>
          <w:tcPr>
            <w:tcW w:w="140" w:type="dxa"/>
            <w:vAlign w:val="bottom"/>
          </w:tcPr>
          <w:p>
            <w:pPr>
              <w:spacing w:after="0"/>
              <w:rPr>
                <w:sz w:val="15"/>
                <w:szCs w:val="15"/>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6"/>
              </w:rPr>
              <w:t>August 30, 2003</w:t>
            </w:r>
          </w:p>
        </w:tc>
        <w:tc>
          <w:tcPr>
            <w:tcW w:w="0" w:type="dxa"/>
            <w:vAlign w:val="bottom"/>
          </w:tcPr>
          <w:p>
            <w:pPr>
              <w:spacing w:after="0"/>
              <w:rPr>
                <w:sz w:val="1"/>
                <w:szCs w:val="1"/>
                <w:color w:val="auto"/>
              </w:rPr>
            </w:pPr>
          </w:p>
        </w:tc>
      </w:tr>
      <w:tr>
        <w:trPr>
          <w:trHeight w:val="89"/>
        </w:trPr>
        <w:tc>
          <w:tcPr>
            <w:tcW w:w="5160" w:type="dxa"/>
            <w:vAlign w:val="bottom"/>
            <w:gridSpan w:val="2"/>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1,809</w:t>
            </w:r>
          </w:p>
        </w:tc>
        <w:tc>
          <w:tcPr>
            <w:tcW w:w="11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3,787</w:t>
            </w: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910</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2,536</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amortization and deferral</w:t>
            </w:r>
          </w:p>
        </w:tc>
        <w:tc>
          <w:tcPr>
            <w:tcW w:w="140" w:type="dxa"/>
            <w:vAlign w:val="bottom"/>
            <w:shd w:val="clear" w:color="auto" w:fill="D6F3E8"/>
          </w:tcPr>
          <w:p>
            <w:pPr>
              <w:spacing w:after="0"/>
              <w:rPr>
                <w:sz w:val="18"/>
                <w:szCs w:val="18"/>
                <w:color w:val="auto"/>
              </w:rPr>
            </w:pPr>
          </w:p>
        </w:tc>
        <w:tc>
          <w:tcPr>
            <w:tcW w:w="2260" w:type="dxa"/>
            <w:vAlign w:val="bottom"/>
            <w:gridSpan w:val="2"/>
            <w:shd w:val="clear" w:color="auto" w:fill="D6F3E8"/>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(2,978)</w:t>
            </w: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108"/>
        </w:trPr>
        <w:tc>
          <w:tcPr>
            <w:tcW w:w="5160" w:type="dxa"/>
            <w:vAlign w:val="bottom"/>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periodic postretirement benefit (income) expense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6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(259)</w:t>
            </w: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6,394</w:t>
            </w:r>
          </w:p>
        </w:tc>
        <w:tc>
          <w:tcPr>
            <w:tcW w:w="1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35" w:name="page36"/>
    <w:bookmarkEnd w:id="35"/>
    <w:p>
      <w:pPr>
        <w:ind w:right="80"/>
        <w:spacing w:after="0" w:line="275" w:lineRule="auto"/>
        <w:rPr>
          <w:sz w:val="20"/>
          <w:szCs w:val="20"/>
          <w:color w:val="auto"/>
        </w:rPr>
      </w:pPr>
      <w:r>
        <w:rPr>
          <w:rFonts w:ascii="Times New Roman" w:cs="Times New Roman" w:eastAsia="Times New Roman" w:hAnsi="Times New Roman"/>
          <w:sz w:val="18"/>
          <w:szCs w:val="18"/>
          <w:color w:val="auto"/>
        </w:rPr>
        <w:t>Assumed health care cost trend rates have a significant effect on the amounts reported for the health care plans. A one percentage point change in assumed health care cost trend rates would have the following effects: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gridSpan w:val="4"/>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w w:val="97"/>
              </w:rPr>
              <w:t>One Percentage</w:t>
            </w:r>
          </w:p>
        </w:tc>
        <w:tc>
          <w:tcPr>
            <w:tcW w:w="140" w:type="dxa"/>
            <w:vAlign w:val="bottom"/>
          </w:tcPr>
          <w:p>
            <w:pPr>
              <w:spacing w:after="0"/>
              <w:rPr>
                <w:sz w:val="13"/>
                <w:szCs w:val="13"/>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One Percentage</w:t>
            </w:r>
          </w:p>
        </w:tc>
        <w:tc>
          <w:tcPr>
            <w:tcW w:w="0" w:type="dxa"/>
            <w:vAlign w:val="bottom"/>
          </w:tcPr>
          <w:p>
            <w:pPr>
              <w:spacing w:after="0"/>
              <w:rPr>
                <w:sz w:val="1"/>
                <w:szCs w:val="1"/>
                <w:color w:val="auto"/>
              </w:rPr>
            </w:pPr>
          </w:p>
        </w:tc>
      </w:tr>
      <w:tr>
        <w:trPr>
          <w:trHeight w:val="178"/>
        </w:trPr>
        <w:tc>
          <w:tcPr>
            <w:tcW w:w="73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4"/>
          </w:tcPr>
          <w:p>
            <w:pPr>
              <w:jc w:val="right"/>
              <w:ind w:right="1360"/>
              <w:spacing w:after="0"/>
              <w:rPr>
                <w:sz w:val="20"/>
                <w:szCs w:val="20"/>
                <w:color w:val="auto"/>
              </w:rPr>
            </w:pPr>
            <w:r>
              <w:rPr>
                <w:rFonts w:ascii="Times New Roman" w:cs="Times New Roman" w:eastAsia="Times New Roman" w:hAnsi="Times New Roman"/>
                <w:sz w:val="14"/>
                <w:szCs w:val="14"/>
                <w:b w:val="1"/>
                <w:bCs w:val="1"/>
                <w:color w:val="auto"/>
              </w:rPr>
              <w:t>Point Increase</w:t>
            </w:r>
          </w:p>
        </w:tc>
        <w:tc>
          <w:tcPr>
            <w:tcW w:w="140" w:type="dxa"/>
            <w:vAlign w:val="bottom"/>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Point Decrease</w:t>
            </w:r>
          </w:p>
        </w:tc>
        <w:tc>
          <w:tcPr>
            <w:tcW w:w="0" w:type="dxa"/>
            <w:vAlign w:val="bottom"/>
          </w:tcPr>
          <w:p>
            <w:pPr>
              <w:spacing w:after="0"/>
              <w:rPr>
                <w:sz w:val="1"/>
                <w:szCs w:val="1"/>
                <w:color w:val="auto"/>
              </w:rPr>
            </w:pPr>
          </w:p>
        </w:tc>
      </w:tr>
      <w:tr>
        <w:trPr>
          <w:trHeight w:val="89"/>
        </w:trPr>
        <w:tc>
          <w:tcPr>
            <w:tcW w:w="7360" w:type="dxa"/>
            <w:vAlign w:val="bottom"/>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3"/>
            <w:shd w:val="clear" w:color="auto" w:fill="D6F3E8"/>
          </w:tcPr>
          <w:p>
            <w:pPr>
              <w:spacing w:after="0"/>
              <w:rPr>
                <w:sz w:val="20"/>
                <w:szCs w:val="20"/>
                <w:color w:val="auto"/>
              </w:rPr>
            </w:pPr>
            <w:r>
              <w:rPr>
                <w:rFonts w:ascii="Times New Roman" w:cs="Times New Roman" w:eastAsia="Times New Roman" w:hAnsi="Times New Roman"/>
                <w:sz w:val="18"/>
                <w:szCs w:val="18"/>
                <w:color w:val="auto"/>
              </w:rPr>
              <w:t>Effect on total of service and interest cost components</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4"/>
            <w:shd w:val="clear" w:color="auto" w:fill="D6F3E8"/>
          </w:tcPr>
          <w:p>
            <w:pPr>
              <w:jc w:val="right"/>
              <w:ind w:right="114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Effect on postretirement benefit obligation</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4"/>
          </w:tcPr>
          <w:p>
            <w:pPr>
              <w:jc w:val="right"/>
              <w:ind w:right="1140"/>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904"/>
        </w:trPr>
        <w:tc>
          <w:tcPr>
            <w:tcW w:w="6160" w:type="dxa"/>
            <w:vAlign w:val="bottom"/>
            <w:gridSpan w:val="3"/>
          </w:tcPr>
          <w:p>
            <w:pPr>
              <w:jc w:val="right"/>
              <w:ind w:right="275"/>
              <w:spacing w:after="0"/>
              <w:rPr>
                <w:sz w:val="20"/>
                <w:szCs w:val="20"/>
                <w:color w:val="auto"/>
              </w:rPr>
            </w:pPr>
            <w:r>
              <w:rPr>
                <w:rFonts w:ascii="Times New Roman" w:cs="Times New Roman" w:eastAsia="Times New Roman" w:hAnsi="Times New Roman"/>
                <w:sz w:val="18"/>
                <w:szCs w:val="18"/>
                <w:color w:val="auto"/>
              </w:rPr>
              <w:t>27</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2860" w:type="dxa"/>
            <w:vAlign w:val="bottom"/>
            <w:tcBorders>
              <w:bottom w:val="single" w:sz="8" w:color="808080"/>
            </w:tcBorders>
          </w:tcPr>
          <w:p>
            <w:pPr>
              <w:spacing w:after="0"/>
              <w:rPr>
                <w:sz w:val="21"/>
                <w:szCs w:val="21"/>
                <w:color w:val="auto"/>
              </w:rPr>
            </w:pPr>
          </w:p>
        </w:tc>
        <w:tc>
          <w:tcPr>
            <w:tcW w:w="3280" w:type="dxa"/>
            <w:vAlign w:val="bottom"/>
            <w:tcBorders>
              <w:bottom w:val="single" w:sz="8" w:color="808080"/>
            </w:tcBorders>
          </w:tcPr>
          <w:p>
            <w:pPr>
              <w:spacing w:after="0"/>
              <w:rPr>
                <w:sz w:val="21"/>
                <w:szCs w:val="21"/>
                <w:color w:val="auto"/>
              </w:rPr>
            </w:pPr>
          </w:p>
        </w:tc>
        <w:tc>
          <w:tcPr>
            <w:tcW w:w="120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11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10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80" w:type="dxa"/>
            <w:vAlign w:val="bottom"/>
            <w:gridSpan w:val="2"/>
          </w:tcPr>
          <w:p>
            <w:pPr>
              <w:jc w:val="center"/>
              <w:ind w:left="1115"/>
              <w:spacing w:after="0"/>
              <w:rPr>
                <w:sz w:val="20"/>
                <w:szCs w:val="20"/>
                <w:color w:val="auto"/>
              </w:rPr>
            </w:pPr>
            <w:r>
              <w:rPr>
                <w:rFonts w:ascii="Times New Roman" w:cs="Times New Roman" w:eastAsia="Times New Roman" w:hAnsi="Times New Roman"/>
                <w:sz w:val="18"/>
                <w:szCs w:val="18"/>
                <w:color w:val="auto"/>
                <w:w w:val="96"/>
              </w:rPr>
              <w:t>[GRAPHIC]</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Expected future benefit payments for postretirement health care for the next ten years are as follows: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7340" w:type="dxa"/>
            <w:vAlign w:val="bottom"/>
            <w:gridSpan w:val="3"/>
          </w:tcPr>
          <w:p>
            <w:pPr>
              <w:ind w:left="28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4480" w:type="dxa"/>
            <w:vAlign w:val="bottom"/>
            <w:gridSpan w:val="2"/>
          </w:tcPr>
          <w:p>
            <w:pPr>
              <w:ind w:left="13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5"/>
                <w:szCs w:val="15"/>
                <w:color w:val="auto"/>
              </w:rPr>
            </w:pPr>
          </w:p>
        </w:tc>
        <w:tc>
          <w:tcPr>
            <w:tcW w:w="2400" w:type="dxa"/>
            <w:vAlign w:val="bottom"/>
            <w:gridSpan w:val="5"/>
          </w:tcPr>
          <w:p>
            <w:pPr>
              <w:jc w:val="right"/>
              <w:ind w:right="18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880" w:type="dxa"/>
            <w:vAlign w:val="bottom"/>
            <w:gridSpan w:val="2"/>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880" w:type="dxa"/>
            <w:vAlign w:val="bottom"/>
            <w:gridSpan w:val="2"/>
            <w:vMerge w:val="restart"/>
          </w:tcPr>
          <w:p>
            <w:pPr>
              <w:spacing w:after="0"/>
              <w:rPr>
                <w:sz w:val="8"/>
                <w:szCs w:val="8"/>
                <w:color w:val="auto"/>
              </w:rPr>
            </w:pPr>
          </w:p>
        </w:tc>
        <w:tc>
          <w:tcPr>
            <w:tcW w:w="3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80" w:type="dxa"/>
            <w:vAlign w:val="bottom"/>
            <w:gridSpan w:val="2"/>
            <w:vMerge w:val="continue"/>
          </w:tcPr>
          <w:p>
            <w:pPr>
              <w:spacing w:after="0"/>
              <w:rPr>
                <w:sz w:val="18"/>
                <w:szCs w:val="18"/>
                <w:color w:val="auto"/>
              </w:rPr>
            </w:pPr>
          </w:p>
        </w:tc>
        <w:tc>
          <w:tcPr>
            <w:tcW w:w="3280" w:type="dxa"/>
            <w:vAlign w:val="bottom"/>
            <w:shd w:val="clear" w:color="auto" w:fill="D6F3E7"/>
          </w:tcPr>
          <w:p>
            <w:pPr>
              <w:jc w:val="center"/>
              <w:spacing w:after="0"/>
              <w:rPr>
                <w:sz w:val="20"/>
                <w:szCs w:val="20"/>
                <w:color w:val="auto"/>
              </w:rPr>
            </w:pPr>
            <w:r>
              <w:rPr>
                <w:rFonts w:ascii="Times New Roman" w:cs="Times New Roman" w:eastAsia="Times New Roman" w:hAnsi="Times New Roman"/>
                <w:sz w:val="18"/>
                <w:szCs w:val="18"/>
                <w:color w:val="auto"/>
                <w:w w:val="94"/>
              </w:rPr>
              <w:t>2006</w:t>
            </w:r>
          </w:p>
        </w:tc>
        <w:tc>
          <w:tcPr>
            <w:tcW w:w="1200" w:type="dxa"/>
            <w:vAlign w:val="bottom"/>
            <w:shd w:val="clear" w:color="auto" w:fill="D6F3E7"/>
          </w:tcPr>
          <w:p>
            <w:pPr>
              <w:spacing w:after="0"/>
              <w:rPr>
                <w:sz w:val="18"/>
                <w:szCs w:val="18"/>
                <w:color w:val="auto"/>
              </w:rPr>
            </w:pPr>
          </w:p>
        </w:tc>
        <w:tc>
          <w:tcPr>
            <w:tcW w:w="200" w:type="dxa"/>
            <w:vAlign w:val="bottom"/>
            <w:shd w:val="clear" w:color="auto" w:fill="D6F3E7"/>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D6F3E7"/>
          </w:tcPr>
          <w:p>
            <w:pPr>
              <w:spacing w:after="0"/>
              <w:rPr>
                <w:sz w:val="18"/>
                <w:szCs w:val="18"/>
                <w:color w:val="auto"/>
              </w:rPr>
            </w:pPr>
          </w:p>
        </w:tc>
        <w:tc>
          <w:tcPr>
            <w:tcW w:w="760" w:type="dxa"/>
            <w:vAlign w:val="bottom"/>
            <w:shd w:val="clear" w:color="auto" w:fill="D6F3E7"/>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20" w:type="dxa"/>
            <w:vAlign w:val="bottom"/>
            <w:shd w:val="clear" w:color="auto" w:fill="D6F3E7"/>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18"/>
                <w:szCs w:val="18"/>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2007</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18"/>
                <w:szCs w:val="18"/>
                <w:color w:val="auto"/>
              </w:rPr>
            </w:pPr>
          </w:p>
        </w:tc>
        <w:tc>
          <w:tcPr>
            <w:tcW w:w="3280" w:type="dxa"/>
            <w:vAlign w:val="bottom"/>
            <w:shd w:val="clear" w:color="auto" w:fill="D6F3E7"/>
          </w:tcPr>
          <w:p>
            <w:pPr>
              <w:jc w:val="center"/>
              <w:spacing w:after="0"/>
              <w:rPr>
                <w:sz w:val="20"/>
                <w:szCs w:val="20"/>
                <w:color w:val="auto"/>
              </w:rPr>
            </w:pPr>
            <w:r>
              <w:rPr>
                <w:rFonts w:ascii="Times New Roman" w:cs="Times New Roman" w:eastAsia="Times New Roman" w:hAnsi="Times New Roman"/>
                <w:sz w:val="18"/>
                <w:szCs w:val="18"/>
                <w:color w:val="auto"/>
                <w:w w:val="94"/>
              </w:rPr>
              <w:t>2008</w:t>
            </w:r>
          </w:p>
        </w:tc>
        <w:tc>
          <w:tcPr>
            <w:tcW w:w="1200" w:type="dxa"/>
            <w:vAlign w:val="bottom"/>
            <w:shd w:val="clear" w:color="auto" w:fill="D6F3E7"/>
          </w:tcPr>
          <w:p>
            <w:pPr>
              <w:spacing w:after="0"/>
              <w:rPr>
                <w:sz w:val="18"/>
                <w:szCs w:val="18"/>
                <w:color w:val="auto"/>
              </w:rPr>
            </w:pPr>
          </w:p>
        </w:tc>
        <w:tc>
          <w:tcPr>
            <w:tcW w:w="200" w:type="dxa"/>
            <w:vAlign w:val="bottom"/>
            <w:shd w:val="clear" w:color="auto" w:fill="D6F3E7"/>
          </w:tcPr>
          <w:p>
            <w:pPr>
              <w:spacing w:after="0"/>
              <w:rPr>
                <w:sz w:val="18"/>
                <w:szCs w:val="18"/>
                <w:color w:val="auto"/>
              </w:rPr>
            </w:pPr>
          </w:p>
        </w:tc>
        <w:tc>
          <w:tcPr>
            <w:tcW w:w="140" w:type="dxa"/>
            <w:vAlign w:val="bottom"/>
            <w:shd w:val="clear" w:color="auto" w:fill="D6F3E7"/>
          </w:tcPr>
          <w:p>
            <w:pPr>
              <w:spacing w:after="0"/>
              <w:rPr>
                <w:sz w:val="18"/>
                <w:szCs w:val="18"/>
                <w:color w:val="auto"/>
              </w:rPr>
            </w:pPr>
          </w:p>
        </w:tc>
        <w:tc>
          <w:tcPr>
            <w:tcW w:w="760" w:type="dxa"/>
            <w:vAlign w:val="bottom"/>
            <w:shd w:val="clear" w:color="auto" w:fill="D6F3E7"/>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shd w:val="clear" w:color="auto" w:fill="D6F3E7"/>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18"/>
                <w:szCs w:val="18"/>
                <w:color w:val="auto"/>
              </w:rPr>
            </w:pP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2009</w:t>
            </w: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18"/>
                <w:szCs w:val="18"/>
                <w:color w:val="auto"/>
              </w:rPr>
            </w:pPr>
          </w:p>
        </w:tc>
        <w:tc>
          <w:tcPr>
            <w:tcW w:w="3280" w:type="dxa"/>
            <w:vAlign w:val="bottom"/>
            <w:shd w:val="clear" w:color="auto" w:fill="D6F3E7"/>
          </w:tcPr>
          <w:p>
            <w:pPr>
              <w:jc w:val="center"/>
              <w:spacing w:after="0"/>
              <w:rPr>
                <w:sz w:val="20"/>
                <w:szCs w:val="20"/>
                <w:color w:val="auto"/>
              </w:rPr>
            </w:pPr>
            <w:r>
              <w:rPr>
                <w:rFonts w:ascii="Times New Roman" w:cs="Times New Roman" w:eastAsia="Times New Roman" w:hAnsi="Times New Roman"/>
                <w:sz w:val="18"/>
                <w:szCs w:val="18"/>
                <w:color w:val="auto"/>
                <w:w w:val="94"/>
              </w:rPr>
              <w:t>2010</w:t>
            </w:r>
          </w:p>
        </w:tc>
        <w:tc>
          <w:tcPr>
            <w:tcW w:w="1200" w:type="dxa"/>
            <w:vAlign w:val="bottom"/>
            <w:shd w:val="clear" w:color="auto" w:fill="D6F3E7"/>
          </w:tcPr>
          <w:p>
            <w:pPr>
              <w:spacing w:after="0"/>
              <w:rPr>
                <w:sz w:val="18"/>
                <w:szCs w:val="18"/>
                <w:color w:val="auto"/>
              </w:rPr>
            </w:pPr>
          </w:p>
        </w:tc>
        <w:tc>
          <w:tcPr>
            <w:tcW w:w="200" w:type="dxa"/>
            <w:vAlign w:val="bottom"/>
            <w:shd w:val="clear" w:color="auto" w:fill="D6F3E7"/>
          </w:tcPr>
          <w:p>
            <w:pPr>
              <w:spacing w:after="0"/>
              <w:rPr>
                <w:sz w:val="18"/>
                <w:szCs w:val="18"/>
                <w:color w:val="auto"/>
              </w:rPr>
            </w:pPr>
          </w:p>
        </w:tc>
        <w:tc>
          <w:tcPr>
            <w:tcW w:w="140" w:type="dxa"/>
            <w:vAlign w:val="bottom"/>
            <w:shd w:val="clear" w:color="auto" w:fill="D6F3E7"/>
          </w:tcPr>
          <w:p>
            <w:pPr>
              <w:spacing w:after="0"/>
              <w:rPr>
                <w:sz w:val="18"/>
                <w:szCs w:val="18"/>
                <w:color w:val="auto"/>
              </w:rPr>
            </w:pPr>
          </w:p>
        </w:tc>
        <w:tc>
          <w:tcPr>
            <w:tcW w:w="760" w:type="dxa"/>
            <w:vAlign w:val="bottom"/>
            <w:shd w:val="clear" w:color="auto" w:fill="D6F3E7"/>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20" w:type="dxa"/>
            <w:vAlign w:val="bottom"/>
            <w:shd w:val="clear" w:color="auto" w:fill="D6F3E7"/>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480" w:type="dxa"/>
            <w:vAlign w:val="bottom"/>
            <w:gridSpan w:val="2"/>
          </w:tcPr>
          <w:p>
            <w:pPr>
              <w:jc w:val="center"/>
              <w:ind w:right="1220"/>
              <w:spacing w:after="0"/>
              <w:rPr>
                <w:sz w:val="20"/>
                <w:szCs w:val="20"/>
                <w:color w:val="auto"/>
              </w:rPr>
            </w:pPr>
            <w:r>
              <w:rPr>
                <w:rFonts w:ascii="Times New Roman" w:cs="Times New Roman" w:eastAsia="Times New Roman" w:hAnsi="Times New Roman"/>
                <w:sz w:val="18"/>
                <w:szCs w:val="18"/>
                <w:color w:val="auto"/>
                <w:w w:val="95"/>
              </w:rPr>
              <w:t>2011 – 2015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80" w:type="dxa"/>
            <w:vAlign w:val="bottom"/>
            <w:shd w:val="clear" w:color="auto" w:fill="D6F3E7"/>
          </w:tcPr>
          <w:p>
            <w:pPr>
              <w:spacing w:after="0"/>
              <w:rPr>
                <w:sz w:val="18"/>
                <w:szCs w:val="18"/>
                <w:color w:val="auto"/>
              </w:rPr>
            </w:pPr>
          </w:p>
        </w:tc>
        <w:tc>
          <w:tcPr>
            <w:tcW w:w="1200" w:type="dxa"/>
            <w:vAlign w:val="bottom"/>
            <w:shd w:val="clear" w:color="auto" w:fill="D6F3E7"/>
          </w:tcPr>
          <w:p>
            <w:pPr>
              <w:spacing w:after="0"/>
              <w:rPr>
                <w:sz w:val="18"/>
                <w:szCs w:val="18"/>
                <w:color w:val="auto"/>
              </w:rPr>
            </w:pPr>
          </w:p>
        </w:tc>
        <w:tc>
          <w:tcPr>
            <w:tcW w:w="200" w:type="dxa"/>
            <w:vAlign w:val="bottom"/>
            <w:shd w:val="clear" w:color="auto" w:fill="D6F3E7"/>
          </w:tcPr>
          <w:p>
            <w:pPr>
              <w:jc w:val="right"/>
              <w:ind w:right="38"/>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D6F3E7"/>
          </w:tcPr>
          <w:p>
            <w:pPr>
              <w:spacing w:after="0"/>
              <w:rPr>
                <w:sz w:val="18"/>
                <w:szCs w:val="18"/>
                <w:color w:val="auto"/>
              </w:rPr>
            </w:pPr>
          </w:p>
        </w:tc>
        <w:tc>
          <w:tcPr>
            <w:tcW w:w="760" w:type="dxa"/>
            <w:vAlign w:val="bottom"/>
            <w:shd w:val="clear" w:color="auto" w:fill="D6F3E7"/>
          </w:tcPr>
          <w:p>
            <w:pPr>
              <w:jc w:val="right"/>
              <w:spacing w:after="0"/>
              <w:rPr>
                <w:sz w:val="20"/>
                <w:szCs w:val="20"/>
                <w:color w:val="auto"/>
              </w:rPr>
            </w:pPr>
            <w:r>
              <w:rPr>
                <w:rFonts w:ascii="Times New Roman" w:cs="Times New Roman" w:eastAsia="Times New Roman" w:hAnsi="Times New Roman"/>
                <w:sz w:val="18"/>
                <w:szCs w:val="18"/>
                <w:color w:val="auto"/>
              </w:rPr>
              <w:t>15,400</w:t>
            </w:r>
          </w:p>
        </w:tc>
        <w:tc>
          <w:tcPr>
            <w:tcW w:w="120" w:type="dxa"/>
            <w:vAlign w:val="bottom"/>
            <w:shd w:val="clear" w:color="auto" w:fill="D6F3E7"/>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-2473325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-2473325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both"/>
        <w:ind w:right="160"/>
        <w:spacing w:after="0" w:line="275" w:lineRule="auto"/>
        <w:rPr>
          <w:sz w:val="20"/>
          <w:szCs w:val="20"/>
          <w:color w:val="auto"/>
        </w:rPr>
      </w:pPr>
      <w:r>
        <w:rPr>
          <w:rFonts w:ascii="Times New Roman" w:cs="Times New Roman" w:eastAsia="Times New Roman" w:hAnsi="Times New Roman"/>
          <w:sz w:val="18"/>
          <w:szCs w:val="18"/>
          <w:color w:val="auto"/>
        </w:rPr>
        <w:t>The expected benefits have been estimated based on the same assumptions used to measure the Company’s benefit obligation as of August 27, 2005 and include benefits attached to estimated future employee’s services.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Deferred Compensation Benefits.</w:t>
      </w:r>
    </w:p>
    <w:p>
      <w:pPr>
        <w:spacing w:after="0" w:line="27"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6"/>
          <w:szCs w:val="16"/>
          <w:color w:val="auto"/>
        </w:rPr>
        <w:t>The Company has a nonqualified deferred compensation program which permitted key employees to annually elect (via individual contracts)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the later of age 55 and five years of service since the deferral was made. For deferrals prior to December 1992, vesting occurs at the later of age 55 and five years of service from first deferral or 20 years of service. Deferred compensation expense was $1,467,000, $7,669,000 and $1,629,000 in Fiscal 2005, 2004 and 2003, respectively. (See Note 7.) Total deferred compensation liabilities were $25,000,000 and $25,702,000 at August 27, 2005 and August 28, 2004, respectively.</w:t>
      </w:r>
    </w:p>
    <w:p>
      <w:pPr>
        <w:spacing w:after="0" w:line="168"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To assist in funding the deferred compensation liability, the Company has invested in corporate owned life insurance policies. The cash surrender value of these policies (net of borrowings of $19,403,000 and $17,866,000 at August 27, 2005 and August 28, 2004, respectively) are presented as assets of the Company in the accompanying consolidated balance sheets.</w:t>
      </w:r>
    </w:p>
    <w:p>
      <w:pPr>
        <w:spacing w:after="0" w:line="186"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In addition, the Company has a nonqualified share option program which permits participants in the Executive Share Option Plan (the “Executive Plan”) to choose to exchange a portion of their salary or other eligible compensation for options on selected mutual funds. Total Executive Plan assets are presented as other assets and total Executive Plan liabilities as postretirement health care and deferred compensation benefits of the Company in the accompanying consolidated balance sheets. Such assets on August 27, 2005 and August 28 2004 were $12,628,000 and $11,116,000, respectively, and the liabilities were $9,896,000 and $8,333,000, respectively.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Profit Sharing Plan.</w:t>
      </w:r>
    </w:p>
    <w:p>
      <w:pPr>
        <w:spacing w:after="0" w:line="27" w:lineRule="exact"/>
        <w:rPr>
          <w:sz w:val="20"/>
          <w:szCs w:val="20"/>
          <w:color w:val="auto"/>
        </w:rPr>
      </w:pPr>
    </w:p>
    <w:p>
      <w:pPr>
        <w:ind w:right="360"/>
        <w:spacing w:after="0" w:line="251" w:lineRule="auto"/>
        <w:rPr>
          <w:sz w:val="20"/>
          <w:szCs w:val="20"/>
          <w:color w:val="auto"/>
        </w:rPr>
      </w:pPr>
      <w:r>
        <w:rPr>
          <w:rFonts w:ascii="Times New Roman" w:cs="Times New Roman" w:eastAsia="Times New Roman" w:hAnsi="Times New Roman"/>
          <w:sz w:val="18"/>
          <w:szCs w:val="18"/>
          <w:color w:val="auto"/>
        </w:rPr>
        <w:t>The Company has a qualified profit sharing and contributory 401(k) plan for eligible employees. The plan provides for cash contributions by the Company in such amounts as the Board of Directors may determine. Contributions to the plan in cash for Fiscal 2005, 2004 and 2003 were $3,358,000, $3,189,000 and $2,809,000,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7:  Contingent Liabilities and Commitments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Repurchase Commitments.</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Generally, companies in the RV industry enter into repurchase agreements with lending institutions which have provided wholesale floorplan financing to dealers. Most dealers’ motor homes are financed on a “floorplan” basis under which a bank or finance company lends the dealer all, or substantially all, of the purchase price, collateralized by a security interest in the motor homes purchased.</w:t>
      </w:r>
    </w:p>
    <w:p>
      <w:pPr>
        <w:spacing w:after="0" w:line="195"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6"/>
          <w:szCs w:val="16"/>
          <w:color w:val="auto"/>
        </w:rPr>
        <w:t>The Company’s repurchase agreements provide that, in the event of default by the dealer on the agreement to pay the lending institution, the Company will repurchase the financed merchandise. The agreements provide that the Company’s liability will not exceed 100 percent of the dealer invoice and provide for periodic liability reductions based on the time since the date of the original invoice. These repurchase obligations expire upon the earlier to occur of (i) the dealer’s sale of the financed unit or (ii) one year from the date of the original invoice. The Company’s contingent obligations under these repurchase agreements are reduced by the proceeds received upon the resale of any repurchased unit. The Company’s contingent liability on these repurchase agreements was approximately $345,215,000 and $353,624,000 at August 27, 2005 and August 28, 2004, respectively. The Company’s losses under repurchase agreements were</w:t>
      </w:r>
    </w:p>
    <w:p>
      <w:pPr>
        <w:sectPr>
          <w:pgSz w:w="11900" w:h="16838" w:orient="portrait"/>
          <w:cols w:equalWidth="0" w:num="1">
            <w:col w:w="11420"/>
          </w:cols>
          <w:pgMar w:left="240" w:top="584" w:right="239" w:bottom="0" w:gutter="0" w:footer="0" w:header="0"/>
        </w:sectPr>
      </w:pPr>
    </w:p>
    <w:bookmarkStart w:id="36" w:name="page37"/>
    <w:bookmarkEnd w:id="36"/>
    <w:p>
      <w:pPr>
        <w:ind w:right="260"/>
        <w:spacing w:after="0" w:line="275" w:lineRule="auto"/>
        <w:rPr>
          <w:sz w:val="20"/>
          <w:szCs w:val="20"/>
          <w:color w:val="auto"/>
        </w:rPr>
      </w:pPr>
      <w:r>
        <w:rPr>
          <w:rFonts w:ascii="Times New Roman" w:cs="Times New Roman" w:eastAsia="Times New Roman" w:hAnsi="Times New Roman"/>
          <w:sz w:val="18"/>
          <w:szCs w:val="18"/>
          <w:color w:val="auto"/>
        </w:rPr>
        <w:t>approximately $33,000, $0 and $129,000 during Fiscal 2005, 2004 and 2003, respectively, and charged against the reserve the Company carries on its balance sheet. The reserve for repurchases at August 27, 2005 and August 28, 2004 was approximately $225,000 and $289,000, respectively.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[GRAPHIC]</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also entered into a repurchase agreement on February 1, 2002 with a banking institution which called for a liability reduction of two percent of the original invoice every month for 24 months, at which time the repurchase obligation terminates. The Company’s contingent liability under this agreement was approximately $0 and $1,772,000 at August 27, 2005 and August 28, 2004, respectively. The Company did not incur any losses under this repurchase agreement during Fiscal 2005, 2004, and 2003. The initial agreement covered a two-year period with the option, subject to annual renewal, at the discretion of the parties. The agreement was renewed as of February 1, 2004. However, during the first quarter of Fiscal 2005, the dealer involved transferred its financing to a different institution, thus eliminating the Company’s liability under this agreement.</w:t>
      </w:r>
    </w:p>
    <w:p>
      <w:pPr>
        <w:spacing w:after="0" w:line="19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records an estimated expense and loss reserve in each accounting period based upon its extensive history and experience under repurchase agreements with the lenders to the Company’s dealers. As of August 27, 2005, historical data shows that less than 1.0 percent of the outstanding repurchase liability is potentially repurchased and the estimated loss reserve of approximately 8.0 percent of such repurchase is established on loss history of the repurchased products. Upon resale of the repurchased units, the Company does not record the transaction as revenue. The difference between the repurchase price and the net proceeds received from reselling the units is charged against the Company’s reserve for losses on repurchases.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Guarantees For Suppliers.</w:t>
      </w:r>
    </w:p>
    <w:p>
      <w:pPr>
        <w:spacing w:after="0" w:line="27"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During the second quarter of Fiscal 2002, the Company entered into a five-year services agreement (the “Agreement”) with an unaffiliated third-party paint Supplier (the “Supplier”) and the Forest City Economic Development, Inc., an Iowa nonprofit corporation (the “FCED”), requiring the Supplier to provide RV paint services to the Company. Three of the Company’s officers have board seats on the 20-member FCED board. The FCED constructed and debt financed a paint facility on its land adjoining the Company’s Forest City manufacturing plant for the Supplier and the Supplier leases the land and facility from the FCED under a lease that expires in August 2012. In the event of termination of the Agreement by any of the parties involved before September 1, 2007, the rights and obligations of the Supplier under the lease would be transferred to the Company. As of August 27, 2005, the Supplier is current with its lease payment obligations to the FCED with approximately $3,434,000 remaining to be paid through August 2012. Under the terms of the Agreement in the event of a default by the Supplier, the Company would be obligated to purchase from the Supplier approximately $1,232,000 of equipment installed in the paint facility at net book value of $605,000 and is obligated to assume payment obligations for approximately $45,000 in capital equipment leases ($15,000 remaining to be paid at August 27, 2005). In the second quarter of Fiscal 2002, the Company guaranteed $700,000 of the FCED’s $2,200,000 bank debt for the construction of the paint facility leased by the Supplier. The Company also pledged a $500,000 certificate of deposit to the bank to collateralize a portion of its $700,000 guarantee.</w:t>
      </w:r>
    </w:p>
    <w:p>
      <w:pPr>
        <w:spacing w:after="0" w:line="17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During the first quarter of Fiscal 2004, the debt obligations for the FCED’s paint facility were renegotiated from $2,200,000 to $2,925,000 and as part of this transaction, the Company executed a new guarantee whereby the amount of the guarantee was reduced from $700,000 to $500,000 with the Company continuing to agree to pledge a $500,000 certificate of deposit to the bank. The term of the guarantee coincides with the payment of the first $500,000 of lease obligations of the Supplier scheduled to be paid by February of 2006. As a result of the new guarantee, the Company recorded a $500,000 liability in the first quarter of Fiscal 2004 which will be amortized as the FCED makes its monthly debt payments funded by monthly lease payments from the Supplier. The balance of the guarantee as of August 27, 2005 was approximately $79,000.</w:t>
      </w:r>
    </w:p>
    <w:p>
      <w:pPr>
        <w:spacing w:after="0" w:line="19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second quarter of Fiscal 2004, the Company entered into a five-year limited guarantee agreement (“Guarantee Agreement”) with a leasing corporation (“Landlord”) and previously discussed Supplier. The Landlord constructed a paint facility through debt financing on land adjoining the Company’s Charles City manufacturing plant for the Supplier. The Landlord and the Supplier have signed a ten-year lease agreement which commenced on August 1, 2004. The Guarantee Agreement states that the Company will guarantee the first 60 monthly lease payments (totaling approximately $1,559,000 of which $1,143,000 was remaining as of August 27, 2005). In the event of rental default before August 2009 and the Supplier’s failure to correct the default, the Landlord shall give the Company (Guarantor) written notice of its intent to terminate said lease. At the time of this notification, the Company will have various options that it must exercise in a timely manner. One is to exercise an option to purchase the real estate with improvements from the Landlord. The price the Company would pay would be the outstanding loan owed by the Landlord to construct the paint facility, which</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[GRAPHIC]</w:t>
      </w:r>
    </w:p>
    <w:p>
      <w:pPr>
        <w:spacing w:after="0" w:line="225"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auto"/>
        </w:rPr>
        <w:t>was approximately $2,124,000 as of August 27, 2005. As of August 27, 2005, the Supplier is current with its lease payment obligations to the Landlord. In August 2004, approximately $315,000 was recorded by the Company as the estimated fair value for the guarantee. As of August 27, 2005, the balance of the guarantee was approximately $244,000.</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Self-Insured Product Liability.</w:t>
      </w:r>
    </w:p>
    <w:p>
      <w:pPr>
        <w:spacing w:after="0" w:line="2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 self-insures for a portion of product liability claims. Self-insurance retention liability varies annually based on market conditions and for the past five fiscal years was at $2,500,000 per occurrence and $6,000,000 in aggregate per policy year. In the event that the annual aggregate of the self-insured retention is exhausted by payment of claims and defense expenses, a deductible of $250,000, excluding defense expenses, is applicable to each and every claim covered under this policy. Included in self-insurance on the Company’s balance sheet along with product liability is workman’s compensation reserves and employee medical claim reserves.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Litigation.</w:t>
      </w:r>
    </w:p>
    <w:p>
      <w:pPr>
        <w:sectPr>
          <w:pgSz w:w="11900" w:h="16838" w:orient="portrait"/>
          <w:cols w:equalWidth="0" w:num="1">
            <w:col w:w="11380"/>
          </w:cols>
          <w:pgMar w:left="240" w:top="125" w:right="279" w:bottom="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 Company is a defendant in a class action lawsuit entitled </w:t>
      </w:r>
      <w:r>
        <w:rPr>
          <w:rFonts w:ascii="Times New Roman" w:cs="Times New Roman" w:eastAsia="Times New Roman" w:hAnsi="Times New Roman"/>
          <w:sz w:val="16"/>
          <w:szCs w:val="16"/>
          <w:u w:val="single" w:color="auto"/>
          <w:color w:val="auto"/>
        </w:rPr>
        <w:t>Jody Bartleson, et al vs. Winnebago Industries, Inc., et al</w:t>
      </w:r>
      <w:r>
        <w:rPr>
          <w:rFonts w:ascii="Times New Roman" w:cs="Times New Roman" w:eastAsia="Times New Roman" w:hAnsi="Times New Roman"/>
          <w:sz w:val="16"/>
          <w:szCs w:val="16"/>
          <w:color w:val="auto"/>
        </w:rPr>
        <w:t xml:space="preserve"> which was filed on January 28, 2002. In</w:t>
      </w:r>
    </w:p>
    <w:p>
      <w:pPr>
        <w:sectPr>
          <w:pgSz w:w="11900" w:h="16838" w:orient="portrait"/>
          <w:cols w:equalWidth="0" w:num="1">
            <w:col w:w="11380"/>
          </w:cols>
          <w:pgMar w:left="240" w:top="125" w:right="279" w:bottom="0" w:gutter="0" w:footer="0" w:header="0"/>
          <w:type w:val="continuous"/>
        </w:sectPr>
      </w:pPr>
    </w:p>
    <w:bookmarkStart w:id="37" w:name="page38"/>
    <w:bookmarkEnd w:id="37"/>
    <w:p>
      <w:pPr>
        <w:spacing w:after="0" w:line="62"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6"/>
          <w:szCs w:val="16"/>
          <w:color w:val="auto"/>
        </w:rPr>
        <w:t>the complaint, Ms. Bartleson, on her own behalf and as a representative of “others similarly situated,” alleges that such plaintiffs were wrongfully classified by the Company as exempt employees when in fact they were non-exempt employees entitled to recover overtime compensation for work performed during the preceding three years. This suit was brought under the Federal Fair Labor Standards Act as an “opt in” class action, 21 people have joined the suit to date as plaintiffs. The plaintiffs then amended their Complaint adding a claim under the Iowa Wage Payment Collection Act in order to change the nature of the case from an “opt in” class action where individual plaintiffs must take an affirmative act to join the lawsuit to an “opt out” class action where all persons who had been exempt salaried employees over the three-year period preceding the filing of the lawsuit are included as plaintiffs unless they individually seek to “opt out” of the lawsuit. In a ruling by Chief Judge Mark W. Bennett, this amendment was disallowed and the lawsuit therefore remained an “opt in” class action with 21 participants. The Company believes that it has meritorious defenses to the plaintiffs’ claims. Trial of this case is currently scheduled to commence on March 6, 2006. As of August 27, 2005 the Company has accrued estimated possible settlement costs and legal fees for the defense of this case.</w:t>
      </w:r>
    </w:p>
    <w:p>
      <w:pPr>
        <w:spacing w:after="0" w:line="16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xml:space="preserve">During Fiscal 2004, the Company settled all claims in a lawsuit titled </w:t>
      </w:r>
      <w:r>
        <w:rPr>
          <w:rFonts w:ascii="Times New Roman" w:cs="Times New Roman" w:eastAsia="Times New Roman" w:hAnsi="Times New Roman"/>
          <w:sz w:val="18"/>
          <w:szCs w:val="18"/>
          <w:u w:val="single" w:color="auto"/>
          <w:color w:val="auto"/>
        </w:rPr>
        <w:t>Sanft, et al vs. Winnebago Industries, Inc., et al</w:t>
      </w:r>
      <w:r>
        <w:rPr>
          <w:rFonts w:ascii="Times New Roman" w:cs="Times New Roman" w:eastAsia="Times New Roman" w:hAnsi="Times New Roman"/>
          <w:sz w:val="18"/>
          <w:szCs w:val="18"/>
          <w:color w:val="auto"/>
        </w:rPr>
        <w:t xml:space="preserve"> involving 21 participants in the Winnebago Industries, Inc. Deferred Compensation Plan and the Winnebago Industries, Inc. Deferred Incentive Formula Bonus Plan (the “Plans”). The Plaintiffs were seeking to negate certain amendments made to the Plans in 1994 which reduced the benefits which some participants would receive under the Plans. The settlement resulted in a partial reinstatement of the alleged lost benefits and had a present value cost to the Company of approximately $5,300,000 accrued in Fiscal 2004. Additionally, the Company has voluntarily decided to provide the same benefits to an additional 22 nonplaintiff participants in the Plans which resulted in an additional present value cost to the Company of approximately $2,040,000 accrued in Fiscal 2004. The total pre-tax charge, which was recorded in the third quarter of Fiscal 2004 was $7,340,000, which on an after tax basis equated to approximately $4,590,000, or 13 cents per diluted share. The Company paid out approximately $1,689,000 during the fourth fiscal quarter of 2004 with the balance of the settlement to be paid out in monthly increments over an extended period of time. (See Note 6.)</w:t>
      </w:r>
    </w:p>
    <w:p>
      <w:pPr>
        <w:spacing w:after="0" w:line="197"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6"/>
          <w:szCs w:val="16"/>
          <w:color w:val="auto"/>
        </w:rPr>
        <w:t>The Company is also involved in various other legal proceedings which are ordinary routine litigation incident to its business, some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Lease 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leases certain facilities and equipment under operating leases. Lease expense was $573,000 for 2005, $609,000 for 2004 and $556,000 for 2003.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future lease commitments under noncancelable lease agreements in excess of one year as of August 27, 2005 are as follows (in thousands):</w:t>
      </w:r>
    </w:p>
    <w:p>
      <w:pPr>
        <w:spacing w:after="0" w:line="227" w:lineRule="exact"/>
        <w:rPr>
          <w:sz w:val="20"/>
          <w:szCs w:val="20"/>
          <w:color w:val="auto"/>
        </w:rPr>
      </w:pPr>
    </w:p>
    <w:tbl>
      <w:tblPr>
        <w:tblLayout w:type="fixed"/>
        <w:tblInd w:w="4000" w:type="dxa"/>
        <w:tblCellMar>
          <w:top w:w="0" w:type="dxa"/>
          <w:left w:w="0" w:type="dxa"/>
          <w:bottom w:w="0" w:type="dxa"/>
          <w:right w:w="0" w:type="dxa"/>
        </w:tblCellMar>
      </w:tblPr>
      <w:tr>
        <w:trPr>
          <w:trHeight w:val="216"/>
        </w:trPr>
        <w:tc>
          <w:tcPr>
            <w:tcW w:w="252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2006</w:t>
            </w:r>
          </w:p>
        </w:tc>
        <w:tc>
          <w:tcPr>
            <w:tcW w:w="340" w:type="dxa"/>
            <w:vAlign w:val="bottom"/>
            <w:shd w:val="clear" w:color="auto" w:fill="D6F3E8"/>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60" w:type="dxa"/>
            <w:vAlign w:val="bottom"/>
            <w:shd w:val="clear" w:color="auto" w:fill="D6F3E8"/>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2007</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18"/>
                <w:szCs w:val="18"/>
                <w:color w:val="auto"/>
              </w:rPr>
            </w:pPr>
          </w:p>
        </w:tc>
      </w:tr>
      <w:tr>
        <w:trPr>
          <w:trHeight w:val="216"/>
        </w:trPr>
        <w:tc>
          <w:tcPr>
            <w:tcW w:w="252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2008</w:t>
            </w:r>
          </w:p>
        </w:tc>
        <w:tc>
          <w:tcPr>
            <w:tcW w:w="340" w:type="dxa"/>
            <w:vAlign w:val="bottom"/>
            <w:shd w:val="clear" w:color="auto" w:fill="D6F3E8"/>
          </w:tcPr>
          <w:p>
            <w:pPr>
              <w:spacing w:after="0"/>
              <w:rPr>
                <w:sz w:val="18"/>
                <w:szCs w:val="18"/>
                <w:color w:val="auto"/>
              </w:rPr>
            </w:pPr>
          </w:p>
        </w:tc>
        <w:tc>
          <w:tcPr>
            <w:tcW w:w="5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D6F3E8"/>
          </w:tcPr>
          <w:p>
            <w:pPr>
              <w:spacing w:after="0"/>
              <w:rPr>
                <w:sz w:val="18"/>
                <w:szCs w:val="18"/>
                <w:color w:val="auto"/>
              </w:rPr>
            </w:pP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2009</w:t>
            </w: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8"/>
                <w:szCs w:val="18"/>
                <w:color w:val="auto"/>
              </w:rPr>
            </w:pPr>
          </w:p>
        </w:tc>
      </w:tr>
      <w:tr>
        <w:trPr>
          <w:trHeight w:val="216"/>
        </w:trPr>
        <w:tc>
          <w:tcPr>
            <w:tcW w:w="252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2010</w:t>
            </w:r>
          </w:p>
        </w:tc>
        <w:tc>
          <w:tcPr>
            <w:tcW w:w="340" w:type="dxa"/>
            <w:vAlign w:val="bottom"/>
            <w:shd w:val="clear" w:color="auto" w:fill="D6F3E8"/>
          </w:tcPr>
          <w:p>
            <w:pPr>
              <w:spacing w:after="0"/>
              <w:rPr>
                <w:sz w:val="18"/>
                <w:szCs w:val="18"/>
                <w:color w:val="auto"/>
              </w:rPr>
            </w:pPr>
          </w:p>
        </w:tc>
        <w:tc>
          <w:tcPr>
            <w:tcW w:w="5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shd w:val="clear" w:color="auto" w:fill="D6F3E8"/>
          </w:tcPr>
          <w:p>
            <w:pPr>
              <w:spacing w:after="0"/>
              <w:rPr>
                <w:sz w:val="18"/>
                <w:szCs w:val="18"/>
                <w:color w:val="auto"/>
              </w:rPr>
            </w:pPr>
          </w:p>
        </w:tc>
      </w:tr>
      <w:tr>
        <w:trPr>
          <w:trHeight w:val="228"/>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9"/>
                <w:szCs w:val="19"/>
                <w:color w:val="auto"/>
              </w:rPr>
            </w:pPr>
          </w:p>
        </w:tc>
      </w:tr>
      <w:tr>
        <w:trPr>
          <w:trHeight w:val="96"/>
        </w:trPr>
        <w:tc>
          <w:tcPr>
            <w:tcW w:w="25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2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252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D6F3E8"/>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60" w:type="dxa"/>
            <w:vAlign w:val="bottom"/>
            <w:shd w:val="clear" w:color="auto" w:fill="D6F3E8"/>
          </w:tcPr>
          <w:p>
            <w:pPr>
              <w:spacing w:after="0"/>
              <w:rPr>
                <w:sz w:val="18"/>
                <w:szCs w:val="18"/>
                <w:color w:val="auto"/>
              </w:rPr>
            </w:pPr>
          </w:p>
        </w:tc>
      </w:tr>
      <w:tr>
        <w:trPr>
          <w:trHeight w:val="132"/>
        </w:trPr>
        <w:tc>
          <w:tcPr>
            <w:tcW w:w="25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[GRAPHIC]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8:  Income Taxes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3"/>
          </w:tcPr>
          <w:p>
            <w:pPr>
              <w:jc w:val="right"/>
              <w:ind w:right="1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22"/>
                <w:szCs w:val="22"/>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w w:val="96"/>
              </w:rPr>
              <w:t>August 27, 2005</w:t>
            </w: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40" w:type="dxa"/>
            <w:vAlign w:val="bottom"/>
            <w:gridSpan w:val="3"/>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w w:val="96"/>
              </w:rPr>
              <w:t>August 28, 2004</w:t>
            </w:r>
          </w:p>
        </w:tc>
        <w:tc>
          <w:tcPr>
            <w:tcW w:w="140" w:type="dxa"/>
            <w:vAlign w:val="bottom"/>
          </w:tcPr>
          <w:p>
            <w:pPr>
              <w:spacing w:after="0"/>
              <w:rPr>
                <w:sz w:val="22"/>
                <w:szCs w:val="22"/>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6"/>
              </w:rPr>
              <w:t>August 30, 2003</w:t>
            </w:r>
          </w:p>
        </w:tc>
        <w:tc>
          <w:tcPr>
            <w:tcW w:w="0" w:type="dxa"/>
            <w:vAlign w:val="bottom"/>
          </w:tcPr>
          <w:p>
            <w:pPr>
              <w:spacing w:after="0"/>
              <w:rPr>
                <w:sz w:val="1"/>
                <w:szCs w:val="1"/>
                <w:color w:val="auto"/>
              </w:rPr>
            </w:pPr>
          </w:p>
        </w:tc>
      </w:tr>
      <w:tr>
        <w:trPr>
          <w:trHeight w:val="89"/>
        </w:trPr>
        <w:tc>
          <w:tcPr>
            <w:tcW w:w="5160" w:type="dxa"/>
            <w:vAlign w:val="bottom"/>
            <w:gridSpan w:val="2"/>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30,092</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46,688</w:t>
            </w:r>
          </w:p>
        </w:tc>
        <w:tc>
          <w:tcPr>
            <w:tcW w:w="1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2,300</w:t>
            </w:r>
          </w:p>
        </w:tc>
        <w:tc>
          <w:tcPr>
            <w:tcW w:w="11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2,521</w:t>
            </w: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32,392</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49,209</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Deferred</w:t>
            </w:r>
          </w:p>
        </w:tc>
        <w:tc>
          <w:tcPr>
            <w:tcW w:w="14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3,425</w:t>
            </w:r>
          </w:p>
        </w:tc>
        <w:tc>
          <w:tcPr>
            <w:tcW w:w="11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240" w:type="dxa"/>
            <w:vAlign w:val="bottom"/>
            <w:gridSpan w:val="3"/>
            <w:shd w:val="clear" w:color="auto" w:fill="D6F3E8"/>
          </w:tcPr>
          <w:p>
            <w:pPr>
              <w:jc w:val="right"/>
              <w:ind w:right="1080"/>
              <w:spacing w:after="0"/>
              <w:rPr>
                <w:sz w:val="20"/>
                <w:szCs w:val="20"/>
                <w:color w:val="auto"/>
              </w:rPr>
            </w:pPr>
            <w:r>
              <w:rPr>
                <w:rFonts w:ascii="Times New Roman" w:cs="Times New Roman" w:eastAsia="Times New Roman" w:hAnsi="Times New Roman"/>
                <w:sz w:val="18"/>
                <w:szCs w:val="18"/>
                <w:color w:val="auto"/>
              </w:rPr>
              <w:t>(7,616)</w:t>
            </w:r>
          </w:p>
        </w:tc>
        <w:tc>
          <w:tcPr>
            <w:tcW w:w="14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108"/>
        </w:trPr>
        <w:tc>
          <w:tcPr>
            <w:tcW w:w="5160" w:type="dxa"/>
            <w:vAlign w:val="bottom"/>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provision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35,817</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41,593</w:t>
            </w:r>
          </w:p>
        </w:tc>
        <w:tc>
          <w:tcPr>
            <w:tcW w:w="1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U.S. statutory tax rate to the effective income tax rates (benefit) provided: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380" w:type="dxa"/>
            <w:vAlign w:val="bottom"/>
            <w:gridSpan w:val="2"/>
          </w:tcPr>
          <w:p>
            <w:pPr>
              <w:jc w:val="right"/>
              <w:ind w:right="1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20" w:type="dxa"/>
            <w:vAlign w:val="bottom"/>
            <w:gridSpan w:val="2"/>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August 27, 2005</w:t>
            </w:r>
          </w:p>
        </w:tc>
        <w:tc>
          <w:tcPr>
            <w:tcW w:w="2380" w:type="dxa"/>
            <w:vAlign w:val="bottom"/>
            <w:gridSpan w:val="2"/>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rPr>
              <w:t>August 28, 2004</w:t>
            </w:r>
          </w:p>
        </w:tc>
        <w:tc>
          <w:tcPr>
            <w:tcW w:w="14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August 30, 2003</w:t>
            </w:r>
          </w:p>
        </w:tc>
        <w:tc>
          <w:tcPr>
            <w:tcW w:w="0" w:type="dxa"/>
            <w:vAlign w:val="bottom"/>
          </w:tcPr>
          <w:p>
            <w:pPr>
              <w:spacing w:after="0"/>
              <w:rPr>
                <w:sz w:val="1"/>
                <w:szCs w:val="1"/>
                <w:color w:val="auto"/>
              </w:rPr>
            </w:pPr>
          </w:p>
        </w:tc>
      </w:tr>
      <w:tr>
        <w:trPr>
          <w:trHeight w:val="89"/>
        </w:trPr>
        <w:tc>
          <w:tcPr>
            <w:tcW w:w="5160" w:type="dxa"/>
            <w:vAlign w:val="bottom"/>
            <w:gridSpan w:val="2"/>
            <w:vMerge w:val="continue"/>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16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2420" w:type="dxa"/>
            <w:vAlign w:val="bottom"/>
            <w:gridSpan w:val="2"/>
            <w:shd w:val="clear" w:color="auto" w:fill="D6F3E8"/>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35.0%</w:t>
            </w:r>
          </w:p>
        </w:tc>
        <w:tc>
          <w:tcPr>
            <w:tcW w:w="2380" w:type="dxa"/>
            <w:vAlign w:val="bottom"/>
            <w:gridSpan w:val="2"/>
            <w:shd w:val="clear" w:color="auto" w:fill="D6F3E8"/>
          </w:tcPr>
          <w:p>
            <w:pPr>
              <w:jc w:val="right"/>
              <w:ind w:right="980"/>
              <w:spacing w:after="0"/>
              <w:rPr>
                <w:sz w:val="20"/>
                <w:szCs w:val="20"/>
                <w:color w:val="auto"/>
              </w:rPr>
            </w:pPr>
            <w:r>
              <w:rPr>
                <w:rFonts w:ascii="Times New Roman" w:cs="Times New Roman" w:eastAsia="Times New Roman" w:hAnsi="Times New Roman"/>
                <w:sz w:val="18"/>
                <w:szCs w:val="18"/>
                <w:color w:val="auto"/>
              </w:rPr>
              <w:t>35.0%</w:t>
            </w:r>
          </w:p>
        </w:tc>
        <w:tc>
          <w:tcPr>
            <w:tcW w:w="1460" w:type="dxa"/>
            <w:vAlign w:val="bottom"/>
            <w:gridSpan w:val="2"/>
            <w:shd w:val="clear" w:color="auto" w:fill="D6F3E8"/>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160" w:type="dxa"/>
            <w:vAlign w:val="bottom"/>
          </w:tcPr>
          <w:p>
            <w:pPr>
              <w:spacing w:after="0"/>
              <w:rPr>
                <w:sz w:val="18"/>
                <w:szCs w:val="18"/>
                <w:color w:val="auto"/>
              </w:rPr>
            </w:pPr>
          </w:p>
        </w:tc>
        <w:tc>
          <w:tcPr>
            <w:tcW w:w="238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1.8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Nondeductible losses</w:t>
            </w:r>
          </w:p>
        </w:tc>
        <w:tc>
          <w:tcPr>
            <w:tcW w:w="2420" w:type="dxa"/>
            <w:vAlign w:val="bottom"/>
            <w:gridSpan w:val="2"/>
            <w:shd w:val="clear" w:color="auto" w:fill="D6F3E8"/>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gridSpan w:val="2"/>
            <w:shd w:val="clear" w:color="auto" w:fill="D6F3E8"/>
          </w:tcPr>
          <w:p>
            <w:pPr>
              <w:jc w:val="right"/>
              <w:ind w:right="1140"/>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2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(0.6)</w:t>
            </w:r>
          </w:p>
        </w:tc>
        <w:tc>
          <w:tcPr>
            <w:tcW w:w="2380" w:type="dxa"/>
            <w:vAlign w:val="bottom"/>
            <w:gridSpan w:val="2"/>
          </w:tcPr>
          <w:p>
            <w:pPr>
              <w:jc w:val="right"/>
              <w:ind w:right="1080"/>
              <w:spacing w:after="0"/>
              <w:rPr>
                <w:sz w:val="20"/>
                <w:szCs w:val="20"/>
                <w:color w:val="auto"/>
              </w:rPr>
            </w:pPr>
            <w:r>
              <w:rPr>
                <w:rFonts w:ascii="Times New Roman" w:cs="Times New Roman" w:eastAsia="Times New Roman" w:hAnsi="Times New Roman"/>
                <w:sz w:val="18"/>
                <w:szCs w:val="18"/>
                <w:color w:val="auto"/>
              </w:rPr>
              <w:t>(0.1)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140" w:type="dxa"/>
            <w:vAlign w:val="bottom"/>
            <w:shd w:val="clear" w:color="auto" w:fill="D6F3E8"/>
          </w:tcPr>
          <w:p>
            <w:pPr>
              <w:spacing w:after="0"/>
              <w:rPr>
                <w:sz w:val="11"/>
                <w:szCs w:val="11"/>
                <w:color w:val="auto"/>
              </w:rPr>
            </w:pPr>
          </w:p>
        </w:tc>
        <w:tc>
          <w:tcPr>
            <w:tcW w:w="1260" w:type="dxa"/>
            <w:vAlign w:val="bottom"/>
            <w:shd w:val="clear" w:color="auto" w:fill="D6F3E8"/>
          </w:tcPr>
          <w:p>
            <w:pPr>
              <w:spacing w:after="0"/>
              <w:rPr>
                <w:sz w:val="11"/>
                <w:szCs w:val="11"/>
                <w:color w:val="auto"/>
              </w:rPr>
            </w:pPr>
          </w:p>
        </w:tc>
        <w:tc>
          <w:tcPr>
            <w:tcW w:w="1160" w:type="dxa"/>
            <w:vAlign w:val="bottom"/>
            <w:shd w:val="clear" w:color="auto" w:fill="D6F3E8"/>
          </w:tcPr>
          <w:p>
            <w:pPr>
              <w:spacing w:after="0"/>
              <w:rPr>
                <w:sz w:val="11"/>
                <w:szCs w:val="11"/>
                <w:color w:val="auto"/>
              </w:rPr>
            </w:pPr>
          </w:p>
        </w:tc>
        <w:tc>
          <w:tcPr>
            <w:tcW w:w="1240" w:type="dxa"/>
            <w:vAlign w:val="bottom"/>
            <w:shd w:val="clear" w:color="auto" w:fill="D6F3E8"/>
          </w:tcPr>
          <w:p>
            <w:pPr>
              <w:spacing w:after="0"/>
              <w:rPr>
                <w:sz w:val="11"/>
                <w:szCs w:val="11"/>
                <w:color w:val="auto"/>
              </w:rPr>
            </w:pPr>
          </w:p>
        </w:tc>
        <w:tc>
          <w:tcPr>
            <w:tcW w:w="1140" w:type="dxa"/>
            <w:vAlign w:val="bottom"/>
            <w:shd w:val="clear" w:color="auto" w:fill="D6F3E8"/>
          </w:tcPr>
          <w:p>
            <w:pPr>
              <w:spacing w:after="0"/>
              <w:rPr>
                <w:sz w:val="11"/>
                <w:szCs w:val="11"/>
                <w:color w:val="auto"/>
              </w:rPr>
            </w:pPr>
          </w:p>
        </w:tc>
        <w:tc>
          <w:tcPr>
            <w:tcW w:w="1240" w:type="dxa"/>
            <w:vAlign w:val="bottom"/>
            <w:shd w:val="clear" w:color="auto" w:fill="D6F3E8"/>
          </w:tcPr>
          <w:p>
            <w:pPr>
              <w:spacing w:after="0"/>
              <w:rPr>
                <w:sz w:val="11"/>
                <w:szCs w:val="11"/>
                <w:color w:val="auto"/>
              </w:rPr>
            </w:pPr>
          </w:p>
        </w:tc>
        <w:tc>
          <w:tcPr>
            <w:tcW w:w="220" w:type="dxa"/>
            <w:vAlign w:val="bottom"/>
            <w:shd w:val="clear" w:color="auto" w:fill="D6F3E8"/>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Increase in cash value of life insurance</w:t>
            </w:r>
          </w:p>
        </w:tc>
        <w:tc>
          <w:tcPr>
            <w:tcW w:w="120" w:type="dxa"/>
            <w:vAlign w:val="bottom"/>
            <w:shd w:val="clear" w:color="auto" w:fill="D6F3E8"/>
          </w:tcPr>
          <w:p>
            <w:pPr>
              <w:spacing w:after="0"/>
              <w:rPr>
                <w:sz w:val="18"/>
                <w:szCs w:val="18"/>
                <w:color w:val="auto"/>
              </w:rPr>
            </w:pPr>
          </w:p>
        </w:tc>
        <w:tc>
          <w:tcPr>
            <w:tcW w:w="1440" w:type="dxa"/>
            <w:vAlign w:val="bottom"/>
            <w:gridSpan w:val="3"/>
            <w:shd w:val="clear" w:color="auto" w:fill="D6F3E8"/>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(0.3)</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740" w:type="dxa"/>
            <w:vAlign w:val="bottom"/>
            <w:gridSpan w:val="4"/>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6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920" w:type="dxa"/>
            <w:vAlign w:val="bottom"/>
            <w:gridSpan w:val="3"/>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sales corporation/ extraterritorial income</w:t>
            </w:r>
          </w:p>
        </w:tc>
        <w:tc>
          <w:tcPr>
            <w:tcW w:w="120" w:type="dxa"/>
            <w:vAlign w:val="bottom"/>
          </w:tcPr>
          <w:p>
            <w:pPr>
              <w:spacing w:after="0"/>
              <w:rPr>
                <w:sz w:val="18"/>
                <w:szCs w:val="18"/>
                <w:color w:val="auto"/>
              </w:rPr>
            </w:pP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Death benefits</w:t>
            </w:r>
          </w:p>
        </w:tc>
        <w:tc>
          <w:tcPr>
            <w:tcW w:w="12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660" w:type="dxa"/>
            <w:vAlign w:val="bottom"/>
            <w:gridSpan w:val="2"/>
            <w:shd w:val="clear" w:color="auto" w:fill="D6F3E8"/>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300" w:type="dxa"/>
            <w:vAlign w:val="bottom"/>
            <w:gridSpan w:val="3"/>
            <w:shd w:val="clear" w:color="auto" w:fill="D6F3E8"/>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920" w:type="dxa"/>
            <w:vAlign w:val="bottom"/>
            <w:gridSpan w:val="3"/>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08"/>
        </w:trPr>
        <w:tc>
          <w:tcPr>
            <w:tcW w:w="51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4"/>
                <w:szCs w:val="24"/>
                <w:color w:val="auto"/>
              </w:rPr>
            </w:pPr>
          </w:p>
        </w:tc>
        <w:tc>
          <w:tcPr>
            <w:tcW w:w="14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5"/>
          </w:tcPr>
          <w:p>
            <w:pPr>
              <w:jc w:val="right"/>
              <w:ind w:right="414"/>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134"/>
        </w:trPr>
        <w:tc>
          <w:tcPr>
            <w:tcW w:w="5160" w:type="dxa"/>
            <w:vAlign w:val="bottom"/>
            <w:gridSpan w:val="2"/>
          </w:tcPr>
          <w:p>
            <w:pPr>
              <w:spacing w:after="0"/>
              <w:rPr>
                <w:sz w:val="11"/>
                <w:szCs w:val="11"/>
                <w:color w:val="auto"/>
              </w:rPr>
            </w:pPr>
          </w:p>
        </w:tc>
        <w:tc>
          <w:tcPr>
            <w:tcW w:w="920" w:type="dxa"/>
            <w:vAlign w:val="bottom"/>
            <w:tcBorders>
              <w:bottom w:val="single" w:sz="8" w:color="auto"/>
            </w:tcBorders>
            <w:gridSpan w:val="3"/>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8"/>
        </w:trPr>
        <w:tc>
          <w:tcPr>
            <w:tcW w:w="6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Significant items comprising the Company’s net deferred tax assets are as follows: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gridSpan w:val="7"/>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August 27, 2005</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August 28,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3"/>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2"/>
                <w:szCs w:val="22"/>
                <w:color w:val="auto"/>
              </w:rPr>
            </w:pPr>
          </w:p>
        </w:tc>
        <w:tc>
          <w:tcPr>
            <w:tcW w:w="1440" w:type="dxa"/>
            <w:vAlign w:val="bottom"/>
            <w:gridSpan w:val="3"/>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5"/>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w w:val="96"/>
              </w:rPr>
              <w:t>Liabilities</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9"/>
        </w:trPr>
        <w:tc>
          <w:tcPr>
            <w:tcW w:w="5180" w:type="dxa"/>
            <w:vAlign w:val="bottom"/>
            <w:gridSpan w:val="3"/>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40" w:type="dxa"/>
            <w:vAlign w:val="bottom"/>
            <w:shd w:val="clear" w:color="auto" w:fill="D6F3E8"/>
          </w:tcPr>
          <w:p>
            <w:pPr>
              <w:spacing w:after="0"/>
              <w:rPr>
                <w:sz w:val="18"/>
                <w:szCs w:val="18"/>
                <w:color w:val="auto"/>
              </w:rPr>
            </w:pPr>
          </w:p>
        </w:tc>
        <w:tc>
          <w:tcPr>
            <w:tcW w:w="6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Warranty reserves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4,264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4,264</w:t>
            </w:r>
          </w:p>
        </w:tc>
        <w:tc>
          <w:tcPr>
            <w:tcW w:w="460" w:type="dxa"/>
            <w:vAlign w:val="bottom"/>
          </w:tcPr>
          <w:p>
            <w:pPr>
              <w:spacing w:after="0"/>
              <w:rPr>
                <w:sz w:val="18"/>
                <w:szCs w:val="18"/>
                <w:color w:val="auto"/>
              </w:rPr>
            </w:pP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Carry forward tax credits</w:t>
            </w:r>
          </w:p>
        </w:tc>
        <w:tc>
          <w:tcPr>
            <w:tcW w:w="12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1,945</w:t>
            </w:r>
          </w:p>
        </w:tc>
        <w:tc>
          <w:tcPr>
            <w:tcW w:w="3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560" w:type="dxa"/>
            <w:vAlign w:val="bottom"/>
            <w:gridSpan w:val="3"/>
            <w:shd w:val="clear" w:color="auto" w:fill="D6F3E8"/>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40" w:type="dxa"/>
            <w:vAlign w:val="bottom"/>
            <w:shd w:val="clear" w:color="auto" w:fill="D6F3E8"/>
          </w:tcPr>
          <w:p>
            <w:pPr>
              <w:spacing w:after="0"/>
              <w:rPr>
                <w:sz w:val="18"/>
                <w:szCs w:val="18"/>
                <w:color w:val="auto"/>
              </w:rPr>
            </w:pPr>
          </w:p>
        </w:tc>
        <w:tc>
          <w:tcPr>
            <w:tcW w:w="62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1,945</w:t>
            </w:r>
          </w:p>
        </w:tc>
        <w:tc>
          <w:tcPr>
            <w:tcW w:w="4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Accrued vacation</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1,859</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Self-insurance reserve</w:t>
            </w:r>
          </w:p>
        </w:tc>
        <w:tc>
          <w:tcPr>
            <w:tcW w:w="12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1,702</w:t>
            </w:r>
          </w:p>
        </w:tc>
        <w:tc>
          <w:tcPr>
            <w:tcW w:w="3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560" w:type="dxa"/>
            <w:vAlign w:val="bottom"/>
            <w:gridSpan w:val="3"/>
            <w:shd w:val="clear" w:color="auto" w:fill="D6F3E8"/>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40" w:type="dxa"/>
            <w:vAlign w:val="bottom"/>
            <w:shd w:val="clear" w:color="auto" w:fill="D6F3E8"/>
          </w:tcPr>
          <w:p>
            <w:pPr>
              <w:spacing w:after="0"/>
              <w:rPr>
                <w:sz w:val="18"/>
                <w:szCs w:val="18"/>
                <w:color w:val="auto"/>
              </w:rPr>
            </w:pPr>
          </w:p>
        </w:tc>
        <w:tc>
          <w:tcPr>
            <w:tcW w:w="62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1,702</w:t>
            </w:r>
          </w:p>
        </w:tc>
        <w:tc>
          <w:tcPr>
            <w:tcW w:w="4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LIFO variance capitalization</w:t>
            </w:r>
          </w:p>
        </w:tc>
        <w:tc>
          <w:tcPr>
            <w:tcW w:w="120" w:type="dxa"/>
            <w:vAlign w:val="bottom"/>
          </w:tcPr>
          <w:p>
            <w:pPr>
              <w:spacing w:after="0"/>
              <w:rPr>
                <w:sz w:val="18"/>
                <w:szCs w:val="18"/>
                <w:color w:val="auto"/>
              </w:rPr>
            </w:pPr>
          </w:p>
        </w:tc>
        <w:tc>
          <w:tcPr>
            <w:tcW w:w="14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5"/>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(1,549)</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(1,549)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Miscellaneous reserves</w:t>
            </w:r>
          </w:p>
        </w:tc>
        <w:tc>
          <w:tcPr>
            <w:tcW w:w="12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1,734</w:t>
            </w:r>
          </w:p>
        </w:tc>
        <w:tc>
          <w:tcPr>
            <w:tcW w:w="3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gridSpan w:val="5"/>
            <w:shd w:val="clear" w:color="auto" w:fill="D6F3E8"/>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(345)</w:t>
            </w:r>
          </w:p>
        </w:tc>
        <w:tc>
          <w:tcPr>
            <w:tcW w:w="4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40" w:type="dxa"/>
            <w:vAlign w:val="bottom"/>
            <w:shd w:val="clear" w:color="auto" w:fill="D6F3E8"/>
          </w:tcPr>
          <w:p>
            <w:pPr>
              <w:spacing w:after="0"/>
              <w:rPr>
                <w:sz w:val="18"/>
                <w:szCs w:val="18"/>
                <w:color w:val="auto"/>
              </w:rPr>
            </w:pPr>
          </w:p>
        </w:tc>
        <w:tc>
          <w:tcPr>
            <w:tcW w:w="62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1,389</w:t>
            </w:r>
          </w:p>
        </w:tc>
        <w:tc>
          <w:tcPr>
            <w:tcW w:w="4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3"/>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11,504</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5"/>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(1,894)</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9,610</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6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Noncurrent</w:t>
            </w:r>
          </w:p>
        </w:tc>
        <w:tc>
          <w:tcPr>
            <w:tcW w:w="120" w:type="dxa"/>
            <w:vAlign w:val="bottom"/>
            <w:shd w:val="clear" w:color="auto" w:fill="D6F3E8"/>
          </w:tcPr>
          <w:p>
            <w:pPr>
              <w:spacing w:after="0"/>
              <w:rPr>
                <w:sz w:val="18"/>
                <w:szCs w:val="18"/>
                <w:color w:val="auto"/>
              </w:rPr>
            </w:pPr>
          </w:p>
        </w:tc>
        <w:tc>
          <w:tcPr>
            <w:tcW w:w="7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4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40" w:type="dxa"/>
            <w:vAlign w:val="bottom"/>
            <w:shd w:val="clear" w:color="auto" w:fill="D6F3E8"/>
          </w:tcPr>
          <w:p>
            <w:pPr>
              <w:spacing w:after="0"/>
              <w:rPr>
                <w:sz w:val="18"/>
                <w:szCs w:val="18"/>
                <w:color w:val="auto"/>
              </w:rPr>
            </w:pPr>
          </w:p>
        </w:tc>
        <w:tc>
          <w:tcPr>
            <w:tcW w:w="6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Postretirement health care benefits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18,372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18,372</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Deferred compensation</w:t>
            </w:r>
          </w:p>
        </w:tc>
        <w:tc>
          <w:tcPr>
            <w:tcW w:w="12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13,357</w:t>
            </w:r>
          </w:p>
        </w:tc>
        <w:tc>
          <w:tcPr>
            <w:tcW w:w="3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560" w:type="dxa"/>
            <w:vAlign w:val="bottom"/>
            <w:gridSpan w:val="3"/>
            <w:shd w:val="clear" w:color="auto" w:fill="D6F3E8"/>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40" w:type="dxa"/>
            <w:vAlign w:val="bottom"/>
            <w:shd w:val="clear" w:color="auto" w:fill="D6F3E8"/>
          </w:tcPr>
          <w:p>
            <w:pPr>
              <w:spacing w:after="0"/>
              <w:rPr>
                <w:sz w:val="18"/>
                <w:szCs w:val="18"/>
                <w:color w:val="auto"/>
              </w:rPr>
            </w:pPr>
          </w:p>
        </w:tc>
        <w:tc>
          <w:tcPr>
            <w:tcW w:w="62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13,357</w:t>
            </w:r>
          </w:p>
        </w:tc>
        <w:tc>
          <w:tcPr>
            <w:tcW w:w="4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13,657</w:t>
            </w:r>
          </w:p>
        </w:tc>
        <w:tc>
          <w:tcPr>
            <w:tcW w:w="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20"/>
                <w:szCs w:val="20"/>
                <w:color w:val="auto"/>
              </w:rPr>
            </w:pPr>
          </w:p>
        </w:tc>
        <w:tc>
          <w:tcPr>
            <w:tcW w:w="14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5"/>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(6,732)</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(6,732)</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(7,161)</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16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3"/>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shd w:val="clear" w:color="auto" w:fill="D6F3E8"/>
          </w:tcPr>
          <w:p>
            <w:pPr>
              <w:spacing w:after="0"/>
              <w:rPr>
                <w:sz w:val="18"/>
                <w:szCs w:val="18"/>
                <w:color w:val="auto"/>
              </w:rPr>
            </w:pP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31,729</w:t>
            </w:r>
          </w:p>
        </w:tc>
        <w:tc>
          <w:tcPr>
            <w:tcW w:w="3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gridSpan w:val="5"/>
            <w:shd w:val="clear" w:color="auto" w:fill="D6F3E8"/>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(6,732)</w:t>
            </w:r>
          </w:p>
        </w:tc>
        <w:tc>
          <w:tcPr>
            <w:tcW w:w="4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40" w:type="dxa"/>
            <w:vAlign w:val="bottom"/>
            <w:shd w:val="clear" w:color="auto" w:fill="D6F3E8"/>
          </w:tcPr>
          <w:p>
            <w:pPr>
              <w:spacing w:after="0"/>
              <w:rPr>
                <w:sz w:val="18"/>
                <w:szCs w:val="18"/>
                <w:color w:val="auto"/>
              </w:rPr>
            </w:pPr>
          </w:p>
        </w:tc>
        <w:tc>
          <w:tcPr>
            <w:tcW w:w="62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24,997</w:t>
            </w:r>
          </w:p>
        </w:tc>
        <w:tc>
          <w:tcPr>
            <w:tcW w:w="4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25,166</w:t>
            </w:r>
          </w:p>
        </w:tc>
        <w:tc>
          <w:tcPr>
            <w:tcW w:w="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gridSpan w:val="3"/>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43,233</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5"/>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(8,626)</w:t>
            </w:r>
          </w:p>
        </w:tc>
        <w:tc>
          <w:tcPr>
            <w:tcW w:w="68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34,607</w:t>
            </w:r>
          </w:p>
        </w:tc>
        <w:tc>
          <w:tcPr>
            <w:tcW w:w="460" w:type="dxa"/>
            <w:vAlign w:val="bottom"/>
          </w:tcPr>
          <w:p>
            <w:pPr>
              <w:spacing w:after="0"/>
              <w:rPr>
                <w:sz w:val="24"/>
                <w:szCs w:val="24"/>
                <w:color w:val="auto"/>
              </w:rPr>
            </w:pP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160" w:type="dxa"/>
            <w:vAlign w:val="bottom"/>
            <w:gridSpan w:val="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3"/>
        </w:trPr>
        <w:tc>
          <w:tcPr>
            <w:tcW w:w="51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Note 9:  Financial Income and Expense</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is a reconciliation of financial income (expense):</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gridSpan w:val="3"/>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7"/>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gridSpan w:val="3"/>
          </w:tcPr>
          <w:p>
            <w:pPr>
              <w:spacing w:after="0"/>
              <w:rPr>
                <w:sz w:val="8"/>
                <w:szCs w:val="8"/>
                <w:color w:val="auto"/>
              </w:rPr>
            </w:pPr>
          </w:p>
        </w:tc>
        <w:tc>
          <w:tcPr>
            <w:tcW w:w="2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2"/>
                <w:szCs w:val="22"/>
                <w:color w:val="auto"/>
              </w:rPr>
            </w:pPr>
          </w:p>
        </w:tc>
        <w:tc>
          <w:tcPr>
            <w:tcW w:w="1440" w:type="dxa"/>
            <w:vAlign w:val="bottom"/>
            <w:gridSpan w:val="3"/>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6"/>
              </w:rPr>
              <w:t>August 27, 2005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August 28, 2004</w:t>
            </w: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August 30, 2003</w:t>
            </w:r>
          </w:p>
        </w:tc>
        <w:tc>
          <w:tcPr>
            <w:tcW w:w="0" w:type="dxa"/>
            <w:vAlign w:val="bottom"/>
          </w:tcPr>
          <w:p>
            <w:pPr>
              <w:spacing w:after="0"/>
              <w:rPr>
                <w:sz w:val="1"/>
                <w:szCs w:val="1"/>
                <w:color w:val="auto"/>
              </w:rPr>
            </w:pPr>
          </w:p>
        </w:tc>
      </w:tr>
      <w:tr>
        <w:trPr>
          <w:trHeight w:val="89"/>
        </w:trPr>
        <w:tc>
          <w:tcPr>
            <w:tcW w:w="5180" w:type="dxa"/>
            <w:vAlign w:val="bottom"/>
            <w:gridSpan w:val="3"/>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Interest income from investments and receivables</w:t>
            </w:r>
          </w:p>
        </w:tc>
        <w:tc>
          <w:tcPr>
            <w:tcW w:w="1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1,542</w:t>
            </w: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60" w:type="dxa"/>
            <w:vAlign w:val="bottom"/>
            <w:gridSpan w:val="3"/>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700" w:type="dxa"/>
            <w:vAlign w:val="bottom"/>
            <w:gridSpan w:val="3"/>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945</w:t>
            </w:r>
          </w:p>
        </w:tc>
        <w:tc>
          <w:tcPr>
            <w:tcW w:w="40" w:type="dxa"/>
            <w:vAlign w:val="bottom"/>
            <w:shd w:val="clear" w:color="auto" w:fill="D6F3E8"/>
          </w:tcPr>
          <w:p>
            <w:pPr>
              <w:spacing w:after="0"/>
              <w:rPr>
                <w:sz w:val="18"/>
                <w:szCs w:val="18"/>
                <w:color w:val="auto"/>
              </w:rPr>
            </w:pPr>
          </w:p>
        </w:tc>
        <w:tc>
          <w:tcPr>
            <w:tcW w:w="6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320" w:type="dxa"/>
            <w:vAlign w:val="bottom"/>
            <w:shd w:val="clear" w:color="auto" w:fill="D6F3E8"/>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income</w:t>
            </w: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1,118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579</w:t>
            </w: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Loss on foreign currency transactions</w:t>
            </w:r>
          </w:p>
        </w:tc>
        <w:tc>
          <w:tcPr>
            <w:tcW w:w="120" w:type="dxa"/>
            <w:vAlign w:val="bottom"/>
            <w:shd w:val="clear" w:color="auto" w:fill="D6F3E8"/>
          </w:tcPr>
          <w:p>
            <w:pPr>
              <w:spacing w:after="0"/>
              <w:rPr>
                <w:sz w:val="18"/>
                <w:szCs w:val="18"/>
                <w:color w:val="auto"/>
              </w:rPr>
            </w:pPr>
          </w:p>
        </w:tc>
        <w:tc>
          <w:tcPr>
            <w:tcW w:w="1440" w:type="dxa"/>
            <w:vAlign w:val="bottom"/>
            <w:gridSpan w:val="3"/>
            <w:shd w:val="clear" w:color="auto" w:fill="D6F3E8"/>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(25)</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5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740" w:type="dxa"/>
            <w:vAlign w:val="bottom"/>
            <w:gridSpan w:val="4"/>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920" w:type="dxa"/>
            <w:vAlign w:val="bottom"/>
            <w:gridSpan w:val="3"/>
            <w:shd w:val="clear" w:color="auto" w:fill="D6F3E8"/>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16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gridSpan w:val="3"/>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Total financial income</w:t>
            </w:r>
          </w:p>
        </w:tc>
        <w:tc>
          <w:tcPr>
            <w:tcW w:w="1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2,635</w:t>
            </w:r>
          </w:p>
        </w:tc>
        <w:tc>
          <w:tcPr>
            <w:tcW w:w="3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760" w:type="dxa"/>
            <w:vAlign w:val="bottom"/>
            <w:gridSpan w:val="3"/>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700" w:type="dxa"/>
            <w:vAlign w:val="bottom"/>
            <w:gridSpan w:val="3"/>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1,436</w:t>
            </w:r>
          </w:p>
        </w:tc>
        <w:tc>
          <w:tcPr>
            <w:tcW w:w="40" w:type="dxa"/>
            <w:vAlign w:val="bottom"/>
            <w:shd w:val="clear" w:color="auto" w:fill="D6F3E8"/>
          </w:tcPr>
          <w:p>
            <w:pPr>
              <w:spacing w:after="0"/>
              <w:rPr>
                <w:sz w:val="18"/>
                <w:szCs w:val="18"/>
                <w:color w:val="auto"/>
              </w:rPr>
            </w:pPr>
          </w:p>
        </w:tc>
        <w:tc>
          <w:tcPr>
            <w:tcW w:w="6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320" w:type="dxa"/>
            <w:vAlign w:val="bottom"/>
            <w:shd w:val="clear" w:color="auto" w:fill="D6F3E8"/>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1"/>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51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5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44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46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-6752590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-6752590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-6752590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-6752590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-6752590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-6752590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-3039110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-3039110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-3039110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-3039110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-3039110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-3039110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-3039110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-3039110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-843915</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-843915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-843915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-843915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-843915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-843915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[GRAPHIC]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10:  Stock Based Compensation Plans</w:t>
      </w:r>
    </w:p>
    <w:p>
      <w:pPr>
        <w:spacing w:after="0" w:line="27"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Company’s 1992 stock option plan for outside directors provided that each director who was not a current or former full-time employee of the Company received an option to purchase 10,000 shares of the Company’s common stock at a price equal to 100 percent of the fair market value, determined by the mean of the high and low prices on the date of grant. The Board of Directors terminated this plan on December 17, 1997 as to future grants. There were options for 10,000 shares outstanding at August 27, 2005. Future grants of options to outside directors are made under the Company’s 2004 incentive compensation plan described below.</w:t>
      </w:r>
    </w:p>
    <w:p>
      <w:pPr>
        <w:spacing w:after="0" w:line="19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Winnebago Industries, Inc. 2004 Incentive Compensation Plan (the “Plan”) authorized the Human Resources Committee of the Board of Directors of the Company to grant stock options, stock appreciation rights, stock awards, cash rewards and performance awards to employees. The Plan also allows the Company to provide equity compensation to its nonemployee directors. The Plan was approved by the Company’s shareholders on January 13, 2004. No more than 4,000,000 shares of common stock may be issued under the Plan, and no more than 2,000,000 of those shares may be used for awards other than stock options or stock appreciation rights. Shares subject to awards that are forfeited, terminated, expire unexercised, settled in cash, exchanged for other awards, tendered to satisfy the purchase price of an award, withheld to satisfy tax obligations or otherwise lapse again become available for awards. The grant price of an option under the Plan may not be less than the fair market value of the common stock subject to such option. The term of any options granted under the Plan may not exceed 10 years from the date of the grant.</w:t>
      </w:r>
    </w:p>
    <w:p>
      <w:pPr>
        <w:sectPr>
          <w:pgSz w:w="11900" w:h="16838" w:orient="portrait"/>
          <w:cols w:equalWidth="0" w:num="1">
            <w:col w:w="11420"/>
          </w:cols>
          <w:pgMar w:left="240" w:top="140" w:right="239" w:bottom="26" w:gutter="0" w:footer="0" w:header="0"/>
        </w:sectPr>
      </w:pPr>
    </w:p>
    <w:bookmarkStart w:id="39" w:name="page40"/>
    <w:bookmarkEnd w:id="39"/>
    <w:p>
      <w:pPr>
        <w:ind w:right="420"/>
        <w:spacing w:after="0" w:line="339" w:lineRule="auto"/>
        <w:rPr>
          <w:sz w:val="20"/>
          <w:szCs w:val="20"/>
          <w:color w:val="auto"/>
        </w:rPr>
      </w:pPr>
      <w:r>
        <w:rPr>
          <w:rFonts w:ascii="Times New Roman" w:cs="Times New Roman" w:eastAsia="Times New Roman" w:hAnsi="Times New Roman"/>
          <w:sz w:val="16"/>
          <w:szCs w:val="16"/>
          <w:color w:val="auto"/>
        </w:rPr>
        <w:t>The Plan replaced the 1997 Stock Option Plan. No new grants will be made from the 1997 Stock Option Plan on or after January 1, 2004. Any stock options previously granted under the 1997 Stock Option Plan shall continue to vest and/or be exercisable in accordance with their original terms and conditions.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for Fiscal 2005, 2004 and 2003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2005</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2004</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2003</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3"/>
              </w:rPr>
              <w:t>Wtd.</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Wtd.</w:t>
            </w: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Avg.</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Avg.</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Avg.</w:t>
            </w:r>
          </w:p>
        </w:tc>
        <w:tc>
          <w:tcPr>
            <w:tcW w:w="0" w:type="dxa"/>
            <w:vAlign w:val="bottom"/>
          </w:tcPr>
          <w:p>
            <w:pPr>
              <w:spacing w:after="0"/>
              <w:rPr>
                <w:sz w:val="1"/>
                <w:szCs w:val="1"/>
                <w:color w:val="auto"/>
              </w:rPr>
            </w:pPr>
          </w:p>
        </w:tc>
      </w:tr>
      <w:tr>
        <w:trPr>
          <w:trHeight w:val="149"/>
        </w:trPr>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(Adjusted for 2-for-1 stock split</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30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72"/>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300" w:type="dxa"/>
            <w:vAlign w:val="bottom"/>
          </w:tcPr>
          <w:p>
            <w:pPr>
              <w:spacing w:after="0"/>
              <w:rPr>
                <w:sz w:val="12"/>
                <w:szCs w:val="12"/>
                <w:color w:val="auto"/>
              </w:rPr>
            </w:pPr>
          </w:p>
        </w:tc>
        <w:tc>
          <w:tcPr>
            <w:tcW w:w="7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81"/>
        </w:trPr>
        <w:tc>
          <w:tcPr>
            <w:tcW w:w="2660" w:type="dxa"/>
            <w:vAlign w:val="bottom"/>
            <w:gridSpan w:val="2"/>
            <w:vMerge w:val="continue"/>
          </w:tcPr>
          <w:p>
            <w:pPr>
              <w:spacing w:after="0"/>
              <w:rPr>
                <w:sz w:val="7"/>
                <w:szCs w:val="7"/>
                <w:color w:val="auto"/>
              </w:rPr>
            </w:pPr>
          </w:p>
        </w:tc>
        <w:tc>
          <w:tcPr>
            <w:tcW w:w="11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4"/>
              </w:rPr>
              <w:t>Price/Sh</w:t>
            </w:r>
          </w:p>
        </w:tc>
        <w:tc>
          <w:tcPr>
            <w:tcW w:w="11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300" w:type="dxa"/>
            <w:vAlign w:val="bottom"/>
          </w:tcPr>
          <w:p>
            <w:pPr>
              <w:spacing w:after="0"/>
              <w:rPr>
                <w:sz w:val="7"/>
                <w:szCs w:val="7"/>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Price/Sh</w:t>
            </w:r>
          </w:p>
        </w:tc>
        <w:tc>
          <w:tcPr>
            <w:tcW w:w="400" w:type="dxa"/>
            <w:vAlign w:val="bottom"/>
          </w:tcPr>
          <w:p>
            <w:pPr>
              <w:spacing w:after="0"/>
              <w:rPr>
                <w:sz w:val="7"/>
                <w:szCs w:val="7"/>
                <w:color w:val="auto"/>
              </w:rPr>
            </w:pPr>
          </w:p>
        </w:tc>
        <w:tc>
          <w:tcPr>
            <w:tcW w:w="11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300" w:type="dxa"/>
            <w:vAlign w:val="bottom"/>
          </w:tcPr>
          <w:p>
            <w:pPr>
              <w:spacing w:after="0"/>
              <w:rPr>
                <w:sz w:val="7"/>
                <w:szCs w:val="7"/>
                <w:color w:val="auto"/>
              </w:rPr>
            </w:pP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Price/Sh</w:t>
            </w:r>
          </w:p>
        </w:tc>
        <w:tc>
          <w:tcPr>
            <w:tcW w:w="0" w:type="dxa"/>
            <w:vAlign w:val="bottom"/>
          </w:tcPr>
          <w:p>
            <w:pPr>
              <w:spacing w:after="0"/>
              <w:rPr>
                <w:sz w:val="1"/>
                <w:szCs w:val="1"/>
                <w:color w:val="auto"/>
              </w:rPr>
            </w:pPr>
          </w:p>
        </w:tc>
      </w:tr>
      <w:tr>
        <w:trPr>
          <w:trHeight w:val="97"/>
        </w:trPr>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on March 5, 2004)</w:t>
            </w:r>
          </w:p>
        </w:tc>
        <w:tc>
          <w:tcPr>
            <w:tcW w:w="1120" w:type="dxa"/>
            <w:vAlign w:val="bottom"/>
            <w:gridSpan w:val="2"/>
            <w:vMerge w:val="continue"/>
          </w:tcPr>
          <w:p>
            <w:pPr>
              <w:spacing w:after="0"/>
              <w:rPr>
                <w:sz w:val="8"/>
                <w:szCs w:val="8"/>
                <w:color w:val="auto"/>
              </w:rPr>
            </w:pPr>
          </w:p>
        </w:tc>
        <w:tc>
          <w:tcPr>
            <w:tcW w:w="900" w:type="dxa"/>
            <w:vAlign w:val="bottom"/>
            <w:gridSpan w:val="4"/>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660" w:type="dxa"/>
            <w:vAlign w:val="bottom"/>
            <w:gridSpan w:val="2"/>
            <w:vMerge w:val="continue"/>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8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1,235,040</w:t>
            </w:r>
          </w:p>
        </w:tc>
        <w:tc>
          <w:tcPr>
            <w:tcW w:w="300" w:type="dxa"/>
            <w:vAlign w:val="bottom"/>
            <w:shd w:val="clear" w:color="auto" w:fill="D6F3E8"/>
          </w:tcPr>
          <w:p>
            <w:pPr>
              <w:spacing w:after="0"/>
              <w:rPr>
                <w:sz w:val="18"/>
                <w:szCs w:val="18"/>
                <w:color w:val="auto"/>
              </w:rPr>
            </w:pPr>
          </w:p>
        </w:tc>
        <w:tc>
          <w:tcPr>
            <w:tcW w:w="100" w:type="dxa"/>
            <w:vAlign w:val="bottom"/>
            <w:shd w:val="clear" w:color="auto" w:fill="D6F3E8"/>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0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3 - 35</w:t>
            </w:r>
          </w:p>
        </w:tc>
        <w:tc>
          <w:tcPr>
            <w:tcW w:w="300" w:type="dxa"/>
            <w:vAlign w:val="bottom"/>
            <w:shd w:val="clear" w:color="auto" w:fill="D6F3E8"/>
          </w:tcPr>
          <w:p>
            <w:pPr>
              <w:spacing w:after="0"/>
              <w:rPr>
                <w:sz w:val="18"/>
                <w:szCs w:val="18"/>
                <w:color w:val="auto"/>
              </w:rPr>
            </w:pPr>
          </w:p>
        </w:tc>
        <w:tc>
          <w:tcPr>
            <w:tcW w:w="5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$ 17.93</w:t>
            </w:r>
          </w:p>
        </w:tc>
        <w:tc>
          <w:tcPr>
            <w:tcW w:w="38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1,296,738</w:t>
            </w:r>
          </w:p>
        </w:tc>
        <w:tc>
          <w:tcPr>
            <w:tcW w:w="300" w:type="dxa"/>
            <w:vAlign w:val="bottom"/>
            <w:shd w:val="clear" w:color="auto" w:fill="D6F3E8"/>
          </w:tcPr>
          <w:p>
            <w:pPr>
              <w:spacing w:after="0"/>
              <w:rPr>
                <w:sz w:val="18"/>
                <w:szCs w:val="18"/>
                <w:color w:val="auto"/>
              </w:rPr>
            </w:pPr>
          </w:p>
        </w:tc>
        <w:tc>
          <w:tcPr>
            <w:tcW w:w="120" w:type="dxa"/>
            <w:vAlign w:val="bottom"/>
            <w:shd w:val="clear" w:color="auto" w:fill="D6F3E8"/>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3 - 20</w:t>
            </w:r>
          </w:p>
        </w:tc>
        <w:tc>
          <w:tcPr>
            <w:tcW w:w="86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$ 11.19</w:t>
            </w:r>
          </w:p>
        </w:tc>
        <w:tc>
          <w:tcPr>
            <w:tcW w:w="12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1,349,008</w:t>
            </w:r>
          </w:p>
        </w:tc>
        <w:tc>
          <w:tcPr>
            <w:tcW w:w="300" w:type="dxa"/>
            <w:vAlign w:val="bottom"/>
            <w:shd w:val="clear" w:color="auto" w:fill="D6F3E8"/>
          </w:tcPr>
          <w:p>
            <w:pPr>
              <w:spacing w:after="0"/>
              <w:rPr>
                <w:sz w:val="18"/>
                <w:szCs w:val="18"/>
                <w:color w:val="auto"/>
              </w:rPr>
            </w:pPr>
          </w:p>
        </w:tc>
        <w:tc>
          <w:tcPr>
            <w:tcW w:w="120" w:type="dxa"/>
            <w:vAlign w:val="bottom"/>
            <w:shd w:val="clear" w:color="auto" w:fill="D6F3E8"/>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3 - 20</w:t>
            </w:r>
          </w:p>
        </w:tc>
        <w:tc>
          <w:tcPr>
            <w:tcW w:w="420" w:type="dxa"/>
            <w:vAlign w:val="bottom"/>
            <w:gridSpan w:val="2"/>
            <w:shd w:val="clear" w:color="auto" w:fill="D6F3E8"/>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402,500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- 36</w:t>
            </w: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31.84</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- 35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397,600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18</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120" w:type="dxa"/>
            <w:vAlign w:val="bottom"/>
            <w:gridSpan w:val="2"/>
            <w:shd w:val="clear" w:color="auto" w:fill="D6F3E8"/>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(263,452)</w:t>
            </w:r>
          </w:p>
        </w:tc>
        <w:tc>
          <w:tcPr>
            <w:tcW w:w="100" w:type="dxa"/>
            <w:vAlign w:val="bottom"/>
            <w:shd w:val="clear" w:color="auto" w:fill="D6F3E8"/>
          </w:tcPr>
          <w:p>
            <w:pPr>
              <w:spacing w:after="0"/>
              <w:rPr>
                <w:sz w:val="18"/>
                <w:szCs w:val="18"/>
                <w:color w:val="auto"/>
              </w:rPr>
            </w:pPr>
          </w:p>
        </w:tc>
        <w:tc>
          <w:tcPr>
            <w:tcW w:w="2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- 27</w:t>
            </w:r>
          </w:p>
        </w:tc>
        <w:tc>
          <w:tcPr>
            <w:tcW w:w="300" w:type="dxa"/>
            <w:vAlign w:val="bottom"/>
            <w:shd w:val="clear" w:color="auto" w:fill="D6F3E8"/>
          </w:tcPr>
          <w:p>
            <w:pPr>
              <w:spacing w:after="0"/>
              <w:rPr>
                <w:sz w:val="18"/>
                <w:szCs w:val="18"/>
                <w:color w:val="auto"/>
              </w:rPr>
            </w:pPr>
          </w:p>
        </w:tc>
        <w:tc>
          <w:tcPr>
            <w:tcW w:w="5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16.70</w:t>
            </w:r>
          </w:p>
        </w:tc>
        <w:tc>
          <w:tcPr>
            <w:tcW w:w="38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240"/>
              <w:spacing w:after="0"/>
              <w:rPr>
                <w:sz w:val="20"/>
                <w:szCs w:val="20"/>
                <w:color w:val="auto"/>
              </w:rPr>
            </w:pPr>
            <w:r>
              <w:rPr>
                <w:rFonts w:ascii="Times New Roman" w:cs="Times New Roman" w:eastAsia="Times New Roman" w:hAnsi="Times New Roman"/>
                <w:sz w:val="18"/>
                <w:szCs w:val="18"/>
                <w:color w:val="auto"/>
              </w:rPr>
              <w:t>(519,698)</w:t>
            </w:r>
          </w:p>
        </w:tc>
        <w:tc>
          <w:tcPr>
            <w:tcW w:w="120" w:type="dxa"/>
            <w:vAlign w:val="bottom"/>
            <w:shd w:val="clear" w:color="auto" w:fill="D6F3E8"/>
          </w:tcPr>
          <w:p>
            <w:pPr>
              <w:spacing w:after="0"/>
              <w:rPr>
                <w:sz w:val="18"/>
                <w:szCs w:val="18"/>
                <w:color w:val="auto"/>
              </w:rPr>
            </w:pPr>
          </w:p>
        </w:tc>
        <w:tc>
          <w:tcPr>
            <w:tcW w:w="2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98"/>
              </w:rPr>
              <w:t>- 27</w:t>
            </w:r>
          </w:p>
        </w:tc>
        <w:tc>
          <w:tcPr>
            <w:tcW w:w="86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520" w:type="dxa"/>
            <w:vAlign w:val="bottom"/>
            <w:gridSpan w:val="3"/>
            <w:shd w:val="clear" w:color="auto" w:fill="D6F3E8"/>
          </w:tcPr>
          <w:p>
            <w:pPr>
              <w:jc w:val="right"/>
              <w:ind w:right="240"/>
              <w:spacing w:after="0"/>
              <w:rPr>
                <w:sz w:val="20"/>
                <w:szCs w:val="20"/>
                <w:color w:val="auto"/>
              </w:rPr>
            </w:pPr>
            <w:r>
              <w:rPr>
                <w:rFonts w:ascii="Times New Roman" w:cs="Times New Roman" w:eastAsia="Times New Roman" w:hAnsi="Times New Roman"/>
                <w:sz w:val="18"/>
                <w:szCs w:val="18"/>
                <w:color w:val="auto"/>
              </w:rPr>
              <w:t>(420,802)</w:t>
            </w:r>
          </w:p>
        </w:tc>
        <w:tc>
          <w:tcPr>
            <w:tcW w:w="120" w:type="dxa"/>
            <w:vAlign w:val="bottom"/>
            <w:shd w:val="clear" w:color="auto" w:fill="D6F3E8"/>
          </w:tcPr>
          <w:p>
            <w:pPr>
              <w:spacing w:after="0"/>
              <w:rPr>
                <w:sz w:val="18"/>
                <w:szCs w:val="18"/>
                <w:color w:val="auto"/>
              </w:rPr>
            </w:pPr>
          </w:p>
        </w:tc>
        <w:tc>
          <w:tcPr>
            <w:tcW w:w="50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4 - 11</w:t>
            </w:r>
          </w:p>
        </w:tc>
        <w:tc>
          <w:tcPr>
            <w:tcW w:w="3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4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canceled</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(29,068)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- 19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8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1,374,088</w:t>
            </w:r>
          </w:p>
        </w:tc>
        <w:tc>
          <w:tcPr>
            <w:tcW w:w="300" w:type="dxa"/>
            <w:vAlign w:val="bottom"/>
            <w:shd w:val="clear" w:color="auto" w:fill="D6F3E8"/>
          </w:tcPr>
          <w:p>
            <w:pPr>
              <w:spacing w:after="0"/>
              <w:rPr>
                <w:sz w:val="18"/>
                <w:szCs w:val="18"/>
                <w:color w:val="auto"/>
              </w:rPr>
            </w:pPr>
          </w:p>
        </w:tc>
        <w:tc>
          <w:tcPr>
            <w:tcW w:w="100" w:type="dxa"/>
            <w:vAlign w:val="bottom"/>
            <w:shd w:val="clear" w:color="auto" w:fill="D6F3E8"/>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- 36</w:t>
            </w:r>
          </w:p>
        </w:tc>
        <w:tc>
          <w:tcPr>
            <w:tcW w:w="300" w:type="dxa"/>
            <w:vAlign w:val="bottom"/>
            <w:shd w:val="clear" w:color="auto" w:fill="D6F3E8"/>
          </w:tcPr>
          <w:p>
            <w:pPr>
              <w:spacing w:after="0"/>
              <w:rPr>
                <w:sz w:val="18"/>
                <w:szCs w:val="18"/>
                <w:color w:val="auto"/>
              </w:rPr>
            </w:pPr>
          </w:p>
        </w:tc>
        <w:tc>
          <w:tcPr>
            <w:tcW w:w="5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$ 22.24</w:t>
            </w:r>
          </w:p>
        </w:tc>
        <w:tc>
          <w:tcPr>
            <w:tcW w:w="38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1,235,040</w:t>
            </w:r>
          </w:p>
        </w:tc>
        <w:tc>
          <w:tcPr>
            <w:tcW w:w="300" w:type="dxa"/>
            <w:vAlign w:val="bottom"/>
            <w:shd w:val="clear" w:color="auto" w:fill="D6F3E8"/>
          </w:tcPr>
          <w:p>
            <w:pPr>
              <w:spacing w:after="0"/>
              <w:rPr>
                <w:sz w:val="18"/>
                <w:szCs w:val="18"/>
                <w:color w:val="auto"/>
              </w:rPr>
            </w:pPr>
          </w:p>
        </w:tc>
        <w:tc>
          <w:tcPr>
            <w:tcW w:w="120" w:type="dxa"/>
            <w:vAlign w:val="bottom"/>
            <w:shd w:val="clear" w:color="auto" w:fill="D6F3E8"/>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98"/>
              </w:rPr>
              <w:t>- 35</w:t>
            </w:r>
          </w:p>
        </w:tc>
        <w:tc>
          <w:tcPr>
            <w:tcW w:w="86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$ 17.93</w:t>
            </w:r>
          </w:p>
        </w:tc>
        <w:tc>
          <w:tcPr>
            <w:tcW w:w="12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1,296,738</w:t>
            </w:r>
          </w:p>
        </w:tc>
        <w:tc>
          <w:tcPr>
            <w:tcW w:w="300" w:type="dxa"/>
            <w:vAlign w:val="bottom"/>
            <w:shd w:val="clear" w:color="auto" w:fill="D6F3E8"/>
          </w:tcPr>
          <w:p>
            <w:pPr>
              <w:spacing w:after="0"/>
              <w:rPr>
                <w:sz w:val="18"/>
                <w:szCs w:val="18"/>
                <w:color w:val="auto"/>
              </w:rPr>
            </w:pPr>
          </w:p>
        </w:tc>
        <w:tc>
          <w:tcPr>
            <w:tcW w:w="120" w:type="dxa"/>
            <w:vAlign w:val="bottom"/>
            <w:shd w:val="clear" w:color="auto" w:fill="D6F3E8"/>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98"/>
              </w:rPr>
              <w:t>- 20</w:t>
            </w:r>
          </w:p>
        </w:tc>
        <w:tc>
          <w:tcPr>
            <w:tcW w:w="420" w:type="dxa"/>
            <w:vAlign w:val="bottom"/>
            <w:gridSpan w:val="2"/>
            <w:shd w:val="clear" w:color="auto" w:fill="D6F3E8"/>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660" w:type="dxa"/>
            <w:vAlign w:val="bottom"/>
            <w:gridSpan w:val="2"/>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696,628</w:t>
            </w:r>
          </w:p>
        </w:tc>
        <w:tc>
          <w:tcPr>
            <w:tcW w:w="30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- 36</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$ 17.11</w:t>
            </w: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521,400</w:t>
            </w:r>
          </w:p>
        </w:tc>
        <w:tc>
          <w:tcPr>
            <w:tcW w:w="3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- 35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$ 12.53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586,604</w:t>
            </w:r>
          </w:p>
        </w:tc>
        <w:tc>
          <w:tcPr>
            <w:tcW w:w="3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- 20</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2198370</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2773045</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2395855</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-29210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August 27, 2005:</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49"/>
        </w:trPr>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8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0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92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Range of</w:t>
            </w:r>
          </w:p>
        </w:tc>
        <w:tc>
          <w:tcPr>
            <w:tcW w:w="8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Outstanding</w:t>
            </w:r>
          </w:p>
        </w:tc>
        <w:tc>
          <w:tcPr>
            <w:tcW w:w="8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1"/>
              </w:rPr>
              <w:t>Years</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Weighted</w:t>
            </w:r>
          </w:p>
        </w:tc>
        <w:tc>
          <w:tcPr>
            <w:tcW w:w="170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Exercisable at</w:t>
            </w:r>
          </w:p>
        </w:tc>
        <w:tc>
          <w:tcPr>
            <w:tcW w:w="140" w:type="dxa"/>
            <w:vAlign w:val="bottom"/>
          </w:tcPr>
          <w:p>
            <w:pPr>
              <w:spacing w:after="0"/>
              <w:rPr>
                <w:sz w:val="12"/>
                <w:szCs w:val="12"/>
                <w:color w:val="auto"/>
              </w:rPr>
            </w:pPr>
          </w:p>
        </w:tc>
        <w:tc>
          <w:tcPr>
            <w:tcW w:w="158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Weighted</w:t>
            </w:r>
          </w:p>
        </w:tc>
      </w:tr>
      <w:tr>
        <w:trPr>
          <w:trHeight w:val="149"/>
        </w:trPr>
        <w:tc>
          <w:tcPr>
            <w:tcW w:w="92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8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August 27,</w:t>
            </w:r>
          </w:p>
        </w:tc>
        <w:tc>
          <w:tcPr>
            <w:tcW w:w="8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of Contractual</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70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August 27,</w:t>
            </w:r>
          </w:p>
        </w:tc>
        <w:tc>
          <w:tcPr>
            <w:tcW w:w="140" w:type="dxa"/>
            <w:vAlign w:val="bottom"/>
          </w:tcPr>
          <w:p>
            <w:pPr>
              <w:spacing w:after="0"/>
              <w:rPr>
                <w:sz w:val="12"/>
                <w:szCs w:val="12"/>
                <w:color w:val="auto"/>
              </w:rPr>
            </w:pPr>
          </w:p>
        </w:tc>
        <w:tc>
          <w:tcPr>
            <w:tcW w:w="1580" w:type="dxa"/>
            <w:vAlign w:val="bottom"/>
            <w:gridSpan w:val="2"/>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Averages</w:t>
            </w:r>
          </w:p>
        </w:tc>
      </w:tr>
      <w:tr>
        <w:trPr>
          <w:trHeight w:val="178"/>
        </w:trPr>
        <w:tc>
          <w:tcPr>
            <w:tcW w:w="920" w:type="dxa"/>
            <w:vAlign w:val="bottom"/>
          </w:tcPr>
          <w:p>
            <w:pPr>
              <w:spacing w:after="0"/>
              <w:rPr>
                <w:sz w:val="15"/>
                <w:szCs w:val="15"/>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Prices</w:t>
            </w:r>
          </w:p>
        </w:tc>
        <w:tc>
          <w:tcPr>
            <w:tcW w:w="1720" w:type="dxa"/>
            <w:vAlign w:val="bottom"/>
            <w:gridSpan w:val="2"/>
          </w:tcPr>
          <w:p>
            <w:pPr>
              <w:jc w:val="center"/>
              <w:ind w:left="736"/>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8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1"/>
              </w:rPr>
              <w:t>Life</w:t>
            </w:r>
          </w:p>
        </w:tc>
        <w:tc>
          <w:tcPr>
            <w:tcW w:w="800" w:type="dxa"/>
            <w:vAlign w:val="bottom"/>
          </w:tcPr>
          <w:p>
            <w:pPr>
              <w:spacing w:after="0"/>
              <w:rPr>
                <w:sz w:val="15"/>
                <w:szCs w:val="15"/>
                <w:color w:val="auto"/>
              </w:rPr>
            </w:pPr>
          </w:p>
        </w:tc>
        <w:tc>
          <w:tcPr>
            <w:tcW w:w="1700" w:type="dxa"/>
            <w:vAlign w:val="bottom"/>
            <w:gridSpan w:val="3"/>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c>
          <w:tcPr>
            <w:tcW w:w="90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0" w:type="dxa"/>
            <w:vAlign w:val="bottom"/>
          </w:tcPr>
          <w:p>
            <w:pPr>
              <w:spacing w:after="0"/>
              <w:rPr>
                <w:sz w:val="15"/>
                <w:szCs w:val="15"/>
                <w:color w:val="auto"/>
              </w:rPr>
            </w:pPr>
          </w:p>
        </w:tc>
        <w:tc>
          <w:tcPr>
            <w:tcW w:w="1720" w:type="dxa"/>
            <w:vAlign w:val="bottom"/>
            <w:gridSpan w:val="3"/>
          </w:tcPr>
          <w:p>
            <w:pPr>
              <w:jc w:val="center"/>
              <w:ind w:right="820"/>
              <w:spacing w:after="0"/>
              <w:rPr>
                <w:sz w:val="20"/>
                <w:szCs w:val="20"/>
                <w:color w:val="auto"/>
              </w:rPr>
            </w:pPr>
            <w:r>
              <w:rPr>
                <w:rFonts w:ascii="Times New Roman" w:cs="Times New Roman" w:eastAsia="Times New Roman" w:hAnsi="Times New Roman"/>
                <w:sz w:val="14"/>
                <w:szCs w:val="14"/>
                <w:b w:val="1"/>
                <w:bCs w:val="1"/>
                <w:color w:val="auto"/>
                <w:w w:val="96"/>
              </w:rPr>
              <w:t>Exercise Price</w:t>
            </w:r>
          </w:p>
        </w:tc>
      </w:tr>
      <w:tr>
        <w:trPr>
          <w:trHeight w:val="95"/>
        </w:trPr>
        <w:tc>
          <w:tcPr>
            <w:tcW w:w="9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r>
      <w:tr>
        <w:trPr>
          <w:trHeight w:val="102"/>
        </w:trPr>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16"/>
        </w:trPr>
        <w:tc>
          <w:tcPr>
            <w:tcW w:w="156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  3.59</w:t>
            </w:r>
          </w:p>
        </w:tc>
        <w:tc>
          <w:tcPr>
            <w:tcW w:w="5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$7.69</w:t>
            </w:r>
          </w:p>
        </w:tc>
        <w:tc>
          <w:tcPr>
            <w:tcW w:w="17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176,940</w:t>
            </w:r>
          </w:p>
        </w:tc>
        <w:tc>
          <w:tcPr>
            <w:tcW w:w="170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D6F3E8"/>
          </w:tcPr>
          <w:p>
            <w:pPr>
              <w:jc w:val="right"/>
              <w:ind w:right="800"/>
              <w:spacing w:after="0"/>
              <w:rPr>
                <w:sz w:val="20"/>
                <w:szCs w:val="20"/>
                <w:color w:val="auto"/>
              </w:rPr>
            </w:pPr>
            <w:r>
              <w:rPr>
                <w:rFonts w:ascii="Times New Roman" w:cs="Times New Roman" w:eastAsia="Times New Roman" w:hAnsi="Times New Roman"/>
                <w:sz w:val="18"/>
                <w:szCs w:val="18"/>
                <w:color w:val="auto"/>
              </w:rPr>
              <w:t>5.71</w:t>
            </w:r>
          </w:p>
        </w:tc>
        <w:tc>
          <w:tcPr>
            <w:tcW w:w="1700" w:type="dxa"/>
            <w:vAlign w:val="bottom"/>
            <w:gridSpan w:val="2"/>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rPr>
              <w:t>176,940</w:t>
            </w: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820" w:type="dxa"/>
            <w:vAlign w:val="bottom"/>
            <w:shd w:val="clear" w:color="auto" w:fill="D6F3E8"/>
          </w:tcPr>
          <w:p>
            <w:pPr>
              <w:spacing w:after="0"/>
              <w:rPr>
                <w:sz w:val="18"/>
                <w:szCs w:val="18"/>
                <w:color w:val="auto"/>
              </w:rPr>
            </w:pPr>
          </w:p>
        </w:tc>
      </w:tr>
      <w:tr>
        <w:trPr>
          <w:trHeight w:val="216"/>
        </w:trPr>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9.00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- 10.81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169,648</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9.92</w:t>
            </w: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169,648</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20" w:type="dxa"/>
            <w:vAlign w:val="bottom"/>
          </w:tcPr>
          <w:p>
            <w:pPr>
              <w:spacing w:after="0"/>
              <w:rPr>
                <w:sz w:val="18"/>
                <w:szCs w:val="18"/>
                <w:color w:val="auto"/>
              </w:rPr>
            </w:pPr>
          </w:p>
        </w:tc>
      </w:tr>
      <w:tr>
        <w:trPr>
          <w:trHeight w:val="216"/>
        </w:trPr>
        <w:tc>
          <w:tcPr>
            <w:tcW w:w="156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5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- 19.74</w:t>
            </w:r>
          </w:p>
        </w:tc>
        <w:tc>
          <w:tcPr>
            <w:tcW w:w="17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233,000</w:t>
            </w:r>
          </w:p>
        </w:tc>
        <w:tc>
          <w:tcPr>
            <w:tcW w:w="170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560" w:type="dxa"/>
            <w:vAlign w:val="bottom"/>
            <w:gridSpan w:val="2"/>
            <w:shd w:val="clear" w:color="auto" w:fill="D6F3E8"/>
          </w:tcPr>
          <w:p>
            <w:pPr>
              <w:jc w:val="right"/>
              <w:ind w:right="800"/>
              <w:spacing w:after="0"/>
              <w:rPr>
                <w:sz w:val="20"/>
                <w:szCs w:val="20"/>
                <w:color w:val="auto"/>
              </w:rPr>
            </w:pPr>
            <w:r>
              <w:rPr>
                <w:rFonts w:ascii="Times New Roman" w:cs="Times New Roman" w:eastAsia="Times New Roman" w:hAnsi="Times New Roman"/>
                <w:sz w:val="18"/>
                <w:szCs w:val="18"/>
                <w:color w:val="auto"/>
              </w:rPr>
              <w:t>18.43</w:t>
            </w:r>
          </w:p>
        </w:tc>
        <w:tc>
          <w:tcPr>
            <w:tcW w:w="1700" w:type="dxa"/>
            <w:vAlign w:val="bottom"/>
            <w:gridSpan w:val="2"/>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rPr>
              <w:t>125,040</w:t>
            </w:r>
          </w:p>
        </w:tc>
        <w:tc>
          <w:tcPr>
            <w:tcW w:w="140" w:type="dxa"/>
            <w:vAlign w:val="bottom"/>
            <w:shd w:val="clear" w:color="auto" w:fill="D6F3E8"/>
          </w:tcPr>
          <w:p>
            <w:pPr>
              <w:spacing w:after="0"/>
              <w:rPr>
                <w:sz w:val="18"/>
                <w:szCs w:val="18"/>
                <w:color w:val="auto"/>
              </w:rPr>
            </w:pPr>
          </w:p>
        </w:tc>
        <w:tc>
          <w:tcPr>
            <w:tcW w:w="7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820" w:type="dxa"/>
            <w:vAlign w:val="bottom"/>
            <w:shd w:val="clear" w:color="auto" w:fill="D6F3E8"/>
          </w:tcPr>
          <w:p>
            <w:pPr>
              <w:spacing w:after="0"/>
              <w:rPr>
                <w:sz w:val="18"/>
                <w:szCs w:val="18"/>
                <w:color w:val="auto"/>
              </w:rPr>
            </w:pPr>
          </w:p>
        </w:tc>
      </w:tr>
      <w:tr>
        <w:trPr>
          <w:trHeight w:val="230"/>
        </w:trPr>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26.50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- 35.15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794,500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29.67</w:t>
            </w: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225,000</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820" w:type="dxa"/>
            <w:vAlign w:val="bottom"/>
          </w:tcPr>
          <w:p>
            <w:pPr>
              <w:spacing w:after="0"/>
              <w:rPr>
                <w:sz w:val="20"/>
                <w:szCs w:val="20"/>
                <w:color w:val="auto"/>
              </w:rPr>
            </w:pPr>
          </w:p>
        </w:tc>
      </w:tr>
      <w:tr>
        <w:trPr>
          <w:trHeight w:val="94"/>
        </w:trPr>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r>
      <w:tr>
        <w:trPr>
          <w:trHeight w:val="102"/>
        </w:trPr>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r>
      <w:tr>
        <w:trPr>
          <w:trHeight w:val="216"/>
        </w:trPr>
        <w:tc>
          <w:tcPr>
            <w:tcW w:w="920" w:type="dxa"/>
            <w:vAlign w:val="bottom"/>
            <w:shd w:val="clear" w:color="auto" w:fill="D6F3E8"/>
          </w:tcPr>
          <w:p>
            <w:pPr>
              <w:spacing w:after="0"/>
              <w:rPr>
                <w:sz w:val="18"/>
                <w:szCs w:val="18"/>
                <w:color w:val="auto"/>
              </w:rPr>
            </w:pPr>
          </w:p>
        </w:tc>
        <w:tc>
          <w:tcPr>
            <w:tcW w:w="640" w:type="dxa"/>
            <w:vAlign w:val="bottom"/>
            <w:shd w:val="clear" w:color="auto" w:fill="D6F3E8"/>
          </w:tcPr>
          <w:p>
            <w:pPr>
              <w:spacing w:after="0"/>
              <w:rPr>
                <w:sz w:val="18"/>
                <w:szCs w:val="18"/>
                <w:color w:val="auto"/>
              </w:rPr>
            </w:pPr>
          </w:p>
        </w:tc>
        <w:tc>
          <w:tcPr>
            <w:tcW w:w="520" w:type="dxa"/>
            <w:vAlign w:val="bottom"/>
            <w:shd w:val="clear" w:color="auto" w:fill="D6F3E8"/>
          </w:tcPr>
          <w:p>
            <w:pPr>
              <w:spacing w:after="0"/>
              <w:rPr>
                <w:sz w:val="18"/>
                <w:szCs w:val="18"/>
                <w:color w:val="auto"/>
              </w:rPr>
            </w:pPr>
          </w:p>
        </w:tc>
        <w:tc>
          <w:tcPr>
            <w:tcW w:w="172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1,374,088</w:t>
            </w:r>
          </w:p>
        </w:tc>
        <w:tc>
          <w:tcPr>
            <w:tcW w:w="170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40" w:type="dxa"/>
            <w:vAlign w:val="bottom"/>
            <w:gridSpan w:val="2"/>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D6F3E8"/>
          </w:tcPr>
          <w:p>
            <w:pPr>
              <w:jc w:val="right"/>
              <w:ind w:right="800"/>
              <w:spacing w:after="0"/>
              <w:rPr>
                <w:sz w:val="20"/>
                <w:szCs w:val="20"/>
                <w:color w:val="auto"/>
              </w:rPr>
            </w:pPr>
            <w:r>
              <w:rPr>
                <w:rFonts w:ascii="Times New Roman" w:cs="Times New Roman" w:eastAsia="Times New Roman" w:hAnsi="Times New Roman"/>
                <w:sz w:val="18"/>
                <w:szCs w:val="18"/>
                <w:color w:val="auto"/>
              </w:rPr>
              <w:t>22.24</w:t>
            </w:r>
          </w:p>
        </w:tc>
        <w:tc>
          <w:tcPr>
            <w:tcW w:w="1700" w:type="dxa"/>
            <w:vAlign w:val="bottom"/>
            <w:gridSpan w:val="2"/>
            <w:shd w:val="clear" w:color="auto" w:fill="D6F3E8"/>
          </w:tcPr>
          <w:p>
            <w:pPr>
              <w:ind w:left="340"/>
              <w:spacing w:after="0"/>
              <w:rPr>
                <w:sz w:val="20"/>
                <w:szCs w:val="20"/>
                <w:color w:val="auto"/>
              </w:rPr>
            </w:pPr>
            <w:r>
              <w:rPr>
                <w:rFonts w:ascii="Times New Roman" w:cs="Times New Roman" w:eastAsia="Times New Roman" w:hAnsi="Times New Roman"/>
                <w:sz w:val="18"/>
                <w:szCs w:val="18"/>
                <w:color w:val="auto"/>
              </w:rPr>
              <w:t>696,628</w:t>
            </w: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820" w:type="dxa"/>
            <w:vAlign w:val="bottom"/>
            <w:shd w:val="clear" w:color="auto" w:fill="D6F3E8"/>
          </w:tcPr>
          <w:p>
            <w:pPr>
              <w:spacing w:after="0"/>
              <w:rPr>
                <w:sz w:val="18"/>
                <w:szCs w:val="18"/>
                <w:color w:val="auto"/>
              </w:rPr>
            </w:pPr>
          </w:p>
        </w:tc>
      </w:tr>
      <w:tr>
        <w:trPr>
          <w:trHeight w:val="916"/>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42"/>
        </w:trPr>
        <w:tc>
          <w:tcPr>
            <w:tcW w:w="92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520" w:type="dxa"/>
            <w:vAlign w:val="bottom"/>
            <w:tcBorders>
              <w:bottom w:val="single" w:sz="8" w:color="808080"/>
            </w:tcBorders>
          </w:tcPr>
          <w:p>
            <w:pPr>
              <w:spacing w:after="0"/>
              <w:rPr>
                <w:sz w:val="21"/>
                <w:szCs w:val="21"/>
                <w:color w:val="auto"/>
              </w:rPr>
            </w:pPr>
          </w:p>
        </w:tc>
        <w:tc>
          <w:tcPr>
            <w:tcW w:w="820" w:type="dxa"/>
            <w:vAlign w:val="bottom"/>
            <w:tcBorders>
              <w:bottom w:val="single" w:sz="8" w:color="808080"/>
            </w:tcBorders>
          </w:tcPr>
          <w:p>
            <w:pPr>
              <w:spacing w:after="0"/>
              <w:rPr>
                <w:sz w:val="21"/>
                <w:szCs w:val="21"/>
                <w:color w:val="auto"/>
              </w:rPr>
            </w:pPr>
          </w:p>
        </w:tc>
        <w:tc>
          <w:tcPr>
            <w:tcW w:w="90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c>
          <w:tcPr>
            <w:tcW w:w="90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c>
          <w:tcPr>
            <w:tcW w:w="90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82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[GRAPHIC]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11:  Supplemental Cash Flow Disclosure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during the year for:</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2"/>
          </w:tcPr>
          <w:p>
            <w:pPr>
              <w:jc w:val="right"/>
              <w:ind w:right="1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22"/>
                <w:szCs w:val="22"/>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27, 2005</w:t>
            </w:r>
          </w:p>
        </w:tc>
        <w:tc>
          <w:tcPr>
            <w:tcW w:w="140" w:type="dxa"/>
            <w:vAlign w:val="bottom"/>
          </w:tcPr>
          <w:p>
            <w:pPr>
              <w:spacing w:after="0"/>
              <w:rPr>
                <w:sz w:val="22"/>
                <w:szCs w:val="22"/>
                <w:color w:val="auto"/>
              </w:rPr>
            </w:pPr>
          </w:p>
        </w:tc>
        <w:tc>
          <w:tcPr>
            <w:tcW w:w="2240" w:type="dxa"/>
            <w:vAlign w:val="bottom"/>
            <w:gridSpan w:val="2"/>
          </w:tcPr>
          <w:p>
            <w:pPr>
              <w:jc w:val="right"/>
              <w:ind w:right="1300"/>
              <w:spacing w:after="0"/>
              <w:rPr>
                <w:sz w:val="20"/>
                <w:szCs w:val="20"/>
                <w:color w:val="auto"/>
              </w:rPr>
            </w:pPr>
            <w:r>
              <w:rPr>
                <w:rFonts w:ascii="Times New Roman" w:cs="Times New Roman" w:eastAsia="Times New Roman" w:hAnsi="Times New Roman"/>
                <w:sz w:val="14"/>
                <w:szCs w:val="14"/>
                <w:b w:val="1"/>
                <w:bCs w:val="1"/>
                <w:color w:val="auto"/>
                <w:w w:val="96"/>
              </w:rPr>
              <w:t>August 28, 2004</w:t>
            </w:r>
          </w:p>
        </w:tc>
        <w:tc>
          <w:tcPr>
            <w:tcW w:w="140" w:type="dxa"/>
            <w:vAlign w:val="bottom"/>
          </w:tcPr>
          <w:p>
            <w:pPr>
              <w:spacing w:after="0"/>
              <w:rPr>
                <w:sz w:val="22"/>
                <w:szCs w:val="22"/>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6"/>
              </w:rPr>
              <w:t>August 30, 2003</w:t>
            </w:r>
          </w:p>
        </w:tc>
        <w:tc>
          <w:tcPr>
            <w:tcW w:w="0" w:type="dxa"/>
            <w:vAlign w:val="bottom"/>
          </w:tcPr>
          <w:p>
            <w:pPr>
              <w:spacing w:after="0"/>
              <w:rPr>
                <w:sz w:val="1"/>
                <w:szCs w:val="1"/>
                <w:color w:val="auto"/>
              </w:rPr>
            </w:pPr>
          </w:p>
        </w:tc>
      </w:tr>
      <w:tr>
        <w:trPr>
          <w:trHeight w:val="89"/>
        </w:trPr>
        <w:tc>
          <w:tcPr>
            <w:tcW w:w="5160" w:type="dxa"/>
            <w:vAlign w:val="bottom"/>
            <w:gridSpan w:val="2"/>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60" w:type="dxa"/>
            <w:vAlign w:val="bottom"/>
            <w:gridSpan w:val="2"/>
            <w:shd w:val="clear" w:color="auto" w:fill="D6F3E8"/>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31,155</w:t>
            </w: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2"/>
            <w:shd w:val="clear" w:color="auto" w:fill="D6F3E8"/>
          </w:tcPr>
          <w:p>
            <w:pPr>
              <w:jc w:val="right"/>
              <w:ind w:right="1140"/>
              <w:spacing w:after="0"/>
              <w:rPr>
                <w:sz w:val="20"/>
                <w:szCs w:val="20"/>
                <w:color w:val="auto"/>
              </w:rPr>
            </w:pPr>
            <w:r>
              <w:rPr>
                <w:rFonts w:ascii="Times New Roman" w:cs="Times New Roman" w:eastAsia="Times New Roman" w:hAnsi="Times New Roman"/>
                <w:sz w:val="18"/>
                <w:szCs w:val="18"/>
                <w:color w:val="auto"/>
              </w:rPr>
              <w:t>40,575</w:t>
            </w: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34,109</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spacing w:after="0"/>
              <w:rPr>
                <w:sz w:val="20"/>
                <w:szCs w:val="20"/>
                <w:color w:val="auto"/>
              </w:rPr>
            </w:pPr>
          </w:p>
        </w:tc>
        <w:tc>
          <w:tcPr>
            <w:tcW w:w="22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224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12:  Net Revenues By Major Product Class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0"/>
              </w:rPr>
              <w:t xml:space="preserve">Fiscal Year Ended </w:t>
            </w:r>
            <w:r>
              <w:rPr>
                <w:rFonts w:ascii="Times New Roman" w:cs="Times New Roman" w:eastAsia="Times New Roman" w:hAnsi="Times New Roman"/>
                <w:sz w:val="22"/>
                <w:szCs w:val="22"/>
                <w:b w:val="1"/>
                <w:bCs w:val="1"/>
                <w:color w:val="auto"/>
                <w:w w:val="90"/>
                <w:vertAlign w:val="superscript"/>
              </w:rPr>
              <w:t>(1)(2)</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3"/>
              </w:rPr>
              <w:t>August 27,</w:t>
            </w:r>
          </w:p>
        </w:tc>
        <w:tc>
          <w:tcPr>
            <w:tcW w:w="12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7"/>
              </w:rPr>
              <w:t>August 28,</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7"/>
              </w:rPr>
              <w:t>August 30,</w:t>
            </w:r>
          </w:p>
        </w:tc>
        <w:tc>
          <w:tcPr>
            <w:tcW w:w="140" w:type="dxa"/>
            <w:vAlign w:val="bottom"/>
          </w:tcPr>
          <w:p>
            <w:pPr>
              <w:spacing w:after="0"/>
              <w:rPr>
                <w:sz w:val="20"/>
                <w:szCs w:val="20"/>
                <w:color w:val="auto"/>
              </w:rPr>
            </w:pPr>
          </w:p>
        </w:tc>
        <w:tc>
          <w:tcPr>
            <w:tcW w:w="13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3"/>
              </w:rPr>
              <w:t>August 31,</w:t>
            </w:r>
          </w:p>
        </w:tc>
        <w:tc>
          <w:tcPr>
            <w:tcW w:w="12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7"/>
              </w:rPr>
              <w:t>August 25,</w:t>
            </w:r>
          </w:p>
        </w:tc>
        <w:tc>
          <w:tcPr>
            <w:tcW w:w="0" w:type="dxa"/>
            <w:vAlign w:val="bottom"/>
          </w:tcPr>
          <w:p>
            <w:pPr>
              <w:spacing w:after="0"/>
              <w:rPr>
                <w:sz w:val="1"/>
                <w:szCs w:val="1"/>
                <w:color w:val="auto"/>
              </w:rPr>
            </w:pPr>
          </w:p>
        </w:tc>
      </w:tr>
      <w:tr>
        <w:trPr>
          <w:trHeight w:val="178"/>
        </w:trPr>
        <w:tc>
          <w:tcPr>
            <w:tcW w:w="4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 data)</w:t>
            </w:r>
          </w:p>
        </w:tc>
        <w:tc>
          <w:tcPr>
            <w:tcW w:w="140" w:type="dxa"/>
            <w:vAlign w:val="bottom"/>
          </w:tcPr>
          <w:p>
            <w:pPr>
              <w:spacing w:after="0"/>
              <w:rPr>
                <w:sz w:val="15"/>
                <w:szCs w:val="15"/>
                <w:color w:val="auto"/>
              </w:rPr>
            </w:pPr>
          </w:p>
        </w:tc>
        <w:tc>
          <w:tcPr>
            <w:tcW w:w="7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2005</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2004</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2002</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2001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4380" w:type="dxa"/>
            <w:vAlign w:val="bottom"/>
            <w:gridSpan w:val="2"/>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Class A &amp; C motor homes</w:t>
            </w: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946,350</w:t>
            </w:r>
          </w:p>
        </w:tc>
        <w:tc>
          <w:tcPr>
            <w:tcW w:w="580" w:type="dxa"/>
            <w:vAlign w:val="bottom"/>
            <w:shd w:val="clear" w:color="auto" w:fill="D6F3E8"/>
          </w:tcPr>
          <w:p>
            <w:pPr>
              <w:spacing w:after="0"/>
              <w:rPr>
                <w:sz w:val="18"/>
                <w:szCs w:val="18"/>
                <w:color w:val="auto"/>
              </w:rPr>
            </w:pPr>
          </w:p>
        </w:tc>
        <w:tc>
          <w:tcPr>
            <w:tcW w:w="1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1,070,264</w:t>
            </w:r>
          </w:p>
        </w:tc>
        <w:tc>
          <w:tcPr>
            <w:tcW w:w="240" w:type="dxa"/>
            <w:vAlign w:val="bottom"/>
            <w:shd w:val="clear" w:color="auto" w:fill="D6F3E8"/>
          </w:tcPr>
          <w:p>
            <w:pPr>
              <w:spacing w:after="0"/>
              <w:rPr>
                <w:sz w:val="18"/>
                <w:szCs w:val="18"/>
                <w:color w:val="auto"/>
              </w:rPr>
            </w:pPr>
          </w:p>
        </w:tc>
        <w:tc>
          <w:tcPr>
            <w:tcW w:w="46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D6F3E8"/>
          </w:tcPr>
          <w:p>
            <w:pPr>
              <w:jc w:val="right"/>
              <w:ind w:right="560"/>
              <w:spacing w:after="0"/>
              <w:rPr>
                <w:sz w:val="20"/>
                <w:szCs w:val="20"/>
                <w:color w:val="auto"/>
              </w:rPr>
            </w:pPr>
            <w:r>
              <w:rPr>
                <w:rFonts w:ascii="Times New Roman" w:cs="Times New Roman" w:eastAsia="Times New Roman" w:hAnsi="Times New Roman"/>
                <w:sz w:val="18"/>
                <w:szCs w:val="18"/>
                <w:color w:val="auto"/>
              </w:rPr>
              <w:t>801,027</w:t>
            </w: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773,125</w:t>
            </w:r>
          </w:p>
        </w:tc>
        <w:tc>
          <w:tcPr>
            <w:tcW w:w="560" w:type="dxa"/>
            <w:vAlign w:val="bottom"/>
            <w:shd w:val="clear" w:color="auto" w:fill="D6F3E8"/>
          </w:tcPr>
          <w:p>
            <w:pPr>
              <w:spacing w:after="0"/>
              <w:rPr>
                <w:sz w:val="18"/>
                <w:szCs w:val="18"/>
                <w:color w:val="auto"/>
              </w:rPr>
            </w:pPr>
          </w:p>
        </w:tc>
        <w:tc>
          <w:tcPr>
            <w:tcW w:w="1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624,110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95.4%</w:t>
            </w: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94.8%</w:t>
            </w:r>
          </w:p>
        </w:tc>
        <w:tc>
          <w:tcPr>
            <w:tcW w:w="14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shd w:val="clear" w:color="auto" w:fill="D6F3E8"/>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Other recreation vehicle revenues </w:t>
            </w:r>
            <w:r>
              <w:rPr>
                <w:rFonts w:ascii="Times New Roman" w:cs="Times New Roman" w:eastAsia="Times New Roman" w:hAnsi="Times New Roman"/>
                <w:sz w:val="29"/>
                <w:szCs w:val="29"/>
                <w:color w:val="auto"/>
                <w:vertAlign w:val="superscript"/>
              </w:rPr>
              <w:t>(3)</w:t>
            </w:r>
          </w:p>
        </w:tc>
        <w:tc>
          <w:tcPr>
            <w:tcW w:w="140" w:type="dxa"/>
            <w:vAlign w:val="bottom"/>
            <w:shd w:val="clear" w:color="auto" w:fill="D6F3E8"/>
          </w:tcPr>
          <w:p>
            <w:pPr>
              <w:spacing w:after="0"/>
              <w:rPr>
                <w:sz w:val="22"/>
                <w:szCs w:val="22"/>
                <w:color w:val="auto"/>
              </w:rPr>
            </w:pP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16,401</w:t>
            </w:r>
          </w:p>
        </w:tc>
        <w:tc>
          <w:tcPr>
            <w:tcW w:w="58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15,199</w:t>
            </w:r>
          </w:p>
        </w:tc>
        <w:tc>
          <w:tcPr>
            <w:tcW w:w="240" w:type="dxa"/>
            <w:vAlign w:val="bottom"/>
            <w:shd w:val="clear" w:color="auto" w:fill="D6F3E8"/>
          </w:tcPr>
          <w:p>
            <w:pPr>
              <w:spacing w:after="0"/>
              <w:rPr>
                <w:sz w:val="22"/>
                <w:szCs w:val="22"/>
                <w:color w:val="auto"/>
              </w:rPr>
            </w:pPr>
          </w:p>
        </w:tc>
        <w:tc>
          <w:tcPr>
            <w:tcW w:w="34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340" w:type="dxa"/>
            <w:vAlign w:val="bottom"/>
            <w:gridSpan w:val="2"/>
            <w:shd w:val="clear" w:color="auto" w:fill="D6F3E8"/>
          </w:tcPr>
          <w:p>
            <w:pPr>
              <w:jc w:val="right"/>
              <w:ind w:right="560"/>
              <w:spacing w:after="0"/>
              <w:rPr>
                <w:sz w:val="20"/>
                <w:szCs w:val="20"/>
                <w:color w:val="auto"/>
              </w:rPr>
            </w:pPr>
            <w:r>
              <w:rPr>
                <w:rFonts w:ascii="Times New Roman" w:cs="Times New Roman" w:eastAsia="Times New Roman" w:hAnsi="Times New Roman"/>
                <w:sz w:val="18"/>
                <w:szCs w:val="18"/>
                <w:color w:val="auto"/>
              </w:rPr>
              <w:t>17,285</w:t>
            </w:r>
          </w:p>
        </w:tc>
        <w:tc>
          <w:tcPr>
            <w:tcW w:w="140" w:type="dxa"/>
            <w:vAlign w:val="bottom"/>
            <w:shd w:val="clear" w:color="auto" w:fill="D6F3E8"/>
          </w:tcPr>
          <w:p>
            <w:pPr>
              <w:spacing w:after="0"/>
              <w:rPr>
                <w:sz w:val="22"/>
                <w:szCs w:val="22"/>
                <w:color w:val="auto"/>
              </w:rPr>
            </w:pP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20,486</w:t>
            </w:r>
          </w:p>
        </w:tc>
        <w:tc>
          <w:tcPr>
            <w:tcW w:w="56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17,808</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shd w:val="clear" w:color="auto" w:fill="D6F3E8"/>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Other manufactured products revenues </w:t>
            </w:r>
            <w:r>
              <w:rPr>
                <w:rFonts w:ascii="Times New Roman" w:cs="Times New Roman" w:eastAsia="Times New Roman" w:hAnsi="Times New Roman"/>
                <w:sz w:val="29"/>
                <w:szCs w:val="29"/>
                <w:color w:val="auto"/>
                <w:vertAlign w:val="superscript"/>
              </w:rPr>
              <w:t>(4)</w:t>
            </w:r>
          </w:p>
        </w:tc>
        <w:tc>
          <w:tcPr>
            <w:tcW w:w="140" w:type="dxa"/>
            <w:vAlign w:val="bottom"/>
            <w:shd w:val="clear" w:color="auto" w:fill="D6F3E8"/>
          </w:tcPr>
          <w:p>
            <w:pPr>
              <w:spacing w:after="0"/>
              <w:rPr>
                <w:sz w:val="22"/>
                <w:szCs w:val="22"/>
                <w:color w:val="auto"/>
              </w:rPr>
            </w:pP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29,224</w:t>
            </w:r>
          </w:p>
        </w:tc>
        <w:tc>
          <w:tcPr>
            <w:tcW w:w="58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28,691</w:t>
            </w:r>
          </w:p>
        </w:tc>
        <w:tc>
          <w:tcPr>
            <w:tcW w:w="240" w:type="dxa"/>
            <w:vAlign w:val="bottom"/>
            <w:shd w:val="clear" w:color="auto" w:fill="D6F3E8"/>
          </w:tcPr>
          <w:p>
            <w:pPr>
              <w:spacing w:after="0"/>
              <w:rPr>
                <w:sz w:val="22"/>
                <w:szCs w:val="22"/>
                <w:color w:val="auto"/>
              </w:rPr>
            </w:pPr>
          </w:p>
        </w:tc>
        <w:tc>
          <w:tcPr>
            <w:tcW w:w="34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1340" w:type="dxa"/>
            <w:vAlign w:val="bottom"/>
            <w:gridSpan w:val="2"/>
            <w:shd w:val="clear" w:color="auto" w:fill="D6F3E8"/>
          </w:tcPr>
          <w:p>
            <w:pPr>
              <w:jc w:val="right"/>
              <w:ind w:right="560"/>
              <w:spacing w:after="0"/>
              <w:rPr>
                <w:sz w:val="20"/>
                <w:szCs w:val="20"/>
                <w:color w:val="auto"/>
              </w:rPr>
            </w:pPr>
            <w:r>
              <w:rPr>
                <w:rFonts w:ascii="Times New Roman" w:cs="Times New Roman" w:eastAsia="Times New Roman" w:hAnsi="Times New Roman"/>
                <w:sz w:val="18"/>
                <w:szCs w:val="18"/>
                <w:color w:val="auto"/>
              </w:rPr>
              <w:t>26,898</w:t>
            </w:r>
          </w:p>
        </w:tc>
        <w:tc>
          <w:tcPr>
            <w:tcW w:w="140" w:type="dxa"/>
            <w:vAlign w:val="bottom"/>
            <w:shd w:val="clear" w:color="auto" w:fill="D6F3E8"/>
          </w:tcPr>
          <w:p>
            <w:pPr>
              <w:spacing w:after="0"/>
              <w:rPr>
                <w:sz w:val="22"/>
                <w:szCs w:val="22"/>
                <w:color w:val="auto"/>
              </w:rPr>
            </w:pP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31,658</w:t>
            </w:r>
          </w:p>
        </w:tc>
        <w:tc>
          <w:tcPr>
            <w:tcW w:w="56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29,768</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2.9%</w:t>
            </w:r>
          </w:p>
        </w:tc>
        <w:tc>
          <w:tcPr>
            <w:tcW w:w="1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Total net revenues</w:t>
            </w: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991,975</w:t>
            </w:r>
          </w:p>
        </w:tc>
        <w:tc>
          <w:tcPr>
            <w:tcW w:w="580" w:type="dxa"/>
            <w:vAlign w:val="bottom"/>
            <w:shd w:val="clear" w:color="auto" w:fill="D6F3E8"/>
          </w:tcPr>
          <w:p>
            <w:pPr>
              <w:spacing w:after="0"/>
              <w:rPr>
                <w:sz w:val="18"/>
                <w:szCs w:val="18"/>
                <w:color w:val="auto"/>
              </w:rPr>
            </w:pPr>
          </w:p>
        </w:tc>
        <w:tc>
          <w:tcPr>
            <w:tcW w:w="1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1,114,154</w:t>
            </w:r>
          </w:p>
        </w:tc>
        <w:tc>
          <w:tcPr>
            <w:tcW w:w="240" w:type="dxa"/>
            <w:vAlign w:val="bottom"/>
            <w:shd w:val="clear" w:color="auto" w:fill="D6F3E8"/>
          </w:tcPr>
          <w:p>
            <w:pPr>
              <w:spacing w:after="0"/>
              <w:rPr>
                <w:sz w:val="18"/>
                <w:szCs w:val="18"/>
                <w:color w:val="auto"/>
              </w:rPr>
            </w:pPr>
          </w:p>
        </w:tc>
        <w:tc>
          <w:tcPr>
            <w:tcW w:w="46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D6F3E8"/>
          </w:tcPr>
          <w:p>
            <w:pPr>
              <w:jc w:val="right"/>
              <w:ind w:right="560"/>
              <w:spacing w:after="0"/>
              <w:rPr>
                <w:sz w:val="20"/>
                <w:szCs w:val="20"/>
                <w:color w:val="auto"/>
              </w:rPr>
            </w:pPr>
            <w:r>
              <w:rPr>
                <w:rFonts w:ascii="Times New Roman" w:cs="Times New Roman" w:eastAsia="Times New Roman" w:hAnsi="Times New Roman"/>
                <w:sz w:val="18"/>
                <w:szCs w:val="18"/>
                <w:color w:val="auto"/>
              </w:rPr>
              <w:t>845,210</w:t>
            </w: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825,269</w:t>
            </w:r>
          </w:p>
        </w:tc>
        <w:tc>
          <w:tcPr>
            <w:tcW w:w="560" w:type="dxa"/>
            <w:vAlign w:val="bottom"/>
            <w:shd w:val="clear" w:color="auto" w:fill="D6F3E8"/>
          </w:tcPr>
          <w:p>
            <w:pPr>
              <w:spacing w:after="0"/>
              <w:rPr>
                <w:sz w:val="18"/>
                <w:szCs w:val="18"/>
                <w:color w:val="auto"/>
              </w:rPr>
            </w:pPr>
          </w:p>
        </w:tc>
        <w:tc>
          <w:tcPr>
            <w:tcW w:w="1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671,686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100.0%</w:t>
            </w:r>
          </w:p>
        </w:tc>
        <w:tc>
          <w:tcPr>
            <w:tcW w:w="12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177" w:lineRule="exact"/>
        <w:rPr>
          <w:sz w:val="20"/>
          <w:szCs w:val="20"/>
          <w:color w:val="auto"/>
        </w:rPr>
      </w:pPr>
    </w:p>
    <w:p>
      <w:pPr>
        <w:ind w:left="360" w:hanging="352"/>
        <w:spacing w:after="0"/>
        <w:tabs>
          <w:tab w:leader="none" w:pos="360" w:val="left"/>
        </w:tabs>
        <w:numPr>
          <w:ilvl w:val="0"/>
          <w:numId w:val="21"/>
        </w:numPr>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17"/>
          <w:szCs w:val="17"/>
          <w:i w:val="1"/>
          <w:iCs w:val="1"/>
          <w:color w:val="auto"/>
        </w:rPr>
        <w:t>Certain prior periods’ information has been reclassified to conform to the current year-end presentation.</w:t>
      </w:r>
    </w:p>
    <w:p>
      <w:pPr>
        <w:sectPr>
          <w:pgSz w:w="11900" w:h="16838" w:orient="portrait"/>
          <w:cols w:equalWidth="0" w:num="1">
            <w:col w:w="11420"/>
          </w:cols>
          <w:pgMar w:left="240" w:top="125" w:right="239" w:bottom="0" w:gutter="0" w:footer="0" w:header="0"/>
          <w:type w:val="continuous"/>
        </w:sectPr>
      </w:pPr>
    </w:p>
    <w:bookmarkStart w:id="40" w:name="page41"/>
    <w:bookmarkEnd w:id="40"/>
    <w:p>
      <w:pPr>
        <w:ind w:left="360" w:hanging="352"/>
        <w:spacing w:after="0"/>
        <w:tabs>
          <w:tab w:leader="none" w:pos="360" w:val="left"/>
        </w:tabs>
        <w:numPr>
          <w:ilvl w:val="0"/>
          <w:numId w:val="22"/>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The fiscal year ended August 31, 2002 contained 53 weeks; all other fiscal years contained 52 weeks.</w:t>
      </w:r>
    </w:p>
    <w:p>
      <w:pPr>
        <w:spacing w:after="0" w:line="139" w:lineRule="exact"/>
        <w:rPr>
          <w:rFonts w:ascii="Times New Roman" w:cs="Times New Roman" w:eastAsia="Times New Roman" w:hAnsi="Times New Roman"/>
          <w:sz w:val="29"/>
          <w:szCs w:val="29"/>
          <w:i w:val="1"/>
          <w:iCs w:val="1"/>
          <w:color w:val="auto"/>
          <w:vertAlign w:val="superscript"/>
        </w:rPr>
      </w:pPr>
    </w:p>
    <w:p>
      <w:pPr>
        <w:ind w:left="360" w:hanging="352"/>
        <w:spacing w:after="0"/>
        <w:tabs>
          <w:tab w:leader="none" w:pos="360" w:val="left"/>
        </w:tabs>
        <w:numPr>
          <w:ilvl w:val="0"/>
          <w:numId w:val="22"/>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Primarily recreation vehicle related parts and recreation vehicle service revenue.</w:t>
      </w:r>
    </w:p>
    <w:p>
      <w:pPr>
        <w:spacing w:after="0" w:line="139" w:lineRule="exact"/>
        <w:rPr>
          <w:rFonts w:ascii="Times New Roman" w:cs="Times New Roman" w:eastAsia="Times New Roman" w:hAnsi="Times New Roman"/>
          <w:sz w:val="29"/>
          <w:szCs w:val="29"/>
          <w:i w:val="1"/>
          <w:iCs w:val="1"/>
          <w:color w:val="auto"/>
          <w:vertAlign w:val="superscript"/>
        </w:rPr>
      </w:pPr>
    </w:p>
    <w:p>
      <w:pPr>
        <w:ind w:left="360" w:hanging="352"/>
        <w:spacing w:after="0"/>
        <w:tabs>
          <w:tab w:leader="none" w:pos="360" w:val="left"/>
        </w:tabs>
        <w:numPr>
          <w:ilvl w:val="0"/>
          <w:numId w:val="22"/>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Primarily sales of extruded aluminum and other component products for other manufacturers and commercial vehicles.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13:  Income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calculation of basic and diluted income per share for the past three fiscal years: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3"/>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w w:val="94"/>
              </w:rPr>
              <w:t>Year Ended</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1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518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w w:val="96"/>
              </w:rPr>
              <w:t>August 27, 2005</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3"/>
            <w:vMerge w:val="restart"/>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w w:val="96"/>
              </w:rPr>
              <w:t>August 28, 2004</w:t>
            </w:r>
          </w:p>
        </w:tc>
        <w:tc>
          <w:tcPr>
            <w:tcW w:w="140" w:type="dxa"/>
            <w:vAlign w:val="bottom"/>
          </w:tcPr>
          <w:p>
            <w:pPr>
              <w:spacing w:after="0"/>
              <w:rPr>
                <w:sz w:val="20"/>
                <w:szCs w:val="20"/>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August 30, 2003</w:t>
            </w:r>
          </w:p>
        </w:tc>
        <w:tc>
          <w:tcPr>
            <w:tcW w:w="0" w:type="dxa"/>
            <w:vAlign w:val="bottom"/>
          </w:tcPr>
          <w:p>
            <w:pPr>
              <w:spacing w:after="0"/>
              <w:rPr>
                <w:sz w:val="1"/>
                <w:szCs w:val="1"/>
                <w:color w:val="auto"/>
              </w:rPr>
            </w:pPr>
          </w:p>
        </w:tc>
      </w:tr>
      <w:tr>
        <w:trPr>
          <w:trHeight w:val="97"/>
        </w:trPr>
        <w:tc>
          <w:tcPr>
            <w:tcW w:w="51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(Adjusted for the 2-for-1 stock split on March 5, 2004)</w:t>
            </w:r>
          </w:p>
        </w:tc>
        <w:tc>
          <w:tcPr>
            <w:tcW w:w="1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5180" w:type="dxa"/>
            <w:vAlign w:val="bottom"/>
            <w:gridSpan w:val="5"/>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40" w:type="dxa"/>
            <w:vAlign w:val="bottom"/>
            <w:tcBorders>
              <w:bottom w:val="single" w:sz="8" w:color="auto"/>
            </w:tcBorders>
            <w:shd w:val="clear" w:color="auto" w:fill="D6F3E8"/>
          </w:tcPr>
          <w:p>
            <w:pPr>
              <w:spacing w:after="0" w:line="176" w:lineRule="exact"/>
              <w:rPr>
                <w:sz w:val="20"/>
                <w:szCs w:val="20"/>
                <w:color w:val="auto"/>
              </w:rPr>
            </w:pPr>
            <w:r>
              <w:rPr>
                <w:rFonts w:ascii="Times New Roman" w:cs="Times New Roman" w:eastAsia="Times New Roman" w:hAnsi="Times New Roman"/>
                <w:sz w:val="18"/>
                <w:szCs w:val="18"/>
                <w:color w:val="auto"/>
                <w:w w:val="96"/>
              </w:rPr>
              <w:t>Income per share – basic</w:t>
            </w:r>
          </w:p>
        </w:tc>
        <w:tc>
          <w:tcPr>
            <w:tcW w:w="3420" w:type="dxa"/>
            <w:vAlign w:val="bottom"/>
            <w:tcBorders>
              <w:bottom w:val="single" w:sz="8" w:color="D6F3E8"/>
            </w:tcBorders>
            <w:gridSpan w:val="3"/>
            <w:shd w:val="clear" w:color="auto" w:fill="D6F3E8"/>
          </w:tcPr>
          <w:p>
            <w:pPr>
              <w:spacing w:after="0"/>
              <w:rPr>
                <w:sz w:val="17"/>
                <w:szCs w:val="17"/>
                <w:color w:val="auto"/>
              </w:rPr>
            </w:pPr>
          </w:p>
        </w:tc>
        <w:tc>
          <w:tcPr>
            <w:tcW w:w="120" w:type="dxa"/>
            <w:vAlign w:val="bottom"/>
            <w:tcBorders>
              <w:bottom w:val="single" w:sz="8" w:color="D6F3E8"/>
            </w:tcBorders>
            <w:shd w:val="clear" w:color="auto" w:fill="D6F3E8"/>
          </w:tcPr>
          <w:p>
            <w:pPr>
              <w:spacing w:after="0"/>
              <w:rPr>
                <w:sz w:val="17"/>
                <w:szCs w:val="17"/>
                <w:color w:val="auto"/>
              </w:rPr>
            </w:pPr>
          </w:p>
        </w:tc>
        <w:tc>
          <w:tcPr>
            <w:tcW w:w="1120" w:type="dxa"/>
            <w:vAlign w:val="bottom"/>
            <w:tcBorders>
              <w:bottom w:val="single" w:sz="8" w:color="D6F3E8"/>
            </w:tcBorders>
            <w:shd w:val="clear" w:color="auto" w:fill="D6F3E8"/>
          </w:tcPr>
          <w:p>
            <w:pPr>
              <w:spacing w:after="0"/>
              <w:rPr>
                <w:sz w:val="17"/>
                <w:szCs w:val="17"/>
                <w:color w:val="auto"/>
              </w:rPr>
            </w:pPr>
          </w:p>
        </w:tc>
        <w:tc>
          <w:tcPr>
            <w:tcW w:w="1140" w:type="dxa"/>
            <w:vAlign w:val="bottom"/>
            <w:tcBorders>
              <w:bottom w:val="single" w:sz="8" w:color="D6F3E8"/>
            </w:tcBorders>
            <w:shd w:val="clear" w:color="auto" w:fill="D6F3E8"/>
          </w:tcPr>
          <w:p>
            <w:pPr>
              <w:spacing w:after="0"/>
              <w:rPr>
                <w:sz w:val="17"/>
                <w:szCs w:val="17"/>
                <w:color w:val="auto"/>
              </w:rPr>
            </w:pPr>
          </w:p>
        </w:tc>
        <w:tc>
          <w:tcPr>
            <w:tcW w:w="20" w:type="dxa"/>
            <w:vAlign w:val="bottom"/>
            <w:tcBorders>
              <w:bottom w:val="single" w:sz="8" w:color="D6F3E8"/>
            </w:tcBorders>
            <w:shd w:val="clear" w:color="auto" w:fill="D6F3E8"/>
          </w:tcPr>
          <w:p>
            <w:pPr>
              <w:spacing w:after="0"/>
              <w:rPr>
                <w:sz w:val="17"/>
                <w:szCs w:val="17"/>
                <w:color w:val="auto"/>
              </w:rPr>
            </w:pPr>
          </w:p>
        </w:tc>
        <w:tc>
          <w:tcPr>
            <w:tcW w:w="140" w:type="dxa"/>
            <w:vAlign w:val="bottom"/>
            <w:tcBorders>
              <w:bottom w:val="single" w:sz="8" w:color="D6F3E8"/>
            </w:tcBorders>
            <w:shd w:val="clear" w:color="auto" w:fill="D6F3E8"/>
          </w:tcPr>
          <w:p>
            <w:pPr>
              <w:spacing w:after="0"/>
              <w:rPr>
                <w:sz w:val="17"/>
                <w:szCs w:val="17"/>
                <w:color w:val="auto"/>
              </w:rPr>
            </w:pPr>
          </w:p>
        </w:tc>
        <w:tc>
          <w:tcPr>
            <w:tcW w:w="1100" w:type="dxa"/>
            <w:vAlign w:val="bottom"/>
            <w:tcBorders>
              <w:bottom w:val="single" w:sz="8" w:color="D6F3E8"/>
            </w:tcBorders>
            <w:shd w:val="clear" w:color="auto" w:fill="D6F3E8"/>
          </w:tcPr>
          <w:p>
            <w:pPr>
              <w:spacing w:after="0"/>
              <w:rPr>
                <w:sz w:val="17"/>
                <w:szCs w:val="17"/>
                <w:color w:val="auto"/>
              </w:rPr>
            </w:pPr>
          </w:p>
        </w:tc>
        <w:tc>
          <w:tcPr>
            <w:tcW w:w="20" w:type="dxa"/>
            <w:vAlign w:val="bottom"/>
            <w:tcBorders>
              <w:bottom w:val="single" w:sz="8" w:color="D6F3E8"/>
            </w:tcBorders>
            <w:shd w:val="clear" w:color="auto" w:fill="D6F3E8"/>
          </w:tcPr>
          <w:p>
            <w:pPr>
              <w:spacing w:after="0"/>
              <w:rPr>
                <w:sz w:val="17"/>
                <w:szCs w:val="17"/>
                <w:color w:val="auto"/>
              </w:rPr>
            </w:pPr>
          </w:p>
        </w:tc>
        <w:tc>
          <w:tcPr>
            <w:tcW w:w="1120" w:type="dxa"/>
            <w:vAlign w:val="bottom"/>
            <w:tcBorders>
              <w:bottom w:val="single" w:sz="8" w:color="D6F3E8"/>
            </w:tcBorders>
            <w:shd w:val="clear" w:color="auto" w:fill="D6F3E8"/>
          </w:tcPr>
          <w:p>
            <w:pPr>
              <w:spacing w:after="0"/>
              <w:rPr>
                <w:sz w:val="17"/>
                <w:szCs w:val="17"/>
                <w:color w:val="auto"/>
              </w:rPr>
            </w:pPr>
          </w:p>
        </w:tc>
        <w:tc>
          <w:tcPr>
            <w:tcW w:w="140" w:type="dxa"/>
            <w:vAlign w:val="bottom"/>
            <w:tcBorders>
              <w:bottom w:val="single" w:sz="8" w:color="D6F3E8"/>
            </w:tcBorders>
            <w:shd w:val="clear" w:color="auto" w:fill="D6F3E8"/>
          </w:tcPr>
          <w:p>
            <w:pPr>
              <w:spacing w:after="0"/>
              <w:rPr>
                <w:sz w:val="17"/>
                <w:szCs w:val="17"/>
                <w:color w:val="auto"/>
              </w:rPr>
            </w:pPr>
          </w:p>
        </w:tc>
        <w:tc>
          <w:tcPr>
            <w:tcW w:w="1100" w:type="dxa"/>
            <w:vAlign w:val="bottom"/>
            <w:tcBorders>
              <w:bottom w:val="single" w:sz="8" w:color="D6F3E8"/>
            </w:tcBorders>
            <w:shd w:val="clear" w:color="auto" w:fill="D6F3E8"/>
          </w:tcPr>
          <w:p>
            <w:pPr>
              <w:spacing w:after="0"/>
              <w:rPr>
                <w:sz w:val="17"/>
                <w:szCs w:val="17"/>
                <w:color w:val="auto"/>
              </w:rPr>
            </w:pPr>
          </w:p>
        </w:tc>
        <w:tc>
          <w:tcPr>
            <w:tcW w:w="220" w:type="dxa"/>
            <w:vAlign w:val="bottom"/>
            <w:tcBorders>
              <w:bottom w:val="single" w:sz="8" w:color="D6F3E8"/>
            </w:tcBorders>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65,073</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70,641</w:t>
            </w:r>
          </w:p>
        </w:tc>
        <w:tc>
          <w:tcPr>
            <w:tcW w:w="1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4"/>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12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240" w:type="dxa"/>
            <w:vAlign w:val="bottom"/>
            <w:gridSpan w:val="3"/>
            <w:shd w:val="clear" w:color="auto" w:fill="D6F3E8"/>
          </w:tcPr>
          <w:p>
            <w:pPr>
              <w:jc w:val="right"/>
              <w:ind w:right="1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65,073</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70,641</w:t>
            </w:r>
          </w:p>
        </w:tc>
        <w:tc>
          <w:tcPr>
            <w:tcW w:w="1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4"/>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33,382</w:t>
            </w:r>
          </w:p>
        </w:tc>
        <w:tc>
          <w:tcPr>
            <w:tcW w:w="11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34,214</w:t>
            </w: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36,974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w:t>
            </w:r>
          </w:p>
        </w:tc>
        <w:tc>
          <w:tcPr>
            <w:tcW w:w="1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60" w:type="dxa"/>
            <w:vAlign w:val="bottom"/>
            <w:gridSpan w:val="4"/>
            <w:shd w:val="clear" w:color="auto" w:fill="D6F3E8"/>
          </w:tcPr>
          <w:p>
            <w:pPr>
              <w:spacing w:after="0" w:line="176" w:lineRule="exact"/>
              <w:rPr>
                <w:sz w:val="20"/>
                <w:szCs w:val="20"/>
                <w:color w:val="auto"/>
              </w:rPr>
            </w:pPr>
            <w:r>
              <w:rPr>
                <w:rFonts w:ascii="Times New Roman" w:cs="Times New Roman" w:eastAsia="Times New Roman" w:hAnsi="Times New Roman"/>
                <w:sz w:val="18"/>
                <w:szCs w:val="18"/>
                <w:color w:val="auto"/>
              </w:rPr>
              <w:t>Income per share – assuming dilution</w:t>
            </w:r>
          </w:p>
        </w:tc>
        <w:tc>
          <w:tcPr>
            <w:tcW w:w="120" w:type="dxa"/>
            <w:vAlign w:val="bottom"/>
            <w:shd w:val="clear" w:color="auto" w:fill="D6F3E8"/>
          </w:tcPr>
          <w:p>
            <w:pPr>
              <w:spacing w:after="0"/>
              <w:rPr>
                <w:sz w:val="15"/>
                <w:szCs w:val="15"/>
                <w:color w:val="auto"/>
              </w:rPr>
            </w:pPr>
          </w:p>
        </w:tc>
        <w:tc>
          <w:tcPr>
            <w:tcW w:w="1120" w:type="dxa"/>
            <w:vAlign w:val="bottom"/>
            <w:shd w:val="clear" w:color="auto" w:fill="D6F3E8"/>
          </w:tcPr>
          <w:p>
            <w:pPr>
              <w:spacing w:after="0"/>
              <w:rPr>
                <w:sz w:val="15"/>
                <w:szCs w:val="15"/>
                <w:color w:val="auto"/>
              </w:rPr>
            </w:pPr>
          </w:p>
        </w:tc>
        <w:tc>
          <w:tcPr>
            <w:tcW w:w="1140" w:type="dxa"/>
            <w:vAlign w:val="bottom"/>
            <w:shd w:val="clear" w:color="auto" w:fill="D6F3E8"/>
          </w:tcPr>
          <w:p>
            <w:pPr>
              <w:spacing w:after="0"/>
              <w:rPr>
                <w:sz w:val="15"/>
                <w:szCs w:val="15"/>
                <w:color w:val="auto"/>
              </w:rPr>
            </w:pPr>
          </w:p>
        </w:tc>
        <w:tc>
          <w:tcPr>
            <w:tcW w:w="20" w:type="dxa"/>
            <w:vAlign w:val="bottom"/>
            <w:shd w:val="clear" w:color="auto" w:fill="D6F3E8"/>
          </w:tcPr>
          <w:p>
            <w:pPr>
              <w:spacing w:after="0"/>
              <w:rPr>
                <w:sz w:val="15"/>
                <w:szCs w:val="15"/>
                <w:color w:val="auto"/>
              </w:rPr>
            </w:pPr>
          </w:p>
        </w:tc>
        <w:tc>
          <w:tcPr>
            <w:tcW w:w="140" w:type="dxa"/>
            <w:vAlign w:val="bottom"/>
            <w:shd w:val="clear" w:color="auto" w:fill="D6F3E8"/>
          </w:tcPr>
          <w:p>
            <w:pPr>
              <w:spacing w:after="0"/>
              <w:rPr>
                <w:sz w:val="15"/>
                <w:szCs w:val="15"/>
                <w:color w:val="auto"/>
              </w:rPr>
            </w:pPr>
          </w:p>
        </w:tc>
        <w:tc>
          <w:tcPr>
            <w:tcW w:w="1100" w:type="dxa"/>
            <w:vAlign w:val="bottom"/>
            <w:shd w:val="clear" w:color="auto" w:fill="D6F3E8"/>
          </w:tcPr>
          <w:p>
            <w:pPr>
              <w:spacing w:after="0"/>
              <w:rPr>
                <w:sz w:val="15"/>
                <w:szCs w:val="15"/>
                <w:color w:val="auto"/>
              </w:rPr>
            </w:pPr>
          </w:p>
        </w:tc>
        <w:tc>
          <w:tcPr>
            <w:tcW w:w="20" w:type="dxa"/>
            <w:vAlign w:val="bottom"/>
            <w:shd w:val="clear" w:color="auto" w:fill="D6F3E8"/>
          </w:tcPr>
          <w:p>
            <w:pPr>
              <w:spacing w:after="0"/>
              <w:rPr>
                <w:sz w:val="15"/>
                <w:szCs w:val="15"/>
                <w:color w:val="auto"/>
              </w:rPr>
            </w:pPr>
          </w:p>
        </w:tc>
        <w:tc>
          <w:tcPr>
            <w:tcW w:w="1120" w:type="dxa"/>
            <w:vAlign w:val="bottom"/>
            <w:shd w:val="clear" w:color="auto" w:fill="D6F3E8"/>
          </w:tcPr>
          <w:p>
            <w:pPr>
              <w:spacing w:after="0"/>
              <w:rPr>
                <w:sz w:val="15"/>
                <w:szCs w:val="15"/>
                <w:color w:val="auto"/>
              </w:rPr>
            </w:pPr>
          </w:p>
        </w:tc>
        <w:tc>
          <w:tcPr>
            <w:tcW w:w="140" w:type="dxa"/>
            <w:vAlign w:val="bottom"/>
            <w:shd w:val="clear" w:color="auto" w:fill="D6F3E8"/>
          </w:tcPr>
          <w:p>
            <w:pPr>
              <w:spacing w:after="0"/>
              <w:rPr>
                <w:sz w:val="15"/>
                <w:szCs w:val="15"/>
                <w:color w:val="auto"/>
              </w:rPr>
            </w:pPr>
          </w:p>
        </w:tc>
        <w:tc>
          <w:tcPr>
            <w:tcW w:w="1100" w:type="dxa"/>
            <w:vAlign w:val="bottom"/>
            <w:shd w:val="clear" w:color="auto" w:fill="D6F3E8"/>
          </w:tcPr>
          <w:p>
            <w:pPr>
              <w:spacing w:after="0"/>
              <w:rPr>
                <w:sz w:val="15"/>
                <w:szCs w:val="15"/>
                <w:color w:val="auto"/>
              </w:rPr>
            </w:pPr>
          </w:p>
        </w:tc>
        <w:tc>
          <w:tcPr>
            <w:tcW w:w="220" w:type="dxa"/>
            <w:vAlign w:val="bottom"/>
            <w:shd w:val="clear" w:color="auto" w:fill="D6F3E8"/>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40" w:type="dxa"/>
            <w:vAlign w:val="bottom"/>
            <w:tcBorders>
              <w:top w:val="single" w:sz="8" w:color="auto"/>
            </w:tcBorders>
            <w:shd w:val="clear" w:color="auto" w:fill="D6F3E8"/>
          </w:tcPr>
          <w:p>
            <w:pPr>
              <w:spacing w:after="0" w:line="20" w:lineRule="exact"/>
              <w:rPr>
                <w:sz w:val="1"/>
                <w:szCs w:val="1"/>
                <w:color w:val="auto"/>
              </w:rPr>
            </w:pPr>
          </w:p>
        </w:tc>
        <w:tc>
          <w:tcPr>
            <w:tcW w:w="880" w:type="dxa"/>
            <w:vAlign w:val="bottom"/>
            <w:tcBorders>
              <w:top w:val="single" w:sz="8" w:color="auto"/>
            </w:tcBorders>
            <w:shd w:val="clear" w:color="auto" w:fill="D6F3E8"/>
          </w:tcPr>
          <w:p>
            <w:pPr>
              <w:spacing w:after="0" w:line="20" w:lineRule="exact"/>
              <w:rPr>
                <w:sz w:val="1"/>
                <w:szCs w:val="1"/>
                <w:color w:val="auto"/>
              </w:rPr>
            </w:pPr>
          </w:p>
        </w:tc>
        <w:tc>
          <w:tcPr>
            <w:tcW w:w="2520" w:type="dxa"/>
            <w:vAlign w:val="bottom"/>
            <w:tcBorders>
              <w:top w:val="single" w:sz="8" w:color="D6F3E8"/>
            </w:tcBorders>
            <w:shd w:val="clear" w:color="auto" w:fill="D6F3E8"/>
          </w:tcPr>
          <w:p>
            <w:pPr>
              <w:spacing w:after="0" w:line="20" w:lineRule="exact"/>
              <w:rPr>
                <w:sz w:val="1"/>
                <w:szCs w:val="1"/>
                <w:color w:val="auto"/>
              </w:rPr>
            </w:pPr>
          </w:p>
        </w:tc>
        <w:tc>
          <w:tcPr>
            <w:tcW w:w="20" w:type="dxa"/>
            <w:vAlign w:val="bottom"/>
            <w:tcBorders>
              <w:top w:val="single" w:sz="8" w:color="D6F3E8"/>
            </w:tcBorders>
            <w:shd w:val="clear" w:color="auto" w:fill="D6F3E8"/>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c>
          <w:tcPr>
            <w:tcW w:w="1120" w:type="dxa"/>
            <w:vAlign w:val="bottom"/>
            <w:tcBorders>
              <w:top w:val="single" w:sz="8" w:color="D6F3E8"/>
            </w:tcBorders>
            <w:shd w:val="clear" w:color="auto" w:fill="D6F3E8"/>
          </w:tcPr>
          <w:p>
            <w:pPr>
              <w:spacing w:after="0" w:line="20" w:lineRule="exact"/>
              <w:rPr>
                <w:sz w:val="1"/>
                <w:szCs w:val="1"/>
                <w:color w:val="auto"/>
              </w:rPr>
            </w:pPr>
          </w:p>
        </w:tc>
        <w:tc>
          <w:tcPr>
            <w:tcW w:w="1140" w:type="dxa"/>
            <w:vAlign w:val="bottom"/>
            <w:tcBorders>
              <w:top w:val="single" w:sz="8" w:color="D6F3E8"/>
            </w:tcBorders>
            <w:shd w:val="clear" w:color="auto" w:fill="D6F3E8"/>
          </w:tcPr>
          <w:p>
            <w:pPr>
              <w:spacing w:after="0" w:line="20" w:lineRule="exact"/>
              <w:rPr>
                <w:sz w:val="1"/>
                <w:szCs w:val="1"/>
                <w:color w:val="auto"/>
              </w:rPr>
            </w:pPr>
          </w:p>
        </w:tc>
        <w:tc>
          <w:tcPr>
            <w:tcW w:w="2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D6F3E8"/>
            </w:tcBorders>
            <w:shd w:val="clear" w:color="auto" w:fill="D6F3E8"/>
          </w:tcPr>
          <w:p>
            <w:pPr>
              <w:spacing w:after="0" w:line="20" w:lineRule="exact"/>
              <w:rPr>
                <w:sz w:val="1"/>
                <w:szCs w:val="1"/>
                <w:color w:val="auto"/>
              </w:rPr>
            </w:pPr>
          </w:p>
        </w:tc>
        <w:tc>
          <w:tcPr>
            <w:tcW w:w="1100" w:type="dxa"/>
            <w:vAlign w:val="bottom"/>
            <w:tcBorders>
              <w:top w:val="single" w:sz="8" w:color="D6F3E8"/>
            </w:tcBorders>
            <w:shd w:val="clear" w:color="auto" w:fill="D6F3E8"/>
          </w:tcPr>
          <w:p>
            <w:pPr>
              <w:spacing w:after="0" w:line="20" w:lineRule="exact"/>
              <w:rPr>
                <w:sz w:val="1"/>
                <w:szCs w:val="1"/>
                <w:color w:val="auto"/>
              </w:rPr>
            </w:pPr>
          </w:p>
        </w:tc>
        <w:tc>
          <w:tcPr>
            <w:tcW w:w="20" w:type="dxa"/>
            <w:vAlign w:val="bottom"/>
            <w:tcBorders>
              <w:top w:val="single" w:sz="8" w:color="D6F3E8"/>
            </w:tcBorders>
            <w:shd w:val="clear" w:color="auto" w:fill="D6F3E8"/>
          </w:tcPr>
          <w:p>
            <w:pPr>
              <w:spacing w:after="0" w:line="20" w:lineRule="exact"/>
              <w:rPr>
                <w:sz w:val="1"/>
                <w:szCs w:val="1"/>
                <w:color w:val="auto"/>
              </w:rPr>
            </w:pPr>
          </w:p>
        </w:tc>
        <w:tc>
          <w:tcPr>
            <w:tcW w:w="112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D6F3E8"/>
            </w:tcBorders>
            <w:shd w:val="clear" w:color="auto" w:fill="D6F3E8"/>
          </w:tcPr>
          <w:p>
            <w:pPr>
              <w:spacing w:after="0" w:line="20" w:lineRule="exact"/>
              <w:rPr>
                <w:sz w:val="1"/>
                <w:szCs w:val="1"/>
                <w:color w:val="auto"/>
              </w:rPr>
            </w:pPr>
          </w:p>
        </w:tc>
        <w:tc>
          <w:tcPr>
            <w:tcW w:w="1100" w:type="dxa"/>
            <w:vAlign w:val="bottom"/>
            <w:tcBorders>
              <w:top w:val="single" w:sz="8" w:color="D6F3E8"/>
            </w:tcBorders>
            <w:shd w:val="clear" w:color="auto" w:fill="D6F3E8"/>
          </w:tcPr>
          <w:p>
            <w:pPr>
              <w:spacing w:after="0" w:line="20" w:lineRule="exact"/>
              <w:rPr>
                <w:sz w:val="1"/>
                <w:szCs w:val="1"/>
                <w:color w:val="auto"/>
              </w:rPr>
            </w:pPr>
          </w:p>
        </w:tc>
        <w:tc>
          <w:tcPr>
            <w:tcW w:w="220" w:type="dxa"/>
            <w:vAlign w:val="bottom"/>
            <w:tcBorders>
              <w:top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65,073</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70,641</w:t>
            </w:r>
          </w:p>
        </w:tc>
        <w:tc>
          <w:tcPr>
            <w:tcW w:w="1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4"/>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Income from discontinued operations (net of taxes)</w:t>
            </w:r>
          </w:p>
        </w:tc>
        <w:tc>
          <w:tcPr>
            <w:tcW w:w="12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240" w:type="dxa"/>
            <w:vAlign w:val="bottom"/>
            <w:gridSpan w:val="3"/>
            <w:shd w:val="clear" w:color="auto" w:fill="D6F3E8"/>
          </w:tcPr>
          <w:p>
            <w:pPr>
              <w:jc w:val="right"/>
              <w:ind w:right="1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65,073</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70,641</w:t>
            </w:r>
          </w:p>
        </w:tc>
        <w:tc>
          <w:tcPr>
            <w:tcW w:w="1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gridSpan w:val="4"/>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2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33,382</w:t>
            </w:r>
          </w:p>
        </w:tc>
        <w:tc>
          <w:tcPr>
            <w:tcW w:w="114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34,214</w:t>
            </w:r>
          </w:p>
        </w:tc>
        <w:tc>
          <w:tcPr>
            <w:tcW w:w="11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36,974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Dilutive impact of options outstanding</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575</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gridSpan w:val="4"/>
            <w:shd w:val="clear" w:color="auto" w:fill="D6F3E8"/>
          </w:tcPr>
          <w:p>
            <w:pPr>
              <w:ind w:left="380"/>
              <w:spacing w:after="0" w:line="201" w:lineRule="exact"/>
              <w:rPr>
                <w:sz w:val="20"/>
                <w:szCs w:val="20"/>
                <w:color w:val="auto"/>
              </w:rPr>
            </w:pPr>
            <w:r>
              <w:rPr>
                <w:rFonts w:ascii="Times New Roman" w:cs="Times New Roman" w:eastAsia="Times New Roman" w:hAnsi="Times New Roman"/>
                <w:sz w:val="18"/>
                <w:szCs w:val="18"/>
                <w:color w:val="auto"/>
              </w:rPr>
              <w:t>Weighted average shares and potential</w:t>
            </w:r>
          </w:p>
        </w:tc>
        <w:tc>
          <w:tcPr>
            <w:tcW w:w="120" w:type="dxa"/>
            <w:vAlign w:val="bottom"/>
            <w:shd w:val="clear" w:color="auto" w:fill="D6F3E8"/>
          </w:tcPr>
          <w:p>
            <w:pPr>
              <w:spacing w:after="0"/>
              <w:rPr>
                <w:sz w:val="17"/>
                <w:szCs w:val="17"/>
                <w:color w:val="auto"/>
              </w:rPr>
            </w:pPr>
          </w:p>
        </w:tc>
        <w:tc>
          <w:tcPr>
            <w:tcW w:w="1120" w:type="dxa"/>
            <w:vAlign w:val="bottom"/>
            <w:vMerge w:val="restart"/>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33,812</w:t>
            </w:r>
          </w:p>
        </w:tc>
        <w:tc>
          <w:tcPr>
            <w:tcW w:w="1140" w:type="dxa"/>
            <w:vAlign w:val="bottom"/>
            <w:shd w:val="clear" w:color="auto" w:fill="D6F3E8"/>
          </w:tcPr>
          <w:p>
            <w:pPr>
              <w:spacing w:after="0"/>
              <w:rPr>
                <w:sz w:val="17"/>
                <w:szCs w:val="17"/>
                <w:color w:val="auto"/>
              </w:rPr>
            </w:pPr>
          </w:p>
        </w:tc>
        <w:tc>
          <w:tcPr>
            <w:tcW w:w="20" w:type="dxa"/>
            <w:vAlign w:val="bottom"/>
            <w:shd w:val="clear" w:color="auto" w:fill="D6F3E8"/>
          </w:tcPr>
          <w:p>
            <w:pPr>
              <w:spacing w:after="0"/>
              <w:rPr>
                <w:sz w:val="17"/>
                <w:szCs w:val="17"/>
                <w:color w:val="auto"/>
              </w:rPr>
            </w:pPr>
          </w:p>
        </w:tc>
        <w:tc>
          <w:tcPr>
            <w:tcW w:w="140" w:type="dxa"/>
            <w:vAlign w:val="bottom"/>
            <w:shd w:val="clear" w:color="auto" w:fill="D6F3E8"/>
          </w:tcPr>
          <w:p>
            <w:pPr>
              <w:spacing w:after="0"/>
              <w:rPr>
                <w:sz w:val="17"/>
                <w:szCs w:val="17"/>
                <w:color w:val="auto"/>
              </w:rPr>
            </w:pPr>
          </w:p>
        </w:tc>
        <w:tc>
          <w:tcPr>
            <w:tcW w:w="1100" w:type="dxa"/>
            <w:vAlign w:val="bottom"/>
            <w:shd w:val="clear" w:color="auto" w:fill="D6F3E8"/>
          </w:tcPr>
          <w:p>
            <w:pPr>
              <w:spacing w:after="0"/>
              <w:rPr>
                <w:sz w:val="17"/>
                <w:szCs w:val="17"/>
                <w:color w:val="auto"/>
              </w:rPr>
            </w:pPr>
          </w:p>
        </w:tc>
        <w:tc>
          <w:tcPr>
            <w:tcW w:w="20" w:type="dxa"/>
            <w:vAlign w:val="bottom"/>
            <w:shd w:val="clear" w:color="auto" w:fill="D6F3E8"/>
          </w:tcPr>
          <w:p>
            <w:pPr>
              <w:spacing w:after="0"/>
              <w:rPr>
                <w:sz w:val="17"/>
                <w:szCs w:val="17"/>
                <w:color w:val="auto"/>
              </w:rPr>
            </w:pPr>
          </w:p>
        </w:tc>
        <w:tc>
          <w:tcPr>
            <w:tcW w:w="1120" w:type="dxa"/>
            <w:vAlign w:val="bottom"/>
            <w:shd w:val="clear" w:color="auto" w:fill="D6F3E8"/>
          </w:tcPr>
          <w:p>
            <w:pPr>
              <w:spacing w:after="0"/>
              <w:rPr>
                <w:sz w:val="17"/>
                <w:szCs w:val="17"/>
                <w:color w:val="auto"/>
              </w:rPr>
            </w:pPr>
          </w:p>
        </w:tc>
        <w:tc>
          <w:tcPr>
            <w:tcW w:w="140" w:type="dxa"/>
            <w:vAlign w:val="bottom"/>
            <w:shd w:val="clear" w:color="auto" w:fill="D6F3E8"/>
          </w:tcPr>
          <w:p>
            <w:pPr>
              <w:spacing w:after="0"/>
              <w:rPr>
                <w:sz w:val="17"/>
                <w:szCs w:val="17"/>
                <w:color w:val="auto"/>
              </w:rPr>
            </w:pPr>
          </w:p>
        </w:tc>
        <w:tc>
          <w:tcPr>
            <w:tcW w:w="110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60" w:type="dxa"/>
            <w:vAlign w:val="bottom"/>
            <w:gridSpan w:val="4"/>
            <w:shd w:val="clear" w:color="auto" w:fill="D6F3E8"/>
          </w:tcPr>
          <w:p>
            <w:pPr>
              <w:ind w:left="560"/>
              <w:spacing w:after="0"/>
              <w:rPr>
                <w:sz w:val="20"/>
                <w:szCs w:val="20"/>
                <w:color w:val="auto"/>
              </w:rPr>
            </w:pPr>
            <w:r>
              <w:rPr>
                <w:rFonts w:ascii="Times New Roman" w:cs="Times New Roman" w:eastAsia="Times New Roman" w:hAnsi="Times New Roman"/>
                <w:sz w:val="18"/>
                <w:szCs w:val="18"/>
                <w:color w:val="auto"/>
              </w:rPr>
              <w:t>dilutive shares outstanding</w:t>
            </w:r>
          </w:p>
        </w:tc>
        <w:tc>
          <w:tcPr>
            <w:tcW w:w="120" w:type="dxa"/>
            <w:vAlign w:val="bottom"/>
            <w:shd w:val="clear" w:color="auto" w:fill="D6F3E8"/>
          </w:tcPr>
          <w:p>
            <w:pPr>
              <w:spacing w:after="0"/>
              <w:rPr>
                <w:sz w:val="20"/>
                <w:szCs w:val="20"/>
                <w:color w:val="auto"/>
              </w:rPr>
            </w:pPr>
          </w:p>
        </w:tc>
        <w:tc>
          <w:tcPr>
            <w:tcW w:w="1120" w:type="dxa"/>
            <w:vAlign w:val="bottom"/>
            <w:vMerge w:val="continue"/>
            <w:shd w:val="clear" w:color="auto" w:fill="D6F3E8"/>
          </w:tcPr>
          <w:p>
            <w:pPr>
              <w:spacing w:after="0"/>
              <w:rPr>
                <w:sz w:val="20"/>
                <w:szCs w:val="20"/>
                <w:color w:val="auto"/>
              </w:rPr>
            </w:pPr>
          </w:p>
        </w:tc>
        <w:tc>
          <w:tcPr>
            <w:tcW w:w="1140" w:type="dxa"/>
            <w:vAlign w:val="bottom"/>
            <w:shd w:val="clear" w:color="auto" w:fill="D6F3E8"/>
          </w:tcPr>
          <w:p>
            <w:pPr>
              <w:spacing w:after="0"/>
              <w:rPr>
                <w:sz w:val="20"/>
                <w:szCs w:val="20"/>
                <w:color w:val="auto"/>
              </w:rPr>
            </w:pPr>
          </w:p>
        </w:tc>
        <w:tc>
          <w:tcPr>
            <w:tcW w:w="2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12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34,789</w:t>
            </w:r>
          </w:p>
        </w:tc>
        <w:tc>
          <w:tcPr>
            <w:tcW w:w="1120" w:type="dxa"/>
            <w:vAlign w:val="bottom"/>
            <w:shd w:val="clear" w:color="auto" w:fill="D6F3E8"/>
          </w:tcPr>
          <w:p>
            <w:pPr>
              <w:spacing w:after="0"/>
              <w:rPr>
                <w:sz w:val="20"/>
                <w:szCs w:val="20"/>
                <w:color w:val="auto"/>
              </w:rPr>
            </w:pPr>
          </w:p>
        </w:tc>
        <w:tc>
          <w:tcPr>
            <w:tcW w:w="140" w:type="dxa"/>
            <w:vAlign w:val="bottom"/>
            <w:shd w:val="clear" w:color="auto" w:fill="D6F3E8"/>
          </w:tcPr>
          <w:p>
            <w:pPr>
              <w:spacing w:after="0"/>
              <w:rPr>
                <w:sz w:val="20"/>
                <w:szCs w:val="20"/>
                <w:color w:val="auto"/>
              </w:rPr>
            </w:pP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37,636</w:t>
            </w:r>
          </w:p>
        </w:tc>
        <w:tc>
          <w:tcPr>
            <w:tcW w:w="2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Net income per share – assuming dilution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1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4067810</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14:  Preferred Stock and Shareholders Rights Plan</w:t>
      </w:r>
    </w:p>
    <w:p>
      <w:pPr>
        <w:spacing w:after="0" w:line="27"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The Board of Directors may authorize the issuance from time to time of preferred stock in one or more series with such designations, preferences, qualifications, limitations, restrictions, and optional or other special rights as the Board may fix by resolution. In connection with the Shareholders Rights Plan (Rights Plan) discussed below, the Board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[GRAPHIC]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Directors has reserved, but not issued, 300,000 shares of preferred stock.</w:t>
      </w:r>
    </w:p>
    <w:p>
      <w:pPr>
        <w:spacing w:after="0" w:line="225"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6"/>
          <w:szCs w:val="16"/>
          <w:color w:val="auto"/>
        </w:rPr>
        <w:t>In May 2000, the Company adopted a Rights Plan providing for a dividend distribution of one preferred share purchase right for each share of common stock outstanding on and after May 26, 2000. The rights can be exercised only if an individual or group acquires or announces a tender offer for 15 percent or more of the Company’s common stock, except as described below. Certain members of the Hanson family (including trusts and estates established by such Hanson family members and the John K. and Luise V. Hanson Foundation) are exempt from the applicability of the Rights Plan as it relates to the acquisition of 15 percent or more of the Company’s outstanding common stock. If the rights first become exercisable as a result of an announced tender offer, each right would entitle the holder, (other than the individual or group acquiring or announcing a tender offer for 15 percent or more of the Company’s common stock) except as described below, to buy 1/200 of a share of a new series of preferred stock at an exercise price of $33.625. The preferred shares will be entitled to 100 times the per share dividend payable on the Company’s common stock and to 100 votes on all matters submitted to a vote of the shareowners. Once an individual or group acquires 15 percent or more of the Company’s common stock, each right held by such individual or group becomes void and the remaining rights will then entitle the holder to purchase the number of common shares having a market value of twice the exercise price of the right. In the event the Company is acquired in a merger or 50 percent or more of its consolidated assets or earnings power are sold, each right will then entitle the holder to purchase a number of the acquiring company’s common shares having a market value of twice the exercise price of the right. After an individual or group acquires 15 percent, except as described below, of the Company’s common stock and before they acquire 50 percent, the Company’s Board of Directors may exchange the rights in whole or in part, at an exchange ratio of one share of common stock per right. Before an individual or group acquires 15 percent of the Company’s common stock, the rights are redeemable for $0.01 per right at the option of the Company’s Board of Directors. The Company’s Board of Directors is authorized to reduce the 15 percent threshold to no less than 10 percent. Each right will expire on May 3, 2010, unless earlier redeemed by the Company. An Amendment, dated January 13, 2003, was made to the Rights Plan to permit FMR Corp., its affiliates and associates (collectively, “FMR”), to be the beneficial owner of up to 20 percent of the Company’s outstanding stock provided that FMR, in its filings under the Securities Exchange Act of 1934, as amended, does not state any present intention to hold shares of the Company’s common stock with the purpose or effect of changing or influencing control of the Company. An individual or group that becomes the beneficial</w:t>
      </w:r>
    </w:p>
    <w:p>
      <w:pPr>
        <w:sectPr>
          <w:pgSz w:w="11900" w:h="16838" w:orient="portrait"/>
          <w:cols w:equalWidth="0" w:num="1">
            <w:col w:w="11420"/>
          </w:cols>
          <w:pgMar w:left="240" w:top="61" w:right="239" w:bottom="0" w:gutter="0" w:footer="0" w:header="0"/>
        </w:sectPr>
      </w:pPr>
    </w:p>
    <w:bookmarkStart w:id="41" w:name="page42"/>
    <w:bookmarkEnd w:id="41"/>
    <w:p>
      <w:pPr>
        <w:ind w:right="120"/>
        <w:spacing w:after="0" w:line="258" w:lineRule="auto"/>
        <w:rPr>
          <w:sz w:val="20"/>
          <w:szCs w:val="20"/>
          <w:color w:val="auto"/>
        </w:rPr>
      </w:pPr>
      <w:r>
        <w:rPr>
          <w:rFonts w:ascii="Times New Roman" w:cs="Times New Roman" w:eastAsia="Times New Roman" w:hAnsi="Times New Roman"/>
          <w:sz w:val="18"/>
          <w:szCs w:val="18"/>
          <w:color w:val="auto"/>
        </w:rPr>
        <w:t>owner of 15 or 20 percent (in the case of FMR) of the Company’s common stock as a result of an acquisition of the common stock by the Company or the acquisition by such individual or group of new-issued shares directly from the Company, such individual’s or group’s ownership shall not trigger the issuance of rights under the Rights Plan unless such individual or group after such share repurchase or direct issuance by the Company, becomes the beneficial owner of any additional shares of the Company’s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15:  Interim Financial Information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6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w w:val="94"/>
              </w:rPr>
              <w:t>Quarter Ended</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3800" w:type="dxa"/>
            <w:vAlign w:val="bottom"/>
            <w:gridSpan w:val="3"/>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9"/>
        </w:trPr>
        <w:tc>
          <w:tcPr>
            <w:tcW w:w="3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2005</w:t>
            </w: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27, 2004</w:t>
            </w:r>
          </w:p>
        </w:tc>
        <w:tc>
          <w:tcPr>
            <w:tcW w:w="540" w:type="dxa"/>
            <w:vAlign w:val="bottom"/>
          </w:tcPr>
          <w:p>
            <w:pPr>
              <w:spacing w:after="0"/>
              <w:rPr>
                <w:sz w:val="24"/>
                <w:szCs w:val="24"/>
                <w:color w:val="auto"/>
              </w:rPr>
            </w:pPr>
          </w:p>
        </w:tc>
        <w:tc>
          <w:tcPr>
            <w:tcW w:w="20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February 26, 2005 </w:t>
            </w:r>
            <w:r>
              <w:rPr>
                <w:rFonts w:ascii="Times New Roman" w:cs="Times New Roman" w:eastAsia="Times New Roman" w:hAnsi="Times New Roman"/>
                <w:sz w:val="22"/>
                <w:szCs w:val="22"/>
                <w:b w:val="1"/>
                <w:bCs w:val="1"/>
                <w:color w:val="auto"/>
                <w:vertAlign w:val="superscript"/>
              </w:rPr>
              <w:t>(1)</w:t>
            </w:r>
          </w:p>
        </w:tc>
        <w:tc>
          <w:tcPr>
            <w:tcW w:w="160" w:type="dxa"/>
            <w:vAlign w:val="bottom"/>
          </w:tcPr>
          <w:p>
            <w:pPr>
              <w:spacing w:after="0"/>
              <w:rPr>
                <w:sz w:val="24"/>
                <w:szCs w:val="24"/>
                <w:color w:val="auto"/>
              </w:rPr>
            </w:pPr>
          </w:p>
        </w:tc>
        <w:tc>
          <w:tcPr>
            <w:tcW w:w="1860" w:type="dxa"/>
            <w:vAlign w:val="bottom"/>
            <w:gridSpan w:val="2"/>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May 28, 2005</w:t>
            </w:r>
          </w:p>
        </w:tc>
        <w:tc>
          <w:tcPr>
            <w:tcW w:w="14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27, 2005</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2860" w:type="dxa"/>
            <w:vAlign w:val="bottom"/>
            <w:tcBorders>
              <w:top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420" w:type="dxa"/>
            <w:vAlign w:val="bottom"/>
            <w:shd w:val="clear" w:color="auto" w:fill="D6F3E8"/>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D6F3E8"/>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266,133</w:t>
            </w:r>
          </w:p>
        </w:tc>
        <w:tc>
          <w:tcPr>
            <w:tcW w:w="940" w:type="dxa"/>
            <w:vAlign w:val="bottom"/>
            <w:gridSpan w:val="2"/>
            <w:shd w:val="clear" w:color="auto" w:fill="D6F3E8"/>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239,359</w:t>
            </w:r>
          </w:p>
        </w:tc>
        <w:tc>
          <w:tcPr>
            <w:tcW w:w="8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gridSpan w:val="2"/>
            <w:shd w:val="clear" w:color="auto" w:fill="D6F3E8"/>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255,022</w:t>
            </w: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231,461</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40,064</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29,261</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35,194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32,459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29,953</w:t>
            </w:r>
          </w:p>
        </w:tc>
        <w:tc>
          <w:tcPr>
            <w:tcW w:w="5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18,899</w:t>
            </w:r>
          </w:p>
        </w:tc>
        <w:tc>
          <w:tcPr>
            <w:tcW w:w="8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860" w:type="dxa"/>
            <w:vAlign w:val="bottom"/>
            <w:gridSpan w:val="2"/>
            <w:shd w:val="clear" w:color="auto" w:fill="D6F3E8"/>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26,355</w:t>
            </w: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23,048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00" w:type="dxa"/>
            <w:vAlign w:val="bottom"/>
            <w:gridSpan w:val="3"/>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19,544</w:t>
            </w: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12,571</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17,580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15,378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420" w:type="dxa"/>
            <w:vAlign w:val="bottom"/>
            <w:shd w:val="clear" w:color="auto" w:fill="D6F3E8"/>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shd w:val="clear" w:color="auto" w:fill="D6F3E8"/>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0.58</w:t>
            </w:r>
          </w:p>
        </w:tc>
        <w:tc>
          <w:tcPr>
            <w:tcW w:w="940" w:type="dxa"/>
            <w:vAlign w:val="bottom"/>
            <w:gridSpan w:val="2"/>
            <w:shd w:val="clear" w:color="auto" w:fill="D6F3E8"/>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0.37</w:t>
            </w:r>
          </w:p>
        </w:tc>
        <w:tc>
          <w:tcPr>
            <w:tcW w:w="8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gridSpan w:val="2"/>
            <w:shd w:val="clear" w:color="auto" w:fill="D6F3E8"/>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0.53</w:t>
            </w: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0.47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0.57</w:t>
            </w: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0.37</w:t>
            </w: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0.52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9"/>
        </w:trPr>
        <w:tc>
          <w:tcPr>
            <w:tcW w:w="3800" w:type="dxa"/>
            <w:vAlign w:val="bottom"/>
            <w:gridSpan w:val="3"/>
          </w:tcPr>
          <w:p>
            <w:pPr>
              <w:spacing w:after="0"/>
              <w:rPr>
                <w:sz w:val="20"/>
                <w:szCs w:val="20"/>
                <w:color w:val="auto"/>
              </w:rPr>
            </w:pP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 xml:space="preserve">   As restated</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6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w w:val="94"/>
              </w:rPr>
              <w:t>Quarter Ended</w:t>
            </w: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9"/>
        </w:trPr>
        <w:tc>
          <w:tcPr>
            <w:tcW w:w="3800" w:type="dxa"/>
            <w:vAlign w:val="bottom"/>
            <w:gridSpan w:val="3"/>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Fiscal 2004</w:t>
            </w: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29, 2003</w:t>
            </w:r>
          </w:p>
        </w:tc>
        <w:tc>
          <w:tcPr>
            <w:tcW w:w="540" w:type="dxa"/>
            <w:vAlign w:val="bottom"/>
          </w:tcPr>
          <w:p>
            <w:pPr>
              <w:spacing w:after="0"/>
              <w:rPr>
                <w:sz w:val="23"/>
                <w:szCs w:val="23"/>
                <w:color w:val="auto"/>
              </w:rPr>
            </w:pPr>
          </w:p>
        </w:tc>
        <w:tc>
          <w:tcPr>
            <w:tcW w:w="20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28, 2004</w:t>
            </w:r>
          </w:p>
        </w:tc>
        <w:tc>
          <w:tcPr>
            <w:tcW w:w="160" w:type="dxa"/>
            <w:vAlign w:val="bottom"/>
          </w:tcPr>
          <w:p>
            <w:pPr>
              <w:spacing w:after="0"/>
              <w:rPr>
                <w:sz w:val="23"/>
                <w:szCs w:val="23"/>
                <w:color w:val="auto"/>
              </w:rPr>
            </w:pPr>
          </w:p>
        </w:tc>
        <w:tc>
          <w:tcPr>
            <w:tcW w:w="1860" w:type="dxa"/>
            <w:vAlign w:val="bottom"/>
            <w:gridSpan w:val="2"/>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May 29, 2004</w:t>
            </w:r>
          </w:p>
        </w:tc>
        <w:tc>
          <w:tcPr>
            <w:tcW w:w="140" w:type="dxa"/>
            <w:vAlign w:val="bottom"/>
          </w:tcPr>
          <w:p>
            <w:pPr>
              <w:spacing w:after="0"/>
              <w:rPr>
                <w:sz w:val="23"/>
                <w:szCs w:val="23"/>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August 28,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780" w:type="dxa"/>
            <w:vAlign w:val="bottom"/>
            <w:gridSpan w:val="2"/>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gridSpan w:val="2"/>
          </w:tcPr>
          <w:p>
            <w:pPr>
              <w:spacing w:after="0"/>
              <w:rPr>
                <w:sz w:val="8"/>
                <w:szCs w:val="8"/>
                <w:color w:val="auto"/>
              </w:rPr>
            </w:pPr>
          </w:p>
        </w:tc>
        <w:tc>
          <w:tcPr>
            <w:tcW w:w="94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6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Borders>
              <w:top w:val="single" w:sz="8" w:color="auto"/>
            </w:tcBorders>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420" w:type="dxa"/>
            <w:vAlign w:val="bottom"/>
            <w:shd w:val="clear" w:color="auto" w:fill="D6F3E8"/>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D6F3E8"/>
          </w:tcPr>
          <w:p>
            <w:pPr>
              <w:jc w:val="right"/>
              <w:ind w:right="260"/>
              <w:spacing w:after="0"/>
              <w:rPr>
                <w:sz w:val="20"/>
                <w:szCs w:val="20"/>
                <w:color w:val="auto"/>
              </w:rPr>
            </w:pPr>
            <w:r>
              <w:rPr>
                <w:rFonts w:ascii="Times New Roman" w:cs="Times New Roman" w:eastAsia="Times New Roman" w:hAnsi="Times New Roman"/>
                <w:sz w:val="18"/>
                <w:szCs w:val="18"/>
                <w:color w:val="auto"/>
              </w:rPr>
              <w:t>254,933</w:t>
            </w:r>
          </w:p>
        </w:tc>
        <w:tc>
          <w:tcPr>
            <w:tcW w:w="940" w:type="dxa"/>
            <w:vAlign w:val="bottom"/>
            <w:gridSpan w:val="2"/>
            <w:shd w:val="clear" w:color="auto" w:fill="D6F3E8"/>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266,033</w:t>
            </w:r>
          </w:p>
        </w:tc>
        <w:tc>
          <w:tcPr>
            <w:tcW w:w="8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D6F3E8"/>
          </w:tcPr>
          <w:p>
            <w:pPr>
              <w:jc w:val="right"/>
              <w:ind w:right="800"/>
              <w:spacing w:after="0"/>
              <w:rPr>
                <w:sz w:val="20"/>
                <w:szCs w:val="20"/>
                <w:color w:val="auto"/>
              </w:rPr>
            </w:pPr>
            <w:r>
              <w:rPr>
                <w:rFonts w:ascii="Times New Roman" w:cs="Times New Roman" w:eastAsia="Times New Roman" w:hAnsi="Times New Roman"/>
                <w:sz w:val="18"/>
                <w:szCs w:val="18"/>
                <w:color w:val="auto"/>
              </w:rPr>
              <w:t>310,186</w:t>
            </w: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283,002</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39,465</w:t>
            </w: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35,029</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46,019</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42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260"/>
              <w:spacing w:after="0"/>
              <w:rPr>
                <w:sz w:val="20"/>
                <w:szCs w:val="20"/>
                <w:color w:val="auto"/>
              </w:rPr>
            </w:pPr>
            <w:r>
              <w:rPr>
                <w:rFonts w:ascii="Times New Roman" w:cs="Times New Roman" w:eastAsia="Times New Roman" w:hAnsi="Times New Roman"/>
                <w:sz w:val="18"/>
                <w:szCs w:val="18"/>
                <w:color w:val="auto"/>
              </w:rPr>
              <w:t>29,166</w:t>
            </w:r>
          </w:p>
        </w:tc>
        <w:tc>
          <w:tcPr>
            <w:tcW w:w="5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24,529</w:t>
            </w:r>
          </w:p>
        </w:tc>
        <w:tc>
          <w:tcPr>
            <w:tcW w:w="8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860" w:type="dxa"/>
            <w:vAlign w:val="bottom"/>
            <w:gridSpan w:val="2"/>
            <w:shd w:val="clear" w:color="auto" w:fill="D6F3E8"/>
          </w:tcPr>
          <w:p>
            <w:pPr>
              <w:jc w:val="right"/>
              <w:ind w:right="800"/>
              <w:spacing w:after="0"/>
              <w:rPr>
                <w:sz w:val="20"/>
                <w:szCs w:val="20"/>
                <w:color w:val="auto"/>
              </w:rPr>
            </w:pPr>
            <w:r>
              <w:rPr>
                <w:rFonts w:ascii="Times New Roman" w:cs="Times New Roman" w:eastAsia="Times New Roman" w:hAnsi="Times New Roman"/>
                <w:sz w:val="18"/>
                <w:szCs w:val="18"/>
                <w:color w:val="auto"/>
              </w:rPr>
              <w:t>28,076</w:t>
            </w:r>
          </w:p>
        </w:tc>
        <w:tc>
          <w:tcPr>
            <w:tcW w:w="14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29,027</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800" w:type="dxa"/>
            <w:vAlign w:val="bottom"/>
            <w:gridSpan w:val="3"/>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18,067</w:t>
            </w: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15,880</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17,704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gridSpan w:val="2"/>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420" w:type="dxa"/>
            <w:vAlign w:val="bottom"/>
            <w:shd w:val="clear" w:color="auto" w:fill="D6F3E8"/>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D6F3E8"/>
          </w:tcPr>
          <w:p>
            <w:pPr>
              <w:jc w:val="right"/>
              <w:ind w:right="260"/>
              <w:spacing w:after="0"/>
              <w:rPr>
                <w:sz w:val="20"/>
                <w:szCs w:val="20"/>
                <w:color w:val="auto"/>
              </w:rPr>
            </w:pPr>
            <w:r>
              <w:rPr>
                <w:rFonts w:ascii="Times New Roman" w:cs="Times New Roman" w:eastAsia="Times New Roman" w:hAnsi="Times New Roman"/>
                <w:sz w:val="18"/>
                <w:szCs w:val="18"/>
                <w:color w:val="auto"/>
              </w:rPr>
              <w:t>0.51</w:t>
            </w:r>
          </w:p>
        </w:tc>
        <w:tc>
          <w:tcPr>
            <w:tcW w:w="940" w:type="dxa"/>
            <w:vAlign w:val="bottom"/>
            <w:gridSpan w:val="2"/>
            <w:shd w:val="clear" w:color="auto" w:fill="D6F3E8"/>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0" w:type="dxa"/>
            <w:vAlign w:val="bottom"/>
            <w:shd w:val="clear" w:color="auto" w:fill="D6F3E8"/>
          </w:tcPr>
          <w:p>
            <w:pPr>
              <w:spacing w:after="0"/>
              <w:rPr>
                <w:sz w:val="18"/>
                <w:szCs w:val="18"/>
                <w:color w:val="auto"/>
              </w:rPr>
            </w:pPr>
          </w:p>
        </w:tc>
        <w:tc>
          <w:tcPr>
            <w:tcW w:w="20" w:type="dxa"/>
            <w:vAlign w:val="bottom"/>
            <w:shd w:val="clear" w:color="auto" w:fill="D6F3E8"/>
          </w:tcPr>
          <w:p>
            <w:pPr>
              <w:spacing w:after="0"/>
              <w:rPr>
                <w:sz w:val="18"/>
                <w:szCs w:val="18"/>
                <w:color w:val="auto"/>
              </w:rPr>
            </w:pPr>
          </w:p>
        </w:tc>
        <w:tc>
          <w:tcPr>
            <w:tcW w:w="1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D6F3E8"/>
          </w:tcPr>
          <w:p>
            <w:pPr>
              <w:jc w:val="right"/>
              <w:ind w:right="800"/>
              <w:spacing w:after="0"/>
              <w:rPr>
                <w:sz w:val="20"/>
                <w:szCs w:val="20"/>
                <w:color w:val="auto"/>
              </w:rPr>
            </w:pPr>
            <w:r>
              <w:rPr>
                <w:rFonts w:ascii="Times New Roman" w:cs="Times New Roman" w:eastAsia="Times New Roman" w:hAnsi="Times New Roman"/>
                <w:sz w:val="18"/>
                <w:szCs w:val="18"/>
                <w:color w:val="auto"/>
              </w:rPr>
              <w:t>0.52</w:t>
            </w:r>
          </w:p>
        </w:tc>
        <w:tc>
          <w:tcPr>
            <w:tcW w:w="1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4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0.50</w:t>
            </w: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0.51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2860" w:type="dxa"/>
            <w:vAlign w:val="bottom"/>
            <w:tcBorders>
              <w:bottom w:val="single" w:sz="8" w:color="808080"/>
            </w:tcBorders>
          </w:tcPr>
          <w:p>
            <w:pPr>
              <w:spacing w:after="0"/>
              <w:rPr>
                <w:sz w:val="21"/>
                <w:szCs w:val="21"/>
                <w:color w:val="auto"/>
              </w:rPr>
            </w:pPr>
          </w:p>
        </w:tc>
        <w:tc>
          <w:tcPr>
            <w:tcW w:w="92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86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540" w:type="dxa"/>
            <w:vAlign w:val="bottom"/>
            <w:tcBorders>
              <w:bottom w:val="single" w:sz="8" w:color="808080"/>
            </w:tcBorders>
          </w:tcPr>
          <w:p>
            <w:pPr>
              <w:spacing w:after="0"/>
              <w:rPr>
                <w:sz w:val="21"/>
                <w:szCs w:val="21"/>
                <w:color w:val="auto"/>
              </w:rPr>
            </w:pPr>
          </w:p>
        </w:tc>
        <w:tc>
          <w:tcPr>
            <w:tcW w:w="400" w:type="dxa"/>
            <w:vAlign w:val="bottom"/>
            <w:tcBorders>
              <w:bottom w:val="single" w:sz="8" w:color="808080"/>
            </w:tcBorders>
          </w:tcPr>
          <w:p>
            <w:pPr>
              <w:spacing w:after="0"/>
              <w:rPr>
                <w:sz w:val="21"/>
                <w:szCs w:val="21"/>
                <w:color w:val="auto"/>
              </w:rPr>
            </w:pPr>
          </w:p>
        </w:tc>
        <w:tc>
          <w:tcPr>
            <w:tcW w:w="84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106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10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MANAGEMENT’S REPORT</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ON INTERNAL CONTROL OVER FINANCIAL REPORTING</w:t>
      </w:r>
    </w:p>
    <w:p>
      <w:pPr>
        <w:spacing w:after="0" w:line="29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Management of Winnebago Industries, Inc. and its subsidiaries (the Company) is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Securities Exchange Act of 1934, as amended, to provide reasonable assurance regarding the reliability of financial reporting and the preparation of consolidated financial statements for external purposes in accordance with generally accepted accounting principles.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internal control over financial reporting is supported by written policies and procedures that</w:t>
      </w:r>
    </w:p>
    <w:p>
      <w:pPr>
        <w:spacing w:after="0" w:line="225"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Company’s assets;</w:t>
      </w:r>
    </w:p>
    <w:p>
      <w:pPr>
        <w:spacing w:after="0" w:line="225" w:lineRule="exact"/>
        <w:rPr>
          <w:rFonts w:ascii="Times New Roman" w:cs="Times New Roman" w:eastAsia="Times New Roman" w:hAnsi="Times New Roman"/>
          <w:sz w:val="18"/>
          <w:szCs w:val="18"/>
          <w:color w:val="auto"/>
        </w:rPr>
      </w:pPr>
    </w:p>
    <w:p>
      <w:pPr>
        <w:jc w:val="both"/>
        <w:ind w:right="540" w:firstLine="8"/>
        <w:spacing w:after="0" w:line="262" w:lineRule="auto"/>
        <w:tabs>
          <w:tab w:leader="none" w:pos="3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the Company’s management and directors; and</w:t>
      </w:r>
    </w:p>
    <w:p>
      <w:pPr>
        <w:spacing w:after="0" w:line="186" w:lineRule="exact"/>
        <w:rPr>
          <w:rFonts w:ascii="Times New Roman" w:cs="Times New Roman" w:eastAsia="Times New Roman" w:hAnsi="Times New Roman"/>
          <w:sz w:val="18"/>
          <w:szCs w:val="18"/>
          <w:color w:val="auto"/>
        </w:rPr>
      </w:pPr>
    </w:p>
    <w:p>
      <w:pPr>
        <w:ind w:right="360" w:firstLine="8"/>
        <w:spacing w:after="0" w:line="275" w:lineRule="auto"/>
        <w:tabs>
          <w:tab w:leader="none" w:pos="3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7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 addition, the Audit Committee of the Board of Directors, consisting solely of independent directors, meets periodically with management, the internal auditors and the independent registered public accounting firm to review internal accounting controls, audit results and accounting principles and practices and annually recommends to the Board of Directors the selection of the independent registered public accounting firm.</w:t>
      </w:r>
    </w:p>
    <w:p>
      <w:pPr>
        <w:spacing w:after="0" w:line="18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color w:val="auto"/>
        </w:rPr>
        <w:t>In connection with the preparation of the Company’s annual consolidated financial statements, management of the Company has undertaken an assessment of the effectiveness of the Company’s internal control over financial reporting based on criteria established in Internal Control—Integrated Framework issued by the Committee of Sponsoring Organizations of the Treadway Commission (the “COSO Framework”). Management’s assessment included an evaluation of the design of the Company’s internal control over financial reporting and testing of the operational effectiveness of the Company’s internal control over financial reporting.</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this assessment, management has concluded that the Company’s internal control over financial reporting was effective as of August 27, 2005.</w:t>
      </w:r>
    </w:p>
    <w:p>
      <w:pPr>
        <w:sectPr>
          <w:pgSz w:w="11900" w:h="16838" w:orient="portrait"/>
          <w:cols w:equalWidth="0" w:num="1">
            <w:col w:w="11420"/>
          </w:cols>
          <w:pgMar w:left="240" w:top="125" w:right="239" w:bottom="0" w:gutter="0" w:footer="0" w:header="0"/>
        </w:sectPr>
      </w:pPr>
    </w:p>
    <w:bookmarkStart w:id="42" w:name="page43"/>
    <w:bookmarkEnd w:id="42"/>
    <w:p>
      <w:pPr>
        <w:ind w:right="160"/>
        <w:spacing w:after="0" w:line="339" w:lineRule="auto"/>
        <w:rPr>
          <w:sz w:val="20"/>
          <w:szCs w:val="20"/>
          <w:color w:val="auto"/>
        </w:rPr>
      </w:pPr>
      <w:r>
        <w:rPr>
          <w:rFonts w:ascii="Times New Roman" w:cs="Times New Roman" w:eastAsia="Times New Roman" w:hAnsi="Times New Roman"/>
          <w:sz w:val="16"/>
          <w:szCs w:val="16"/>
          <w:color w:val="auto"/>
        </w:rPr>
        <w:t>Deloitte &amp; Touche LLP, the independent registered public accounting firm that audited the Company’s consolidated financial statements included in this Annual Report on Form 10-K, has issued an unqualified attestation report included herein, on management’s assessment of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5445760" cy="60896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44576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Bruce D. Hertzke</w:t>
            </w:r>
          </w:p>
        </w:tc>
        <w:tc>
          <w:tcPr>
            <w:tcW w:w="76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Edwin F. Barker</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w:t>
            </w:r>
          </w:p>
        </w:tc>
        <w:tc>
          <w:tcPr>
            <w:tcW w:w="76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President and</w:t>
            </w:r>
          </w:p>
        </w:tc>
      </w:tr>
      <w:tr>
        <w:trPr>
          <w:trHeight w:val="22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76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November 10, 2005</w:t>
            </w:r>
          </w:p>
        </w:tc>
        <w:tc>
          <w:tcPr>
            <w:tcW w:w="7640" w:type="dxa"/>
            <w:vAlign w:val="bottom"/>
          </w:tcPr>
          <w:p>
            <w:pPr>
              <w:spacing w:after="0"/>
              <w:rPr>
                <w:sz w:val="24"/>
                <w:szCs w:val="24"/>
                <w:color w:val="auto"/>
              </w:rPr>
            </w:pPr>
          </w:p>
        </w:tc>
      </w:tr>
      <w:tr>
        <w:trPr>
          <w:trHeight w:val="891"/>
        </w:trPr>
        <w:tc>
          <w:tcPr>
            <w:tcW w:w="3780" w:type="dxa"/>
            <w:vAlign w:val="bottom"/>
          </w:tcPr>
          <w:p>
            <w:pPr>
              <w:spacing w:after="0"/>
              <w:rPr>
                <w:sz w:val="24"/>
                <w:szCs w:val="24"/>
                <w:color w:val="auto"/>
              </w:rPr>
            </w:pPr>
          </w:p>
        </w:tc>
        <w:tc>
          <w:tcPr>
            <w:tcW w:w="7640" w:type="dxa"/>
            <w:vAlign w:val="bottom"/>
          </w:tcPr>
          <w:p>
            <w:pPr>
              <w:jc w:val="right"/>
              <w:ind w:right="5532"/>
              <w:spacing w:after="0"/>
              <w:rPr>
                <w:sz w:val="20"/>
                <w:szCs w:val="20"/>
                <w:color w:val="auto"/>
              </w:rPr>
            </w:pPr>
            <w:r>
              <w:rPr>
                <w:rFonts w:ascii="Times New Roman" w:cs="Times New Roman" w:eastAsia="Times New Roman" w:hAnsi="Times New Roman"/>
                <w:sz w:val="18"/>
                <w:szCs w:val="18"/>
                <w:color w:val="auto"/>
              </w:rPr>
              <w:t>35</w:t>
            </w:r>
          </w:p>
        </w:tc>
      </w:tr>
      <w:tr>
        <w:trPr>
          <w:trHeight w:val="242"/>
        </w:trPr>
        <w:tc>
          <w:tcPr>
            <w:tcW w:w="3780" w:type="dxa"/>
            <w:vAlign w:val="bottom"/>
            <w:tcBorders>
              <w:bottom w:val="single" w:sz="8" w:color="808080"/>
            </w:tcBorders>
          </w:tcPr>
          <w:p>
            <w:pPr>
              <w:spacing w:after="0"/>
              <w:rPr>
                <w:sz w:val="21"/>
                <w:szCs w:val="21"/>
                <w:color w:val="auto"/>
              </w:rPr>
            </w:pPr>
          </w:p>
        </w:tc>
        <w:tc>
          <w:tcPr>
            <w:tcW w:w="764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REPORT OF INDEPENDENT</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REGISTERED PUBLIC ACCOUNTING FIRM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Forest City, Iowa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Winnebago Industries, Inc. and subsidiaries (the “Company”) as of August 27, 2005 and August 28, 2004, and the related consolidated statements of income, stockholders’ equity, and cash flows for each of the three years in the period ended August 27, 2005. These financial statements are the responsibility of the Company’s management. Our responsibility is to express an opinion on these financial statements based on our audits.</w:t>
      </w:r>
    </w:p>
    <w:p>
      <w:pPr>
        <w:spacing w:after="0" w:line="19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 our opinion, such consolidated financial statements present fairly, in all material respects, the financial position of the Company at August 27, 2005 and August 28, 2004, and the results of their operations and their cash flows for each of the three years in the period ended August 27, 2005, in conformity with accounting principles generally accepted in the United States of America.</w:t>
      </w:r>
    </w:p>
    <w:p>
      <w:pPr>
        <w:spacing w:after="0" w:line="18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effectiveness of the Company’s internal control over financial reporting as of August 27, 2005, based on the criteria established in Internal Control—Integrated Framework, issued by the Committee of Sponsoring Organizations of the Treadway Commission, and our report dated November 10, 2005, expressed an unqualified opinion on management’s assessment of the effectiveness of the Company’s internal control over financial reporting and an unqualified opinion on the effectiveness of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2375535" cy="3771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37553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2005</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2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921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43" w:name="page44"/>
    <w:bookmarkEnd w:id="43"/>
    <w:p>
      <w:pPr>
        <w:jc w:val="center"/>
        <w:ind w:right="60"/>
        <w:spacing w:after="0"/>
        <w:rPr>
          <w:sz w:val="20"/>
          <w:szCs w:val="20"/>
          <w:color w:val="auto"/>
        </w:rPr>
      </w:pPr>
      <w:r>
        <w:rPr>
          <w:rFonts w:ascii="Times New Roman" w:cs="Times New Roman" w:eastAsia="Times New Roman" w:hAnsi="Times New Roman"/>
          <w:sz w:val="24"/>
          <w:szCs w:val="24"/>
          <w:b w:val="1"/>
          <w:bCs w:val="1"/>
          <w:color w:val="auto"/>
        </w:rPr>
        <w:t>REPORT OF INDEPENDENT</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REGISTERED PUBLIC ACCOUNTING FIRM</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Forest City, Iowa</w:t>
      </w:r>
    </w:p>
    <w:p>
      <w:pPr>
        <w:spacing w:after="0" w:line="21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We have audited management’s assessment, included in the accompanying Management’s Report on Internal Control over Financial Reporting, that Winnebago Industries, Inc. and subsidiaries (the “Company”) maintained effective internal control over financial reporting as of August 27, 2005, based on criteria established in Internal Control—Integrated Framework issued by the Committee of Sponsoring Organizations of the Treadway Commission (the COSO framework). The Company’s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9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9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In our opinion, management’s assessment that the Company maintained effective internal control over financial reporting as of August 27, 2005, is fairly stated, in all material respects, based on the criteria established in the COSO framework. Also in our opinion, the Company maintained, in all material respects, effective internal control over financial reporting as of August 27, 2005, based on the criteria established in the COSO framework.</w:t>
      </w:r>
    </w:p>
    <w:p>
      <w:pPr>
        <w:spacing w:after="0" w:line="18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consolidated financial statements as of and for the year ended August 27, 2005, of the Company and our report dated November 10, 2005, expressed an unqualified opinion on those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375535" cy="3771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37553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 xml:space="preserve">11-Year Selected Financial Data </w:t>
      </w:r>
      <w:r>
        <w:rPr>
          <w:rFonts w:ascii="Times New Roman" w:cs="Times New Roman" w:eastAsia="Times New Roman" w:hAnsi="Times New Roman"/>
          <w:sz w:val="54"/>
          <w:szCs w:val="54"/>
          <w:b w:val="1"/>
          <w:bCs w:val="1"/>
          <w:color w:val="auto"/>
          <w:vertAlign w:val="superscript"/>
        </w:rPr>
        <w:t>(1)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 and per share data)</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August 27,</w:t>
            </w:r>
          </w:p>
        </w:tc>
        <w:tc>
          <w:tcPr>
            <w:tcW w:w="16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August 28,</w:t>
            </w:r>
          </w:p>
        </w:tc>
        <w:tc>
          <w:tcPr>
            <w:tcW w:w="158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7"/>
              </w:rPr>
              <w:t>August 30,</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August 31,</w:t>
            </w:r>
          </w:p>
        </w:tc>
        <w:tc>
          <w:tcPr>
            <w:tcW w:w="0" w:type="dxa"/>
            <w:vAlign w:val="bottom"/>
          </w:tcPr>
          <w:p>
            <w:pPr>
              <w:spacing w:after="0"/>
              <w:rPr>
                <w:sz w:val="1"/>
                <w:szCs w:val="1"/>
                <w:color w:val="auto"/>
              </w:rPr>
            </w:pPr>
          </w:p>
        </w:tc>
      </w:tr>
      <w:tr>
        <w:trPr>
          <w:trHeight w:val="149"/>
        </w:trPr>
        <w:tc>
          <w:tcPr>
            <w:tcW w:w="5500" w:type="dxa"/>
            <w:vAlign w:val="bottom"/>
            <w:gridSpan w:val="2"/>
            <w:vMerge w:val="continue"/>
          </w:tcPr>
          <w:p>
            <w:pPr>
              <w:spacing w:after="0"/>
              <w:rPr>
                <w:sz w:val="12"/>
                <w:szCs w:val="12"/>
                <w:color w:val="auto"/>
              </w:rPr>
            </w:pPr>
          </w:p>
        </w:tc>
        <w:tc>
          <w:tcPr>
            <w:tcW w:w="940" w:type="dxa"/>
            <w:vAlign w:val="bottom"/>
          </w:tcPr>
          <w:p>
            <w:pPr>
              <w:jc w:val="right"/>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2005</w:t>
            </w:r>
          </w:p>
        </w:tc>
        <w:tc>
          <w:tcPr>
            <w:tcW w:w="680" w:type="dxa"/>
            <w:vAlign w:val="bottom"/>
          </w:tcPr>
          <w:p>
            <w:pPr>
              <w:spacing w:after="0"/>
              <w:rPr>
                <w:sz w:val="12"/>
                <w:szCs w:val="12"/>
                <w:color w:val="auto"/>
              </w:rPr>
            </w:pPr>
          </w:p>
        </w:tc>
        <w:tc>
          <w:tcPr>
            <w:tcW w:w="920" w:type="dxa"/>
            <w:vAlign w:val="bottom"/>
          </w:tcPr>
          <w:p>
            <w:pPr>
              <w:jc w:val="right"/>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2004</w:t>
            </w:r>
          </w:p>
        </w:tc>
        <w:tc>
          <w:tcPr>
            <w:tcW w:w="680" w:type="dxa"/>
            <w:vAlign w:val="bottom"/>
          </w:tcPr>
          <w:p>
            <w:pPr>
              <w:spacing w:after="0"/>
              <w:rPr>
                <w:sz w:val="12"/>
                <w:szCs w:val="12"/>
                <w:color w:val="auto"/>
              </w:rPr>
            </w:pPr>
          </w:p>
        </w:tc>
        <w:tc>
          <w:tcPr>
            <w:tcW w:w="900" w:type="dxa"/>
            <w:vAlign w:val="bottom"/>
          </w:tcPr>
          <w:p>
            <w:pPr>
              <w:jc w:val="right"/>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2003</w:t>
            </w:r>
          </w:p>
        </w:tc>
        <w:tc>
          <w:tcPr>
            <w:tcW w:w="680" w:type="dxa"/>
            <w:vAlign w:val="bottom"/>
          </w:tcPr>
          <w:p>
            <w:pPr>
              <w:spacing w:after="0"/>
              <w:rPr>
                <w:sz w:val="12"/>
                <w:szCs w:val="12"/>
                <w:color w:val="auto"/>
              </w:rPr>
            </w:pPr>
          </w:p>
        </w:tc>
        <w:tc>
          <w:tcPr>
            <w:tcW w:w="900" w:type="dxa"/>
            <w:vAlign w:val="bottom"/>
          </w:tcPr>
          <w:p>
            <w:pPr>
              <w:jc w:val="right"/>
              <w:ind w:right="159"/>
              <w:spacing w:after="0" w:line="149" w:lineRule="exact"/>
              <w:rPr>
                <w:sz w:val="20"/>
                <w:szCs w:val="20"/>
                <w:color w:val="auto"/>
              </w:rPr>
            </w:pPr>
            <w:r>
              <w:rPr>
                <w:rFonts w:ascii="Times New Roman" w:cs="Times New Roman" w:eastAsia="Times New Roman" w:hAnsi="Times New Roman"/>
                <w:sz w:val="11"/>
                <w:szCs w:val="11"/>
                <w:b w:val="1"/>
                <w:bCs w:val="1"/>
                <w:color w:val="auto"/>
              </w:rPr>
              <w:t xml:space="preserve">2002 </w:t>
            </w:r>
            <w:r>
              <w:rPr>
                <w:rFonts w:ascii="Times New Roman" w:cs="Times New Roman" w:eastAsia="Times New Roman" w:hAnsi="Times New Roman"/>
                <w:sz w:val="17"/>
                <w:szCs w:val="17"/>
                <w:b w:val="1"/>
                <w:bCs w:val="1"/>
                <w:color w:val="auto"/>
                <w:vertAlign w:val="superscript"/>
              </w:rPr>
              <w:t>(2)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5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(Adjusted for the 2-for-1 stock split on March 5, 2004)</w:t>
            </w:r>
          </w:p>
        </w:tc>
        <w:tc>
          <w:tcPr>
            <w:tcW w:w="94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b w:val="1"/>
                <w:bCs w:val="1"/>
                <w:color w:val="auto"/>
              </w:rPr>
              <w:t>For the Year</w:t>
            </w:r>
          </w:p>
        </w:tc>
        <w:tc>
          <w:tcPr>
            <w:tcW w:w="94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92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9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   991,975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$ 1,114,154</w:t>
            </w:r>
          </w:p>
        </w:tc>
        <w:tc>
          <w:tcPr>
            <w:tcW w:w="68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   845,210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825,269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62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100,890</w:t>
            </w:r>
          </w:p>
        </w:tc>
        <w:tc>
          <w:tcPr>
            <w:tcW w:w="9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112,234</w:t>
            </w:r>
          </w:p>
        </w:tc>
        <w:tc>
          <w:tcPr>
            <w:tcW w:w="680" w:type="dxa"/>
            <w:vAlign w:val="bottom"/>
            <w:shd w:val="clear" w:color="auto" w:fill="D6F3E8"/>
          </w:tcPr>
          <w:p>
            <w:pPr>
              <w:spacing w:after="0"/>
              <w:rPr>
                <w:sz w:val="18"/>
                <w:szCs w:val="18"/>
                <w:color w:val="auto"/>
              </w:rPr>
            </w:pPr>
          </w:p>
        </w:tc>
        <w:tc>
          <w:tcPr>
            <w:tcW w:w="158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78,693</w:t>
            </w:r>
          </w:p>
        </w:tc>
        <w:tc>
          <w:tcPr>
            <w:tcW w:w="9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81,324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Pretax profit % of revenue</w:t>
            </w: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10.2%</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10.1%</w:t>
            </w: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9.3%</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Provision for income taxes (credits)</w:t>
            </w:r>
          </w:p>
        </w:tc>
        <w:tc>
          <w:tcPr>
            <w:tcW w:w="162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35,817</w:t>
            </w:r>
          </w:p>
        </w:tc>
        <w:tc>
          <w:tcPr>
            <w:tcW w:w="9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41,593</w:t>
            </w:r>
          </w:p>
        </w:tc>
        <w:tc>
          <w:tcPr>
            <w:tcW w:w="680" w:type="dxa"/>
            <w:vAlign w:val="bottom"/>
            <w:shd w:val="clear" w:color="auto" w:fill="D6F3E8"/>
          </w:tcPr>
          <w:p>
            <w:pPr>
              <w:spacing w:after="0"/>
              <w:rPr>
                <w:sz w:val="18"/>
                <w:szCs w:val="18"/>
                <w:color w:val="auto"/>
              </w:rPr>
            </w:pPr>
          </w:p>
        </w:tc>
        <w:tc>
          <w:tcPr>
            <w:tcW w:w="158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29,961</w:t>
            </w:r>
          </w:p>
        </w:tc>
        <w:tc>
          <w:tcPr>
            <w:tcW w:w="9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28,431</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rate</w:t>
            </w: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35.5%</w:t>
            </w:r>
          </w:p>
        </w:tc>
        <w:tc>
          <w:tcPr>
            <w:tcW w:w="16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37.1%</w:t>
            </w: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38.1%</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162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65,073</w:t>
            </w:r>
          </w:p>
        </w:tc>
        <w:tc>
          <w:tcPr>
            <w:tcW w:w="9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70,641</w:t>
            </w:r>
          </w:p>
        </w:tc>
        <w:tc>
          <w:tcPr>
            <w:tcW w:w="680" w:type="dxa"/>
            <w:vAlign w:val="bottom"/>
            <w:shd w:val="clear" w:color="auto" w:fill="D6F3E8"/>
          </w:tcPr>
          <w:p>
            <w:pPr>
              <w:spacing w:after="0"/>
              <w:rPr>
                <w:sz w:val="18"/>
                <w:szCs w:val="18"/>
                <w:color w:val="auto"/>
              </w:rPr>
            </w:pPr>
          </w:p>
        </w:tc>
        <w:tc>
          <w:tcPr>
            <w:tcW w:w="158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48,732</w:t>
            </w:r>
          </w:p>
        </w:tc>
        <w:tc>
          <w:tcPr>
            <w:tcW w:w="9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52,893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34" w:right="239" w:bottom="0" w:gutter="0" w:footer="0" w:header="0"/>
        </w:sectPr>
      </w:pPr>
    </w:p>
    <w:bookmarkStart w:id="44" w:name="page45"/>
    <w:bookmarkEnd w:id="44"/>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Cycle-Sat subsidiary</w:t>
            </w:r>
          </w:p>
        </w:tc>
        <w:tc>
          <w:tcPr>
            <w:tcW w:w="180" w:type="dxa"/>
            <w:vAlign w:val="bottom"/>
          </w:tcPr>
          <w:p>
            <w:pPr>
              <w:spacing w:after="0"/>
              <w:rPr>
                <w:sz w:val="20"/>
                <w:szCs w:val="20"/>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5480" w:type="dxa"/>
            <w:vAlign w:val="bottom"/>
            <w:shd w:val="clear" w:color="auto" w:fill="D6F3E8"/>
          </w:tcPr>
          <w:p>
            <w:pPr>
              <w:spacing w:after="0" w:line="259" w:lineRule="exact"/>
              <w:rPr>
                <w:sz w:val="20"/>
                <w:szCs w:val="20"/>
                <w:color w:val="auto"/>
              </w:rPr>
            </w:pPr>
            <w:r>
              <w:rPr>
                <w:rFonts w:ascii="Times New Roman" w:cs="Times New Roman" w:eastAsia="Times New Roman" w:hAnsi="Times New Roman"/>
                <w:sz w:val="18"/>
                <w:szCs w:val="18"/>
                <w:color w:val="auto"/>
              </w:rPr>
              <w:t xml:space="preserve">Income (loss) from discontinued operations </w:t>
            </w:r>
            <w:r>
              <w:rPr>
                <w:rFonts w:ascii="Times New Roman" w:cs="Times New Roman" w:eastAsia="Times New Roman" w:hAnsi="Times New Roman"/>
                <w:sz w:val="29"/>
                <w:szCs w:val="29"/>
                <w:color w:val="auto"/>
                <w:vertAlign w:val="superscript"/>
              </w:rPr>
              <w:t>(4)</w:t>
            </w:r>
          </w:p>
        </w:tc>
        <w:tc>
          <w:tcPr>
            <w:tcW w:w="180" w:type="dxa"/>
            <w:vAlign w:val="bottom"/>
            <w:shd w:val="clear" w:color="auto" w:fill="D6F3E8"/>
          </w:tcPr>
          <w:p>
            <w:pPr>
              <w:spacing w:after="0"/>
              <w:rPr>
                <w:sz w:val="22"/>
                <w:szCs w:val="22"/>
                <w:color w:val="auto"/>
              </w:rPr>
            </w:pPr>
          </w:p>
        </w:tc>
        <w:tc>
          <w:tcPr>
            <w:tcW w:w="144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D6F3E8"/>
          </w:tcPr>
          <w:p>
            <w:pPr>
              <w:spacing w:after="0"/>
              <w:rPr>
                <w:sz w:val="22"/>
                <w:szCs w:val="22"/>
                <w:color w:val="auto"/>
              </w:rPr>
            </w:pPr>
          </w:p>
        </w:tc>
        <w:tc>
          <w:tcPr>
            <w:tcW w:w="142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6F3E8"/>
          </w:tcPr>
          <w:p>
            <w:pPr>
              <w:spacing w:after="0"/>
              <w:rPr>
                <w:sz w:val="22"/>
                <w:szCs w:val="22"/>
                <w:color w:val="auto"/>
              </w:rPr>
            </w:pPr>
          </w:p>
        </w:tc>
        <w:tc>
          <w:tcPr>
            <w:tcW w:w="136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1,152</w:t>
            </w:r>
          </w:p>
        </w:tc>
        <w:tc>
          <w:tcPr>
            <w:tcW w:w="220" w:type="dxa"/>
            <w:vAlign w:val="bottom"/>
            <w:shd w:val="clear" w:color="auto" w:fill="D6F3E8"/>
          </w:tcPr>
          <w:p>
            <w:pPr>
              <w:spacing w:after="0"/>
              <w:rPr>
                <w:sz w:val="22"/>
                <w:szCs w:val="22"/>
                <w:color w:val="auto"/>
              </w:rPr>
            </w:pPr>
          </w:p>
        </w:tc>
        <w:tc>
          <w:tcPr>
            <w:tcW w:w="6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2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Cum. effect of change in accounting principle</w:t>
            </w:r>
          </w:p>
        </w:tc>
        <w:tc>
          <w:tcPr>
            <w:tcW w:w="180" w:type="dxa"/>
            <w:vAlign w:val="bottom"/>
          </w:tcPr>
          <w:p>
            <w:pPr>
              <w:spacing w:after="0"/>
              <w:rPr>
                <w:sz w:val="20"/>
                <w:szCs w:val="20"/>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65,073</w:t>
            </w:r>
          </w:p>
        </w:tc>
        <w:tc>
          <w:tcPr>
            <w:tcW w:w="1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70,641</w:t>
            </w:r>
          </w:p>
        </w:tc>
        <w:tc>
          <w:tcPr>
            <w:tcW w:w="680" w:type="dxa"/>
            <w:vAlign w:val="bottom"/>
            <w:shd w:val="clear" w:color="auto" w:fill="D6F3E8"/>
          </w:tcPr>
          <w:p>
            <w:pPr>
              <w:spacing w:after="0"/>
              <w:rPr>
                <w:sz w:val="18"/>
                <w:szCs w:val="18"/>
                <w:color w:val="auto"/>
              </w:rPr>
            </w:pPr>
          </w:p>
        </w:tc>
        <w:tc>
          <w:tcPr>
            <w:tcW w:w="220" w:type="dxa"/>
            <w:vAlign w:val="bottom"/>
            <w:shd w:val="clear" w:color="auto" w:fill="D6F3E8"/>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49,884</w:t>
            </w:r>
          </w:p>
        </w:tc>
        <w:tc>
          <w:tcPr>
            <w:tcW w:w="220" w:type="dxa"/>
            <w:vAlign w:val="bottom"/>
            <w:shd w:val="clear" w:color="auto" w:fill="D6F3E8"/>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54,671</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Income per share</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Continuing operations</w:t>
            </w:r>
          </w:p>
        </w:tc>
        <w:tc>
          <w:tcPr>
            <w:tcW w:w="18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6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6F3E8"/>
          </w:tcPr>
          <w:p>
            <w:pPr>
              <w:ind w:left="7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1.92</w:t>
            </w:r>
          </w:p>
        </w:tc>
        <w:tc>
          <w:tcPr>
            <w:tcW w:w="18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6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6F3E8"/>
          </w:tcPr>
          <w:p>
            <w:pPr>
              <w:ind w:left="7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D6F3E8"/>
          </w:tcPr>
          <w:p>
            <w:pPr>
              <w:spacing w:after="0"/>
              <w:rPr>
                <w:sz w:val="18"/>
                <w:szCs w:val="18"/>
                <w:color w:val="auto"/>
              </w:rPr>
            </w:pPr>
          </w:p>
        </w:tc>
        <w:tc>
          <w:tcPr>
            <w:tcW w:w="142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Cum. effect of change in accounting principle</w:t>
            </w:r>
          </w:p>
        </w:tc>
        <w:tc>
          <w:tcPr>
            <w:tcW w:w="18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6F3E8"/>
          </w:tcPr>
          <w:p>
            <w:pPr>
              <w:ind w:left="7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D6F3E8"/>
          </w:tcPr>
          <w:p>
            <w:pPr>
              <w:spacing w:after="0"/>
              <w:rPr>
                <w:sz w:val="18"/>
                <w:szCs w:val="18"/>
                <w:color w:val="auto"/>
              </w:rPr>
            </w:pPr>
          </w:p>
        </w:tc>
        <w:tc>
          <w:tcPr>
            <w:tcW w:w="142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6F3E8"/>
          </w:tcPr>
          <w:p>
            <w:pPr>
              <w:spacing w:after="0"/>
              <w:rPr>
                <w:sz w:val="18"/>
                <w:szCs w:val="18"/>
                <w:color w:val="auto"/>
              </w:rPr>
            </w:pPr>
          </w:p>
        </w:tc>
        <w:tc>
          <w:tcPr>
            <w:tcW w:w="900" w:type="dxa"/>
            <w:vAlign w:val="bottom"/>
            <w:gridSpan w:val="2"/>
            <w:shd w:val="clear" w:color="auto" w:fill="D6F3E8"/>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Net income per share</w:t>
            </w:r>
          </w:p>
        </w:tc>
        <w:tc>
          <w:tcPr>
            <w:tcW w:w="18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6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6F3E8"/>
          </w:tcPr>
          <w:p>
            <w:pPr>
              <w:ind w:left="7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1.92</w:t>
            </w:r>
          </w:p>
        </w:tc>
        <w:tc>
          <w:tcPr>
            <w:tcW w:w="18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6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55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outstanding (in thousands)</w:t>
            </w: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D6F3E8"/>
          </w:tcPr>
          <w:p>
            <w:pPr>
              <w:ind w:left="7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33,382</w:t>
            </w:r>
          </w:p>
        </w:tc>
        <w:tc>
          <w:tcPr>
            <w:tcW w:w="18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34,214</w:t>
            </w:r>
          </w:p>
        </w:tc>
        <w:tc>
          <w:tcPr>
            <w:tcW w:w="6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36,974</w:t>
            </w:r>
          </w:p>
        </w:tc>
        <w:tc>
          <w:tcPr>
            <w:tcW w:w="22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39,898</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33,812</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34,789</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37,636</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40,768</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5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Cash dividends paid per share</w:t>
            </w:r>
          </w:p>
        </w:tc>
        <w:tc>
          <w:tcPr>
            <w:tcW w:w="1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0.28</w:t>
            </w:r>
          </w:p>
        </w:tc>
        <w:tc>
          <w:tcPr>
            <w:tcW w:w="1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680" w:type="dxa"/>
            <w:vAlign w:val="bottom"/>
            <w:shd w:val="clear" w:color="auto" w:fill="D6F3E8"/>
          </w:tcPr>
          <w:p>
            <w:pPr>
              <w:spacing w:after="0"/>
              <w:rPr>
                <w:sz w:val="18"/>
                <w:szCs w:val="18"/>
                <w:color w:val="auto"/>
              </w:rPr>
            </w:pPr>
          </w:p>
        </w:tc>
        <w:tc>
          <w:tcPr>
            <w:tcW w:w="220" w:type="dxa"/>
            <w:vAlign w:val="bottom"/>
            <w:shd w:val="clear" w:color="auto" w:fill="D6F3E8"/>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shd w:val="clear" w:color="auto" w:fill="D6F3E8"/>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Book value per share</w:t>
            </w:r>
          </w:p>
        </w:tc>
        <w:tc>
          <w:tcPr>
            <w:tcW w:w="18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7.15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5.78</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80" w:type="dxa"/>
            <w:vAlign w:val="bottom"/>
            <w:shd w:val="clear" w:color="auto" w:fill="D6F3E8"/>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Return on assets (ROA) </w:t>
            </w:r>
            <w:r>
              <w:rPr>
                <w:rFonts w:ascii="Times New Roman" w:cs="Times New Roman" w:eastAsia="Times New Roman" w:hAnsi="Times New Roman"/>
                <w:sz w:val="29"/>
                <w:szCs w:val="29"/>
                <w:color w:val="auto"/>
                <w:vertAlign w:val="superscript"/>
              </w:rPr>
              <w:t>(5)</w:t>
            </w:r>
          </w:p>
        </w:tc>
        <w:tc>
          <w:tcPr>
            <w:tcW w:w="180" w:type="dxa"/>
            <w:vAlign w:val="bottom"/>
            <w:shd w:val="clear" w:color="auto" w:fill="D6F3E8"/>
          </w:tcPr>
          <w:p>
            <w:pPr>
              <w:spacing w:after="0"/>
              <w:rPr>
                <w:sz w:val="22"/>
                <w:szCs w:val="22"/>
                <w:color w:val="auto"/>
              </w:rPr>
            </w:pPr>
          </w:p>
        </w:tc>
        <w:tc>
          <w:tcPr>
            <w:tcW w:w="1440" w:type="dxa"/>
            <w:vAlign w:val="bottom"/>
            <w:gridSpan w:val="2"/>
            <w:shd w:val="clear" w:color="auto" w:fill="D6F3E8"/>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16.1%</w:t>
            </w:r>
          </w:p>
        </w:tc>
        <w:tc>
          <w:tcPr>
            <w:tcW w:w="180" w:type="dxa"/>
            <w:vAlign w:val="bottom"/>
            <w:shd w:val="clear" w:color="auto" w:fill="D6F3E8"/>
          </w:tcPr>
          <w:p>
            <w:pPr>
              <w:spacing w:after="0"/>
              <w:rPr>
                <w:sz w:val="22"/>
                <w:szCs w:val="22"/>
                <w:color w:val="auto"/>
              </w:rPr>
            </w:pPr>
          </w:p>
        </w:tc>
        <w:tc>
          <w:tcPr>
            <w:tcW w:w="1420" w:type="dxa"/>
            <w:vAlign w:val="bottom"/>
            <w:gridSpan w:val="2"/>
            <w:shd w:val="clear" w:color="auto" w:fill="D6F3E8"/>
          </w:tcPr>
          <w:p>
            <w:pPr>
              <w:jc w:val="right"/>
              <w:ind w:right="540"/>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shd w:val="clear" w:color="auto" w:fill="D6F3E8"/>
          </w:tcPr>
          <w:p>
            <w:pPr>
              <w:spacing w:after="0"/>
              <w:rPr>
                <w:sz w:val="22"/>
                <w:szCs w:val="22"/>
                <w:color w:val="auto"/>
              </w:rPr>
            </w:pPr>
          </w:p>
        </w:tc>
        <w:tc>
          <w:tcPr>
            <w:tcW w:w="1360" w:type="dxa"/>
            <w:vAlign w:val="bottom"/>
            <w:gridSpan w:val="2"/>
            <w:shd w:val="clear" w:color="auto" w:fill="D6F3E8"/>
          </w:tcPr>
          <w:p>
            <w:pPr>
              <w:jc w:val="right"/>
              <w:ind w:right="520"/>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shd w:val="clear" w:color="auto" w:fill="D6F3E8"/>
          </w:tcPr>
          <w:p>
            <w:pPr>
              <w:spacing w:after="0"/>
              <w:rPr>
                <w:sz w:val="22"/>
                <w:szCs w:val="22"/>
                <w:color w:val="auto"/>
              </w:rPr>
            </w:pPr>
          </w:p>
        </w:tc>
        <w:tc>
          <w:tcPr>
            <w:tcW w:w="900" w:type="dxa"/>
            <w:vAlign w:val="bottom"/>
            <w:gridSpan w:val="2"/>
            <w:shd w:val="clear" w:color="auto" w:fill="D6F3E8"/>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Return on equity (ROE) </w:t>
            </w:r>
            <w:r>
              <w:rPr>
                <w:rFonts w:ascii="Times New Roman" w:cs="Times New Roman" w:eastAsia="Times New Roman" w:hAnsi="Times New Roman"/>
                <w:sz w:val="29"/>
                <w:szCs w:val="29"/>
                <w:color w:val="auto"/>
                <w:vertAlign w:val="superscript"/>
              </w:rPr>
              <w:t>(6)</w:t>
            </w:r>
          </w:p>
        </w:tc>
        <w:tc>
          <w:tcPr>
            <w:tcW w:w="180" w:type="dxa"/>
            <w:vAlign w:val="bottom"/>
          </w:tcPr>
          <w:p>
            <w:pPr>
              <w:spacing w:after="0"/>
              <w:rPr>
                <w:sz w:val="22"/>
                <w:szCs w:val="22"/>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29.7%</w:t>
            </w:r>
          </w:p>
        </w:tc>
        <w:tc>
          <w:tcPr>
            <w:tcW w:w="180" w:type="dxa"/>
            <w:vAlign w:val="bottom"/>
          </w:tcPr>
          <w:p>
            <w:pPr>
              <w:spacing w:after="0"/>
              <w:rPr>
                <w:sz w:val="22"/>
                <w:szCs w:val="22"/>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34.4%</w:t>
            </w:r>
          </w:p>
        </w:tc>
        <w:tc>
          <w:tcPr>
            <w:tcW w:w="220" w:type="dxa"/>
            <w:vAlign w:val="bottom"/>
          </w:tcPr>
          <w:p>
            <w:pPr>
              <w:spacing w:after="0"/>
              <w:rPr>
                <w:sz w:val="22"/>
                <w:szCs w:val="22"/>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25.6%</w:t>
            </w:r>
          </w:p>
        </w:tc>
        <w:tc>
          <w:tcPr>
            <w:tcW w:w="22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80" w:type="dxa"/>
            <w:vAlign w:val="bottom"/>
            <w:shd w:val="clear" w:color="auto" w:fill="D6F3E8"/>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Return on invested capital (ROIC) </w:t>
            </w:r>
            <w:r>
              <w:rPr>
                <w:rFonts w:ascii="Times New Roman" w:cs="Times New Roman" w:eastAsia="Times New Roman" w:hAnsi="Times New Roman"/>
                <w:sz w:val="29"/>
                <w:szCs w:val="29"/>
                <w:color w:val="auto"/>
                <w:vertAlign w:val="superscript"/>
              </w:rPr>
              <w:t>(7)</w:t>
            </w:r>
          </w:p>
        </w:tc>
        <w:tc>
          <w:tcPr>
            <w:tcW w:w="180" w:type="dxa"/>
            <w:vAlign w:val="bottom"/>
            <w:shd w:val="clear" w:color="auto" w:fill="D6F3E8"/>
          </w:tcPr>
          <w:p>
            <w:pPr>
              <w:spacing w:after="0"/>
              <w:rPr>
                <w:sz w:val="22"/>
                <w:szCs w:val="22"/>
                <w:color w:val="auto"/>
              </w:rPr>
            </w:pPr>
          </w:p>
        </w:tc>
        <w:tc>
          <w:tcPr>
            <w:tcW w:w="1440" w:type="dxa"/>
            <w:vAlign w:val="bottom"/>
            <w:gridSpan w:val="2"/>
            <w:shd w:val="clear" w:color="auto" w:fill="D6F3E8"/>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30.7%</w:t>
            </w:r>
          </w:p>
        </w:tc>
        <w:tc>
          <w:tcPr>
            <w:tcW w:w="180" w:type="dxa"/>
            <w:vAlign w:val="bottom"/>
            <w:shd w:val="clear" w:color="auto" w:fill="D6F3E8"/>
          </w:tcPr>
          <w:p>
            <w:pPr>
              <w:spacing w:after="0"/>
              <w:rPr>
                <w:sz w:val="22"/>
                <w:szCs w:val="22"/>
                <w:color w:val="auto"/>
              </w:rPr>
            </w:pPr>
          </w:p>
        </w:tc>
        <w:tc>
          <w:tcPr>
            <w:tcW w:w="1420" w:type="dxa"/>
            <w:vAlign w:val="bottom"/>
            <w:gridSpan w:val="2"/>
            <w:shd w:val="clear" w:color="auto" w:fill="D6F3E8"/>
          </w:tcPr>
          <w:p>
            <w:pPr>
              <w:jc w:val="right"/>
              <w:ind w:right="540"/>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shd w:val="clear" w:color="auto" w:fill="D6F3E8"/>
          </w:tcPr>
          <w:p>
            <w:pPr>
              <w:spacing w:after="0"/>
              <w:rPr>
                <w:sz w:val="22"/>
                <w:szCs w:val="22"/>
                <w:color w:val="auto"/>
              </w:rPr>
            </w:pPr>
          </w:p>
        </w:tc>
        <w:tc>
          <w:tcPr>
            <w:tcW w:w="1360" w:type="dxa"/>
            <w:vAlign w:val="bottom"/>
            <w:gridSpan w:val="2"/>
            <w:shd w:val="clear" w:color="auto" w:fill="D6F3E8"/>
          </w:tcPr>
          <w:p>
            <w:pPr>
              <w:jc w:val="right"/>
              <w:ind w:right="520"/>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shd w:val="clear" w:color="auto" w:fill="D6F3E8"/>
          </w:tcPr>
          <w:p>
            <w:pPr>
              <w:spacing w:after="0"/>
              <w:rPr>
                <w:sz w:val="22"/>
                <w:szCs w:val="22"/>
                <w:color w:val="auto"/>
              </w:rPr>
            </w:pPr>
          </w:p>
        </w:tc>
        <w:tc>
          <w:tcPr>
            <w:tcW w:w="900" w:type="dxa"/>
            <w:vAlign w:val="bottom"/>
            <w:gridSpan w:val="2"/>
            <w:shd w:val="clear" w:color="auto" w:fill="D6F3E8"/>
          </w:tcPr>
          <w:p>
            <w:pPr>
              <w:jc w:val="right"/>
              <w:ind w:right="6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458"/>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 Sales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shd w:val="clear" w:color="auto" w:fill="D6F3E8"/>
          </w:tcPr>
          <w:p>
            <w:pPr>
              <w:ind w:left="380"/>
              <w:spacing w:after="0"/>
              <w:rPr>
                <w:sz w:val="20"/>
                <w:szCs w:val="20"/>
                <w:color w:val="auto"/>
              </w:rPr>
            </w:pPr>
            <w:r>
              <w:rPr>
                <w:rFonts w:ascii="Times New Roman" w:cs="Times New Roman" w:eastAsia="Times New Roman" w:hAnsi="Times New Roman"/>
                <w:sz w:val="18"/>
                <w:szCs w:val="18"/>
                <w:color w:val="auto"/>
              </w:rPr>
              <w:t>Class A</w:t>
            </w:r>
          </w:p>
        </w:tc>
        <w:tc>
          <w:tcPr>
            <w:tcW w:w="18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6,674</w:t>
            </w:r>
          </w:p>
        </w:tc>
        <w:tc>
          <w:tcPr>
            <w:tcW w:w="18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6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6,705</w:t>
            </w:r>
          </w:p>
        </w:tc>
        <w:tc>
          <w:tcPr>
            <w:tcW w:w="22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Class C</w:t>
            </w:r>
          </w:p>
        </w:tc>
        <w:tc>
          <w:tcPr>
            <w:tcW w:w="180" w:type="dxa"/>
            <w:vAlign w:val="bottom"/>
          </w:tcPr>
          <w:p>
            <w:pPr>
              <w:spacing w:after="0"/>
              <w:rPr>
                <w:sz w:val="20"/>
                <w:szCs w:val="20"/>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3,963</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4,021</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6F3E8"/>
          </w:tcPr>
          <w:p>
            <w:pPr>
              <w:ind w:left="780"/>
              <w:spacing w:after="0"/>
              <w:rPr>
                <w:sz w:val="20"/>
                <w:szCs w:val="20"/>
                <w:color w:val="auto"/>
              </w:rPr>
            </w:pPr>
            <w:r>
              <w:rPr>
                <w:rFonts w:ascii="Times New Roman" w:cs="Times New Roman" w:eastAsia="Times New Roman" w:hAnsi="Times New Roman"/>
                <w:sz w:val="18"/>
                <w:szCs w:val="18"/>
                <w:color w:val="auto"/>
              </w:rPr>
              <w:t>Total Class A &amp; C Motor Homes</w:t>
            </w:r>
          </w:p>
        </w:tc>
        <w:tc>
          <w:tcPr>
            <w:tcW w:w="18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10,637</w:t>
            </w:r>
          </w:p>
        </w:tc>
        <w:tc>
          <w:tcPr>
            <w:tcW w:w="18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12,516</w:t>
            </w:r>
          </w:p>
        </w:tc>
        <w:tc>
          <w:tcPr>
            <w:tcW w:w="6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10,726</w:t>
            </w:r>
          </w:p>
        </w:tc>
        <w:tc>
          <w:tcPr>
            <w:tcW w:w="22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11,054</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Class B Conversions (EuroVan Campers)</w:t>
            </w:r>
          </w:p>
        </w:tc>
        <w:tc>
          <w:tcPr>
            <w:tcW w:w="180" w:type="dxa"/>
            <w:vAlign w:val="bottom"/>
          </w:tcPr>
          <w:p>
            <w:pPr>
              <w:spacing w:after="0"/>
              <w:rPr>
                <w:sz w:val="20"/>
                <w:szCs w:val="20"/>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b w:val="1"/>
                <w:bCs w:val="1"/>
                <w:color w:val="auto"/>
              </w:rPr>
              <w:t>At Year End</w:t>
            </w:r>
          </w:p>
        </w:tc>
        <w:tc>
          <w:tcPr>
            <w:tcW w:w="18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412,960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394,556</w:t>
            </w:r>
          </w:p>
        </w:tc>
        <w:tc>
          <w:tcPr>
            <w:tcW w:w="6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377,462</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235,887</w:t>
            </w:r>
          </w:p>
        </w:tc>
        <w:tc>
          <w:tcPr>
            <w:tcW w:w="18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201,875</w:t>
            </w:r>
          </w:p>
        </w:tc>
        <w:tc>
          <w:tcPr>
            <w:tcW w:w="6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210,626</w:t>
            </w:r>
          </w:p>
        </w:tc>
        <w:tc>
          <w:tcPr>
            <w:tcW w:w="22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179,815</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Market capitalization</w:t>
            </w:r>
          </w:p>
        </w:tc>
        <w:tc>
          <w:tcPr>
            <w:tcW w:w="18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1,073,152</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1,071,571</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898,010</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713,500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8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197,469</w:t>
            </w:r>
          </w:p>
        </w:tc>
        <w:tc>
          <w:tcPr>
            <w:tcW w:w="18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164,175</w:t>
            </w:r>
          </w:p>
        </w:tc>
        <w:tc>
          <w:tcPr>
            <w:tcW w:w="68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164,017</w:t>
            </w:r>
          </w:p>
        </w:tc>
        <w:tc>
          <w:tcPr>
            <w:tcW w:w="22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144,303</w:t>
            </w:r>
          </w:p>
        </w:tc>
        <w:tc>
          <w:tcPr>
            <w:tcW w:w="2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Current ratio</w:t>
            </w:r>
          </w:p>
        </w:tc>
        <w:tc>
          <w:tcPr>
            <w:tcW w:w="180" w:type="dxa"/>
            <w:vAlign w:val="bottom"/>
            <w:shd w:val="clear" w:color="auto" w:fill="D6F3E8"/>
          </w:tcPr>
          <w:p>
            <w:pPr>
              <w:spacing w:after="0"/>
              <w:rPr>
                <w:sz w:val="18"/>
                <w:szCs w:val="18"/>
                <w:color w:val="auto"/>
              </w:rPr>
            </w:pPr>
          </w:p>
        </w:tc>
        <w:tc>
          <w:tcPr>
            <w:tcW w:w="144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3.2 to 1</w:t>
            </w:r>
          </w:p>
        </w:tc>
        <w:tc>
          <w:tcPr>
            <w:tcW w:w="180" w:type="dxa"/>
            <w:vAlign w:val="bottom"/>
            <w:shd w:val="clear" w:color="auto" w:fill="D6F3E8"/>
          </w:tcPr>
          <w:p>
            <w:pPr>
              <w:spacing w:after="0"/>
              <w:rPr>
                <w:sz w:val="18"/>
                <w:szCs w:val="18"/>
                <w:color w:val="auto"/>
              </w:rPr>
            </w:pPr>
          </w:p>
        </w:tc>
        <w:tc>
          <w:tcPr>
            <w:tcW w:w="142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2.6 to 1</w:t>
            </w:r>
          </w:p>
        </w:tc>
        <w:tc>
          <w:tcPr>
            <w:tcW w:w="220" w:type="dxa"/>
            <w:vAlign w:val="bottom"/>
            <w:shd w:val="clear" w:color="auto" w:fill="D6F3E8"/>
          </w:tcPr>
          <w:p>
            <w:pPr>
              <w:spacing w:after="0"/>
              <w:rPr>
                <w:sz w:val="18"/>
                <w:szCs w:val="18"/>
                <w:color w:val="auto"/>
              </w:rPr>
            </w:pPr>
          </w:p>
        </w:tc>
        <w:tc>
          <w:tcPr>
            <w:tcW w:w="136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2.8 to 1</w:t>
            </w:r>
          </w:p>
        </w:tc>
        <w:tc>
          <w:tcPr>
            <w:tcW w:w="220" w:type="dxa"/>
            <w:vAlign w:val="bottom"/>
            <w:shd w:val="clear" w:color="auto" w:fill="D6F3E8"/>
          </w:tcPr>
          <w:p>
            <w:pPr>
              <w:spacing w:after="0"/>
              <w:rPr>
                <w:sz w:val="18"/>
                <w:szCs w:val="18"/>
                <w:color w:val="auto"/>
              </w:rPr>
            </w:pPr>
          </w:p>
        </w:tc>
        <w:tc>
          <w:tcPr>
            <w:tcW w:w="900" w:type="dxa"/>
            <w:vAlign w:val="bottom"/>
            <w:gridSpan w:val="2"/>
            <w:shd w:val="clear" w:color="auto" w:fill="D6F3E8"/>
          </w:tcPr>
          <w:p>
            <w:pPr>
              <w:jc w:val="right"/>
              <w:ind w:right="220"/>
              <w:spacing w:after="0"/>
              <w:rPr>
                <w:sz w:val="20"/>
                <w:szCs w:val="20"/>
                <w:color w:val="auto"/>
              </w:rPr>
            </w:pPr>
            <w:r>
              <w:rPr>
                <w:rFonts w:ascii="Times New Roman" w:cs="Times New Roman" w:eastAsia="Times New Roman" w:hAnsi="Times New Roman"/>
                <w:sz w:val="18"/>
                <w:szCs w:val="18"/>
                <w:color w:val="auto"/>
              </w:rPr>
              <w:t>2.6 to 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Number of employees</w:t>
            </w:r>
          </w:p>
        </w:tc>
        <w:tc>
          <w:tcPr>
            <w:tcW w:w="180" w:type="dxa"/>
            <w:vAlign w:val="bottom"/>
          </w:tcPr>
          <w:p>
            <w:pPr>
              <w:spacing w:after="0"/>
              <w:rPr>
                <w:sz w:val="20"/>
                <w:szCs w:val="20"/>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3,610</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3,750</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20" w:hanging="612"/>
        <w:spacing w:after="0"/>
        <w:tabs>
          <w:tab w:leader="none" w:pos="620" w:val="left"/>
        </w:tabs>
        <w:numPr>
          <w:ilvl w:val="0"/>
          <w:numId w:val="24"/>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Certain prior periods’ information has been reclassified to conform to the current year-end presentation.</w:t>
      </w:r>
    </w:p>
    <w:p>
      <w:pPr>
        <w:spacing w:after="0" w:line="160" w:lineRule="exact"/>
        <w:rPr>
          <w:rFonts w:ascii="Times New Roman" w:cs="Times New Roman" w:eastAsia="Times New Roman" w:hAnsi="Times New Roman"/>
          <w:sz w:val="29"/>
          <w:szCs w:val="29"/>
          <w:i w:val="1"/>
          <w:iCs w:val="1"/>
          <w:color w:val="auto"/>
          <w:vertAlign w:val="superscript"/>
        </w:rPr>
      </w:pPr>
    </w:p>
    <w:p>
      <w:pPr>
        <w:ind w:left="620" w:hanging="612"/>
        <w:spacing w:after="0" w:line="214" w:lineRule="auto"/>
        <w:tabs>
          <w:tab w:leader="none" w:pos="620" w:val="left"/>
        </w:tabs>
        <w:numPr>
          <w:ilvl w:val="0"/>
          <w:numId w:val="24"/>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The fiscal years ended August 31, 2002 and August 31, 1996 contained 53 weeks; all other fiscal years contained 52 weeks.</w:t>
      </w:r>
    </w:p>
    <w:p>
      <w:pPr>
        <w:spacing w:after="0" w:line="230" w:lineRule="exact"/>
        <w:rPr>
          <w:rFonts w:ascii="Times New Roman" w:cs="Times New Roman" w:eastAsia="Times New Roman" w:hAnsi="Times New Roman"/>
          <w:sz w:val="29"/>
          <w:szCs w:val="29"/>
          <w:i w:val="1"/>
          <w:iCs w:val="1"/>
          <w:color w:val="auto"/>
          <w:vertAlign w:val="superscript"/>
        </w:rPr>
      </w:pPr>
    </w:p>
    <w:p>
      <w:pPr>
        <w:ind w:left="620" w:right="200" w:hanging="612"/>
        <w:spacing w:after="0" w:line="198" w:lineRule="auto"/>
        <w:tabs>
          <w:tab w:leader="none" w:pos="620" w:val="left"/>
        </w:tabs>
        <w:numPr>
          <w:ilvl w:val="0"/>
          <w:numId w:val="24"/>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Includes a noncash after-tax cumulative effect of change in accounting principle of $1.1 million expense or $0.05 per share due to the adoption of SAB No. 101, Revenue Recognition in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60" w:type="dxa"/>
            <w:vAlign w:val="bottom"/>
          </w:tcPr>
          <w:p>
            <w:pPr>
              <w:spacing w:after="0"/>
              <w:rPr>
                <w:sz w:val="14"/>
                <w:szCs w:val="14"/>
                <w:color w:val="auto"/>
              </w:rPr>
            </w:pPr>
          </w:p>
        </w:tc>
        <w:tc>
          <w:tcPr>
            <w:tcW w:w="156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w w:val="97"/>
              </w:rPr>
              <w:t>August 25,</w:t>
            </w:r>
          </w:p>
        </w:tc>
        <w:tc>
          <w:tcPr>
            <w:tcW w:w="140" w:type="dxa"/>
            <w:vAlign w:val="bottom"/>
          </w:tcPr>
          <w:p>
            <w:pPr>
              <w:spacing w:after="0"/>
              <w:rPr>
                <w:sz w:val="14"/>
                <w:szCs w:val="14"/>
                <w:color w:val="auto"/>
              </w:rPr>
            </w:pPr>
          </w:p>
        </w:tc>
        <w:tc>
          <w:tcPr>
            <w:tcW w:w="160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August 26,</w:t>
            </w:r>
          </w:p>
        </w:tc>
        <w:tc>
          <w:tcPr>
            <w:tcW w:w="140" w:type="dxa"/>
            <w:vAlign w:val="bottom"/>
          </w:tcPr>
          <w:p>
            <w:pPr>
              <w:spacing w:after="0"/>
              <w:rPr>
                <w:sz w:val="14"/>
                <w:szCs w:val="14"/>
                <w:color w:val="auto"/>
              </w:rPr>
            </w:pPr>
          </w:p>
        </w:tc>
        <w:tc>
          <w:tcPr>
            <w:tcW w:w="14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August 28,</w:t>
            </w:r>
          </w:p>
        </w:tc>
        <w:tc>
          <w:tcPr>
            <w:tcW w:w="140" w:type="dxa"/>
            <w:vAlign w:val="bottom"/>
          </w:tcPr>
          <w:p>
            <w:pPr>
              <w:spacing w:after="0"/>
              <w:rPr>
                <w:sz w:val="14"/>
                <w:szCs w:val="14"/>
                <w:color w:val="auto"/>
              </w:rPr>
            </w:pPr>
          </w:p>
        </w:tc>
        <w:tc>
          <w:tcPr>
            <w:tcW w:w="14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August 29,</w:t>
            </w:r>
          </w:p>
        </w:tc>
        <w:tc>
          <w:tcPr>
            <w:tcW w:w="160" w:type="dxa"/>
            <w:vAlign w:val="bottom"/>
          </w:tcPr>
          <w:p>
            <w:pPr>
              <w:spacing w:after="0"/>
              <w:rPr>
                <w:sz w:val="14"/>
                <w:szCs w:val="14"/>
                <w:color w:val="auto"/>
              </w:rPr>
            </w:pPr>
          </w:p>
        </w:tc>
        <w:tc>
          <w:tcPr>
            <w:tcW w:w="158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w w:val="97"/>
              </w:rPr>
              <w:t>August 30,</w:t>
            </w:r>
          </w:p>
        </w:tc>
        <w:tc>
          <w:tcPr>
            <w:tcW w:w="160" w:type="dxa"/>
            <w:vAlign w:val="bottom"/>
          </w:tcPr>
          <w:p>
            <w:pPr>
              <w:spacing w:after="0"/>
              <w:rPr>
                <w:sz w:val="14"/>
                <w:szCs w:val="14"/>
                <w:color w:val="auto"/>
              </w:rPr>
            </w:pPr>
          </w:p>
        </w:tc>
        <w:tc>
          <w:tcPr>
            <w:tcW w:w="1600" w:type="dxa"/>
            <w:vAlign w:val="bottom"/>
            <w:gridSpan w:val="2"/>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w w:val="97"/>
              </w:rPr>
              <w:t>August 31,</w:t>
            </w:r>
          </w:p>
        </w:tc>
        <w:tc>
          <w:tcPr>
            <w:tcW w:w="16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August 26,</w:t>
            </w:r>
          </w:p>
        </w:tc>
      </w:tr>
      <w:tr>
        <w:trPr>
          <w:trHeight w:val="284"/>
        </w:trPr>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 xml:space="preserve">2001 </w:t>
            </w:r>
            <w:r>
              <w:rPr>
                <w:rFonts w:ascii="Times New Roman" w:cs="Times New Roman" w:eastAsia="Times New Roman" w:hAnsi="Times New Roman"/>
                <w:sz w:val="22"/>
                <w:szCs w:val="22"/>
                <w:b w:val="1"/>
                <w:bCs w:val="1"/>
                <w:color w:val="auto"/>
                <w:vertAlign w:val="superscript"/>
              </w:rPr>
              <w:t>(3)</w:t>
            </w:r>
          </w:p>
        </w:tc>
        <w:tc>
          <w:tcPr>
            <w:tcW w:w="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2000</w:t>
            </w:r>
          </w:p>
        </w:tc>
        <w:tc>
          <w:tcPr>
            <w:tcW w:w="7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1999</w:t>
            </w:r>
          </w:p>
        </w:tc>
        <w:tc>
          <w:tcPr>
            <w:tcW w:w="6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1998</w:t>
            </w:r>
          </w:p>
        </w:tc>
        <w:tc>
          <w:tcPr>
            <w:tcW w:w="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1997</w:t>
            </w:r>
          </w:p>
        </w:tc>
        <w:tc>
          <w:tcPr>
            <w:tcW w:w="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 xml:space="preserve">1996 </w:t>
            </w:r>
            <w:r>
              <w:rPr>
                <w:rFonts w:ascii="Times New Roman" w:cs="Times New Roman" w:eastAsia="Times New Roman" w:hAnsi="Times New Roman"/>
                <w:sz w:val="22"/>
                <w:szCs w:val="22"/>
                <w:b w:val="1"/>
                <w:bCs w:val="1"/>
                <w:color w:val="auto"/>
                <w:vertAlign w:val="superscript"/>
              </w:rPr>
              <w:t>(2)</w:t>
            </w:r>
          </w:p>
        </w:tc>
        <w:tc>
          <w:tcPr>
            <w:tcW w:w="7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1995</w:t>
            </w:r>
          </w:p>
        </w:tc>
        <w:tc>
          <w:tcPr>
            <w:tcW w:w="240" w:type="dxa"/>
            <w:vAlign w:val="bottom"/>
          </w:tcPr>
          <w:p>
            <w:pPr>
              <w:spacing w:after="0"/>
              <w:rPr>
                <w:sz w:val="24"/>
                <w:szCs w:val="24"/>
                <w:color w:val="auto"/>
              </w:rPr>
            </w:pPr>
          </w:p>
        </w:tc>
      </w:tr>
      <w:tr>
        <w:trPr>
          <w:trHeight w:val="102"/>
        </w:trPr>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16"/>
        </w:trPr>
        <w:tc>
          <w:tcPr>
            <w:tcW w:w="160" w:type="dxa"/>
            <w:vAlign w:val="bottom"/>
            <w:shd w:val="clear" w:color="auto" w:fill="D6F3E8"/>
          </w:tcPr>
          <w:p>
            <w:pPr>
              <w:spacing w:after="0"/>
              <w:rPr>
                <w:sz w:val="18"/>
                <w:szCs w:val="18"/>
                <w:color w:val="auto"/>
              </w:rPr>
            </w:pPr>
          </w:p>
        </w:tc>
        <w:tc>
          <w:tcPr>
            <w:tcW w:w="82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6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6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7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7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671,686</w:t>
            </w:r>
          </w:p>
        </w:tc>
        <w:tc>
          <w:tcPr>
            <w:tcW w:w="7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743,729</w:t>
            </w:r>
          </w:p>
        </w:tc>
        <w:tc>
          <w:tcPr>
            <w:tcW w:w="7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668,658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527,287</w:t>
            </w:r>
          </w:p>
        </w:tc>
        <w:tc>
          <w:tcPr>
            <w:tcW w:w="6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436,541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486,139</w:t>
            </w:r>
          </w:p>
        </w:tc>
        <w:tc>
          <w:tcPr>
            <w:tcW w:w="7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461,540</w:t>
            </w:r>
          </w:p>
        </w:tc>
        <w:tc>
          <w:tcPr>
            <w:tcW w:w="240" w:type="dxa"/>
            <w:vAlign w:val="bottom"/>
          </w:tcPr>
          <w:p>
            <w:pPr>
              <w:spacing w:after="0"/>
              <w:rPr>
                <w:sz w:val="18"/>
                <w:szCs w:val="18"/>
                <w:color w:val="auto"/>
              </w:rPr>
            </w:pPr>
          </w:p>
        </w:tc>
      </w:tr>
      <w:tr>
        <w:trPr>
          <w:trHeight w:val="216"/>
        </w:trPr>
        <w:tc>
          <w:tcPr>
            <w:tcW w:w="16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55,754</w:t>
            </w:r>
          </w:p>
        </w:tc>
        <w:tc>
          <w:tcPr>
            <w:tcW w:w="7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70,583</w:t>
            </w:r>
          </w:p>
        </w:tc>
        <w:tc>
          <w:tcPr>
            <w:tcW w:w="7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6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62,848</w:t>
            </w:r>
          </w:p>
        </w:tc>
        <w:tc>
          <w:tcPr>
            <w:tcW w:w="14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33,765</w:t>
            </w:r>
          </w:p>
        </w:tc>
        <w:tc>
          <w:tcPr>
            <w:tcW w:w="6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58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color w:val="auto"/>
              </w:rPr>
              <w:t>5,704</w:t>
            </w: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19,015</w:t>
            </w:r>
          </w:p>
        </w:tc>
        <w:tc>
          <w:tcPr>
            <w:tcW w:w="7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17,920</w:t>
            </w:r>
          </w:p>
        </w:tc>
        <w:tc>
          <w:tcPr>
            <w:tcW w:w="240" w:type="dxa"/>
            <w:vAlign w:val="bottom"/>
            <w:shd w:val="clear" w:color="auto" w:fill="D6F3E8"/>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8"/>
                <w:szCs w:val="18"/>
                <w:color w:val="auto"/>
              </w:rPr>
            </w:pP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6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14,258</w:t>
            </w:r>
          </w:p>
        </w:tc>
        <w:tc>
          <w:tcPr>
            <w:tcW w:w="7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24,400</w:t>
            </w:r>
          </w:p>
        </w:tc>
        <w:tc>
          <w:tcPr>
            <w:tcW w:w="7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6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21,033</w:t>
            </w:r>
          </w:p>
        </w:tc>
        <w:tc>
          <w:tcPr>
            <w:tcW w:w="14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10,786</w:t>
            </w:r>
          </w:p>
        </w:tc>
        <w:tc>
          <w:tcPr>
            <w:tcW w:w="6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58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5,922</w:t>
            </w:r>
          </w:p>
        </w:tc>
        <w:tc>
          <w:tcPr>
            <w:tcW w:w="7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180"/>
              <w:spacing w:after="0"/>
              <w:rPr>
                <w:sz w:val="20"/>
                <w:szCs w:val="20"/>
                <w:color w:val="auto"/>
              </w:rPr>
            </w:pPr>
            <w:r>
              <w:rPr>
                <w:rFonts w:ascii="Times New Roman" w:cs="Times New Roman" w:eastAsia="Times New Roman" w:hAnsi="Times New Roman"/>
                <w:sz w:val="18"/>
                <w:szCs w:val="18"/>
                <w:color w:val="auto"/>
              </w:rPr>
              <w:t>(8,642)</w:t>
            </w:r>
          </w:p>
        </w:tc>
      </w:tr>
      <w:tr>
        <w:trPr>
          <w:trHeight w:val="216"/>
        </w:trPr>
        <w:tc>
          <w:tcPr>
            <w:tcW w:w="160" w:type="dxa"/>
            <w:vAlign w:val="bottom"/>
          </w:tcPr>
          <w:p>
            <w:pPr>
              <w:spacing w:after="0"/>
              <w:rPr>
                <w:sz w:val="18"/>
                <w:szCs w:val="18"/>
                <w:color w:val="auto"/>
              </w:rPr>
            </w:pPr>
          </w:p>
        </w:tc>
        <w:tc>
          <w:tcPr>
            <w:tcW w:w="15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tcPr>
          <w:p>
            <w:pPr>
              <w:spacing w:after="0"/>
              <w:rPr>
                <w:sz w:val="18"/>
                <w:szCs w:val="18"/>
                <w:color w:val="auto"/>
              </w:rPr>
            </w:pP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tcPr>
          <w:p>
            <w:pPr>
              <w:spacing w:after="0"/>
              <w:rPr>
                <w:sz w:val="18"/>
                <w:szCs w:val="18"/>
                <w:color w:val="auto"/>
              </w:rPr>
            </w:pP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8"/>
                <w:szCs w:val="18"/>
                <w:color w:val="auto"/>
              </w:rPr>
            </w:pP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16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41,496</w:t>
            </w:r>
          </w:p>
        </w:tc>
        <w:tc>
          <w:tcPr>
            <w:tcW w:w="7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46,183</w:t>
            </w:r>
          </w:p>
        </w:tc>
        <w:tc>
          <w:tcPr>
            <w:tcW w:w="76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6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41,815</w:t>
            </w:r>
          </w:p>
        </w:tc>
        <w:tc>
          <w:tcPr>
            <w:tcW w:w="14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22,979</w:t>
            </w:r>
          </w:p>
        </w:tc>
        <w:tc>
          <w:tcPr>
            <w:tcW w:w="6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58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color w:val="auto"/>
              </w:rPr>
              <w:t>5,739</w:t>
            </w:r>
          </w:p>
        </w:tc>
        <w:tc>
          <w:tcPr>
            <w:tcW w:w="16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76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26,562</w:t>
            </w:r>
          </w:p>
        </w:tc>
        <w:tc>
          <w:tcPr>
            <w:tcW w:w="240" w:type="dxa"/>
            <w:vAlign w:val="bottom"/>
            <w:shd w:val="clear" w:color="auto" w:fill="D6F3E8"/>
          </w:tcPr>
          <w:p>
            <w:pPr>
              <w:spacing w:after="0"/>
              <w:rPr>
                <w:sz w:val="18"/>
                <w:szCs w:val="18"/>
                <w:color w:val="auto"/>
              </w:rPr>
            </w:pPr>
          </w:p>
        </w:tc>
      </w:tr>
      <w:tr>
        <w:trPr>
          <w:trHeight w:val="228"/>
        </w:trPr>
        <w:tc>
          <w:tcPr>
            <w:tcW w:w="160" w:type="dxa"/>
            <w:vAlign w:val="bottom"/>
          </w:tcPr>
          <w:p>
            <w:pPr>
              <w:spacing w:after="0"/>
              <w:rPr>
                <w:sz w:val="19"/>
                <w:szCs w:val="19"/>
                <w:color w:val="auto"/>
              </w:rPr>
            </w:pPr>
          </w:p>
        </w:tc>
        <w:tc>
          <w:tcPr>
            <w:tcW w:w="15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16,472</w:t>
            </w:r>
          </w:p>
        </w:tc>
        <w:tc>
          <w:tcPr>
            <w:tcW w:w="160" w:type="dxa"/>
            <w:vAlign w:val="bottom"/>
          </w:tcPr>
          <w:p>
            <w:pPr>
              <w:spacing w:after="0"/>
              <w:rPr>
                <w:sz w:val="19"/>
                <w:szCs w:val="19"/>
                <w:color w:val="auto"/>
              </w:rPr>
            </w:pPr>
          </w:p>
        </w:tc>
        <w:tc>
          <w:tcPr>
            <w:tcW w:w="16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923" w:orient="portrait"/>
          <w:cols w:equalWidth="0" w:num="1">
            <w:col w:w="11420"/>
          </w:cols>
          <w:pgMar w:left="240" w:top="123" w:right="239"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7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76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2,445</w:t>
            </w:r>
          </w:p>
        </w:tc>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62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color w:val="auto"/>
              </w:rPr>
              <w:t>837</w:t>
            </w:r>
          </w:p>
        </w:tc>
        <w:tc>
          <w:tcPr>
            <w:tcW w:w="28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700"/>
              <w:spacing w:after="0"/>
              <w:rPr>
                <w:sz w:val="20"/>
                <w:szCs w:val="20"/>
                <w:color w:val="auto"/>
              </w:rPr>
            </w:pPr>
            <w:r>
              <w:rPr>
                <w:rFonts w:ascii="Times New Roman" w:cs="Times New Roman" w:eastAsia="Times New Roman" w:hAnsi="Times New Roman"/>
                <w:sz w:val="18"/>
                <w:szCs w:val="18"/>
                <w:color w:val="auto"/>
              </w:rPr>
              <w:t>(708)</w:t>
            </w:r>
          </w:p>
        </w:tc>
        <w:tc>
          <w:tcPr>
            <w:tcW w:w="28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240" w:type="dxa"/>
            <w:vAlign w:val="bottom"/>
            <w:shd w:val="clear" w:color="auto" w:fill="D6F3E8"/>
          </w:tcPr>
          <w:p>
            <w:pPr>
              <w:spacing w:after="0"/>
              <w:rPr>
                <w:sz w:val="18"/>
                <w:szCs w:val="18"/>
                <w:color w:val="auto"/>
              </w:rPr>
            </w:pPr>
          </w:p>
        </w:tc>
      </w:tr>
      <w:tr>
        <w:trPr>
          <w:trHeight w:val="228"/>
        </w:trPr>
        <w:tc>
          <w:tcPr>
            <w:tcW w:w="260" w:type="dxa"/>
            <w:vAlign w:val="bottom"/>
          </w:tcPr>
          <w:p>
            <w:pPr>
              <w:spacing w:after="0"/>
              <w:rPr>
                <w:sz w:val="19"/>
                <w:szCs w:val="19"/>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(1,050)</w:t>
            </w:r>
          </w:p>
        </w:tc>
        <w:tc>
          <w:tcPr>
            <w:tcW w:w="260" w:type="dxa"/>
            <w:vAlign w:val="bottom"/>
          </w:tcPr>
          <w:p>
            <w:pPr>
              <w:spacing w:after="0"/>
              <w:rPr>
                <w:sz w:val="19"/>
                <w:szCs w:val="19"/>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96"/>
        </w:trPr>
        <w:tc>
          <w:tcPr>
            <w:tcW w:w="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r>
      <w:tr>
        <w:trPr>
          <w:trHeight w:val="102"/>
        </w:trPr>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16"/>
        </w:trPr>
        <w:tc>
          <w:tcPr>
            <w:tcW w:w="260" w:type="dxa"/>
            <w:vAlign w:val="bottom"/>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42,704</w:t>
            </w:r>
          </w:p>
        </w:tc>
        <w:tc>
          <w:tcPr>
            <w:tcW w:w="740" w:type="dxa"/>
            <w:vAlign w:val="bottom"/>
            <w:shd w:val="clear" w:color="auto" w:fill="D6F3E8"/>
          </w:tcPr>
          <w:p>
            <w:pPr>
              <w:spacing w:after="0"/>
              <w:rPr>
                <w:sz w:val="18"/>
                <w:szCs w:val="18"/>
                <w:color w:val="auto"/>
              </w:rPr>
            </w:pPr>
          </w:p>
        </w:tc>
        <w:tc>
          <w:tcPr>
            <w:tcW w:w="260" w:type="dxa"/>
            <w:vAlign w:val="bottom"/>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48,399</w:t>
            </w:r>
          </w:p>
        </w:tc>
        <w:tc>
          <w:tcPr>
            <w:tcW w:w="760" w:type="dxa"/>
            <w:vAlign w:val="bottom"/>
            <w:shd w:val="clear" w:color="auto" w:fill="D6F3E8"/>
          </w:tcPr>
          <w:p>
            <w:pPr>
              <w:spacing w:after="0"/>
              <w:rPr>
                <w:sz w:val="18"/>
                <w:szCs w:val="18"/>
                <w:color w:val="auto"/>
              </w:rPr>
            </w:pPr>
          </w:p>
        </w:tc>
        <w:tc>
          <w:tcPr>
            <w:tcW w:w="260" w:type="dxa"/>
            <w:vAlign w:val="bottom"/>
            <w:shd w:val="clear" w:color="auto" w:fill="D6F3E8"/>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44,260</w:t>
            </w:r>
          </w:p>
        </w:tc>
        <w:tc>
          <w:tcPr>
            <w:tcW w:w="260" w:type="dxa"/>
            <w:vAlign w:val="bottom"/>
            <w:shd w:val="clear" w:color="auto" w:fill="D6F3E8"/>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24,384</w:t>
            </w:r>
          </w:p>
        </w:tc>
        <w:tc>
          <w:tcPr>
            <w:tcW w:w="620" w:type="dxa"/>
            <w:vAlign w:val="bottom"/>
            <w:shd w:val="clear" w:color="auto" w:fill="D6F3E8"/>
          </w:tcPr>
          <w:p>
            <w:pPr>
              <w:spacing w:after="0"/>
              <w:rPr>
                <w:sz w:val="18"/>
                <w:szCs w:val="18"/>
                <w:color w:val="auto"/>
              </w:rPr>
            </w:pPr>
          </w:p>
        </w:tc>
        <w:tc>
          <w:tcPr>
            <w:tcW w:w="260" w:type="dxa"/>
            <w:vAlign w:val="bottom"/>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color w:val="auto"/>
              </w:rPr>
              <w:t>23,048</w:t>
            </w:r>
          </w:p>
        </w:tc>
        <w:tc>
          <w:tcPr>
            <w:tcW w:w="280" w:type="dxa"/>
            <w:vAlign w:val="bottom"/>
            <w:shd w:val="clear" w:color="auto" w:fill="D6F3E8"/>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760" w:type="dxa"/>
            <w:vAlign w:val="bottom"/>
            <w:shd w:val="clear" w:color="auto" w:fill="D6F3E8"/>
          </w:tcPr>
          <w:p>
            <w:pPr>
              <w:spacing w:after="0"/>
              <w:rPr>
                <w:sz w:val="18"/>
                <w:szCs w:val="18"/>
                <w:color w:val="auto"/>
              </w:rPr>
            </w:pPr>
          </w:p>
        </w:tc>
        <w:tc>
          <w:tcPr>
            <w:tcW w:w="280" w:type="dxa"/>
            <w:vAlign w:val="bottom"/>
            <w:shd w:val="clear" w:color="auto" w:fill="D6F3E8"/>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27,756</w:t>
            </w:r>
          </w:p>
        </w:tc>
        <w:tc>
          <w:tcPr>
            <w:tcW w:w="240" w:type="dxa"/>
            <w:vAlign w:val="bottom"/>
            <w:shd w:val="clear" w:color="auto" w:fill="D6F3E8"/>
          </w:tcPr>
          <w:p>
            <w:pPr>
              <w:spacing w:after="0"/>
              <w:rPr>
                <w:sz w:val="18"/>
                <w:szCs w:val="18"/>
                <w:color w:val="auto"/>
              </w:rPr>
            </w:pPr>
          </w:p>
        </w:tc>
      </w:tr>
      <w:tr>
        <w:trPr>
          <w:trHeight w:val="243"/>
        </w:trPr>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43"/>
        </w:trPr>
        <w:tc>
          <w:tcPr>
            <w:tcW w:w="260" w:type="dxa"/>
            <w:vAlign w:val="bottom"/>
            <w:shd w:val="clear" w:color="auto" w:fill="D6F3E8"/>
          </w:tcPr>
          <w:p>
            <w:pPr>
              <w:spacing w:after="0"/>
              <w:rPr>
                <w:sz w:val="21"/>
                <w:szCs w:val="21"/>
                <w:color w:val="auto"/>
              </w:rPr>
            </w:pPr>
          </w:p>
        </w:tc>
        <w:tc>
          <w:tcPr>
            <w:tcW w:w="720" w:type="dxa"/>
            <w:vAlign w:val="bottom"/>
            <w:shd w:val="clear" w:color="auto" w:fill="D6F3E8"/>
          </w:tcPr>
          <w:p>
            <w:pPr>
              <w:spacing w:after="0"/>
              <w:rPr>
                <w:sz w:val="21"/>
                <w:szCs w:val="21"/>
                <w:color w:val="auto"/>
              </w:rPr>
            </w:pPr>
          </w:p>
        </w:tc>
        <w:tc>
          <w:tcPr>
            <w:tcW w:w="74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720" w:type="dxa"/>
            <w:vAlign w:val="bottom"/>
            <w:shd w:val="clear" w:color="auto" w:fill="D6F3E8"/>
          </w:tcPr>
          <w:p>
            <w:pPr>
              <w:spacing w:after="0"/>
              <w:rPr>
                <w:sz w:val="21"/>
                <w:szCs w:val="21"/>
                <w:color w:val="auto"/>
              </w:rPr>
            </w:pPr>
          </w:p>
        </w:tc>
        <w:tc>
          <w:tcPr>
            <w:tcW w:w="76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720" w:type="dxa"/>
            <w:vAlign w:val="bottom"/>
            <w:shd w:val="clear" w:color="auto" w:fill="D6F3E8"/>
          </w:tcPr>
          <w:p>
            <w:pPr>
              <w:spacing w:after="0"/>
              <w:rPr>
                <w:sz w:val="21"/>
                <w:szCs w:val="21"/>
                <w:color w:val="auto"/>
              </w:rPr>
            </w:pPr>
          </w:p>
        </w:tc>
        <w:tc>
          <w:tcPr>
            <w:tcW w:w="62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720" w:type="dxa"/>
            <w:vAlign w:val="bottom"/>
            <w:shd w:val="clear" w:color="auto" w:fill="D6F3E8"/>
          </w:tcPr>
          <w:p>
            <w:pPr>
              <w:spacing w:after="0"/>
              <w:rPr>
                <w:sz w:val="21"/>
                <w:szCs w:val="21"/>
                <w:color w:val="auto"/>
              </w:rPr>
            </w:pPr>
          </w:p>
        </w:tc>
        <w:tc>
          <w:tcPr>
            <w:tcW w:w="62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740" w:type="dxa"/>
            <w:vAlign w:val="bottom"/>
            <w:shd w:val="clear" w:color="auto" w:fill="D6F3E8"/>
          </w:tcPr>
          <w:p>
            <w:pPr>
              <w:spacing w:after="0"/>
              <w:rPr>
                <w:sz w:val="21"/>
                <w:szCs w:val="21"/>
                <w:color w:val="auto"/>
              </w:rPr>
            </w:pPr>
          </w:p>
        </w:tc>
        <w:tc>
          <w:tcPr>
            <w:tcW w:w="740" w:type="dxa"/>
            <w:vAlign w:val="bottom"/>
            <w:shd w:val="clear" w:color="auto" w:fill="D6F3E8"/>
          </w:tcPr>
          <w:p>
            <w:pPr>
              <w:spacing w:after="0"/>
              <w:rPr>
                <w:sz w:val="21"/>
                <w:szCs w:val="21"/>
                <w:color w:val="auto"/>
              </w:rPr>
            </w:pPr>
          </w:p>
        </w:tc>
        <w:tc>
          <w:tcPr>
            <w:tcW w:w="280" w:type="dxa"/>
            <w:vAlign w:val="bottom"/>
            <w:shd w:val="clear" w:color="auto" w:fill="D6F3E8"/>
          </w:tcPr>
          <w:p>
            <w:pPr>
              <w:spacing w:after="0"/>
              <w:rPr>
                <w:sz w:val="21"/>
                <w:szCs w:val="21"/>
                <w:color w:val="auto"/>
              </w:rPr>
            </w:pPr>
          </w:p>
        </w:tc>
        <w:tc>
          <w:tcPr>
            <w:tcW w:w="720" w:type="dxa"/>
            <w:vAlign w:val="bottom"/>
            <w:shd w:val="clear" w:color="auto" w:fill="D6F3E8"/>
          </w:tcPr>
          <w:p>
            <w:pPr>
              <w:spacing w:after="0"/>
              <w:rPr>
                <w:sz w:val="21"/>
                <w:szCs w:val="21"/>
                <w:color w:val="auto"/>
              </w:rPr>
            </w:pPr>
          </w:p>
        </w:tc>
        <w:tc>
          <w:tcPr>
            <w:tcW w:w="760" w:type="dxa"/>
            <w:vAlign w:val="bottom"/>
            <w:shd w:val="clear" w:color="auto" w:fill="D6F3E8"/>
          </w:tcPr>
          <w:p>
            <w:pPr>
              <w:spacing w:after="0"/>
              <w:rPr>
                <w:sz w:val="21"/>
                <w:szCs w:val="21"/>
                <w:color w:val="auto"/>
              </w:rPr>
            </w:pPr>
          </w:p>
        </w:tc>
        <w:tc>
          <w:tcPr>
            <w:tcW w:w="280" w:type="dxa"/>
            <w:vAlign w:val="bottom"/>
            <w:shd w:val="clear" w:color="auto" w:fill="D6F3E8"/>
          </w:tcPr>
          <w:p>
            <w:pPr>
              <w:spacing w:after="0"/>
              <w:rPr>
                <w:sz w:val="21"/>
                <w:szCs w:val="21"/>
                <w:color w:val="auto"/>
              </w:rPr>
            </w:pPr>
          </w:p>
        </w:tc>
        <w:tc>
          <w:tcPr>
            <w:tcW w:w="740" w:type="dxa"/>
            <w:vAlign w:val="bottom"/>
            <w:shd w:val="clear" w:color="auto" w:fill="D6F3E8"/>
          </w:tcPr>
          <w:p>
            <w:pPr>
              <w:spacing w:after="0"/>
              <w:rPr>
                <w:sz w:val="21"/>
                <w:szCs w:val="21"/>
                <w:color w:val="auto"/>
              </w:rPr>
            </w:pPr>
          </w:p>
        </w:tc>
        <w:tc>
          <w:tcPr>
            <w:tcW w:w="240" w:type="dxa"/>
            <w:vAlign w:val="bottom"/>
            <w:shd w:val="clear" w:color="auto" w:fill="D6F3E8"/>
          </w:tcPr>
          <w:p>
            <w:pPr>
              <w:spacing w:after="0"/>
              <w:rPr>
                <w:sz w:val="21"/>
                <w:szCs w:val="21"/>
                <w:color w:val="auto"/>
              </w:rPr>
            </w:pPr>
          </w:p>
        </w:tc>
      </w:tr>
      <w:tr>
        <w:trPr>
          <w:trHeight w:val="216"/>
        </w:trPr>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740" w:type="dxa"/>
            <w:vAlign w:val="bottom"/>
          </w:tcPr>
          <w:p>
            <w:pPr>
              <w:spacing w:after="0"/>
              <w:rPr>
                <w:sz w:val="18"/>
                <w:szCs w:val="18"/>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76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0.94</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620" w:type="dxa"/>
            <w:vAlign w:val="bottom"/>
          </w:tcPr>
          <w:p>
            <w:pPr>
              <w:spacing w:after="0"/>
              <w:rPr>
                <w:sz w:val="18"/>
                <w:szCs w:val="18"/>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0.11</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760" w:type="dxa"/>
            <w:vAlign w:val="bottom"/>
          </w:tcPr>
          <w:p>
            <w:pPr>
              <w:spacing w:after="0"/>
              <w:rPr>
                <w:sz w:val="18"/>
                <w:szCs w:val="18"/>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40" w:type="dxa"/>
            <w:vAlign w:val="bottom"/>
          </w:tcPr>
          <w:p>
            <w:pPr>
              <w:spacing w:after="0"/>
              <w:rPr>
                <w:sz w:val="18"/>
                <w:szCs w:val="18"/>
                <w:color w:val="auto"/>
              </w:rPr>
            </w:pPr>
          </w:p>
        </w:tc>
      </w:tr>
      <w:tr>
        <w:trPr>
          <w:trHeight w:val="216"/>
        </w:trPr>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7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76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0.93</w:t>
            </w:r>
          </w:p>
        </w:tc>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62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color w:val="auto"/>
              </w:rPr>
              <w:t>0.11</w:t>
            </w:r>
          </w:p>
        </w:tc>
        <w:tc>
          <w:tcPr>
            <w:tcW w:w="28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76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40" w:type="dxa"/>
            <w:vAlign w:val="bottom"/>
            <w:shd w:val="clear" w:color="auto" w:fill="D6F3E8"/>
          </w:tcPr>
          <w:p>
            <w:pPr>
              <w:spacing w:after="0"/>
              <w:rPr>
                <w:sz w:val="18"/>
                <w:szCs w:val="18"/>
                <w:color w:val="auto"/>
              </w:rPr>
            </w:pPr>
          </w:p>
        </w:tc>
      </w:tr>
      <w:tr>
        <w:trPr>
          <w:trHeight w:val="243"/>
        </w:trPr>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16"/>
        </w:trPr>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7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76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2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color w:val="auto"/>
              </w:rPr>
              <w:t>0.34</w:t>
            </w:r>
          </w:p>
        </w:tc>
        <w:tc>
          <w:tcPr>
            <w:tcW w:w="28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700"/>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shd w:val="clear" w:color="auto" w:fill="D6F3E8"/>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0.34</w:t>
            </w:r>
          </w:p>
        </w:tc>
        <w:tc>
          <w:tcPr>
            <w:tcW w:w="28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40" w:type="dxa"/>
            <w:vAlign w:val="bottom"/>
          </w:tcPr>
          <w:p>
            <w:pPr>
              <w:spacing w:after="0"/>
              <w:rPr>
                <w:sz w:val="18"/>
                <w:szCs w:val="18"/>
                <w:color w:val="auto"/>
              </w:rPr>
            </w:pPr>
          </w:p>
        </w:tc>
      </w:tr>
      <w:tr>
        <w:trPr>
          <w:trHeight w:val="243"/>
        </w:trPr>
        <w:tc>
          <w:tcPr>
            <w:tcW w:w="260" w:type="dxa"/>
            <w:vAlign w:val="bottom"/>
            <w:shd w:val="clear" w:color="auto" w:fill="D6F3E8"/>
          </w:tcPr>
          <w:p>
            <w:pPr>
              <w:spacing w:after="0"/>
              <w:rPr>
                <w:sz w:val="21"/>
                <w:szCs w:val="21"/>
                <w:color w:val="auto"/>
              </w:rPr>
            </w:pPr>
          </w:p>
        </w:tc>
        <w:tc>
          <w:tcPr>
            <w:tcW w:w="720" w:type="dxa"/>
            <w:vAlign w:val="bottom"/>
            <w:shd w:val="clear" w:color="auto" w:fill="D6F3E8"/>
          </w:tcPr>
          <w:p>
            <w:pPr>
              <w:spacing w:after="0"/>
              <w:rPr>
                <w:sz w:val="21"/>
                <w:szCs w:val="21"/>
                <w:color w:val="auto"/>
              </w:rPr>
            </w:pPr>
          </w:p>
        </w:tc>
        <w:tc>
          <w:tcPr>
            <w:tcW w:w="74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720" w:type="dxa"/>
            <w:vAlign w:val="bottom"/>
            <w:shd w:val="clear" w:color="auto" w:fill="D6F3E8"/>
          </w:tcPr>
          <w:p>
            <w:pPr>
              <w:spacing w:after="0"/>
              <w:rPr>
                <w:sz w:val="21"/>
                <w:szCs w:val="21"/>
                <w:color w:val="auto"/>
              </w:rPr>
            </w:pPr>
          </w:p>
        </w:tc>
        <w:tc>
          <w:tcPr>
            <w:tcW w:w="76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720" w:type="dxa"/>
            <w:vAlign w:val="bottom"/>
            <w:shd w:val="clear" w:color="auto" w:fill="D6F3E8"/>
          </w:tcPr>
          <w:p>
            <w:pPr>
              <w:spacing w:after="0"/>
              <w:rPr>
                <w:sz w:val="21"/>
                <w:szCs w:val="21"/>
                <w:color w:val="auto"/>
              </w:rPr>
            </w:pPr>
          </w:p>
        </w:tc>
        <w:tc>
          <w:tcPr>
            <w:tcW w:w="62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720" w:type="dxa"/>
            <w:vAlign w:val="bottom"/>
            <w:shd w:val="clear" w:color="auto" w:fill="D6F3E8"/>
          </w:tcPr>
          <w:p>
            <w:pPr>
              <w:spacing w:after="0"/>
              <w:rPr>
                <w:sz w:val="21"/>
                <w:szCs w:val="21"/>
                <w:color w:val="auto"/>
              </w:rPr>
            </w:pPr>
          </w:p>
        </w:tc>
        <w:tc>
          <w:tcPr>
            <w:tcW w:w="62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740" w:type="dxa"/>
            <w:vAlign w:val="bottom"/>
            <w:shd w:val="clear" w:color="auto" w:fill="D6F3E8"/>
          </w:tcPr>
          <w:p>
            <w:pPr>
              <w:spacing w:after="0"/>
              <w:rPr>
                <w:sz w:val="21"/>
                <w:szCs w:val="21"/>
                <w:color w:val="auto"/>
              </w:rPr>
            </w:pPr>
          </w:p>
        </w:tc>
        <w:tc>
          <w:tcPr>
            <w:tcW w:w="740" w:type="dxa"/>
            <w:vAlign w:val="bottom"/>
            <w:shd w:val="clear" w:color="auto" w:fill="D6F3E8"/>
          </w:tcPr>
          <w:p>
            <w:pPr>
              <w:spacing w:after="0"/>
              <w:rPr>
                <w:sz w:val="21"/>
                <w:szCs w:val="21"/>
                <w:color w:val="auto"/>
              </w:rPr>
            </w:pPr>
          </w:p>
        </w:tc>
        <w:tc>
          <w:tcPr>
            <w:tcW w:w="280" w:type="dxa"/>
            <w:vAlign w:val="bottom"/>
            <w:shd w:val="clear" w:color="auto" w:fill="D6F3E8"/>
          </w:tcPr>
          <w:p>
            <w:pPr>
              <w:spacing w:after="0"/>
              <w:rPr>
                <w:sz w:val="21"/>
                <w:szCs w:val="21"/>
                <w:color w:val="auto"/>
              </w:rPr>
            </w:pPr>
          </w:p>
        </w:tc>
        <w:tc>
          <w:tcPr>
            <w:tcW w:w="720" w:type="dxa"/>
            <w:vAlign w:val="bottom"/>
            <w:shd w:val="clear" w:color="auto" w:fill="D6F3E8"/>
          </w:tcPr>
          <w:p>
            <w:pPr>
              <w:spacing w:after="0"/>
              <w:rPr>
                <w:sz w:val="21"/>
                <w:szCs w:val="21"/>
                <w:color w:val="auto"/>
              </w:rPr>
            </w:pPr>
          </w:p>
        </w:tc>
        <w:tc>
          <w:tcPr>
            <w:tcW w:w="760" w:type="dxa"/>
            <w:vAlign w:val="bottom"/>
            <w:shd w:val="clear" w:color="auto" w:fill="D6F3E8"/>
          </w:tcPr>
          <w:p>
            <w:pPr>
              <w:spacing w:after="0"/>
              <w:rPr>
                <w:sz w:val="21"/>
                <w:szCs w:val="21"/>
                <w:color w:val="auto"/>
              </w:rPr>
            </w:pPr>
          </w:p>
        </w:tc>
        <w:tc>
          <w:tcPr>
            <w:tcW w:w="280" w:type="dxa"/>
            <w:vAlign w:val="bottom"/>
            <w:shd w:val="clear" w:color="auto" w:fill="D6F3E8"/>
          </w:tcPr>
          <w:p>
            <w:pPr>
              <w:spacing w:after="0"/>
              <w:rPr>
                <w:sz w:val="21"/>
                <w:szCs w:val="21"/>
                <w:color w:val="auto"/>
              </w:rPr>
            </w:pPr>
          </w:p>
        </w:tc>
        <w:tc>
          <w:tcPr>
            <w:tcW w:w="740" w:type="dxa"/>
            <w:vAlign w:val="bottom"/>
            <w:shd w:val="clear" w:color="auto" w:fill="D6F3E8"/>
          </w:tcPr>
          <w:p>
            <w:pPr>
              <w:spacing w:after="0"/>
              <w:rPr>
                <w:sz w:val="21"/>
                <w:szCs w:val="21"/>
                <w:color w:val="auto"/>
              </w:rPr>
            </w:pPr>
          </w:p>
        </w:tc>
        <w:tc>
          <w:tcPr>
            <w:tcW w:w="240" w:type="dxa"/>
            <w:vAlign w:val="bottom"/>
            <w:shd w:val="clear" w:color="auto" w:fill="D6F3E8"/>
          </w:tcPr>
          <w:p>
            <w:pPr>
              <w:spacing w:after="0"/>
              <w:rPr>
                <w:sz w:val="21"/>
                <w:szCs w:val="21"/>
                <w:color w:val="auto"/>
              </w:rPr>
            </w:pPr>
          </w:p>
        </w:tc>
      </w:tr>
      <w:tr>
        <w:trPr>
          <w:trHeight w:val="216"/>
        </w:trPr>
        <w:tc>
          <w:tcPr>
            <w:tcW w:w="26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60" w:type="dxa"/>
            <w:vAlign w:val="bottom"/>
            <w:shd w:val="clear" w:color="auto" w:fill="D6F3E8"/>
          </w:tcPr>
          <w:p>
            <w:pPr>
              <w:spacing w:after="0"/>
              <w:rPr>
                <w:sz w:val="18"/>
                <w:szCs w:val="18"/>
                <w:color w:val="auto"/>
              </w:rPr>
            </w:pPr>
          </w:p>
        </w:tc>
        <w:tc>
          <w:tcPr>
            <w:tcW w:w="1460" w:type="dxa"/>
            <w:vAlign w:val="bottom"/>
            <w:gridSpan w:val="2"/>
            <w:shd w:val="clear" w:color="auto" w:fill="D6F3E8"/>
          </w:tcPr>
          <w:p>
            <w:pPr>
              <w:jc w:val="right"/>
              <w:ind w:right="680"/>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108"/>
        </w:trPr>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r>
      <w:tr>
        <w:trPr>
          <w:trHeight w:val="102"/>
        </w:trPr>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43"/>
        </w:trPr>
        <w:tc>
          <w:tcPr>
            <w:tcW w:w="260" w:type="dxa"/>
            <w:vAlign w:val="bottom"/>
            <w:shd w:val="clear" w:color="auto" w:fill="D6F3E8"/>
          </w:tcPr>
          <w:p>
            <w:pPr>
              <w:spacing w:after="0"/>
              <w:rPr>
                <w:sz w:val="21"/>
                <w:szCs w:val="21"/>
                <w:color w:val="auto"/>
              </w:rPr>
            </w:pPr>
          </w:p>
        </w:tc>
        <w:tc>
          <w:tcPr>
            <w:tcW w:w="720" w:type="dxa"/>
            <w:vAlign w:val="bottom"/>
            <w:shd w:val="clear" w:color="auto" w:fill="D6F3E8"/>
          </w:tcPr>
          <w:p>
            <w:pPr>
              <w:spacing w:after="0"/>
              <w:rPr>
                <w:sz w:val="21"/>
                <w:szCs w:val="21"/>
                <w:color w:val="auto"/>
              </w:rPr>
            </w:pPr>
          </w:p>
        </w:tc>
        <w:tc>
          <w:tcPr>
            <w:tcW w:w="74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720" w:type="dxa"/>
            <w:vAlign w:val="bottom"/>
            <w:shd w:val="clear" w:color="auto" w:fill="D6F3E8"/>
          </w:tcPr>
          <w:p>
            <w:pPr>
              <w:spacing w:after="0"/>
              <w:rPr>
                <w:sz w:val="21"/>
                <w:szCs w:val="21"/>
                <w:color w:val="auto"/>
              </w:rPr>
            </w:pPr>
          </w:p>
        </w:tc>
        <w:tc>
          <w:tcPr>
            <w:tcW w:w="76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720" w:type="dxa"/>
            <w:vAlign w:val="bottom"/>
            <w:shd w:val="clear" w:color="auto" w:fill="D6F3E8"/>
          </w:tcPr>
          <w:p>
            <w:pPr>
              <w:spacing w:after="0"/>
              <w:rPr>
                <w:sz w:val="21"/>
                <w:szCs w:val="21"/>
                <w:color w:val="auto"/>
              </w:rPr>
            </w:pPr>
          </w:p>
        </w:tc>
        <w:tc>
          <w:tcPr>
            <w:tcW w:w="62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720" w:type="dxa"/>
            <w:vAlign w:val="bottom"/>
            <w:shd w:val="clear" w:color="auto" w:fill="D6F3E8"/>
          </w:tcPr>
          <w:p>
            <w:pPr>
              <w:spacing w:after="0"/>
              <w:rPr>
                <w:sz w:val="21"/>
                <w:szCs w:val="21"/>
                <w:color w:val="auto"/>
              </w:rPr>
            </w:pPr>
          </w:p>
        </w:tc>
        <w:tc>
          <w:tcPr>
            <w:tcW w:w="62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740" w:type="dxa"/>
            <w:vAlign w:val="bottom"/>
            <w:shd w:val="clear" w:color="auto" w:fill="D6F3E8"/>
          </w:tcPr>
          <w:p>
            <w:pPr>
              <w:spacing w:after="0"/>
              <w:rPr>
                <w:sz w:val="21"/>
                <w:szCs w:val="21"/>
                <w:color w:val="auto"/>
              </w:rPr>
            </w:pPr>
          </w:p>
        </w:tc>
        <w:tc>
          <w:tcPr>
            <w:tcW w:w="740" w:type="dxa"/>
            <w:vAlign w:val="bottom"/>
            <w:shd w:val="clear" w:color="auto" w:fill="D6F3E8"/>
          </w:tcPr>
          <w:p>
            <w:pPr>
              <w:spacing w:after="0"/>
              <w:rPr>
                <w:sz w:val="21"/>
                <w:szCs w:val="21"/>
                <w:color w:val="auto"/>
              </w:rPr>
            </w:pPr>
          </w:p>
        </w:tc>
        <w:tc>
          <w:tcPr>
            <w:tcW w:w="280" w:type="dxa"/>
            <w:vAlign w:val="bottom"/>
            <w:shd w:val="clear" w:color="auto" w:fill="D6F3E8"/>
          </w:tcPr>
          <w:p>
            <w:pPr>
              <w:spacing w:after="0"/>
              <w:rPr>
                <w:sz w:val="21"/>
                <w:szCs w:val="21"/>
                <w:color w:val="auto"/>
              </w:rPr>
            </w:pPr>
          </w:p>
        </w:tc>
        <w:tc>
          <w:tcPr>
            <w:tcW w:w="720" w:type="dxa"/>
            <w:vAlign w:val="bottom"/>
            <w:shd w:val="clear" w:color="auto" w:fill="D6F3E8"/>
          </w:tcPr>
          <w:p>
            <w:pPr>
              <w:spacing w:after="0"/>
              <w:rPr>
                <w:sz w:val="21"/>
                <w:szCs w:val="21"/>
                <w:color w:val="auto"/>
              </w:rPr>
            </w:pPr>
          </w:p>
        </w:tc>
        <w:tc>
          <w:tcPr>
            <w:tcW w:w="760" w:type="dxa"/>
            <w:vAlign w:val="bottom"/>
            <w:shd w:val="clear" w:color="auto" w:fill="D6F3E8"/>
          </w:tcPr>
          <w:p>
            <w:pPr>
              <w:spacing w:after="0"/>
              <w:rPr>
                <w:sz w:val="21"/>
                <w:szCs w:val="21"/>
                <w:color w:val="auto"/>
              </w:rPr>
            </w:pPr>
          </w:p>
        </w:tc>
        <w:tc>
          <w:tcPr>
            <w:tcW w:w="280" w:type="dxa"/>
            <w:vAlign w:val="bottom"/>
            <w:shd w:val="clear" w:color="auto" w:fill="D6F3E8"/>
          </w:tcPr>
          <w:p>
            <w:pPr>
              <w:spacing w:after="0"/>
              <w:rPr>
                <w:sz w:val="21"/>
                <w:szCs w:val="21"/>
                <w:color w:val="auto"/>
              </w:rPr>
            </w:pPr>
          </w:p>
        </w:tc>
        <w:tc>
          <w:tcPr>
            <w:tcW w:w="740" w:type="dxa"/>
            <w:vAlign w:val="bottom"/>
            <w:shd w:val="clear" w:color="auto" w:fill="D6F3E8"/>
          </w:tcPr>
          <w:p>
            <w:pPr>
              <w:spacing w:after="0"/>
              <w:rPr>
                <w:sz w:val="21"/>
                <w:szCs w:val="21"/>
                <w:color w:val="auto"/>
              </w:rPr>
            </w:pPr>
          </w:p>
        </w:tc>
        <w:tc>
          <w:tcPr>
            <w:tcW w:w="240" w:type="dxa"/>
            <w:vAlign w:val="bottom"/>
            <w:shd w:val="clear" w:color="auto" w:fill="D6F3E8"/>
          </w:tcPr>
          <w:p>
            <w:pPr>
              <w:spacing w:after="0"/>
              <w:rPr>
                <w:sz w:val="21"/>
                <w:szCs w:val="21"/>
                <w:color w:val="auto"/>
              </w:rPr>
            </w:pPr>
          </w:p>
        </w:tc>
      </w:tr>
      <w:tr>
        <w:trPr>
          <w:trHeight w:val="216"/>
        </w:trPr>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740" w:type="dxa"/>
            <w:vAlign w:val="bottom"/>
          </w:tcPr>
          <w:p>
            <w:pPr>
              <w:spacing w:after="0"/>
              <w:rPr>
                <w:sz w:val="18"/>
                <w:szCs w:val="18"/>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76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620" w:type="dxa"/>
            <w:vAlign w:val="bottom"/>
          </w:tcPr>
          <w:p>
            <w:pPr>
              <w:spacing w:after="0"/>
              <w:rPr>
                <w:sz w:val="18"/>
                <w:szCs w:val="18"/>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0.45</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760" w:type="dxa"/>
            <w:vAlign w:val="bottom"/>
          </w:tcPr>
          <w:p>
            <w:pPr>
              <w:spacing w:after="0"/>
              <w:rPr>
                <w:sz w:val="18"/>
                <w:szCs w:val="18"/>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40" w:type="dxa"/>
            <w:vAlign w:val="bottom"/>
          </w:tcPr>
          <w:p>
            <w:pPr>
              <w:spacing w:after="0"/>
              <w:rPr>
                <w:sz w:val="18"/>
                <w:szCs w:val="18"/>
                <w:color w:val="auto"/>
              </w:rPr>
            </w:pPr>
          </w:p>
        </w:tc>
      </w:tr>
      <w:tr>
        <w:trPr>
          <w:trHeight w:val="216"/>
        </w:trPr>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7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76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0.98</w:t>
            </w:r>
          </w:p>
        </w:tc>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62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color w:val="auto"/>
              </w:rPr>
              <w:t>0.45</w:t>
            </w:r>
          </w:p>
        </w:tc>
        <w:tc>
          <w:tcPr>
            <w:tcW w:w="28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76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240" w:type="dxa"/>
            <w:vAlign w:val="bottom"/>
            <w:shd w:val="clear" w:color="auto" w:fill="D6F3E8"/>
          </w:tcPr>
          <w:p>
            <w:pPr>
              <w:spacing w:after="0"/>
              <w:rPr>
                <w:sz w:val="18"/>
                <w:szCs w:val="18"/>
                <w:color w:val="auto"/>
              </w:rPr>
            </w:pPr>
          </w:p>
        </w:tc>
      </w:tr>
      <w:tr>
        <w:trPr>
          <w:trHeight w:val="108"/>
        </w:trPr>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r>
      <w:tr>
        <w:trPr>
          <w:trHeight w:val="588"/>
        </w:trPr>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41,470</w:t>
            </w:r>
          </w:p>
        </w:tc>
        <w:tc>
          <w:tcPr>
            <w:tcW w:w="7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43,360</w:t>
            </w:r>
          </w:p>
        </w:tc>
        <w:tc>
          <w:tcPr>
            <w:tcW w:w="76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44,418</w:t>
            </w:r>
          </w:p>
        </w:tc>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48,212</w:t>
            </w:r>
          </w:p>
        </w:tc>
        <w:tc>
          <w:tcPr>
            <w:tcW w:w="62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color w:val="auto"/>
              </w:rPr>
              <w:t>50,870</w:t>
            </w:r>
          </w:p>
        </w:tc>
        <w:tc>
          <w:tcPr>
            <w:tcW w:w="28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50,698</w:t>
            </w:r>
          </w:p>
        </w:tc>
        <w:tc>
          <w:tcPr>
            <w:tcW w:w="76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50,572</w:t>
            </w:r>
          </w:p>
        </w:tc>
        <w:tc>
          <w:tcPr>
            <w:tcW w:w="240" w:type="dxa"/>
            <w:vAlign w:val="bottom"/>
            <w:shd w:val="clear" w:color="auto" w:fill="D6F3E8"/>
          </w:tcPr>
          <w:p>
            <w:pPr>
              <w:spacing w:after="0"/>
              <w:rPr>
                <w:sz w:val="18"/>
                <w:szCs w:val="18"/>
                <w:color w:val="auto"/>
              </w:rPr>
            </w:pPr>
          </w:p>
        </w:tc>
      </w:tr>
      <w:tr>
        <w:trPr>
          <w:trHeight w:val="228"/>
        </w:trPr>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42,080</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44,022</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45,074</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48,628</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51,100</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51,048</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50,924</w:t>
            </w:r>
          </w:p>
        </w:tc>
        <w:tc>
          <w:tcPr>
            <w:tcW w:w="240" w:type="dxa"/>
            <w:vAlign w:val="bottom"/>
          </w:tcPr>
          <w:p>
            <w:pPr>
              <w:spacing w:after="0"/>
              <w:rPr>
                <w:sz w:val="19"/>
                <w:szCs w:val="19"/>
                <w:color w:val="auto"/>
              </w:rPr>
            </w:pPr>
          </w:p>
        </w:tc>
      </w:tr>
      <w:tr>
        <w:trPr>
          <w:trHeight w:val="96"/>
        </w:trPr>
        <w:tc>
          <w:tcPr>
            <w:tcW w:w="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r>
      <w:tr>
        <w:trPr>
          <w:trHeight w:val="345"/>
        </w:trPr>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260" w:type="dxa"/>
            <w:vAlign w:val="bottom"/>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740" w:type="dxa"/>
            <w:vAlign w:val="bottom"/>
            <w:shd w:val="clear" w:color="auto" w:fill="D6F3E8"/>
          </w:tcPr>
          <w:p>
            <w:pPr>
              <w:spacing w:after="0"/>
              <w:rPr>
                <w:sz w:val="18"/>
                <w:szCs w:val="18"/>
                <w:color w:val="auto"/>
              </w:rPr>
            </w:pPr>
          </w:p>
        </w:tc>
        <w:tc>
          <w:tcPr>
            <w:tcW w:w="260" w:type="dxa"/>
            <w:vAlign w:val="bottom"/>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760" w:type="dxa"/>
            <w:vAlign w:val="bottom"/>
            <w:shd w:val="clear" w:color="auto" w:fill="D6F3E8"/>
          </w:tcPr>
          <w:p>
            <w:pPr>
              <w:spacing w:after="0"/>
              <w:rPr>
                <w:sz w:val="18"/>
                <w:szCs w:val="18"/>
                <w:color w:val="auto"/>
              </w:rPr>
            </w:pPr>
          </w:p>
        </w:tc>
        <w:tc>
          <w:tcPr>
            <w:tcW w:w="260" w:type="dxa"/>
            <w:vAlign w:val="bottom"/>
            <w:shd w:val="clear" w:color="auto" w:fill="D6F3E8"/>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0.10</w:t>
            </w:r>
          </w:p>
        </w:tc>
        <w:tc>
          <w:tcPr>
            <w:tcW w:w="260" w:type="dxa"/>
            <w:vAlign w:val="bottom"/>
            <w:shd w:val="clear" w:color="auto" w:fill="D6F3E8"/>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620" w:type="dxa"/>
            <w:vAlign w:val="bottom"/>
            <w:shd w:val="clear" w:color="auto" w:fill="D6F3E8"/>
          </w:tcPr>
          <w:p>
            <w:pPr>
              <w:spacing w:after="0"/>
              <w:rPr>
                <w:sz w:val="18"/>
                <w:szCs w:val="18"/>
                <w:color w:val="auto"/>
              </w:rPr>
            </w:pPr>
          </w:p>
        </w:tc>
        <w:tc>
          <w:tcPr>
            <w:tcW w:w="260" w:type="dxa"/>
            <w:vAlign w:val="bottom"/>
            <w:shd w:val="clear" w:color="auto" w:fill="D6F3E8"/>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color w:val="auto"/>
              </w:rPr>
              <w:t>0.10</w:t>
            </w:r>
          </w:p>
        </w:tc>
        <w:tc>
          <w:tcPr>
            <w:tcW w:w="280" w:type="dxa"/>
            <w:vAlign w:val="bottom"/>
            <w:shd w:val="clear" w:color="auto" w:fill="D6F3E8"/>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760" w:type="dxa"/>
            <w:vAlign w:val="bottom"/>
            <w:shd w:val="clear" w:color="auto" w:fill="D6F3E8"/>
          </w:tcPr>
          <w:p>
            <w:pPr>
              <w:spacing w:after="0"/>
              <w:rPr>
                <w:sz w:val="18"/>
                <w:szCs w:val="18"/>
                <w:color w:val="auto"/>
              </w:rPr>
            </w:pPr>
          </w:p>
        </w:tc>
        <w:tc>
          <w:tcPr>
            <w:tcW w:w="280" w:type="dxa"/>
            <w:vAlign w:val="bottom"/>
            <w:shd w:val="clear" w:color="auto" w:fill="D6F3E8"/>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shd w:val="clear" w:color="auto" w:fill="D6F3E8"/>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4.11</w:t>
            </w:r>
          </w:p>
        </w:tc>
        <w:tc>
          <w:tcPr>
            <w:tcW w:w="2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3.35</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2.43</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tcPr>
          <w:p>
            <w:pPr>
              <w:spacing w:after="0"/>
              <w:rPr>
                <w:sz w:val="18"/>
                <w:szCs w:val="18"/>
                <w:color w:val="auto"/>
              </w:rPr>
            </w:pPr>
          </w:p>
        </w:tc>
      </w:tr>
      <w:tr>
        <w:trPr>
          <w:trHeight w:val="216"/>
        </w:trPr>
        <w:tc>
          <w:tcPr>
            <w:tcW w:w="260" w:type="dxa"/>
            <w:vAlign w:val="bottom"/>
            <w:shd w:val="clear" w:color="auto" w:fill="D6F3E8"/>
          </w:tcPr>
          <w:p>
            <w:pPr>
              <w:spacing w:after="0"/>
              <w:rPr>
                <w:sz w:val="18"/>
                <w:szCs w:val="18"/>
                <w:color w:val="auto"/>
              </w:rPr>
            </w:pPr>
          </w:p>
        </w:tc>
        <w:tc>
          <w:tcPr>
            <w:tcW w:w="1460" w:type="dxa"/>
            <w:vAlign w:val="bottom"/>
            <w:gridSpan w:val="2"/>
            <w:shd w:val="clear" w:color="auto" w:fill="D6F3E8"/>
          </w:tcPr>
          <w:p>
            <w:pPr>
              <w:jc w:val="right"/>
              <w:ind w:right="600"/>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600"/>
              <w:spacing w:after="0"/>
              <w:rPr>
                <w:sz w:val="20"/>
                <w:szCs w:val="20"/>
                <w:color w:val="auto"/>
              </w:rPr>
            </w:pPr>
            <w:r>
              <w:rPr>
                <w:rFonts w:ascii="Times New Roman" w:cs="Times New Roman" w:eastAsia="Times New Roman" w:hAnsi="Times New Roman"/>
                <w:sz w:val="18"/>
                <w:szCs w:val="18"/>
                <w:color w:val="auto"/>
              </w:rPr>
              <w:t>16.3%</w:t>
            </w:r>
          </w:p>
        </w:tc>
        <w:tc>
          <w:tcPr>
            <w:tcW w:w="26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480"/>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600"/>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600"/>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26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29.8%</w:t>
            </w:r>
          </w:p>
        </w:tc>
        <w:tc>
          <w:tcPr>
            <w:tcW w:w="26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33.3%</w:t>
            </w:r>
          </w:p>
        </w:tc>
        <w:tc>
          <w:tcPr>
            <w:tcW w:w="26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r>
      <w:tr>
        <w:trPr>
          <w:trHeight w:val="216"/>
        </w:trPr>
        <w:tc>
          <w:tcPr>
            <w:tcW w:w="260" w:type="dxa"/>
            <w:vAlign w:val="bottom"/>
            <w:shd w:val="clear" w:color="auto" w:fill="D6F3E8"/>
          </w:tcPr>
          <w:p>
            <w:pPr>
              <w:spacing w:after="0"/>
              <w:rPr>
                <w:sz w:val="18"/>
                <w:szCs w:val="18"/>
                <w:color w:val="auto"/>
              </w:rPr>
            </w:pPr>
          </w:p>
        </w:tc>
        <w:tc>
          <w:tcPr>
            <w:tcW w:w="1460" w:type="dxa"/>
            <w:vAlign w:val="bottom"/>
            <w:gridSpan w:val="2"/>
            <w:shd w:val="clear" w:color="auto" w:fill="D6F3E8"/>
          </w:tcPr>
          <w:p>
            <w:pPr>
              <w:jc w:val="right"/>
              <w:ind w:right="600"/>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600"/>
              <w:spacing w:after="0"/>
              <w:rPr>
                <w:sz w:val="20"/>
                <w:szCs w:val="20"/>
                <w:color w:val="auto"/>
              </w:rPr>
            </w:pPr>
            <w:r>
              <w:rPr>
                <w:rFonts w:ascii="Times New Roman" w:cs="Times New Roman" w:eastAsia="Times New Roman" w:hAnsi="Times New Roman"/>
                <w:sz w:val="18"/>
                <w:szCs w:val="18"/>
                <w:color w:val="auto"/>
              </w:rPr>
              <w:t>28.2%</w:t>
            </w:r>
          </w:p>
        </w:tc>
        <w:tc>
          <w:tcPr>
            <w:tcW w:w="26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480"/>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460"/>
              <w:spacing w:after="0"/>
              <w:rPr>
                <w:sz w:val="20"/>
                <w:szCs w:val="20"/>
                <w:color w:val="auto"/>
              </w:rPr>
            </w:pPr>
            <w:r>
              <w:rPr>
                <w:rFonts w:ascii="Times New Roman" w:cs="Times New Roman" w:eastAsia="Times New Roman" w:hAnsi="Times New Roman"/>
                <w:sz w:val="18"/>
                <w:szCs w:val="18"/>
                <w:color w:val="auto"/>
              </w:rPr>
              <w:t>19.2%</w:t>
            </w:r>
          </w:p>
        </w:tc>
        <w:tc>
          <w:tcPr>
            <w:tcW w:w="26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600"/>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600"/>
              <w:spacing w:after="0"/>
              <w:rPr>
                <w:sz w:val="20"/>
                <w:szCs w:val="20"/>
                <w:color w:val="auto"/>
              </w:rPr>
            </w:pPr>
            <w:r>
              <w:rPr>
                <w:rFonts w:ascii="Times New Roman" w:cs="Times New Roman" w:eastAsia="Times New Roman" w:hAnsi="Times New Roman"/>
                <w:sz w:val="18"/>
                <w:szCs w:val="18"/>
                <w:color w:val="auto"/>
              </w:rPr>
              <w:t>8.2%</w:t>
            </w:r>
          </w:p>
        </w:tc>
        <w:tc>
          <w:tcPr>
            <w:tcW w:w="28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r>
      <w:tr>
        <w:trPr>
          <w:trHeight w:val="486"/>
        </w:trPr>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7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6,819</w:t>
            </w:r>
          </w:p>
        </w:tc>
        <w:tc>
          <w:tcPr>
            <w:tcW w:w="76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6,054</w:t>
            </w:r>
          </w:p>
        </w:tc>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62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color w:val="auto"/>
              </w:rPr>
              <w:t>4,834</w:t>
            </w:r>
          </w:p>
        </w:tc>
        <w:tc>
          <w:tcPr>
            <w:tcW w:w="28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76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240" w:type="dxa"/>
            <w:vAlign w:val="bottom"/>
            <w:shd w:val="clear" w:color="auto" w:fill="D6F3E8"/>
          </w:tcPr>
          <w:p>
            <w:pPr>
              <w:spacing w:after="0"/>
              <w:rPr>
                <w:sz w:val="18"/>
                <w:szCs w:val="18"/>
                <w:color w:val="auto"/>
              </w:rPr>
            </w:pPr>
          </w:p>
        </w:tc>
      </w:tr>
      <w:tr>
        <w:trPr>
          <w:trHeight w:val="228"/>
        </w:trPr>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4,222</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2,724</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240" w:type="dxa"/>
            <w:vAlign w:val="bottom"/>
          </w:tcPr>
          <w:p>
            <w:pPr>
              <w:spacing w:after="0"/>
              <w:rPr>
                <w:sz w:val="19"/>
                <w:szCs w:val="19"/>
                <w:color w:val="auto"/>
              </w:rPr>
            </w:pPr>
          </w:p>
        </w:tc>
      </w:tr>
      <w:tr>
        <w:trPr>
          <w:trHeight w:val="96"/>
        </w:trPr>
        <w:tc>
          <w:tcPr>
            <w:tcW w:w="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r>
      <w:tr>
        <w:trPr>
          <w:trHeight w:val="102"/>
        </w:trPr>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16"/>
        </w:trPr>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7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10,516</w:t>
            </w:r>
          </w:p>
        </w:tc>
        <w:tc>
          <w:tcPr>
            <w:tcW w:w="76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10,276</w:t>
            </w:r>
          </w:p>
        </w:tc>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62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color w:val="auto"/>
              </w:rPr>
              <w:t>7,558</w:t>
            </w:r>
          </w:p>
        </w:tc>
        <w:tc>
          <w:tcPr>
            <w:tcW w:w="28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76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240" w:type="dxa"/>
            <w:vAlign w:val="bottom"/>
            <w:shd w:val="clear" w:color="auto" w:fill="D6F3E8"/>
          </w:tcPr>
          <w:p>
            <w:pPr>
              <w:spacing w:after="0"/>
              <w:rPr>
                <w:sz w:val="18"/>
                <w:szCs w:val="18"/>
                <w:color w:val="auto"/>
              </w:rPr>
            </w:pPr>
          </w:p>
        </w:tc>
      </w:tr>
      <w:tr>
        <w:trPr>
          <w:trHeight w:val="228"/>
        </w:trPr>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1,205</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40" w:type="dxa"/>
            <w:vAlign w:val="bottom"/>
          </w:tcPr>
          <w:p>
            <w:pPr>
              <w:spacing w:after="0"/>
              <w:rPr>
                <w:sz w:val="19"/>
                <w:szCs w:val="19"/>
                <w:color w:val="auto"/>
              </w:rPr>
            </w:pPr>
          </w:p>
        </w:tc>
      </w:tr>
      <w:tr>
        <w:trPr>
          <w:trHeight w:val="231"/>
        </w:trPr>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43"/>
        </w:trPr>
        <w:tc>
          <w:tcPr>
            <w:tcW w:w="260" w:type="dxa"/>
            <w:vAlign w:val="bottom"/>
            <w:shd w:val="clear" w:color="auto" w:fill="D6F3E8"/>
          </w:tcPr>
          <w:p>
            <w:pPr>
              <w:spacing w:after="0"/>
              <w:rPr>
                <w:sz w:val="21"/>
                <w:szCs w:val="21"/>
                <w:color w:val="auto"/>
              </w:rPr>
            </w:pPr>
          </w:p>
        </w:tc>
        <w:tc>
          <w:tcPr>
            <w:tcW w:w="720" w:type="dxa"/>
            <w:vAlign w:val="bottom"/>
            <w:shd w:val="clear" w:color="auto" w:fill="D6F3E8"/>
          </w:tcPr>
          <w:p>
            <w:pPr>
              <w:spacing w:after="0"/>
              <w:rPr>
                <w:sz w:val="21"/>
                <w:szCs w:val="21"/>
                <w:color w:val="auto"/>
              </w:rPr>
            </w:pPr>
          </w:p>
        </w:tc>
        <w:tc>
          <w:tcPr>
            <w:tcW w:w="74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720" w:type="dxa"/>
            <w:vAlign w:val="bottom"/>
            <w:shd w:val="clear" w:color="auto" w:fill="D6F3E8"/>
          </w:tcPr>
          <w:p>
            <w:pPr>
              <w:spacing w:after="0"/>
              <w:rPr>
                <w:sz w:val="21"/>
                <w:szCs w:val="21"/>
                <w:color w:val="auto"/>
              </w:rPr>
            </w:pPr>
          </w:p>
        </w:tc>
        <w:tc>
          <w:tcPr>
            <w:tcW w:w="76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720" w:type="dxa"/>
            <w:vAlign w:val="bottom"/>
            <w:shd w:val="clear" w:color="auto" w:fill="D6F3E8"/>
          </w:tcPr>
          <w:p>
            <w:pPr>
              <w:spacing w:after="0"/>
              <w:rPr>
                <w:sz w:val="21"/>
                <w:szCs w:val="21"/>
                <w:color w:val="auto"/>
              </w:rPr>
            </w:pPr>
          </w:p>
        </w:tc>
        <w:tc>
          <w:tcPr>
            <w:tcW w:w="62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720" w:type="dxa"/>
            <w:vAlign w:val="bottom"/>
            <w:shd w:val="clear" w:color="auto" w:fill="D6F3E8"/>
          </w:tcPr>
          <w:p>
            <w:pPr>
              <w:spacing w:after="0"/>
              <w:rPr>
                <w:sz w:val="21"/>
                <w:szCs w:val="21"/>
                <w:color w:val="auto"/>
              </w:rPr>
            </w:pPr>
          </w:p>
        </w:tc>
        <w:tc>
          <w:tcPr>
            <w:tcW w:w="620" w:type="dxa"/>
            <w:vAlign w:val="bottom"/>
            <w:shd w:val="clear" w:color="auto" w:fill="D6F3E8"/>
          </w:tcPr>
          <w:p>
            <w:pPr>
              <w:spacing w:after="0"/>
              <w:rPr>
                <w:sz w:val="21"/>
                <w:szCs w:val="21"/>
                <w:color w:val="auto"/>
              </w:rPr>
            </w:pPr>
          </w:p>
        </w:tc>
        <w:tc>
          <w:tcPr>
            <w:tcW w:w="260" w:type="dxa"/>
            <w:vAlign w:val="bottom"/>
            <w:shd w:val="clear" w:color="auto" w:fill="D6F3E8"/>
          </w:tcPr>
          <w:p>
            <w:pPr>
              <w:spacing w:after="0"/>
              <w:rPr>
                <w:sz w:val="21"/>
                <w:szCs w:val="21"/>
                <w:color w:val="auto"/>
              </w:rPr>
            </w:pPr>
          </w:p>
        </w:tc>
        <w:tc>
          <w:tcPr>
            <w:tcW w:w="740" w:type="dxa"/>
            <w:vAlign w:val="bottom"/>
            <w:shd w:val="clear" w:color="auto" w:fill="D6F3E8"/>
          </w:tcPr>
          <w:p>
            <w:pPr>
              <w:spacing w:after="0"/>
              <w:rPr>
                <w:sz w:val="21"/>
                <w:szCs w:val="21"/>
                <w:color w:val="auto"/>
              </w:rPr>
            </w:pPr>
          </w:p>
        </w:tc>
        <w:tc>
          <w:tcPr>
            <w:tcW w:w="740" w:type="dxa"/>
            <w:vAlign w:val="bottom"/>
            <w:shd w:val="clear" w:color="auto" w:fill="D6F3E8"/>
          </w:tcPr>
          <w:p>
            <w:pPr>
              <w:spacing w:after="0"/>
              <w:rPr>
                <w:sz w:val="21"/>
                <w:szCs w:val="21"/>
                <w:color w:val="auto"/>
              </w:rPr>
            </w:pPr>
          </w:p>
        </w:tc>
        <w:tc>
          <w:tcPr>
            <w:tcW w:w="280" w:type="dxa"/>
            <w:vAlign w:val="bottom"/>
            <w:shd w:val="clear" w:color="auto" w:fill="D6F3E8"/>
          </w:tcPr>
          <w:p>
            <w:pPr>
              <w:spacing w:after="0"/>
              <w:rPr>
                <w:sz w:val="21"/>
                <w:szCs w:val="21"/>
                <w:color w:val="auto"/>
              </w:rPr>
            </w:pPr>
          </w:p>
        </w:tc>
        <w:tc>
          <w:tcPr>
            <w:tcW w:w="720" w:type="dxa"/>
            <w:vAlign w:val="bottom"/>
            <w:shd w:val="clear" w:color="auto" w:fill="D6F3E8"/>
          </w:tcPr>
          <w:p>
            <w:pPr>
              <w:spacing w:after="0"/>
              <w:rPr>
                <w:sz w:val="21"/>
                <w:szCs w:val="21"/>
                <w:color w:val="auto"/>
              </w:rPr>
            </w:pPr>
          </w:p>
        </w:tc>
        <w:tc>
          <w:tcPr>
            <w:tcW w:w="760" w:type="dxa"/>
            <w:vAlign w:val="bottom"/>
            <w:shd w:val="clear" w:color="auto" w:fill="D6F3E8"/>
          </w:tcPr>
          <w:p>
            <w:pPr>
              <w:spacing w:after="0"/>
              <w:rPr>
                <w:sz w:val="21"/>
                <w:szCs w:val="21"/>
                <w:color w:val="auto"/>
              </w:rPr>
            </w:pPr>
          </w:p>
        </w:tc>
        <w:tc>
          <w:tcPr>
            <w:tcW w:w="280" w:type="dxa"/>
            <w:vAlign w:val="bottom"/>
            <w:shd w:val="clear" w:color="auto" w:fill="D6F3E8"/>
          </w:tcPr>
          <w:p>
            <w:pPr>
              <w:spacing w:after="0"/>
              <w:rPr>
                <w:sz w:val="21"/>
                <w:szCs w:val="21"/>
                <w:color w:val="auto"/>
              </w:rPr>
            </w:pPr>
          </w:p>
        </w:tc>
        <w:tc>
          <w:tcPr>
            <w:tcW w:w="740" w:type="dxa"/>
            <w:vAlign w:val="bottom"/>
            <w:shd w:val="clear" w:color="auto" w:fill="D6F3E8"/>
          </w:tcPr>
          <w:p>
            <w:pPr>
              <w:spacing w:after="0"/>
              <w:rPr>
                <w:sz w:val="21"/>
                <w:szCs w:val="21"/>
                <w:color w:val="auto"/>
              </w:rPr>
            </w:pPr>
          </w:p>
        </w:tc>
        <w:tc>
          <w:tcPr>
            <w:tcW w:w="240" w:type="dxa"/>
            <w:vAlign w:val="bottom"/>
            <w:shd w:val="clear" w:color="auto" w:fill="D6F3E8"/>
          </w:tcPr>
          <w:p>
            <w:pPr>
              <w:spacing w:after="0"/>
              <w:rPr>
                <w:sz w:val="21"/>
                <w:szCs w:val="21"/>
                <w:color w:val="auto"/>
              </w:rPr>
            </w:pPr>
          </w:p>
        </w:tc>
      </w:tr>
      <w:tr>
        <w:trPr>
          <w:trHeight w:val="216"/>
        </w:trPr>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351,922</w:t>
            </w:r>
          </w:p>
        </w:tc>
        <w:tc>
          <w:tcPr>
            <w:tcW w:w="740" w:type="dxa"/>
            <w:vAlign w:val="bottom"/>
          </w:tcPr>
          <w:p>
            <w:pPr>
              <w:spacing w:after="0"/>
              <w:rPr>
                <w:sz w:val="18"/>
                <w:szCs w:val="18"/>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308,686</w:t>
            </w:r>
          </w:p>
        </w:tc>
        <w:tc>
          <w:tcPr>
            <w:tcW w:w="76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285,889</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230,612</w:t>
            </w:r>
          </w:p>
        </w:tc>
        <w:tc>
          <w:tcPr>
            <w:tcW w:w="620" w:type="dxa"/>
            <w:vAlign w:val="bottom"/>
          </w:tcPr>
          <w:p>
            <w:pPr>
              <w:spacing w:after="0"/>
              <w:rPr>
                <w:sz w:val="18"/>
                <w:szCs w:val="18"/>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213,475</w:t>
            </w: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220,596</w:t>
            </w:r>
          </w:p>
        </w:tc>
        <w:tc>
          <w:tcPr>
            <w:tcW w:w="760" w:type="dxa"/>
            <w:vAlign w:val="bottom"/>
          </w:tcPr>
          <w:p>
            <w:pPr>
              <w:spacing w:after="0"/>
              <w:rPr>
                <w:sz w:val="18"/>
                <w:szCs w:val="18"/>
                <w:color w:val="auto"/>
              </w:rPr>
            </w:pPr>
          </w:p>
        </w:tc>
        <w:tc>
          <w:tcPr>
            <w:tcW w:w="2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211,630</w:t>
            </w:r>
          </w:p>
        </w:tc>
        <w:tc>
          <w:tcPr>
            <w:tcW w:w="240" w:type="dxa"/>
            <w:vAlign w:val="bottom"/>
          </w:tcPr>
          <w:p>
            <w:pPr>
              <w:spacing w:after="0"/>
              <w:rPr>
                <w:sz w:val="18"/>
                <w:szCs w:val="18"/>
                <w:color w:val="auto"/>
              </w:rPr>
            </w:pPr>
          </w:p>
        </w:tc>
      </w:tr>
      <w:tr>
        <w:trPr>
          <w:trHeight w:val="216"/>
        </w:trPr>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207,464</w:t>
            </w:r>
          </w:p>
        </w:tc>
        <w:tc>
          <w:tcPr>
            <w:tcW w:w="7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174,909</w:t>
            </w:r>
          </w:p>
        </w:tc>
        <w:tc>
          <w:tcPr>
            <w:tcW w:w="76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149,384</w:t>
            </w:r>
          </w:p>
        </w:tc>
        <w:tc>
          <w:tcPr>
            <w:tcW w:w="26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116,523</w:t>
            </w:r>
          </w:p>
        </w:tc>
        <w:tc>
          <w:tcPr>
            <w:tcW w:w="26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color w:val="auto"/>
              </w:rPr>
              <w:t>123,882</w:t>
            </w:r>
          </w:p>
        </w:tc>
        <w:tc>
          <w:tcPr>
            <w:tcW w:w="28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760"/>
              <w:spacing w:after="0"/>
              <w:rPr>
                <w:sz w:val="20"/>
                <w:szCs w:val="20"/>
                <w:color w:val="auto"/>
              </w:rPr>
            </w:pPr>
            <w:r>
              <w:rPr>
                <w:rFonts w:ascii="Times New Roman" w:cs="Times New Roman" w:eastAsia="Times New Roman" w:hAnsi="Times New Roman"/>
                <w:sz w:val="18"/>
                <w:szCs w:val="18"/>
                <w:color w:val="auto"/>
              </w:rPr>
              <w:t>105,311</w:t>
            </w:r>
          </w:p>
        </w:tc>
        <w:tc>
          <w:tcPr>
            <w:tcW w:w="28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100,448</w:t>
            </w:r>
          </w:p>
        </w:tc>
        <w:tc>
          <w:tcPr>
            <w:tcW w:w="240" w:type="dxa"/>
            <w:vAlign w:val="bottom"/>
            <w:shd w:val="clear" w:color="auto" w:fill="D6F3E8"/>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581,779</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272,733</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538,322</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254,137</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213,472</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206,373</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212,358</w:t>
            </w:r>
          </w:p>
        </w:tc>
        <w:tc>
          <w:tcPr>
            <w:tcW w:w="240" w:type="dxa"/>
            <w:vAlign w:val="bottom"/>
          </w:tcPr>
          <w:p>
            <w:pPr>
              <w:spacing w:after="0"/>
              <w:rPr>
                <w:sz w:val="18"/>
                <w:szCs w:val="18"/>
                <w:color w:val="auto"/>
              </w:rPr>
            </w:pPr>
          </w:p>
        </w:tc>
      </w:tr>
      <w:tr>
        <w:trPr>
          <w:trHeight w:val="216"/>
        </w:trPr>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173,677</w:t>
            </w:r>
          </w:p>
        </w:tc>
        <w:tc>
          <w:tcPr>
            <w:tcW w:w="74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142,687</w:t>
            </w:r>
          </w:p>
        </w:tc>
        <w:tc>
          <w:tcPr>
            <w:tcW w:w="76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123,245</w:t>
            </w:r>
          </w:p>
        </w:tc>
        <w:tc>
          <w:tcPr>
            <w:tcW w:w="26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92,356</w:t>
            </w:r>
          </w:p>
        </w:tc>
        <w:tc>
          <w:tcPr>
            <w:tcW w:w="62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color w:val="auto"/>
              </w:rPr>
              <w:t>99,618</w:t>
            </w:r>
          </w:p>
        </w:tc>
        <w:tc>
          <w:tcPr>
            <w:tcW w:w="28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61,907</w:t>
            </w:r>
          </w:p>
        </w:tc>
        <w:tc>
          <w:tcPr>
            <w:tcW w:w="760" w:type="dxa"/>
            <w:vAlign w:val="bottom"/>
            <w:shd w:val="clear" w:color="auto" w:fill="D6F3E8"/>
          </w:tcPr>
          <w:p>
            <w:pPr>
              <w:spacing w:after="0"/>
              <w:rPr>
                <w:sz w:val="18"/>
                <w:szCs w:val="18"/>
                <w:color w:val="auto"/>
              </w:rPr>
            </w:pPr>
          </w:p>
        </w:tc>
        <w:tc>
          <w:tcPr>
            <w:tcW w:w="280" w:type="dxa"/>
            <w:vAlign w:val="bottom"/>
            <w:shd w:val="clear" w:color="auto" w:fill="D6F3E8"/>
          </w:tcPr>
          <w:p>
            <w:pPr>
              <w:spacing w:after="0"/>
              <w:rPr>
                <w:sz w:val="18"/>
                <w:szCs w:val="18"/>
                <w:color w:val="auto"/>
              </w:rPr>
            </w:pPr>
          </w:p>
        </w:tc>
        <w:tc>
          <w:tcPr>
            <w:tcW w:w="74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69,392</w:t>
            </w:r>
          </w:p>
        </w:tc>
        <w:tc>
          <w:tcPr>
            <w:tcW w:w="240" w:type="dxa"/>
            <w:vAlign w:val="bottom"/>
            <w:shd w:val="clear" w:color="auto" w:fill="D6F3E8"/>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240" w:type="dxa"/>
            <w:vAlign w:val="bottom"/>
          </w:tcPr>
          <w:p>
            <w:pPr>
              <w:spacing w:after="0"/>
              <w:rPr>
                <w:sz w:val="18"/>
                <w:szCs w:val="18"/>
                <w:color w:val="auto"/>
              </w:rPr>
            </w:pPr>
          </w:p>
        </w:tc>
      </w:tr>
      <w:tr>
        <w:trPr>
          <w:trHeight w:val="216"/>
        </w:trPr>
        <w:tc>
          <w:tcPr>
            <w:tcW w:w="260" w:type="dxa"/>
            <w:vAlign w:val="bottom"/>
            <w:shd w:val="clear" w:color="auto" w:fill="D6F3E8"/>
          </w:tcPr>
          <w:p>
            <w:pPr>
              <w:spacing w:after="0"/>
              <w:rPr>
                <w:sz w:val="18"/>
                <w:szCs w:val="18"/>
                <w:color w:val="auto"/>
              </w:rPr>
            </w:pPr>
          </w:p>
        </w:tc>
        <w:tc>
          <w:tcPr>
            <w:tcW w:w="146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color w:val="auto"/>
              </w:rPr>
              <w:t>3.2 to 1</w:t>
            </w:r>
          </w:p>
        </w:tc>
        <w:tc>
          <w:tcPr>
            <w:tcW w:w="26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760"/>
              <w:spacing w:after="0"/>
              <w:rPr>
                <w:sz w:val="20"/>
                <w:szCs w:val="20"/>
                <w:color w:val="auto"/>
              </w:rPr>
            </w:pPr>
            <w:r>
              <w:rPr>
                <w:rFonts w:ascii="Times New Roman" w:cs="Times New Roman" w:eastAsia="Times New Roman" w:hAnsi="Times New Roman"/>
                <w:sz w:val="18"/>
                <w:szCs w:val="18"/>
                <w:color w:val="auto"/>
              </w:rPr>
              <w:t>3.0 to 1</w:t>
            </w:r>
          </w:p>
        </w:tc>
        <w:tc>
          <w:tcPr>
            <w:tcW w:w="26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2.5 to 1</w:t>
            </w:r>
          </w:p>
        </w:tc>
        <w:tc>
          <w:tcPr>
            <w:tcW w:w="26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620"/>
              <w:spacing w:after="0"/>
              <w:rPr>
                <w:sz w:val="20"/>
                <w:szCs w:val="20"/>
                <w:color w:val="auto"/>
              </w:rPr>
            </w:pPr>
            <w:r>
              <w:rPr>
                <w:rFonts w:ascii="Times New Roman" w:cs="Times New Roman" w:eastAsia="Times New Roman" w:hAnsi="Times New Roman"/>
                <w:sz w:val="18"/>
                <w:szCs w:val="18"/>
                <w:color w:val="auto"/>
              </w:rPr>
              <w:t>2.5 to 1</w:t>
            </w:r>
          </w:p>
        </w:tc>
        <w:tc>
          <w:tcPr>
            <w:tcW w:w="26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740"/>
              <w:spacing w:after="0"/>
              <w:rPr>
                <w:sz w:val="20"/>
                <w:szCs w:val="20"/>
                <w:color w:val="auto"/>
              </w:rPr>
            </w:pPr>
            <w:r>
              <w:rPr>
                <w:rFonts w:ascii="Times New Roman" w:cs="Times New Roman" w:eastAsia="Times New Roman" w:hAnsi="Times New Roman"/>
                <w:sz w:val="18"/>
                <w:szCs w:val="18"/>
                <w:color w:val="auto"/>
              </w:rPr>
              <w:t>3.4 to 1</w:t>
            </w:r>
          </w:p>
        </w:tc>
        <w:tc>
          <w:tcPr>
            <w:tcW w:w="280" w:type="dxa"/>
            <w:vAlign w:val="bottom"/>
            <w:shd w:val="clear" w:color="auto" w:fill="D6F3E8"/>
          </w:tcPr>
          <w:p>
            <w:pPr>
              <w:spacing w:after="0"/>
              <w:rPr>
                <w:sz w:val="18"/>
                <w:szCs w:val="18"/>
                <w:color w:val="auto"/>
              </w:rPr>
            </w:pPr>
          </w:p>
        </w:tc>
        <w:tc>
          <w:tcPr>
            <w:tcW w:w="1480" w:type="dxa"/>
            <w:vAlign w:val="bottom"/>
            <w:gridSpan w:val="2"/>
            <w:shd w:val="clear" w:color="auto" w:fill="D6F3E8"/>
          </w:tcPr>
          <w:p>
            <w:pPr>
              <w:jc w:val="right"/>
              <w:ind w:right="760"/>
              <w:spacing w:after="0"/>
              <w:rPr>
                <w:sz w:val="20"/>
                <w:szCs w:val="20"/>
                <w:color w:val="auto"/>
              </w:rPr>
            </w:pPr>
            <w:r>
              <w:rPr>
                <w:rFonts w:ascii="Times New Roman" w:cs="Times New Roman" w:eastAsia="Times New Roman" w:hAnsi="Times New Roman"/>
                <w:sz w:val="18"/>
                <w:szCs w:val="18"/>
                <w:color w:val="auto"/>
              </w:rPr>
              <w:t>2.0 to 1</w:t>
            </w:r>
          </w:p>
        </w:tc>
        <w:tc>
          <w:tcPr>
            <w:tcW w:w="28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240"/>
              <w:spacing w:after="0"/>
              <w:rPr>
                <w:sz w:val="20"/>
                <w:szCs w:val="20"/>
                <w:color w:val="auto"/>
              </w:rPr>
            </w:pPr>
            <w:r>
              <w:rPr>
                <w:rFonts w:ascii="Times New Roman" w:cs="Times New Roman" w:eastAsia="Times New Roman" w:hAnsi="Times New Roman"/>
                <w:sz w:val="18"/>
                <w:szCs w:val="18"/>
                <w:color w:val="auto"/>
              </w:rPr>
              <w:t>2.4 to 1</w:t>
            </w:r>
          </w:p>
        </w:tc>
      </w:tr>
      <w:tr>
        <w:trPr>
          <w:trHeight w:val="228"/>
        </w:trPr>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3,400</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2,830</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40" w:type="dxa"/>
            <w:vAlign w:val="bottom"/>
          </w:tcPr>
          <w:p>
            <w:pPr>
              <w:spacing w:after="0"/>
              <w:rPr>
                <w:sz w:val="19"/>
                <w:szCs w:val="19"/>
                <w:color w:val="auto"/>
              </w:rPr>
            </w:pPr>
          </w:p>
        </w:tc>
      </w:tr>
    </w:tbl>
    <w:p>
      <w:pPr>
        <w:spacing w:after="0" w:line="214" w:lineRule="exact"/>
        <w:rPr>
          <w:sz w:val="20"/>
          <w:szCs w:val="20"/>
          <w:color w:val="auto"/>
        </w:rPr>
      </w:pPr>
    </w:p>
    <w:p>
      <w:pPr>
        <w:ind w:left="620" w:right="80" w:hanging="612"/>
        <w:spacing w:after="0" w:line="198" w:lineRule="auto"/>
        <w:tabs>
          <w:tab w:leader="none" w:pos="620" w:val="left"/>
        </w:tabs>
        <w:numPr>
          <w:ilvl w:val="0"/>
          <w:numId w:val="25"/>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Includes discontinued operations of Winnebago Acceptance Corporation for all years presented and discontinued operations of Cycle-Sat, Inc. for fiscal years ended August 26, 1995 and August 31, 1996.</w:t>
      </w:r>
    </w:p>
    <w:p>
      <w:pPr>
        <w:spacing w:after="0" w:line="126" w:lineRule="exact"/>
        <w:rPr>
          <w:rFonts w:ascii="Times New Roman" w:cs="Times New Roman" w:eastAsia="Times New Roman" w:hAnsi="Times New Roman"/>
          <w:sz w:val="29"/>
          <w:szCs w:val="29"/>
          <w:i w:val="1"/>
          <w:iCs w:val="1"/>
          <w:color w:val="auto"/>
          <w:vertAlign w:val="superscript"/>
        </w:rPr>
      </w:pPr>
    </w:p>
    <w:p>
      <w:pPr>
        <w:ind w:left="620" w:hanging="612"/>
        <w:spacing w:after="0"/>
        <w:tabs>
          <w:tab w:leader="none" w:pos="620" w:val="left"/>
        </w:tabs>
        <w:numPr>
          <w:ilvl w:val="0"/>
          <w:numId w:val="25"/>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ROA – Current period net income divided by average total asset balance using current ending period and previous ending period.</w:t>
      </w:r>
    </w:p>
    <w:p>
      <w:pPr>
        <w:spacing w:after="0" w:line="160" w:lineRule="exact"/>
        <w:rPr>
          <w:rFonts w:ascii="Times New Roman" w:cs="Times New Roman" w:eastAsia="Times New Roman" w:hAnsi="Times New Roman"/>
          <w:sz w:val="29"/>
          <w:szCs w:val="29"/>
          <w:i w:val="1"/>
          <w:iCs w:val="1"/>
          <w:color w:val="auto"/>
          <w:vertAlign w:val="superscript"/>
        </w:rPr>
      </w:pPr>
    </w:p>
    <w:p>
      <w:pPr>
        <w:ind w:left="620" w:hanging="612"/>
        <w:spacing w:after="0" w:line="214" w:lineRule="auto"/>
        <w:tabs>
          <w:tab w:leader="none" w:pos="620" w:val="left"/>
        </w:tabs>
        <w:numPr>
          <w:ilvl w:val="0"/>
          <w:numId w:val="25"/>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ROE – Current period net income divided by average equity balance using current ending period and previous ending period.</w:t>
      </w:r>
    </w:p>
    <w:p>
      <w:pPr>
        <w:spacing w:after="0" w:line="230" w:lineRule="exact"/>
        <w:rPr>
          <w:rFonts w:ascii="Times New Roman" w:cs="Times New Roman" w:eastAsia="Times New Roman" w:hAnsi="Times New Roman"/>
          <w:sz w:val="29"/>
          <w:szCs w:val="29"/>
          <w:i w:val="1"/>
          <w:iCs w:val="1"/>
          <w:color w:val="auto"/>
          <w:vertAlign w:val="superscript"/>
        </w:rPr>
      </w:pPr>
    </w:p>
    <w:p>
      <w:pPr>
        <w:ind w:left="620" w:right="120" w:hanging="612"/>
        <w:spacing w:after="0" w:line="198" w:lineRule="auto"/>
        <w:tabs>
          <w:tab w:leader="none" w:pos="620" w:val="left"/>
        </w:tabs>
        <w:numPr>
          <w:ilvl w:val="0"/>
          <w:numId w:val="25"/>
        </w:numPr>
        <w:rPr>
          <w:rFonts w:ascii="Times New Roman" w:cs="Times New Roman" w:eastAsia="Times New Roman" w:hAnsi="Times New Roman"/>
          <w:sz w:val="29"/>
          <w:szCs w:val="29"/>
          <w:i w:val="1"/>
          <w:iCs w:val="1"/>
          <w:color w:val="auto"/>
          <w:vertAlign w:val="superscript"/>
        </w:rPr>
      </w:pPr>
      <w:r>
        <w:rPr>
          <w:rFonts w:ascii="Times New Roman" w:cs="Times New Roman" w:eastAsia="Times New Roman" w:hAnsi="Times New Roman"/>
          <w:sz w:val="18"/>
          <w:szCs w:val="18"/>
          <w:i w:val="1"/>
          <w:iCs w:val="1"/>
          <w:color w:val="auto"/>
        </w:rPr>
        <w:t>ROIC – Current period net income divided by average invested capital using current ending period — total assets minus cash and noninterest liabilities and previous ending period – total assets minus cash and noninterest liabilities.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Shareholder Information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notice of Annual Meeting of Shareholders and Proxy Statement is furnished to shareholders in advance of the annual meeting.</w:t>
      </w:r>
    </w:p>
    <w:p>
      <w:pPr>
        <w:spacing w:after="0" w:line="213" w:lineRule="exact"/>
        <w:rPr>
          <w:sz w:val="20"/>
          <w:szCs w:val="20"/>
          <w:color w:val="auto"/>
        </w:rPr>
      </w:pPr>
    </w:p>
    <w:p>
      <w:pPr>
        <w:ind w:right="240"/>
        <w:spacing w:after="0" w:line="339" w:lineRule="auto"/>
        <w:rPr>
          <w:sz w:val="20"/>
          <w:szCs w:val="20"/>
          <w:color w:val="auto"/>
        </w:rPr>
      </w:pPr>
      <w:r>
        <w:rPr>
          <w:rFonts w:ascii="Times New Roman" w:cs="Times New Roman" w:eastAsia="Times New Roman" w:hAnsi="Times New Roman"/>
          <w:sz w:val="16"/>
          <w:szCs w:val="16"/>
          <w:color w:val="auto"/>
        </w:rPr>
        <w:t>Copies of the Company’s quarterly financial earnings releases, the annual report on Form 10-K (without exhibits), the quarterly reports on Form 10-Q (without exhibits) and current reports on Form 8-K (without exhibits) as filed by the Company with the Securities and Exchange Commission, may be obtained without</w:t>
      </w:r>
    </w:p>
    <w:p>
      <w:pPr>
        <w:sectPr>
          <w:pgSz w:w="11900" w:h="16838" w:orient="portrait"/>
          <w:cols w:equalWidth="0" w:num="1">
            <w:col w:w="11420"/>
          </w:cols>
          <w:pgMar w:left="240" w:top="140" w:right="239" w:bottom="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charge from the corporate offices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Sheila Davis, PR/IR Manager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605 W. Crystal Lake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152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Forest City, Iowa 50436-0152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(641) 585-3535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(641) 585-6966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ir@winnebagoind.com</w:t>
      </w:r>
    </w:p>
    <w:p>
      <w:pPr>
        <w:spacing w:after="0" w:line="21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All news releases issued by the Company, reports filed by the Company with the Securities and Exchange Commission (including exhibits) and information on the Company’s Corporate Governance Policies and Procedures may also be viewed at the Winnebago Industries’ website: http://winnebagoind.com/html/company/investorRelations.html. Information contained on Winnebago Industries’ website is not incorporated into this Annual Report or other securities filings.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Meeting</w:t>
      </w:r>
    </w:p>
    <w:p>
      <w:pPr>
        <w:spacing w:after="0" w:line="23"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Annual Meeting of Shareholders is scheduled to be held on Tuesday, January 10, 2006, at 7:30 p.m. (CST) in Friendship Hall, Highway 69 South, Forest City, Iowa.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Account Assistance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 Agent to contact for address changes, account certificates and stock holdings: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Bank N.A.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64854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Paul, Minnesota 55164-0854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 North Concord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St. Paul, Minnesota 55075-1139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(800) 468-9716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(651) 450-4064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Inquirees: </w:t>
      </w:r>
      <w:r>
        <w:rPr>
          <w:rFonts w:ascii="Times New Roman" w:cs="Times New Roman" w:eastAsia="Times New Roman" w:hAnsi="Times New Roman"/>
          <w:sz w:val="18"/>
          <w:szCs w:val="18"/>
          <w:u w:val="single" w:color="auto"/>
          <w:color w:val="auto"/>
        </w:rPr>
        <w:t>www.wellsfargo.com/shareownerservices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Auditor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 One Financial Plaza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 South Sixth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 55402-1844</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of Common Stock</w:t>
      </w:r>
    </w:p>
    <w:p>
      <w:pPr>
        <w:spacing w:after="0" w:line="23" w:lineRule="exact"/>
        <w:rPr>
          <w:sz w:val="20"/>
          <w:szCs w:val="20"/>
          <w:color w:val="auto"/>
        </w:rPr>
      </w:pPr>
    </w:p>
    <w:p>
      <w:pPr>
        <w:ind w:right="740"/>
        <w:spacing w:after="0" w:line="255" w:lineRule="auto"/>
        <w:rPr>
          <w:sz w:val="20"/>
          <w:szCs w:val="20"/>
          <w:color w:val="auto"/>
        </w:rPr>
      </w:pPr>
      <w:r>
        <w:rPr>
          <w:rFonts w:ascii="Times New Roman" w:cs="Times New Roman" w:eastAsia="Times New Roman" w:hAnsi="Times New Roman"/>
          <w:sz w:val="18"/>
          <w:szCs w:val="18"/>
          <w:color w:val="auto"/>
        </w:rPr>
        <w:t xml:space="preserve">Winnebago Industries stock may be purchased from ShareBuilder Corporation through the Company’s website at </w:t>
      </w:r>
      <w:r>
        <w:rPr>
          <w:rFonts w:ascii="Times New Roman" w:cs="Times New Roman" w:eastAsia="Times New Roman" w:hAnsi="Times New Roman"/>
          <w:sz w:val="18"/>
          <w:szCs w:val="18"/>
          <w:u w:val="single" w:color="auto"/>
          <w:color w:val="auto"/>
        </w:rPr>
        <w:t>http://winnebagoind.com/html/company/investorRelations.html</w:t>
      </w:r>
      <w:r>
        <w:rPr>
          <w:rFonts w:ascii="Times New Roman" w:cs="Times New Roman" w:eastAsia="Times New Roman" w:hAnsi="Times New Roman"/>
          <w:sz w:val="18"/>
          <w:szCs w:val="18"/>
          <w:color w:val="auto"/>
        </w:rPr>
        <w:t>. Winnebago Industries is not affiliated with ShareBuilder and has no involvement in the relationship between ShareBuilder and any of its customers.</w:t>
      </w:r>
    </w:p>
    <w:p>
      <w:pPr>
        <w:spacing w:after="0" w:line="190"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8"/>
          <w:szCs w:val="18"/>
          <w:b w:val="1"/>
          <w:bCs w:val="1"/>
          <w:color w:val="auto"/>
        </w:rPr>
        <w:t xml:space="preserve">NYSE Annual CEO Certification and Sarbanes-Oxley Section 302 Certifications. </w:t>
      </w:r>
      <w:r>
        <w:rPr>
          <w:rFonts w:ascii="Times New Roman" w:cs="Times New Roman" w:eastAsia="Times New Roman" w:hAnsi="Times New Roman"/>
          <w:sz w:val="18"/>
          <w:szCs w:val="18"/>
          <w:color w:val="auto"/>
        </w:rPr>
        <w:t>We submitted the annual Chief Executive Officer Certification to the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York Stock Exchange (NYSE) as required under the Corporate Governance Rules of the NYSE. We also filed as exhibits to our 2005 Annual Report on Form 10-K the Chief Executive Officer and Chief Financial Officer Certifications required under Section 302 of the Sarbanes-Oxley Act of 2002.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Data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for 2-for-1 Stock Split on March 5, 2004)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is listed on the New York, Chicago and Pacific Stock Exchanges.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Ticker symbol: WGO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of record as of November 1, 2005: 4,052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the New York Stock Exchange high, low and closing prices of Winnebago Industries, Inc. stock for each quarter of Fiscal 2005 and Fiscal 2004.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2005</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High</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Close</w:t>
            </w:r>
          </w:p>
        </w:tc>
        <w:tc>
          <w:tcPr>
            <w:tcW w:w="1240" w:type="dxa"/>
            <w:vAlign w:val="bottom"/>
          </w:tcPr>
          <w:p>
            <w:pPr>
              <w:spacing w:after="0"/>
              <w:rPr>
                <w:sz w:val="15"/>
                <w:szCs w:val="15"/>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Fiscal 2004</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High</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Low</w:t>
            </w:r>
          </w:p>
        </w:tc>
        <w:tc>
          <w:tcPr>
            <w:tcW w:w="180" w:type="dxa"/>
            <w:vAlign w:val="bottom"/>
          </w:tcPr>
          <w:p>
            <w:pPr>
              <w:spacing w:after="0"/>
              <w:rPr>
                <w:sz w:val="15"/>
                <w:szCs w:val="15"/>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Close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540" w:type="dxa"/>
            <w:vAlign w:val="bottom"/>
            <w:gridSpan w:val="2"/>
            <w:shd w:val="clear" w:color="auto" w:fill="D6F3E8"/>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39.25</w:t>
            </w:r>
          </w:p>
        </w:tc>
        <w:tc>
          <w:tcPr>
            <w:tcW w:w="500" w:type="dxa"/>
            <w:vAlign w:val="bottom"/>
            <w:gridSpan w:val="2"/>
            <w:shd w:val="clear" w:color="auto" w:fill="D6F3E8"/>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D6F3E8"/>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29.74</w:t>
            </w:r>
          </w:p>
        </w:tc>
        <w:tc>
          <w:tcPr>
            <w:tcW w:w="2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D6F3E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38.25</w:t>
            </w:r>
          </w:p>
        </w:tc>
        <w:tc>
          <w:tcPr>
            <w:tcW w:w="1240" w:type="dxa"/>
            <w:vAlign w:val="bottom"/>
            <w:shd w:val="clear" w:color="auto" w:fill="D6F3E8"/>
          </w:tcPr>
          <w:p>
            <w:pPr>
              <w:spacing w:after="0"/>
              <w:rPr>
                <w:sz w:val="18"/>
                <w:szCs w:val="18"/>
                <w:color w:val="auto"/>
              </w:rPr>
            </w:pPr>
          </w:p>
        </w:tc>
        <w:tc>
          <w:tcPr>
            <w:tcW w:w="1520" w:type="dxa"/>
            <w:vAlign w:val="bottom"/>
            <w:gridSpan w:val="2"/>
            <w:shd w:val="clear" w:color="auto" w:fill="D6F3E8"/>
          </w:tcPr>
          <w:p>
            <w:pPr>
              <w:ind w:left="40"/>
              <w:spacing w:after="0"/>
              <w:rPr>
                <w:sz w:val="20"/>
                <w:szCs w:val="20"/>
                <w:color w:val="auto"/>
              </w:rPr>
            </w:pPr>
            <w:r>
              <w:rPr>
                <w:rFonts w:ascii="Times New Roman" w:cs="Times New Roman" w:eastAsia="Times New Roman" w:hAnsi="Times New Roman"/>
                <w:sz w:val="18"/>
                <w:szCs w:val="18"/>
                <w:color w:val="auto"/>
              </w:rPr>
              <w:t>First Quarter</w:t>
            </w:r>
          </w:p>
        </w:tc>
        <w:tc>
          <w:tcPr>
            <w:tcW w:w="520" w:type="dxa"/>
            <w:vAlign w:val="bottom"/>
            <w:gridSpan w:val="2"/>
            <w:shd w:val="clear" w:color="auto" w:fill="D6F3E8"/>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460" w:type="dxa"/>
            <w:vAlign w:val="bottom"/>
            <w:gridSpan w:val="2"/>
            <w:shd w:val="clear" w:color="auto" w:fill="D6F3E8"/>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D6F3E8"/>
          </w:tcPr>
          <w:p>
            <w:pPr>
              <w:jc w:val="right"/>
              <w:ind w:right="340"/>
              <w:spacing w:after="0"/>
              <w:rPr>
                <w:sz w:val="20"/>
                <w:szCs w:val="20"/>
                <w:color w:val="auto"/>
              </w:rPr>
            </w:pPr>
            <w:r>
              <w:rPr>
                <w:rFonts w:ascii="Times New Roman" w:cs="Times New Roman" w:eastAsia="Times New Roman" w:hAnsi="Times New Roman"/>
                <w:sz w:val="18"/>
                <w:szCs w:val="18"/>
                <w:color w:val="auto"/>
              </w:rPr>
              <w:t>22.08</w:t>
            </w:r>
          </w:p>
        </w:tc>
        <w:tc>
          <w:tcPr>
            <w:tcW w:w="18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33.64</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34.90</w:t>
            </w:r>
          </w:p>
        </w:tc>
        <w:tc>
          <w:tcPr>
            <w:tcW w:w="1240" w:type="dxa"/>
            <w:vAlign w:val="bottom"/>
          </w:tcPr>
          <w:p>
            <w:pPr>
              <w:spacing w:after="0"/>
              <w:rPr>
                <w:sz w:val="18"/>
                <w:szCs w:val="18"/>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Second Quarter</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27.64</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D6F3E8"/>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62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b w:val="1"/>
                <w:bCs w:val="1"/>
                <w:color w:val="auto"/>
              </w:rPr>
              <w:t>37.14</w:t>
            </w:r>
          </w:p>
        </w:tc>
        <w:tc>
          <w:tcPr>
            <w:tcW w:w="3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28.32</w:t>
            </w:r>
          </w:p>
        </w:tc>
        <w:tc>
          <w:tcPr>
            <w:tcW w:w="200" w:type="dxa"/>
            <w:vAlign w:val="bottom"/>
            <w:shd w:val="clear" w:color="auto" w:fill="D6F3E8"/>
          </w:tcPr>
          <w:p>
            <w:pPr>
              <w:spacing w:after="0"/>
              <w:rPr>
                <w:sz w:val="18"/>
                <w:szCs w:val="18"/>
                <w:color w:val="auto"/>
              </w:rPr>
            </w:pPr>
          </w:p>
        </w:tc>
        <w:tc>
          <w:tcPr>
            <w:tcW w:w="720" w:type="dxa"/>
            <w:vAlign w:val="bottom"/>
            <w:gridSpan w:val="2"/>
            <w:shd w:val="clear" w:color="auto" w:fill="D6F3E8"/>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32.88</w:t>
            </w:r>
          </w:p>
        </w:tc>
        <w:tc>
          <w:tcPr>
            <w:tcW w:w="1240" w:type="dxa"/>
            <w:vAlign w:val="bottom"/>
            <w:shd w:val="clear" w:color="auto" w:fill="D6F3E8"/>
          </w:tcPr>
          <w:p>
            <w:pPr>
              <w:spacing w:after="0"/>
              <w:rPr>
                <w:sz w:val="18"/>
                <w:szCs w:val="18"/>
                <w:color w:val="auto"/>
              </w:rPr>
            </w:pPr>
          </w:p>
        </w:tc>
        <w:tc>
          <w:tcPr>
            <w:tcW w:w="1520" w:type="dxa"/>
            <w:vAlign w:val="bottom"/>
            <w:gridSpan w:val="2"/>
            <w:shd w:val="clear" w:color="auto" w:fill="D6F3E8"/>
          </w:tcPr>
          <w:p>
            <w:pPr>
              <w:ind w:left="40"/>
              <w:spacing w:after="0"/>
              <w:rPr>
                <w:sz w:val="20"/>
                <w:szCs w:val="20"/>
                <w:color w:val="auto"/>
              </w:rPr>
            </w:pPr>
            <w:r>
              <w:rPr>
                <w:rFonts w:ascii="Times New Roman" w:cs="Times New Roman" w:eastAsia="Times New Roman" w:hAnsi="Times New Roman"/>
                <w:sz w:val="18"/>
                <w:szCs w:val="18"/>
                <w:color w:val="auto"/>
              </w:rPr>
              <w:t>Third Quarter</w:t>
            </w:r>
          </w:p>
        </w:tc>
        <w:tc>
          <w:tcPr>
            <w:tcW w:w="3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6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34.95</w:t>
            </w:r>
          </w:p>
        </w:tc>
        <w:tc>
          <w:tcPr>
            <w:tcW w:w="3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340"/>
              <w:spacing w:after="0"/>
              <w:rPr>
                <w:sz w:val="20"/>
                <w:szCs w:val="20"/>
                <w:color w:val="auto"/>
              </w:rPr>
            </w:pPr>
            <w:r>
              <w:rPr>
                <w:rFonts w:ascii="Times New Roman" w:cs="Times New Roman" w:eastAsia="Times New Roman" w:hAnsi="Times New Roman"/>
                <w:sz w:val="18"/>
                <w:szCs w:val="18"/>
                <w:color w:val="auto"/>
              </w:rPr>
              <w:t>25.10</w:t>
            </w:r>
          </w:p>
        </w:tc>
        <w:tc>
          <w:tcPr>
            <w:tcW w:w="180" w:type="dxa"/>
            <w:vAlign w:val="bottom"/>
            <w:shd w:val="clear" w:color="auto" w:fill="D6F3E8"/>
          </w:tcPr>
          <w:p>
            <w:pPr>
              <w:spacing w:after="0"/>
              <w:rPr>
                <w:sz w:val="18"/>
                <w:szCs w:val="18"/>
                <w:color w:val="auto"/>
              </w:rPr>
            </w:pPr>
          </w:p>
        </w:tc>
        <w:tc>
          <w:tcPr>
            <w:tcW w:w="6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39.71</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32.03</w:t>
            </w:r>
          </w:p>
        </w:tc>
        <w:tc>
          <w:tcPr>
            <w:tcW w:w="20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32.53</w:t>
            </w:r>
          </w:p>
        </w:tc>
        <w:tc>
          <w:tcPr>
            <w:tcW w:w="12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Fourth Quarter</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28.09</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9"/>
        </w:trPr>
        <w:tc>
          <w:tcPr>
            <w:tcW w:w="26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Cash Dividends Paid Per Share</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2005</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2004</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Date Paid</w:t>
            </w: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5"/>
              </w:rPr>
              <w:t>Date Paid</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7804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804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shd w:val="clear" w:color="auto" w:fill="D6F3E8"/>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shd w:val="clear" w:color="auto" w:fill="D6F3E8"/>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0.07</w:t>
            </w:r>
          </w:p>
        </w:tc>
        <w:tc>
          <w:tcPr>
            <w:tcW w:w="4500" w:type="dxa"/>
            <w:vAlign w:val="bottom"/>
            <w:shd w:val="clear" w:color="auto" w:fill="D6F3E8"/>
          </w:tcPr>
          <w:p>
            <w:pPr>
              <w:jc w:val="center"/>
              <w:ind w:right="1232"/>
              <w:spacing w:after="0"/>
              <w:rPr>
                <w:sz w:val="20"/>
                <w:szCs w:val="20"/>
                <w:color w:val="auto"/>
              </w:rPr>
            </w:pPr>
            <w:r>
              <w:rPr>
                <w:rFonts w:ascii="Times New Roman" w:cs="Times New Roman" w:eastAsia="Times New Roman" w:hAnsi="Times New Roman"/>
                <w:sz w:val="18"/>
                <w:szCs w:val="18"/>
                <w:b w:val="1"/>
                <w:bCs w:val="1"/>
                <w:color w:val="auto"/>
                <w:w w:val="97"/>
              </w:rPr>
              <w:t>October 4, 2004</w:t>
            </w:r>
          </w:p>
        </w:tc>
        <w:tc>
          <w:tcPr>
            <w:tcW w:w="280" w:type="dxa"/>
            <w:vAlign w:val="bottom"/>
            <w:shd w:val="clear" w:color="auto" w:fill="D6F3E8"/>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320" w:type="dxa"/>
            <w:vAlign w:val="bottom"/>
            <w:shd w:val="clear" w:color="auto" w:fill="D6F3E8"/>
          </w:tcPr>
          <w:p>
            <w:pPr>
              <w:jc w:val="center"/>
              <w:ind w:left="732"/>
              <w:spacing w:after="0"/>
              <w:rPr>
                <w:sz w:val="20"/>
                <w:szCs w:val="20"/>
                <w:color w:val="auto"/>
              </w:rPr>
            </w:pPr>
            <w:r>
              <w:rPr>
                <w:rFonts w:ascii="Times New Roman" w:cs="Times New Roman" w:eastAsia="Times New Roman" w:hAnsi="Times New Roman"/>
                <w:sz w:val="18"/>
                <w:szCs w:val="18"/>
                <w:color w:val="auto"/>
                <w:w w:val="97"/>
              </w:rPr>
              <w:t>October 6, 2003</w:t>
            </w:r>
          </w:p>
        </w:tc>
      </w:tr>
      <w:tr>
        <w:trPr>
          <w:trHeight w:val="216"/>
        </w:trPr>
        <w:tc>
          <w:tcPr>
            <w:tcW w:w="320" w:type="dxa"/>
            <w:vAlign w:val="bottom"/>
          </w:tcPr>
          <w:p>
            <w:pPr>
              <w:spacing w:after="0"/>
              <w:rPr>
                <w:sz w:val="18"/>
                <w:szCs w:val="18"/>
                <w:color w:val="auto"/>
              </w:rPr>
            </w:pPr>
          </w:p>
        </w:tc>
        <w:tc>
          <w:tcPr>
            <w:tcW w:w="15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0.07</w:t>
            </w:r>
          </w:p>
        </w:tc>
        <w:tc>
          <w:tcPr>
            <w:tcW w:w="4500" w:type="dxa"/>
            <w:vAlign w:val="bottom"/>
          </w:tcPr>
          <w:p>
            <w:pPr>
              <w:jc w:val="center"/>
              <w:ind w:right="1252"/>
              <w:spacing w:after="0"/>
              <w:rPr>
                <w:sz w:val="20"/>
                <w:szCs w:val="20"/>
                <w:color w:val="auto"/>
              </w:rPr>
            </w:pPr>
            <w:r>
              <w:rPr>
                <w:rFonts w:ascii="Times New Roman" w:cs="Times New Roman" w:eastAsia="Times New Roman" w:hAnsi="Times New Roman"/>
                <w:sz w:val="18"/>
                <w:szCs w:val="18"/>
                <w:b w:val="1"/>
                <w:bCs w:val="1"/>
                <w:color w:val="auto"/>
                <w:w w:val="97"/>
              </w:rPr>
              <w:t>January 5, 2005</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320" w:type="dxa"/>
            <w:vAlign w:val="bottom"/>
          </w:tcPr>
          <w:p>
            <w:pPr>
              <w:jc w:val="center"/>
              <w:ind w:left="712"/>
              <w:spacing w:after="0"/>
              <w:rPr>
                <w:sz w:val="20"/>
                <w:szCs w:val="20"/>
                <w:color w:val="auto"/>
              </w:rPr>
            </w:pPr>
            <w:r>
              <w:rPr>
                <w:rFonts w:ascii="Times New Roman" w:cs="Times New Roman" w:eastAsia="Times New Roman" w:hAnsi="Times New Roman"/>
                <w:sz w:val="18"/>
                <w:szCs w:val="18"/>
                <w:color w:val="auto"/>
                <w:w w:val="97"/>
              </w:rPr>
              <w:t>January 5, 2004</w:t>
            </w:r>
          </w:p>
        </w:tc>
      </w:tr>
      <w:tr>
        <w:trPr>
          <w:trHeight w:val="216"/>
        </w:trPr>
        <w:tc>
          <w:tcPr>
            <w:tcW w:w="320" w:type="dxa"/>
            <w:vAlign w:val="bottom"/>
            <w:shd w:val="clear" w:color="auto" w:fill="D6F3E8"/>
          </w:tcPr>
          <w:p>
            <w:pPr>
              <w:spacing w:after="0"/>
              <w:rPr>
                <w:sz w:val="18"/>
                <w:szCs w:val="18"/>
                <w:color w:val="auto"/>
              </w:rPr>
            </w:pPr>
          </w:p>
        </w:tc>
        <w:tc>
          <w:tcPr>
            <w:tcW w:w="1500" w:type="dxa"/>
            <w:vAlign w:val="bottom"/>
            <w:gridSpan w:val="2"/>
            <w:shd w:val="clear" w:color="auto" w:fill="D6F3E8"/>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0.07</w:t>
            </w:r>
          </w:p>
        </w:tc>
        <w:tc>
          <w:tcPr>
            <w:tcW w:w="4500" w:type="dxa"/>
            <w:vAlign w:val="bottom"/>
            <w:shd w:val="clear" w:color="auto" w:fill="D6F3E8"/>
          </w:tcPr>
          <w:p>
            <w:pPr>
              <w:jc w:val="center"/>
              <w:ind w:right="1252"/>
              <w:spacing w:after="0"/>
              <w:rPr>
                <w:sz w:val="20"/>
                <w:szCs w:val="20"/>
                <w:color w:val="auto"/>
              </w:rPr>
            </w:pPr>
            <w:r>
              <w:rPr>
                <w:rFonts w:ascii="Times New Roman" w:cs="Times New Roman" w:eastAsia="Times New Roman" w:hAnsi="Times New Roman"/>
                <w:sz w:val="18"/>
                <w:szCs w:val="18"/>
                <w:b w:val="1"/>
                <w:bCs w:val="1"/>
                <w:color w:val="auto"/>
                <w:w w:val="96"/>
              </w:rPr>
              <w:t>April 4, 2005</w:t>
            </w:r>
          </w:p>
        </w:tc>
        <w:tc>
          <w:tcPr>
            <w:tcW w:w="280" w:type="dxa"/>
            <w:vAlign w:val="bottom"/>
            <w:shd w:val="clear" w:color="auto" w:fill="D6F3E8"/>
          </w:tcPr>
          <w:p>
            <w:pPr>
              <w:spacing w:after="0"/>
              <w:rPr>
                <w:sz w:val="18"/>
                <w:szCs w:val="18"/>
                <w:color w:val="auto"/>
              </w:rPr>
            </w:pPr>
          </w:p>
        </w:tc>
        <w:tc>
          <w:tcPr>
            <w:tcW w:w="5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320" w:type="dxa"/>
            <w:vAlign w:val="bottom"/>
            <w:shd w:val="clear" w:color="auto" w:fill="D6F3E8"/>
          </w:tcPr>
          <w:p>
            <w:pPr>
              <w:jc w:val="center"/>
              <w:ind w:left="712"/>
              <w:spacing w:after="0"/>
              <w:rPr>
                <w:sz w:val="20"/>
                <w:szCs w:val="20"/>
                <w:color w:val="auto"/>
              </w:rPr>
            </w:pPr>
            <w:r>
              <w:rPr>
                <w:rFonts w:ascii="Times New Roman" w:cs="Times New Roman" w:eastAsia="Times New Roman" w:hAnsi="Times New Roman"/>
                <w:sz w:val="18"/>
                <w:szCs w:val="18"/>
                <w:color w:val="auto"/>
                <w:w w:val="98"/>
              </w:rPr>
              <w:t>April 15, 2004</w:t>
            </w:r>
          </w:p>
        </w:tc>
      </w:tr>
      <w:tr>
        <w:trPr>
          <w:trHeight w:val="230"/>
        </w:trPr>
        <w:tc>
          <w:tcPr>
            <w:tcW w:w="320" w:type="dxa"/>
            <w:vAlign w:val="bottom"/>
          </w:tcPr>
          <w:p>
            <w:pPr>
              <w:spacing w:after="0"/>
              <w:rPr>
                <w:sz w:val="20"/>
                <w:szCs w:val="20"/>
                <w:color w:val="auto"/>
              </w:rPr>
            </w:pPr>
          </w:p>
        </w:tc>
        <w:tc>
          <w:tcPr>
            <w:tcW w:w="150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0.07</w:t>
            </w:r>
          </w:p>
        </w:tc>
        <w:tc>
          <w:tcPr>
            <w:tcW w:w="4500" w:type="dxa"/>
            <w:vAlign w:val="bottom"/>
          </w:tcPr>
          <w:p>
            <w:pPr>
              <w:jc w:val="center"/>
              <w:ind w:right="1232"/>
              <w:spacing w:after="0"/>
              <w:rPr>
                <w:sz w:val="20"/>
                <w:szCs w:val="20"/>
                <w:color w:val="auto"/>
              </w:rPr>
            </w:pPr>
            <w:r>
              <w:rPr>
                <w:rFonts w:ascii="Times New Roman" w:cs="Times New Roman" w:eastAsia="Times New Roman" w:hAnsi="Times New Roman"/>
                <w:sz w:val="18"/>
                <w:szCs w:val="18"/>
                <w:b w:val="1"/>
                <w:bCs w:val="1"/>
                <w:color w:val="auto"/>
                <w:w w:val="98"/>
              </w:rPr>
              <w:t>July 6, 2005</w:t>
            </w:r>
          </w:p>
        </w:tc>
        <w:tc>
          <w:tcPr>
            <w:tcW w:w="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320" w:type="dxa"/>
            <w:vAlign w:val="bottom"/>
          </w:tcPr>
          <w:p>
            <w:pPr>
              <w:jc w:val="center"/>
              <w:ind w:left="732"/>
              <w:spacing w:after="0"/>
              <w:rPr>
                <w:sz w:val="20"/>
                <w:szCs w:val="20"/>
                <w:color w:val="auto"/>
              </w:rPr>
            </w:pPr>
            <w:r>
              <w:rPr>
                <w:rFonts w:ascii="Times New Roman" w:cs="Times New Roman" w:eastAsia="Times New Roman" w:hAnsi="Times New Roman"/>
                <w:sz w:val="18"/>
                <w:szCs w:val="18"/>
                <w:color w:val="auto"/>
                <w:w w:val="97"/>
              </w:rPr>
              <w:t>July 6, 2004</w:t>
            </w:r>
          </w:p>
        </w:tc>
      </w:tr>
      <w:tr>
        <w:trPr>
          <w:trHeight w:val="94"/>
        </w:trPr>
        <w:tc>
          <w:tcPr>
            <w:tcW w:w="3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320" w:type="dxa"/>
            <w:vAlign w:val="bottom"/>
          </w:tcPr>
          <w:p>
            <w:pPr>
              <w:spacing w:after="0"/>
              <w:rPr>
                <w:sz w:val="8"/>
                <w:szCs w:val="8"/>
                <w:color w:val="auto"/>
              </w:rPr>
            </w:pPr>
          </w:p>
        </w:tc>
      </w:tr>
      <w:tr>
        <w:trPr>
          <w:trHeight w:val="115"/>
        </w:trPr>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320" w:type="dxa"/>
            <w:vAlign w:val="bottom"/>
          </w:tcPr>
          <w:p>
            <w:pPr>
              <w:spacing w:after="0"/>
              <w:rPr>
                <w:sz w:val="10"/>
                <w:szCs w:val="10"/>
                <w:color w:val="auto"/>
              </w:rPr>
            </w:pPr>
          </w:p>
        </w:tc>
      </w:tr>
      <w:tr>
        <w:trPr>
          <w:trHeight w:val="216"/>
        </w:trPr>
        <w:tc>
          <w:tcPr>
            <w:tcW w:w="320" w:type="dxa"/>
            <w:vAlign w:val="bottom"/>
            <w:shd w:val="clear" w:color="auto" w:fill="D6F3E8"/>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shd w:val="clear" w:color="auto" w:fill="D6F3E8"/>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0.28</w:t>
            </w:r>
          </w:p>
        </w:tc>
        <w:tc>
          <w:tcPr>
            <w:tcW w:w="4500" w:type="dxa"/>
            <w:vAlign w:val="bottom"/>
            <w:shd w:val="clear" w:color="auto" w:fill="D6F3E8"/>
          </w:tcPr>
          <w:p>
            <w:pPr>
              <w:jc w:val="center"/>
              <w:ind w:right="123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280" w:type="dxa"/>
            <w:vAlign w:val="bottom"/>
            <w:shd w:val="clear" w:color="auto" w:fill="D6F3E8"/>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D6F3E8"/>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320" w:type="dxa"/>
            <w:vAlign w:val="bottom"/>
            <w:shd w:val="clear" w:color="auto" w:fill="D6F3E8"/>
          </w:tcPr>
          <w:p>
            <w:pPr>
              <w:jc w:val="center"/>
              <w:ind w:left="712"/>
              <w:spacing w:after="0"/>
              <w:rPr>
                <w:sz w:val="20"/>
                <w:szCs w:val="20"/>
                <w:color w:val="auto"/>
              </w:rPr>
            </w:pPr>
            <w:r>
              <w:rPr>
                <w:rFonts w:ascii="Times New Roman" w:cs="Times New Roman" w:eastAsia="Times New Roman" w:hAnsi="Times New Roman"/>
                <w:sz w:val="18"/>
                <w:szCs w:val="18"/>
                <w:color w:val="auto"/>
                <w:w w:val="94"/>
              </w:rPr>
              <w:t>Total</w:t>
            </w:r>
          </w:p>
        </w:tc>
      </w:tr>
    </w:tbl>
    <w:p>
      <w:pPr>
        <w:sectPr>
          <w:pgSz w:w="11900" w:h="16838" w:orient="portrait"/>
          <w:cols w:equalWidth="0" w:num="1">
            <w:col w:w="11420"/>
          </w:cols>
          <w:pgMar w:left="240" w:top="125" w:right="239" w:bottom="225" w:gutter="0" w:footer="0" w:header="0"/>
        </w:sectPr>
      </w:pPr>
    </w:p>
    <w:bookmarkStart w:id="47" w:name="page48"/>
    <w:bookmarkEnd w:id="47"/>
    <w:p>
      <w:pPr>
        <w:ind w:left="55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149860</wp:posOffset>
            </wp:positionV>
            <wp:extent cx="725043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179"/>
          </w:cols>
          <w:pgMar w:left="280" w:top="1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429"/>
        </w:trPr>
        <w:tc>
          <w:tcPr>
            <w:tcW w:w="4040" w:type="dxa"/>
            <w:vAlign w:val="bottom"/>
          </w:tcPr>
          <w:p>
            <w:pPr>
              <w:spacing w:after="0"/>
              <w:rPr>
                <w:sz w:val="24"/>
                <w:szCs w:val="24"/>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32"/>
                <w:szCs w:val="32"/>
                <w:b w:val="1"/>
                <w:bCs w:val="1"/>
                <w:color w:val="auto"/>
              </w:rPr>
              <w:t>Directors and Officers</w:t>
            </w:r>
          </w:p>
        </w:tc>
        <w:tc>
          <w:tcPr>
            <w:tcW w:w="0" w:type="dxa"/>
            <w:vAlign w:val="bottom"/>
          </w:tcPr>
          <w:p>
            <w:pPr>
              <w:spacing w:after="0"/>
              <w:rPr>
                <w:sz w:val="1"/>
                <w:szCs w:val="1"/>
                <w:color w:val="auto"/>
              </w:rPr>
            </w:pPr>
          </w:p>
        </w:tc>
      </w:tr>
      <w:tr>
        <w:trPr>
          <w:trHeight w:val="576"/>
        </w:trPr>
        <w:tc>
          <w:tcPr>
            <w:tcW w:w="40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Directors</w:t>
            </w:r>
          </w:p>
        </w:tc>
        <w:tc>
          <w:tcPr>
            <w:tcW w:w="530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Officers</w:t>
            </w:r>
          </w:p>
        </w:tc>
        <w:tc>
          <w:tcPr>
            <w:tcW w:w="0" w:type="dxa"/>
            <w:vAlign w:val="bottom"/>
          </w:tcPr>
          <w:p>
            <w:pPr>
              <w:spacing w:after="0"/>
              <w:rPr>
                <w:sz w:val="1"/>
                <w:szCs w:val="1"/>
                <w:color w:val="auto"/>
              </w:rPr>
            </w:pPr>
          </w:p>
        </w:tc>
      </w:tr>
      <w:tr>
        <w:trPr>
          <w:trHeight w:val="473"/>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Bruce D. Hertzke </w:t>
            </w:r>
            <w:r>
              <w:rPr>
                <w:rFonts w:ascii="Times New Roman" w:cs="Times New Roman" w:eastAsia="Times New Roman" w:hAnsi="Times New Roman"/>
                <w:sz w:val="18"/>
                <w:szCs w:val="18"/>
                <w:color w:val="auto"/>
              </w:rPr>
              <w:t>(54)</w:t>
            </w:r>
          </w:p>
        </w:tc>
        <w:tc>
          <w:tcPr>
            <w:tcW w:w="53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[PHOTOS]</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Chief Executive Officer</w:t>
            </w:r>
          </w:p>
        </w:tc>
        <w:tc>
          <w:tcPr>
            <w:tcW w:w="530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 xml:space="preserve">Bruce D. Hertzke </w:t>
            </w: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Winnebago Industries, Inc.</w:t>
            </w:r>
          </w:p>
        </w:tc>
        <w:tc>
          <w:tcPr>
            <w:tcW w:w="5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Irvin E. Aal </w:t>
            </w:r>
            <w:r>
              <w:rPr>
                <w:rFonts w:ascii="Times New Roman" w:cs="Times New Roman" w:eastAsia="Times New Roman" w:hAnsi="Times New Roman"/>
                <w:sz w:val="18"/>
                <w:szCs w:val="18"/>
                <w:color w:val="auto"/>
              </w:rPr>
              <w:t>(66) 1, 2, 5*</w:t>
            </w:r>
          </w:p>
        </w:tc>
        <w:tc>
          <w:tcPr>
            <w:tcW w:w="530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6"/>
              </w:rPr>
              <w:t>Chairman of the Board and Chief Executive Officer</w:t>
            </w:r>
          </w:p>
        </w:tc>
        <w:tc>
          <w:tcPr>
            <w:tcW w:w="0" w:type="dxa"/>
            <w:vAlign w:val="bottom"/>
          </w:tcPr>
          <w:p>
            <w:pPr>
              <w:spacing w:after="0"/>
              <w:rPr>
                <w:sz w:val="1"/>
                <w:szCs w:val="1"/>
                <w:color w:val="auto"/>
              </w:rPr>
            </w:pPr>
          </w:p>
        </w:tc>
      </w:tr>
      <w:tr>
        <w:trPr>
          <w:trHeight w:val="204"/>
        </w:trPr>
        <w:tc>
          <w:tcPr>
            <w:tcW w:w="4040" w:type="dxa"/>
            <w:vAlign w:val="bottom"/>
            <w:vMerge w:val="continue"/>
          </w:tcPr>
          <w:p>
            <w:pPr>
              <w:spacing w:after="0"/>
              <w:rPr>
                <w:sz w:val="17"/>
                <w:szCs w:val="17"/>
                <w:color w:val="auto"/>
              </w:rPr>
            </w:pPr>
          </w:p>
        </w:tc>
        <w:tc>
          <w:tcPr>
            <w:tcW w:w="530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 xml:space="preserve">Edwin F. Barker </w:t>
            </w: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Former General Manager</w:t>
            </w:r>
          </w:p>
        </w:tc>
        <w:tc>
          <w:tcPr>
            <w:tcW w:w="5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Case Tyler Business Unit of CNH Global</w:t>
            </w:r>
          </w:p>
        </w:tc>
        <w:tc>
          <w:tcPr>
            <w:tcW w:w="53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President and Chief Financial Officer</w:t>
            </w:r>
          </w:p>
        </w:tc>
        <w:tc>
          <w:tcPr>
            <w:tcW w:w="0" w:type="dxa"/>
            <w:vAlign w:val="bottom"/>
          </w:tcPr>
          <w:p>
            <w:pPr>
              <w:spacing w:after="0"/>
              <w:rPr>
                <w:sz w:val="1"/>
                <w:szCs w:val="1"/>
                <w:color w:val="auto"/>
              </w:rPr>
            </w:pPr>
          </w:p>
        </w:tc>
      </w:tr>
      <w:tr>
        <w:trPr>
          <w:trHeight w:val="420"/>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Jerry N. Currie </w:t>
            </w:r>
            <w:r>
              <w:rPr>
                <w:rFonts w:ascii="Times New Roman" w:cs="Times New Roman" w:eastAsia="Times New Roman" w:hAnsi="Times New Roman"/>
                <w:sz w:val="18"/>
                <w:szCs w:val="18"/>
                <w:color w:val="auto"/>
              </w:rPr>
              <w:t>(60) 1, 2, 3*</w:t>
            </w:r>
          </w:p>
        </w:tc>
        <w:tc>
          <w:tcPr>
            <w:tcW w:w="530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 xml:space="preserve">Raymond M. Beebe </w:t>
            </w: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53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Vice President, General Counsel and Secretary</w:t>
            </w:r>
          </w:p>
        </w:tc>
        <w:tc>
          <w:tcPr>
            <w:tcW w:w="0" w:type="dxa"/>
            <w:vAlign w:val="bottom"/>
          </w:tcPr>
          <w:p>
            <w:pPr>
              <w:spacing w:after="0"/>
              <w:rPr>
                <w:sz w:val="1"/>
                <w:szCs w:val="1"/>
                <w:color w:val="auto"/>
              </w:rPr>
            </w:pPr>
          </w:p>
        </w:tc>
      </w:tr>
      <w:tr>
        <w:trPr>
          <w:trHeight w:val="228"/>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CURRIES Company and GRAHAM Manufacturing</w:t>
            </w:r>
          </w:p>
        </w:tc>
        <w:tc>
          <w:tcPr>
            <w:tcW w:w="530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 xml:space="preserve">Robert L. Gossett </w:t>
            </w: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4"/>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Joseph W. England </w:t>
            </w:r>
            <w:r>
              <w:rPr>
                <w:rFonts w:ascii="Times New Roman" w:cs="Times New Roman" w:eastAsia="Times New Roman" w:hAnsi="Times New Roman"/>
                <w:sz w:val="18"/>
                <w:szCs w:val="18"/>
                <w:color w:val="auto"/>
              </w:rPr>
              <w:t>(65) 1*, 3, 4</w:t>
            </w:r>
          </w:p>
        </w:tc>
        <w:tc>
          <w:tcPr>
            <w:tcW w:w="5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vMerge w:val="continue"/>
          </w:tcPr>
          <w:p>
            <w:pPr>
              <w:spacing w:after="0"/>
              <w:rPr>
                <w:sz w:val="18"/>
                <w:szCs w:val="18"/>
                <w:color w:val="auto"/>
              </w:rPr>
            </w:pPr>
          </w:p>
        </w:tc>
        <w:tc>
          <w:tcPr>
            <w:tcW w:w="53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Vice President, Administration</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Former Senior Vice President</w:t>
            </w:r>
          </w:p>
        </w:tc>
        <w:tc>
          <w:tcPr>
            <w:tcW w:w="530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 xml:space="preserve">Brian J. Hrubes </w:t>
            </w: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Deere and Company</w:t>
            </w:r>
          </w:p>
        </w:tc>
        <w:tc>
          <w:tcPr>
            <w:tcW w:w="5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Lawrence A. Erickson </w:t>
            </w:r>
            <w:r>
              <w:rPr>
                <w:rFonts w:ascii="Times New Roman" w:cs="Times New Roman" w:eastAsia="Times New Roman" w:hAnsi="Times New Roman"/>
                <w:sz w:val="18"/>
                <w:szCs w:val="18"/>
                <w:color w:val="auto"/>
              </w:rPr>
              <w:t>(56) 4, 5</w:t>
            </w:r>
          </w:p>
        </w:tc>
        <w:tc>
          <w:tcPr>
            <w:tcW w:w="53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Controller</w:t>
            </w:r>
          </w:p>
        </w:tc>
        <w:tc>
          <w:tcPr>
            <w:tcW w:w="0" w:type="dxa"/>
            <w:vAlign w:val="bottom"/>
          </w:tcPr>
          <w:p>
            <w:pPr>
              <w:spacing w:after="0"/>
              <w:rPr>
                <w:sz w:val="1"/>
                <w:szCs w:val="1"/>
                <w:color w:val="auto"/>
              </w:rPr>
            </w:pPr>
          </w:p>
        </w:tc>
      </w:tr>
      <w:tr>
        <w:trPr>
          <w:trHeight w:val="204"/>
        </w:trPr>
        <w:tc>
          <w:tcPr>
            <w:tcW w:w="4040" w:type="dxa"/>
            <w:vAlign w:val="bottom"/>
            <w:vMerge w:val="continue"/>
          </w:tcPr>
          <w:p>
            <w:pPr>
              <w:spacing w:after="0"/>
              <w:rPr>
                <w:sz w:val="17"/>
                <w:szCs w:val="17"/>
                <w:color w:val="auto"/>
              </w:rPr>
            </w:pPr>
          </w:p>
        </w:tc>
        <w:tc>
          <w:tcPr>
            <w:tcW w:w="530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 xml:space="preserve">Roger W. Martin </w:t>
            </w: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w w:val="99"/>
              </w:rPr>
              <w:t>Former Senior Vice President &amp; Chief Financial Officer</w:t>
            </w:r>
          </w:p>
        </w:tc>
        <w:tc>
          <w:tcPr>
            <w:tcW w:w="5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Rockwell Collins, Inc.</w:t>
            </w:r>
          </w:p>
        </w:tc>
        <w:tc>
          <w:tcPr>
            <w:tcW w:w="53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Vice President, Sales and Marketing</w:t>
            </w:r>
          </w:p>
        </w:tc>
        <w:tc>
          <w:tcPr>
            <w:tcW w:w="0" w:type="dxa"/>
            <w:vAlign w:val="bottom"/>
          </w:tcPr>
          <w:p>
            <w:pPr>
              <w:spacing w:after="0"/>
              <w:rPr>
                <w:sz w:val="1"/>
                <w:szCs w:val="1"/>
                <w:color w:val="auto"/>
              </w:rPr>
            </w:pPr>
          </w:p>
        </w:tc>
      </w:tr>
      <w:tr>
        <w:trPr>
          <w:trHeight w:val="420"/>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John V. Hanson </w:t>
            </w:r>
            <w:r>
              <w:rPr>
                <w:rFonts w:ascii="Times New Roman" w:cs="Times New Roman" w:eastAsia="Times New Roman" w:hAnsi="Times New Roman"/>
                <w:sz w:val="18"/>
                <w:szCs w:val="18"/>
                <w:color w:val="auto"/>
              </w:rPr>
              <w:t>(63) 4*</w:t>
            </w:r>
          </w:p>
        </w:tc>
        <w:tc>
          <w:tcPr>
            <w:tcW w:w="5300" w:type="dxa"/>
            <w:vAlign w:val="bottom"/>
          </w:tcPr>
          <w:p>
            <w:pPr>
              <w:ind w:left="1660"/>
              <w:spacing w:after="0"/>
              <w:rPr>
                <w:sz w:val="20"/>
                <w:szCs w:val="20"/>
                <w:color w:val="auto"/>
              </w:rPr>
            </w:pPr>
            <w:r>
              <w:rPr>
                <w:rFonts w:ascii="Times New Roman" w:cs="Times New Roman" w:eastAsia="Times New Roman" w:hAnsi="Times New Roman"/>
                <w:sz w:val="18"/>
                <w:szCs w:val="18"/>
                <w:b w:val="1"/>
                <w:bCs w:val="1"/>
                <w:color w:val="auto"/>
              </w:rPr>
              <w:t xml:space="preserve">William J. O’Leary </w:t>
            </w: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Former Deputy Chairman of the Board</w:t>
            </w:r>
          </w:p>
        </w:tc>
        <w:tc>
          <w:tcPr>
            <w:tcW w:w="53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Vice President, Product Development</w:t>
            </w:r>
          </w:p>
        </w:tc>
        <w:tc>
          <w:tcPr>
            <w:tcW w:w="0" w:type="dxa"/>
            <w:vAlign w:val="bottom"/>
          </w:tcPr>
          <w:p>
            <w:pPr>
              <w:spacing w:after="0"/>
              <w:rPr>
                <w:sz w:val="1"/>
                <w:szCs w:val="1"/>
                <w:color w:val="auto"/>
              </w:rPr>
            </w:pPr>
          </w:p>
        </w:tc>
      </w:tr>
      <w:tr>
        <w:trPr>
          <w:trHeight w:val="228"/>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Winnebago Industries, Inc.</w:t>
            </w:r>
          </w:p>
        </w:tc>
        <w:tc>
          <w:tcPr>
            <w:tcW w:w="530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 xml:space="preserve">Robert J. Olson </w:t>
            </w: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4"/>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John E. Herlitz </w:t>
            </w:r>
            <w:r>
              <w:rPr>
                <w:rFonts w:ascii="Times New Roman" w:cs="Times New Roman" w:eastAsia="Times New Roman" w:hAnsi="Times New Roman"/>
                <w:sz w:val="18"/>
                <w:szCs w:val="18"/>
                <w:color w:val="auto"/>
              </w:rPr>
              <w:t>(62) 4, 5</w:t>
            </w:r>
          </w:p>
        </w:tc>
        <w:tc>
          <w:tcPr>
            <w:tcW w:w="5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vMerge w:val="continue"/>
          </w:tcPr>
          <w:p>
            <w:pPr>
              <w:spacing w:after="0"/>
              <w:rPr>
                <w:sz w:val="18"/>
                <w:szCs w:val="18"/>
                <w:color w:val="auto"/>
              </w:rPr>
            </w:pPr>
          </w:p>
        </w:tc>
        <w:tc>
          <w:tcPr>
            <w:tcW w:w="53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Vice President, Manufacturing</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Former Senior Vice President</w:t>
            </w:r>
          </w:p>
        </w:tc>
        <w:tc>
          <w:tcPr>
            <w:tcW w:w="5300" w:type="dxa"/>
            <w:vAlign w:val="bottom"/>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 xml:space="preserve">Joseph L. Soczek, Jr. </w:t>
            </w: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DaimlerChrysler AG</w:t>
            </w:r>
          </w:p>
        </w:tc>
        <w:tc>
          <w:tcPr>
            <w:tcW w:w="5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Gerald C. Kitch </w:t>
            </w:r>
            <w:r>
              <w:rPr>
                <w:rFonts w:ascii="Times New Roman" w:cs="Times New Roman" w:eastAsia="Times New Roman" w:hAnsi="Times New Roman"/>
                <w:sz w:val="18"/>
                <w:szCs w:val="18"/>
                <w:color w:val="auto"/>
              </w:rPr>
              <w:t>(67) **, 2*, 3, 5</w:t>
            </w:r>
          </w:p>
        </w:tc>
        <w:tc>
          <w:tcPr>
            <w:tcW w:w="53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Treasurer</w:t>
            </w:r>
          </w:p>
        </w:tc>
        <w:tc>
          <w:tcPr>
            <w:tcW w:w="0" w:type="dxa"/>
            <w:vAlign w:val="bottom"/>
          </w:tcPr>
          <w:p>
            <w:pPr>
              <w:spacing w:after="0"/>
              <w:rPr>
                <w:sz w:val="1"/>
                <w:szCs w:val="1"/>
                <w:color w:val="auto"/>
              </w:rPr>
            </w:pPr>
          </w:p>
        </w:tc>
      </w:tr>
      <w:tr>
        <w:trPr>
          <w:trHeight w:val="204"/>
        </w:trPr>
        <w:tc>
          <w:tcPr>
            <w:tcW w:w="4040" w:type="dxa"/>
            <w:vAlign w:val="bottom"/>
            <w:vMerge w:val="continue"/>
          </w:tcPr>
          <w:p>
            <w:pPr>
              <w:spacing w:after="0"/>
              <w:rPr>
                <w:sz w:val="17"/>
                <w:szCs w:val="17"/>
                <w:color w:val="auto"/>
              </w:rPr>
            </w:pPr>
          </w:p>
        </w:tc>
        <w:tc>
          <w:tcPr>
            <w:tcW w:w="5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Former Executive Vice President</w:t>
            </w:r>
          </w:p>
        </w:tc>
        <w:tc>
          <w:tcPr>
            <w:tcW w:w="5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Pentair, Inc.</w:t>
            </w:r>
          </w:p>
        </w:tc>
        <w:tc>
          <w:tcPr>
            <w:tcW w:w="5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Committee/Members</w:t>
      </w:r>
    </w:p>
    <w:p>
      <w:pPr>
        <w:spacing w:after="0" w:line="23" w:lineRule="exact"/>
        <w:rPr>
          <w:sz w:val="20"/>
          <w:szCs w:val="20"/>
          <w:color w:val="auto"/>
        </w:rPr>
      </w:pPr>
    </w:p>
    <w:p>
      <w:pPr>
        <w:ind w:left="280" w:hanging="271"/>
        <w:spacing w:after="0"/>
        <w:tabs>
          <w:tab w:leader="none" w:pos="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w:t>
      </w:r>
    </w:p>
    <w:p>
      <w:pPr>
        <w:spacing w:after="0" w:line="9" w:lineRule="exact"/>
        <w:rPr>
          <w:rFonts w:ascii="Times New Roman" w:cs="Times New Roman" w:eastAsia="Times New Roman" w:hAnsi="Times New Roman"/>
          <w:sz w:val="18"/>
          <w:szCs w:val="18"/>
          <w:color w:val="auto"/>
        </w:rPr>
      </w:pPr>
    </w:p>
    <w:p>
      <w:pPr>
        <w:ind w:left="280" w:hanging="271"/>
        <w:spacing w:after="0"/>
        <w:tabs>
          <w:tab w:leader="none" w:pos="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Resources</w:t>
      </w:r>
    </w:p>
    <w:p>
      <w:pPr>
        <w:spacing w:after="0" w:line="9" w:lineRule="exact"/>
        <w:rPr>
          <w:rFonts w:ascii="Times New Roman" w:cs="Times New Roman" w:eastAsia="Times New Roman" w:hAnsi="Times New Roman"/>
          <w:sz w:val="18"/>
          <w:szCs w:val="18"/>
          <w:color w:val="auto"/>
        </w:rPr>
      </w:pPr>
    </w:p>
    <w:p>
      <w:pPr>
        <w:ind w:left="280" w:hanging="271"/>
        <w:spacing w:after="0"/>
        <w:tabs>
          <w:tab w:leader="none" w:pos="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Nominating and Governance</w:t>
      </w:r>
    </w:p>
    <w:p>
      <w:pPr>
        <w:spacing w:after="0" w:line="9" w:lineRule="exact"/>
        <w:rPr>
          <w:rFonts w:ascii="Times New Roman" w:cs="Times New Roman" w:eastAsia="Times New Roman" w:hAnsi="Times New Roman"/>
          <w:sz w:val="18"/>
          <w:szCs w:val="18"/>
          <w:color w:val="auto"/>
        </w:rPr>
      </w:pPr>
    </w:p>
    <w:p>
      <w:pPr>
        <w:ind w:left="280" w:hanging="271"/>
        <w:spacing w:after="0"/>
        <w:tabs>
          <w:tab w:leader="none" w:pos="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w:t>
      </w:r>
    </w:p>
    <w:p>
      <w:pPr>
        <w:spacing w:after="0" w:line="9" w:lineRule="exact"/>
        <w:rPr>
          <w:rFonts w:ascii="Times New Roman" w:cs="Times New Roman" w:eastAsia="Times New Roman" w:hAnsi="Times New Roman"/>
          <w:sz w:val="18"/>
          <w:szCs w:val="18"/>
          <w:color w:val="auto"/>
        </w:rPr>
      </w:pPr>
    </w:p>
    <w:p>
      <w:pPr>
        <w:ind w:left="280" w:hanging="271"/>
        <w:spacing w:after="0"/>
        <w:tabs>
          <w:tab w:leader="none" w:pos="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Committee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Lead Independent Board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408305</wp:posOffset>
            </wp:positionV>
            <wp:extent cx="725043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179"/>
          </w:cols>
          <w:pgMar w:left="280" w:top="125" w:right="1440" w:bottom="144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List of Subsidiaries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Jurisdiction</w:t>
            </w:r>
          </w:p>
        </w:tc>
        <w:tc>
          <w:tcPr>
            <w:tcW w:w="68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2420" w:type="dxa"/>
            <w:vAlign w:val="bottom"/>
          </w:tcPr>
          <w:p>
            <w:pPr>
              <w:spacing w:after="0"/>
              <w:rPr>
                <w:sz w:val="13"/>
                <w:szCs w:val="13"/>
                <w:color w:val="auto"/>
              </w:rPr>
            </w:pPr>
          </w:p>
        </w:tc>
      </w:tr>
      <w:tr>
        <w:trPr>
          <w:trHeight w:val="149"/>
        </w:trPr>
        <w:tc>
          <w:tcPr>
            <w:tcW w:w="23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5"/>
              </w:rPr>
              <w:t>of</w:t>
            </w:r>
          </w:p>
        </w:tc>
        <w:tc>
          <w:tcPr>
            <w:tcW w:w="6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2420" w:type="dxa"/>
            <w:vAlign w:val="bottom"/>
          </w:tcPr>
          <w:p>
            <w:pPr>
              <w:spacing w:after="0"/>
              <w:rPr>
                <w:sz w:val="12"/>
                <w:szCs w:val="12"/>
                <w:color w:val="auto"/>
              </w:rPr>
            </w:pPr>
          </w:p>
        </w:tc>
      </w:tr>
      <w:tr>
        <w:trPr>
          <w:trHeight w:val="178"/>
        </w:trPr>
        <w:tc>
          <w:tcPr>
            <w:tcW w:w="2300" w:type="dxa"/>
            <w:vAlign w:val="bottom"/>
          </w:tcPr>
          <w:p>
            <w:pPr>
              <w:spacing w:after="0"/>
              <w:rPr>
                <w:sz w:val="15"/>
                <w:szCs w:val="15"/>
                <w:color w:val="auto"/>
              </w:rPr>
            </w:pPr>
          </w:p>
        </w:tc>
        <w:tc>
          <w:tcPr>
            <w:tcW w:w="356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Name of Corporation</w:t>
            </w:r>
          </w:p>
        </w:tc>
        <w:tc>
          <w:tcPr>
            <w:tcW w:w="6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Incorporation</w:t>
            </w:r>
          </w:p>
        </w:tc>
        <w:tc>
          <w:tcPr>
            <w:tcW w:w="68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Ownership</w:t>
            </w:r>
          </w:p>
        </w:tc>
        <w:tc>
          <w:tcPr>
            <w:tcW w:w="2420" w:type="dxa"/>
            <w:vAlign w:val="bottom"/>
          </w:tcPr>
          <w:p>
            <w:pPr>
              <w:spacing w:after="0"/>
              <w:rPr>
                <w:sz w:val="15"/>
                <w:szCs w:val="15"/>
                <w:color w:val="auto"/>
              </w:rPr>
            </w:pPr>
          </w:p>
        </w:tc>
      </w:tr>
      <w:tr>
        <w:trPr>
          <w:trHeight w:val="95"/>
        </w:trPr>
        <w:tc>
          <w:tcPr>
            <w:tcW w:w="2300" w:type="dxa"/>
            <w:vAlign w:val="bottom"/>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420" w:type="dxa"/>
            <w:vAlign w:val="bottom"/>
          </w:tcPr>
          <w:p>
            <w:pPr>
              <w:spacing w:after="0"/>
              <w:rPr>
                <w:sz w:val="8"/>
                <w:szCs w:val="8"/>
                <w:color w:val="auto"/>
              </w:rPr>
            </w:pPr>
          </w:p>
        </w:tc>
      </w:tr>
      <w:tr>
        <w:trPr>
          <w:trHeight w:val="303"/>
        </w:trPr>
        <w:tc>
          <w:tcPr>
            <w:tcW w:w="586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Winnebago Industries, Inc.</w:t>
            </w:r>
          </w:p>
        </w:tc>
        <w:tc>
          <w:tcPr>
            <w:tcW w:w="6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Iowa</w:t>
            </w:r>
          </w:p>
        </w:tc>
        <w:tc>
          <w:tcPr>
            <w:tcW w:w="6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Parent</w:t>
            </w:r>
          </w:p>
        </w:tc>
        <w:tc>
          <w:tcPr>
            <w:tcW w:w="2420" w:type="dxa"/>
            <w:vAlign w:val="bottom"/>
          </w:tcPr>
          <w:p>
            <w:pPr>
              <w:spacing w:after="0"/>
              <w:rPr>
                <w:sz w:val="24"/>
                <w:szCs w:val="24"/>
                <w:color w:val="auto"/>
              </w:rPr>
            </w:pPr>
          </w:p>
        </w:tc>
      </w:tr>
      <w:tr>
        <w:trPr>
          <w:trHeight w:val="216"/>
        </w:trPr>
        <w:tc>
          <w:tcPr>
            <w:tcW w:w="586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Winnebago Health Care Management Company</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Iowa</w:t>
            </w:r>
          </w:p>
        </w:tc>
        <w:tc>
          <w:tcPr>
            <w:tcW w:w="1560" w:type="dxa"/>
            <w:vAlign w:val="bottom"/>
            <w:gridSpan w:val="2"/>
          </w:tcPr>
          <w:p>
            <w:pPr>
              <w:jc w:val="center"/>
              <w:ind w:left="592"/>
              <w:spacing w:after="0"/>
              <w:rPr>
                <w:sz w:val="20"/>
                <w:szCs w:val="20"/>
                <w:color w:val="auto"/>
              </w:rPr>
            </w:pPr>
            <w:r>
              <w:rPr>
                <w:rFonts w:ascii="Times New Roman" w:cs="Times New Roman" w:eastAsia="Times New Roman" w:hAnsi="Times New Roman"/>
                <w:sz w:val="18"/>
                <w:szCs w:val="18"/>
                <w:color w:val="auto"/>
                <w:w w:val="95"/>
              </w:rPr>
              <w:t>100%</w:t>
            </w:r>
          </w:p>
        </w:tc>
        <w:tc>
          <w:tcPr>
            <w:tcW w:w="2420" w:type="dxa"/>
            <w:vAlign w:val="bottom"/>
          </w:tcPr>
          <w:p>
            <w:pPr>
              <w:spacing w:after="0"/>
              <w:rPr>
                <w:sz w:val="18"/>
                <w:szCs w:val="18"/>
                <w:color w:val="auto"/>
              </w:rPr>
            </w:pPr>
          </w:p>
        </w:tc>
      </w:tr>
      <w:tr>
        <w:trPr>
          <w:trHeight w:val="216"/>
        </w:trPr>
        <w:tc>
          <w:tcPr>
            <w:tcW w:w="586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Winnebago Acceptance Corporation</w:t>
            </w:r>
          </w:p>
        </w:tc>
        <w:tc>
          <w:tcPr>
            <w:tcW w:w="6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Iowa</w:t>
            </w:r>
          </w:p>
        </w:tc>
        <w:tc>
          <w:tcPr>
            <w:tcW w:w="1560" w:type="dxa"/>
            <w:vAlign w:val="bottom"/>
            <w:gridSpan w:val="2"/>
          </w:tcPr>
          <w:p>
            <w:pPr>
              <w:jc w:val="center"/>
              <w:ind w:left="592"/>
              <w:spacing w:after="0"/>
              <w:rPr>
                <w:sz w:val="20"/>
                <w:szCs w:val="20"/>
                <w:color w:val="auto"/>
              </w:rPr>
            </w:pPr>
            <w:r>
              <w:rPr>
                <w:rFonts w:ascii="Times New Roman" w:cs="Times New Roman" w:eastAsia="Times New Roman" w:hAnsi="Times New Roman"/>
                <w:sz w:val="18"/>
                <w:szCs w:val="18"/>
                <w:color w:val="auto"/>
                <w:w w:val="95"/>
              </w:rPr>
              <w:t>100%</w:t>
            </w:r>
          </w:p>
        </w:tc>
        <w:tc>
          <w:tcPr>
            <w:tcW w:w="2420" w:type="dxa"/>
            <w:vAlign w:val="bottom"/>
          </w:tcPr>
          <w:p>
            <w:pPr>
              <w:spacing w:after="0"/>
              <w:rPr>
                <w:sz w:val="18"/>
                <w:szCs w:val="18"/>
                <w:color w:val="auto"/>
              </w:rPr>
            </w:pPr>
          </w:p>
        </w:tc>
      </w:tr>
      <w:tr>
        <w:trPr>
          <w:trHeight w:val="228"/>
        </w:trPr>
        <w:tc>
          <w:tcPr>
            <w:tcW w:w="586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Winnebago R.V., Inc.</w:t>
            </w:r>
          </w:p>
        </w:tc>
        <w:tc>
          <w:tcPr>
            <w:tcW w:w="6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Delaware</w:t>
            </w:r>
          </w:p>
        </w:tc>
        <w:tc>
          <w:tcPr>
            <w:tcW w:w="1560" w:type="dxa"/>
            <w:vAlign w:val="bottom"/>
            <w:gridSpan w:val="2"/>
          </w:tcPr>
          <w:p>
            <w:pPr>
              <w:jc w:val="center"/>
              <w:ind w:left="592"/>
              <w:spacing w:after="0"/>
              <w:rPr>
                <w:sz w:val="20"/>
                <w:szCs w:val="20"/>
                <w:color w:val="auto"/>
              </w:rPr>
            </w:pPr>
            <w:r>
              <w:rPr>
                <w:rFonts w:ascii="Times New Roman" w:cs="Times New Roman" w:eastAsia="Times New Roman" w:hAnsi="Times New Roman"/>
                <w:sz w:val="18"/>
                <w:szCs w:val="18"/>
                <w:color w:val="auto"/>
                <w:w w:val="95"/>
              </w:rPr>
              <w:t>100%</w:t>
            </w:r>
          </w:p>
        </w:tc>
        <w:tc>
          <w:tcPr>
            <w:tcW w:w="2420" w:type="dxa"/>
            <w:vAlign w:val="bottom"/>
          </w:tcPr>
          <w:p>
            <w:pPr>
              <w:spacing w:after="0"/>
              <w:rPr>
                <w:sz w:val="19"/>
                <w:szCs w:val="19"/>
                <w:color w:val="auto"/>
              </w:rPr>
            </w:pPr>
          </w:p>
        </w:tc>
      </w:tr>
      <w:tr>
        <w:trPr>
          <w:trHeight w:val="4996"/>
        </w:trPr>
        <w:tc>
          <w:tcPr>
            <w:tcW w:w="2300" w:type="dxa"/>
            <w:vAlign w:val="bottom"/>
            <w:tcBorders>
              <w:bottom w:val="single" w:sz="8" w:color="808080"/>
            </w:tcBorders>
          </w:tcPr>
          <w:p>
            <w:pPr>
              <w:spacing w:after="0"/>
              <w:rPr>
                <w:sz w:val="24"/>
                <w:szCs w:val="24"/>
                <w:color w:val="auto"/>
              </w:rPr>
            </w:pPr>
          </w:p>
        </w:tc>
        <w:tc>
          <w:tcPr>
            <w:tcW w:w="356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9" w:name="page50"/>
    <w:bookmarkEnd w:id="49"/>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EXHIBIT 23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CONSENT OF INDEPENDENT REGISTERED PUBLIC ACCOUNTING FIRM</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 2-40316, No. 2-82109, No. 33-21757, No. 33-59930, No. 333-31595 and No. 333-113246 on Form S-8 of our reports dated November 10, 2005, related to the Financial Statements and Financial Statement Schedule of Winnebago Industries, Inc., and management’s report on the effectiveness of internal control over financial reporting appearing in and incorporated by reference in the Annual Report on Form 10-K for Winnebago Industries, Inc. for the year ended August 27,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Deloitte &amp; Touche LLP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Deloitte &amp; Touche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3298190</wp:posOffset>
            </wp:positionV>
            <wp:extent cx="725043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878" w:right="27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CERTIFICATION BY CHIEF EXECUTIVE OFFICER</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18 U.S.C. SECTION 1350,</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 SECTION 302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SARBANES-OXLEY ACT OF 2002</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D. Hertzke, Chief Executive Officer of Winnebago Industries, Inc., certify that:</w:t>
      </w:r>
    </w:p>
    <w:p>
      <w:pPr>
        <w:spacing w:after="0" w:line="225" w:lineRule="exact"/>
        <w:rPr>
          <w:sz w:val="20"/>
          <w:szCs w:val="20"/>
          <w:color w:val="auto"/>
        </w:rPr>
      </w:pPr>
    </w:p>
    <w:p>
      <w:pPr>
        <w:ind w:left="1180" w:hanging="618"/>
        <w:spacing w:after="0"/>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Winnebago Industries, Inc. (the “Registrant”);</w:t>
      </w:r>
    </w:p>
    <w:p>
      <w:pPr>
        <w:spacing w:after="0" w:line="252" w:lineRule="exact"/>
        <w:rPr>
          <w:rFonts w:ascii="Times New Roman" w:cs="Times New Roman" w:eastAsia="Times New Roman" w:hAnsi="Times New Roman"/>
          <w:sz w:val="18"/>
          <w:szCs w:val="18"/>
          <w:color w:val="auto"/>
        </w:rPr>
      </w:pPr>
    </w:p>
    <w:p>
      <w:pPr>
        <w:ind w:left="1180" w:right="60" w:hanging="618"/>
        <w:spacing w:after="0" w:line="262" w:lineRule="auto"/>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13" w:lineRule="exact"/>
        <w:rPr>
          <w:rFonts w:ascii="Times New Roman" w:cs="Times New Roman" w:eastAsia="Times New Roman" w:hAnsi="Times New Roman"/>
          <w:sz w:val="18"/>
          <w:szCs w:val="18"/>
          <w:color w:val="auto"/>
        </w:rPr>
      </w:pPr>
    </w:p>
    <w:p>
      <w:pPr>
        <w:ind w:left="1180" w:right="60" w:hanging="618"/>
        <w:spacing w:after="0" w:line="339" w:lineRule="auto"/>
        <w:tabs>
          <w:tab w:leader="none" w:pos="11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5" w:lineRule="exact"/>
        <w:rPr>
          <w:rFonts w:ascii="Times New Roman" w:cs="Times New Roman" w:eastAsia="Times New Roman" w:hAnsi="Times New Roman"/>
          <w:sz w:val="16"/>
          <w:szCs w:val="16"/>
          <w:color w:val="auto"/>
        </w:rPr>
      </w:pPr>
    </w:p>
    <w:p>
      <w:pPr>
        <w:ind w:left="1180" w:right="120" w:hanging="618"/>
        <w:spacing w:after="0" w:line="262" w:lineRule="auto"/>
        <w:tabs>
          <w:tab w:leader="none" w:pos="1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Times New Roman" w:cs="Times New Roman" w:eastAsia="Times New Roman" w:hAnsi="Times New Roman"/>
          <w:sz w:val="18"/>
          <w:szCs w:val="18"/>
          <w:color w:val="auto"/>
        </w:rPr>
      </w:pPr>
    </w:p>
    <w:p>
      <w:pPr>
        <w:ind w:left="1760" w:right="60" w:hanging="631"/>
        <w:spacing w:after="0" w:line="262" w:lineRule="auto"/>
        <w:tabs>
          <w:tab w:leader="none" w:pos="17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13" w:lineRule="exact"/>
        <w:rPr>
          <w:rFonts w:ascii="Times New Roman" w:cs="Times New Roman" w:eastAsia="Times New Roman" w:hAnsi="Times New Roman"/>
          <w:sz w:val="18"/>
          <w:szCs w:val="18"/>
          <w:color w:val="auto"/>
        </w:rPr>
      </w:pPr>
    </w:p>
    <w:p>
      <w:pPr>
        <w:jc w:val="both"/>
        <w:ind w:left="1760" w:hanging="631"/>
        <w:spacing w:after="0" w:line="262" w:lineRule="auto"/>
        <w:tabs>
          <w:tab w:leader="none" w:pos="17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Times New Roman" w:cs="Times New Roman" w:eastAsia="Times New Roman" w:hAnsi="Times New Roman"/>
          <w:sz w:val="18"/>
          <w:szCs w:val="18"/>
          <w:color w:val="auto"/>
        </w:rPr>
      </w:pPr>
    </w:p>
    <w:p>
      <w:pPr>
        <w:ind w:left="1760" w:right="220" w:hanging="631"/>
        <w:spacing w:after="0" w:line="262" w:lineRule="auto"/>
        <w:tabs>
          <w:tab w:leader="none" w:pos="17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(the “Evaluation Date”) based on such evaluation; and</w:t>
      </w:r>
    </w:p>
    <w:p>
      <w:pPr>
        <w:spacing w:after="0" w:line="213" w:lineRule="exact"/>
        <w:rPr>
          <w:rFonts w:ascii="Times New Roman" w:cs="Times New Roman" w:eastAsia="Times New Roman" w:hAnsi="Times New Roman"/>
          <w:sz w:val="18"/>
          <w:szCs w:val="18"/>
          <w:color w:val="auto"/>
        </w:rPr>
      </w:pPr>
    </w:p>
    <w:p>
      <w:pPr>
        <w:ind w:left="1760" w:right="320" w:hanging="631"/>
        <w:spacing w:after="0" w:line="262" w:lineRule="auto"/>
        <w:tabs>
          <w:tab w:leader="none" w:pos="17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financing reporting; and;</w:t>
      </w:r>
    </w:p>
    <w:p>
      <w:pPr>
        <w:spacing w:after="0" w:line="213" w:lineRule="exact"/>
        <w:rPr>
          <w:rFonts w:ascii="Times New Roman" w:cs="Times New Roman" w:eastAsia="Times New Roman" w:hAnsi="Times New Roman"/>
          <w:sz w:val="18"/>
          <w:szCs w:val="18"/>
          <w:color w:val="auto"/>
        </w:rPr>
      </w:pPr>
    </w:p>
    <w:p>
      <w:pPr>
        <w:ind w:left="1180" w:right="100" w:hanging="618"/>
        <w:spacing w:after="0" w:line="339" w:lineRule="auto"/>
        <w:tabs>
          <w:tab w:leader="none" w:pos="11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Times New Roman" w:cs="Times New Roman" w:eastAsia="Times New Roman" w:hAnsi="Times New Roman"/>
          <w:sz w:val="16"/>
          <w:szCs w:val="16"/>
          <w:color w:val="auto"/>
        </w:rPr>
      </w:pPr>
    </w:p>
    <w:p>
      <w:pPr>
        <w:ind w:left="1760" w:right="440" w:hanging="631"/>
        <w:spacing w:after="0" w:line="339" w:lineRule="auto"/>
        <w:tabs>
          <w:tab w:leader="none" w:pos="1760"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Times New Roman" w:cs="Times New Roman" w:eastAsia="Times New Roman" w:hAnsi="Times New Roman"/>
          <w:sz w:val="16"/>
          <w:szCs w:val="16"/>
          <w:color w:val="auto"/>
        </w:rPr>
      </w:pPr>
    </w:p>
    <w:p>
      <w:pPr>
        <w:ind w:left="1760" w:right="60" w:hanging="631"/>
        <w:spacing w:after="0" w:line="275" w:lineRule="auto"/>
        <w:tabs>
          <w:tab w:leader="none" w:pos="17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involved management or other employees who have a significant role in the Registrant’s internal control over financial reporting.</w:t>
      </w:r>
    </w:p>
    <w:p>
      <w:pPr>
        <w:spacing w:after="0" w:line="200" w:lineRule="exact"/>
        <w:rPr>
          <w:sz w:val="20"/>
          <w:szCs w:val="20"/>
          <w:color w:val="auto"/>
        </w:rPr>
      </w:pPr>
    </w:p>
    <w:p>
      <w:pPr>
        <w:spacing w:after="0" w:line="2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83820</wp:posOffset>
            </wp:positionV>
            <wp:extent cx="91757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240"/>
        <w:spacing w:after="0"/>
        <w:tabs>
          <w:tab w:leader="none" w:pos="5660" w:val="left"/>
        </w:tabs>
        <w:rPr>
          <w:sz w:val="20"/>
          <w:szCs w:val="20"/>
          <w:color w:val="auto"/>
        </w:rPr>
      </w:pPr>
      <w:r>
        <w:rPr>
          <w:rFonts w:ascii="Times New Roman" w:cs="Times New Roman" w:eastAsia="Times New Roman" w:hAnsi="Times New Roman"/>
          <w:sz w:val="18"/>
          <w:szCs w:val="18"/>
          <w:color w:val="auto"/>
        </w:rPr>
        <w:t>By:</w:t>
        <w:tab/>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83820</wp:posOffset>
            </wp:positionV>
            <wp:extent cx="230695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Bruce D. Hertzke</w:t>
      </w:r>
    </w:p>
    <w:p>
      <w:pPr>
        <w:spacing w:after="0" w:line="2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Chairman of the Board, Chief Executive</w:t>
      </w:r>
    </w:p>
    <w:p>
      <w:pPr>
        <w:spacing w:after="0" w:line="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382270</wp:posOffset>
            </wp:positionV>
            <wp:extent cx="725043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878" w:right="25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CERTIFICATION BY CHIEF FINANCIAL OFFICER</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18 U.S.C. SECTION 1350,</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color w:val="auto"/>
        </w:rPr>
        <w:t>AS ADOPTED PURSUANT TO SECTION 302</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SARBANES-OXLEY ACT OF 2002</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Edwin F. Barker, Chief Financial Officer of Winnebago Industries, Inc., certify that:</w:t>
      </w:r>
    </w:p>
    <w:p>
      <w:pPr>
        <w:spacing w:after="0" w:line="225" w:lineRule="exact"/>
        <w:rPr>
          <w:sz w:val="20"/>
          <w:szCs w:val="20"/>
          <w:color w:val="auto"/>
        </w:rPr>
      </w:pPr>
    </w:p>
    <w:p>
      <w:pPr>
        <w:ind w:left="1180" w:hanging="618"/>
        <w:spacing w:after="0"/>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Winnebago Industries, Inc. (the “Registrant”);</w:t>
      </w:r>
    </w:p>
    <w:p>
      <w:pPr>
        <w:spacing w:after="0" w:line="252" w:lineRule="exact"/>
        <w:rPr>
          <w:rFonts w:ascii="Times New Roman" w:cs="Times New Roman" w:eastAsia="Times New Roman" w:hAnsi="Times New Roman"/>
          <w:sz w:val="18"/>
          <w:szCs w:val="18"/>
          <w:color w:val="auto"/>
        </w:rPr>
      </w:pPr>
    </w:p>
    <w:p>
      <w:pPr>
        <w:ind w:left="1180" w:right="60" w:hanging="618"/>
        <w:spacing w:after="0" w:line="262" w:lineRule="auto"/>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13" w:lineRule="exact"/>
        <w:rPr>
          <w:rFonts w:ascii="Times New Roman" w:cs="Times New Roman" w:eastAsia="Times New Roman" w:hAnsi="Times New Roman"/>
          <w:sz w:val="18"/>
          <w:szCs w:val="18"/>
          <w:color w:val="auto"/>
        </w:rPr>
      </w:pPr>
    </w:p>
    <w:p>
      <w:pPr>
        <w:ind w:left="1180" w:right="60" w:hanging="618"/>
        <w:spacing w:after="0" w:line="339" w:lineRule="auto"/>
        <w:tabs>
          <w:tab w:leader="none" w:pos="11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5" w:lineRule="exact"/>
        <w:rPr>
          <w:rFonts w:ascii="Times New Roman" w:cs="Times New Roman" w:eastAsia="Times New Roman" w:hAnsi="Times New Roman"/>
          <w:sz w:val="16"/>
          <w:szCs w:val="16"/>
          <w:color w:val="auto"/>
        </w:rPr>
      </w:pPr>
    </w:p>
    <w:p>
      <w:pPr>
        <w:ind w:left="1180" w:right="120" w:hanging="618"/>
        <w:spacing w:after="0" w:line="262" w:lineRule="auto"/>
        <w:tabs>
          <w:tab w:leader="none" w:pos="1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3" w:lineRule="exact"/>
        <w:rPr>
          <w:rFonts w:ascii="Times New Roman" w:cs="Times New Roman" w:eastAsia="Times New Roman" w:hAnsi="Times New Roman"/>
          <w:sz w:val="18"/>
          <w:szCs w:val="18"/>
          <w:color w:val="auto"/>
        </w:rPr>
      </w:pPr>
    </w:p>
    <w:p>
      <w:pPr>
        <w:ind w:left="1760" w:right="60" w:hanging="631"/>
        <w:spacing w:after="0" w:line="262" w:lineRule="auto"/>
        <w:tabs>
          <w:tab w:leader="none" w:pos="17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213" w:lineRule="exact"/>
        <w:rPr>
          <w:rFonts w:ascii="Times New Roman" w:cs="Times New Roman" w:eastAsia="Times New Roman" w:hAnsi="Times New Roman"/>
          <w:sz w:val="18"/>
          <w:szCs w:val="18"/>
          <w:color w:val="auto"/>
        </w:rPr>
      </w:pPr>
    </w:p>
    <w:p>
      <w:pPr>
        <w:jc w:val="both"/>
        <w:ind w:left="1760" w:hanging="631"/>
        <w:spacing w:after="0" w:line="262" w:lineRule="auto"/>
        <w:tabs>
          <w:tab w:leader="none" w:pos="17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3" w:lineRule="exact"/>
        <w:rPr>
          <w:rFonts w:ascii="Times New Roman" w:cs="Times New Roman" w:eastAsia="Times New Roman" w:hAnsi="Times New Roman"/>
          <w:sz w:val="18"/>
          <w:szCs w:val="18"/>
          <w:color w:val="auto"/>
        </w:rPr>
      </w:pPr>
    </w:p>
    <w:p>
      <w:pPr>
        <w:ind w:left="1760" w:right="220" w:hanging="631"/>
        <w:spacing w:after="0" w:line="262" w:lineRule="auto"/>
        <w:tabs>
          <w:tab w:leader="none" w:pos="17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(the “Evaluation Date”) based on such evaluation; and</w:t>
      </w:r>
    </w:p>
    <w:p>
      <w:pPr>
        <w:spacing w:after="0" w:line="213" w:lineRule="exact"/>
        <w:rPr>
          <w:rFonts w:ascii="Times New Roman" w:cs="Times New Roman" w:eastAsia="Times New Roman" w:hAnsi="Times New Roman"/>
          <w:sz w:val="18"/>
          <w:szCs w:val="18"/>
          <w:color w:val="auto"/>
        </w:rPr>
      </w:pPr>
    </w:p>
    <w:p>
      <w:pPr>
        <w:ind w:left="1760" w:right="320" w:hanging="631"/>
        <w:spacing w:after="0" w:line="262" w:lineRule="auto"/>
        <w:tabs>
          <w:tab w:leader="none" w:pos="17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financing reporting; and;</w:t>
      </w:r>
    </w:p>
    <w:p>
      <w:pPr>
        <w:spacing w:after="0" w:line="213" w:lineRule="exact"/>
        <w:rPr>
          <w:rFonts w:ascii="Times New Roman" w:cs="Times New Roman" w:eastAsia="Times New Roman" w:hAnsi="Times New Roman"/>
          <w:sz w:val="18"/>
          <w:szCs w:val="18"/>
          <w:color w:val="auto"/>
        </w:rPr>
      </w:pPr>
    </w:p>
    <w:p>
      <w:pPr>
        <w:ind w:left="1180" w:right="100" w:hanging="618"/>
        <w:spacing w:after="0" w:line="339" w:lineRule="auto"/>
        <w:tabs>
          <w:tab w:leader="none" w:pos="11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Times New Roman" w:cs="Times New Roman" w:eastAsia="Times New Roman" w:hAnsi="Times New Roman"/>
          <w:sz w:val="16"/>
          <w:szCs w:val="16"/>
          <w:color w:val="auto"/>
        </w:rPr>
      </w:pPr>
    </w:p>
    <w:p>
      <w:pPr>
        <w:ind w:left="1760" w:right="440" w:hanging="631"/>
        <w:spacing w:after="0" w:line="339" w:lineRule="auto"/>
        <w:tabs>
          <w:tab w:leader="none" w:pos="1760"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Times New Roman" w:cs="Times New Roman" w:eastAsia="Times New Roman" w:hAnsi="Times New Roman"/>
          <w:sz w:val="16"/>
          <w:szCs w:val="16"/>
          <w:color w:val="auto"/>
        </w:rPr>
      </w:pPr>
    </w:p>
    <w:p>
      <w:pPr>
        <w:ind w:left="1760" w:right="60" w:hanging="631"/>
        <w:spacing w:after="0" w:line="275" w:lineRule="auto"/>
        <w:tabs>
          <w:tab w:leader="none" w:pos="17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involved management or other employees who have a significant role in the Registrant’s internal control over financial reporting.</w:t>
      </w:r>
    </w:p>
    <w:p>
      <w:pPr>
        <w:spacing w:after="0" w:line="200" w:lineRule="exact"/>
        <w:rPr>
          <w:sz w:val="20"/>
          <w:szCs w:val="20"/>
          <w:color w:val="auto"/>
        </w:rPr>
      </w:pPr>
    </w:p>
    <w:p>
      <w:pPr>
        <w:spacing w:after="0" w:line="2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83820</wp:posOffset>
            </wp:positionV>
            <wp:extent cx="91757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240"/>
        <w:spacing w:after="0"/>
        <w:tabs>
          <w:tab w:leader="none" w:pos="5660" w:val="left"/>
        </w:tabs>
        <w:rPr>
          <w:sz w:val="20"/>
          <w:szCs w:val="20"/>
          <w:color w:val="auto"/>
        </w:rPr>
      </w:pPr>
      <w:r>
        <w:rPr>
          <w:rFonts w:ascii="Times New Roman" w:cs="Times New Roman" w:eastAsia="Times New Roman" w:hAnsi="Times New Roman"/>
          <w:sz w:val="18"/>
          <w:szCs w:val="18"/>
          <w:color w:val="auto"/>
        </w:rPr>
        <w:t>By:</w:t>
        <w:tab/>
        <w:t>/s/  Ed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83820</wp:posOffset>
            </wp:positionV>
            <wp:extent cx="230695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Edwin F. Barker</w:t>
      </w:r>
    </w:p>
    <w:p>
      <w:pPr>
        <w:spacing w:after="0" w:line="2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382270</wp:posOffset>
            </wp:positionV>
            <wp:extent cx="725043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878" w:right="25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8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CERTIFICATION PURSUANT TO SECTION 906 OF THE</w:t>
      </w:r>
    </w:p>
    <w:p>
      <w:pPr>
        <w:spacing w:after="0" w:line="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SARBANES-OXLEY ACT OF 2002</w:t>
      </w:r>
    </w:p>
    <w:p>
      <w:pPr>
        <w:ind w:left="4460"/>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spacing w:after="0" w:line="263" w:lineRule="exact"/>
        <w:rPr>
          <w:sz w:val="20"/>
          <w:szCs w:val="20"/>
          <w:color w:val="auto"/>
        </w:rPr>
      </w:pPr>
    </w:p>
    <w:p>
      <w:pPr>
        <w:jc w:val="both"/>
        <w:ind w:left="580" w:right="20"/>
        <w:spacing w:after="0" w:line="262" w:lineRule="auto"/>
        <w:rPr>
          <w:sz w:val="20"/>
          <w:szCs w:val="20"/>
          <w:color w:val="auto"/>
        </w:rPr>
      </w:pPr>
      <w:r>
        <w:rPr>
          <w:rFonts w:ascii="Times New Roman" w:cs="Times New Roman" w:eastAsia="Times New Roman" w:hAnsi="Times New Roman"/>
          <w:sz w:val="18"/>
          <w:szCs w:val="18"/>
          <w:color w:val="auto"/>
        </w:rPr>
        <w:t>In connection with this Annual Report on Form 10-K of Winnebago Industries, Inc. for the period ended August 27, 2005, I, Bruce D. Hertzke, Chairman of the Board and Chief Executive Officer of Winnebago Industries, Inc., certifies that pursuant to 18 U.S.C. §1350 as adopted pursuant to Section 906 of the Sarbanes-Oxley Act of 2002, that:</w:t>
      </w:r>
    </w:p>
    <w:p>
      <w:pPr>
        <w:spacing w:after="0" w:line="213" w:lineRule="exact"/>
        <w:rPr>
          <w:sz w:val="20"/>
          <w:szCs w:val="20"/>
          <w:color w:val="auto"/>
        </w:rPr>
      </w:pPr>
    </w:p>
    <w:p>
      <w:pPr>
        <w:ind w:left="1760" w:right="140" w:hanging="631"/>
        <w:spacing w:after="0" w:line="262" w:lineRule="auto"/>
        <w:tabs>
          <w:tab w:leader="none" w:pos="1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Annual Report on Form 10-K (“periodic report”) of Winnebago Industries, Inc. (the “issuer”), for the fiscal year ended August 27, 2005 as filed with the Securities and Exchange Commission on the date of this certificate, which this statement accompanies, fully complies with the requirements of Section 13(a) or 15(d) of the Securities Exchange Act of 1934, and</w:t>
      </w:r>
    </w:p>
    <w:p>
      <w:pPr>
        <w:spacing w:after="0" w:line="213" w:lineRule="exact"/>
        <w:rPr>
          <w:rFonts w:ascii="Times New Roman" w:cs="Times New Roman" w:eastAsia="Times New Roman" w:hAnsi="Times New Roman"/>
          <w:sz w:val="18"/>
          <w:szCs w:val="18"/>
          <w:color w:val="auto"/>
        </w:rPr>
      </w:pPr>
    </w:p>
    <w:p>
      <w:pPr>
        <w:ind w:left="1760" w:hanging="631"/>
        <w:spacing w:after="0" w:line="275" w:lineRule="auto"/>
        <w:tabs>
          <w:tab w:leader="none" w:pos="1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83820</wp:posOffset>
            </wp:positionV>
            <wp:extent cx="91757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240"/>
        <w:spacing w:after="0"/>
        <w:tabs>
          <w:tab w:leader="none" w:pos="5660" w:val="left"/>
        </w:tabs>
        <w:rPr>
          <w:sz w:val="20"/>
          <w:szCs w:val="20"/>
          <w:color w:val="auto"/>
        </w:rPr>
      </w:pPr>
      <w:r>
        <w:rPr>
          <w:rFonts w:ascii="Times New Roman" w:cs="Times New Roman" w:eastAsia="Times New Roman" w:hAnsi="Times New Roman"/>
          <w:sz w:val="18"/>
          <w:szCs w:val="18"/>
          <w:color w:val="auto"/>
        </w:rPr>
        <w:t>By:</w:t>
        <w:tab/>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83820</wp:posOffset>
            </wp:positionV>
            <wp:extent cx="230695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Bruce D. Hertzke</w:t>
      </w:r>
    </w:p>
    <w:p>
      <w:pPr>
        <w:spacing w:after="0" w:line="2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Chairman of the Board, Chief Executive</w:t>
      </w:r>
    </w:p>
    <w:p>
      <w:pPr>
        <w:spacing w:after="0" w:line="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1925955</wp:posOffset>
            </wp:positionV>
            <wp:extent cx="725043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878" w:right="25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8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CERTIFICATION PURSUANT TO SECTION 906 OF THE</w:t>
      </w:r>
    </w:p>
    <w:p>
      <w:pPr>
        <w:spacing w:after="0" w:line="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SARBANES-OXLEY ACT OF 2002</w:t>
      </w:r>
    </w:p>
    <w:p>
      <w:pPr>
        <w:ind w:left="4460"/>
        <w:spacing w:after="0"/>
        <w:rPr>
          <w:sz w:val="20"/>
          <w:szCs w:val="20"/>
          <w:color w:val="auto"/>
        </w:rPr>
      </w:pPr>
      <w:r>
        <w:rPr>
          <w:rFonts w:ascii="Times New Roman" w:cs="Times New Roman" w:eastAsia="Times New Roman" w:hAnsi="Times New Roman"/>
          <w:sz w:val="22"/>
          <w:szCs w:val="22"/>
          <w:b w:val="1"/>
          <w:bCs w:val="1"/>
          <w:color w:val="auto"/>
        </w:rPr>
        <w:t>(18 U.S.C. SECTION 1350)</w:t>
      </w:r>
    </w:p>
    <w:p>
      <w:pPr>
        <w:spacing w:after="0" w:line="263" w:lineRule="exact"/>
        <w:rPr>
          <w:sz w:val="20"/>
          <w:szCs w:val="20"/>
          <w:color w:val="auto"/>
        </w:rPr>
      </w:pPr>
    </w:p>
    <w:p>
      <w:pPr>
        <w:jc w:val="both"/>
        <w:ind w:left="580" w:right="60"/>
        <w:spacing w:after="0" w:line="262" w:lineRule="auto"/>
        <w:rPr>
          <w:sz w:val="20"/>
          <w:szCs w:val="20"/>
          <w:color w:val="auto"/>
        </w:rPr>
      </w:pPr>
      <w:r>
        <w:rPr>
          <w:rFonts w:ascii="Times New Roman" w:cs="Times New Roman" w:eastAsia="Times New Roman" w:hAnsi="Times New Roman"/>
          <w:sz w:val="18"/>
          <w:szCs w:val="18"/>
          <w:color w:val="auto"/>
        </w:rPr>
        <w:t>In connection with this Annual Report on Form 10-K of Winnebago Industries, Inc. for the period ended August 27, 2005, I, Edwin F. Barker, President and Chief Financial Officer of Winnebago Industries, Inc., certifies that pursuant to 18 U.S.C. §1350 as adopted pursuant to Section 906 of the Sarbanes-Oxley Act of 2002, that:</w:t>
      </w:r>
    </w:p>
    <w:p>
      <w:pPr>
        <w:spacing w:after="0" w:line="213" w:lineRule="exact"/>
        <w:rPr>
          <w:sz w:val="20"/>
          <w:szCs w:val="20"/>
          <w:color w:val="auto"/>
        </w:rPr>
      </w:pPr>
    </w:p>
    <w:p>
      <w:pPr>
        <w:ind w:left="1760" w:right="140" w:hanging="631"/>
        <w:spacing w:after="0" w:line="262" w:lineRule="auto"/>
        <w:tabs>
          <w:tab w:leader="none" w:pos="1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Annual Report on Form 10-K (“periodic report”) of Winnebago Industries, Inc. (the “issuer”), for the fiscal year ended August 27, 2005 as filed with the Securities and Exchange Commission on the date of this certificate, which this statement accompanies, fully complies with the requirements of Section 13(a) or 15(d) of the Securities Exchange Act of 1934, and</w:t>
      </w:r>
    </w:p>
    <w:p>
      <w:pPr>
        <w:spacing w:after="0" w:line="213" w:lineRule="exact"/>
        <w:rPr>
          <w:rFonts w:ascii="Times New Roman" w:cs="Times New Roman" w:eastAsia="Times New Roman" w:hAnsi="Times New Roman"/>
          <w:sz w:val="18"/>
          <w:szCs w:val="18"/>
          <w:color w:val="auto"/>
        </w:rPr>
      </w:pPr>
    </w:p>
    <w:p>
      <w:pPr>
        <w:ind w:left="1760" w:hanging="631"/>
        <w:spacing w:after="0" w:line="275" w:lineRule="auto"/>
        <w:tabs>
          <w:tab w:leader="none" w:pos="1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83820</wp:posOffset>
            </wp:positionV>
            <wp:extent cx="91757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240"/>
        <w:spacing w:after="0"/>
        <w:tabs>
          <w:tab w:leader="none" w:pos="5660" w:val="left"/>
        </w:tabs>
        <w:rPr>
          <w:sz w:val="20"/>
          <w:szCs w:val="20"/>
          <w:color w:val="auto"/>
        </w:rPr>
      </w:pPr>
      <w:r>
        <w:rPr>
          <w:rFonts w:ascii="Times New Roman" w:cs="Times New Roman" w:eastAsia="Times New Roman" w:hAnsi="Times New Roman"/>
          <w:sz w:val="18"/>
          <w:szCs w:val="18"/>
          <w:color w:val="auto"/>
        </w:rPr>
        <w:t>By:</w:t>
        <w:tab/>
        <w:t>/s/  Ed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83820</wp:posOffset>
            </wp:positionV>
            <wp:extent cx="230695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Edwin F. Barker</w:t>
      </w:r>
    </w:p>
    <w:p>
      <w:pPr>
        <w:spacing w:after="0" w:line="2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2080260</wp:posOffset>
            </wp:positionV>
            <wp:extent cx="725043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00"/>
      </w:cols>
      <w:pgMar w:left="240" w:top="87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amp;"/>
      <w:numFmt w:val="bullet"/>
      <w:start w:val="1"/>
    </w:lvl>
  </w:abstractNum>
  <w:abstractNum w:abstractNumId="8">
    <w:nsid w:val="257130A3"/>
    <w:multiLevelType w:val="hybridMultilevel"/>
    <w:lvl w:ilvl="0">
      <w:lvlJc w:val="left"/>
      <w:lvlText w:val="(%1)"/>
      <w:numFmt w:val="lowerLetter"/>
      <w:start w:val="1"/>
    </w:lvl>
    <w:lvl w:ilvl="1">
      <w:lvlJc w:val="left"/>
      <w:lvlText w:val="%2."/>
      <w:numFmt w:val="decimal"/>
      <w:start w:val="2"/>
    </w:lvl>
  </w:abstractNum>
  <w:abstractNum w:abstractNumId="9">
    <w:nsid w:val="62BBD95A"/>
    <w:multiLevelType w:val="hybridMultilevel"/>
    <w:lvl w:ilvl="0">
      <w:lvlJc w:val="left"/>
      <w:lvlText w:val="%1."/>
      <w:numFmt w:val="decimal"/>
      <w:start w:val="3"/>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3"/>
    </w:lvl>
  </w:abstractNum>
  <w:abstractNum w:abstractNumId="12">
    <w:nsid w:val="333AB105"/>
    <w:multiLevelType w:val="hybridMultilevel"/>
    <w:lvl w:ilvl="0">
      <w:lvlJc w:val="left"/>
      <w:lvlText w:val="%1."/>
      <w:numFmt w:val="decimal"/>
      <w:start w:val="21"/>
    </w:lvl>
  </w:abstractNum>
  <w:abstractNum w:abstractNumId="13">
    <w:nsid w:val="721DA317"/>
    <w:multiLevelType w:val="hybridMultilevel"/>
    <w:lvl w:ilvl="0">
      <w:lvlJc w:val="left"/>
      <w:lvlText w:val="%1."/>
      <w:numFmt w:val="decimal"/>
      <w:start w:val="23"/>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2"/>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4"/>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lowerLetter"/>
      <w:start w:val="1"/>
    </w:lvl>
  </w:abstractNum>
  <w:abstractNum w:abstractNumId="29">
    <w:nsid w:val="813864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2019-12-13T08:24:46Z</dcterms:created>
  <dcterms:modified xsi:type="dcterms:W3CDTF">2019-12-13T08:24:46Z</dcterms:modified>
</cp:coreProperties>
</file>