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21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218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Nielsen Sarah 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11/14/2005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6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6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6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620" w:type="dxa"/>
            <w:vAlign w:val="bottom"/>
          </w:tcPr>
          <w:p>
            <w:pPr>
              <w:ind w:left="900"/>
              <w:spacing w:after="0"/>
              <w:rPr>
                <w:sz w:val="20"/>
                <w:szCs w:val="20"/>
                <w:color w:val="auto"/>
              </w:rPr>
            </w:pPr>
            <w:r>
              <w:rPr>
                <w:rFonts w:ascii="Arial" w:cs="Arial" w:eastAsia="Arial" w:hAnsi="Arial"/>
                <w:sz w:val="18"/>
                <w:szCs w:val="18"/>
                <w:color w:val="0000FF"/>
              </w:rPr>
              <w:t>VP-CFO</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40" w:type="dxa"/>
            <w:vAlign w:val="bottom"/>
          </w:tcPr>
          <w:p>
            <w:pPr>
              <w:jc w:val="right"/>
              <w:ind w:right="824"/>
              <w:spacing w:after="0"/>
              <w:rPr>
                <w:sz w:val="20"/>
                <w:szCs w:val="20"/>
                <w:color w:val="auto"/>
              </w:rPr>
            </w:pPr>
            <w:r>
              <w:rPr>
                <w:rFonts w:ascii="Arial" w:cs="Arial" w:eastAsia="Arial" w:hAnsi="Arial"/>
                <w:sz w:val="18"/>
                <w:szCs w:val="18"/>
                <w:color w:val="0000FF"/>
              </w:rPr>
              <w:t>0</w:t>
            </w:r>
          </w:p>
        </w:tc>
        <w:tc>
          <w:tcPr>
            <w:tcW w:w="980" w:type="dxa"/>
            <w:vAlign w:val="bottom"/>
          </w:tcPr>
          <w:p>
            <w:pPr>
              <w:ind w:left="70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5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Options (rights to buy)</w:t>
            </w:r>
            <w:r>
              <w:rPr>
                <w:rFonts w:ascii="Arial" w:cs="Arial" w:eastAsia="Arial" w:hAnsi="Arial"/>
                <w:sz w:val="22"/>
                <w:szCs w:val="22"/>
                <w:color w:val="008000"/>
                <w:vertAlign w:val="superscript"/>
              </w:rPr>
              <w:t>(1)</w:t>
            </w:r>
          </w:p>
        </w:tc>
        <w:tc>
          <w:tcPr>
            <w:tcW w:w="152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11/14/2015</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ind w:left="280"/>
              <w:spacing w:after="0"/>
              <w:rPr>
                <w:sz w:val="20"/>
                <w:szCs w:val="20"/>
                <w:color w:val="auto"/>
              </w:rPr>
            </w:pPr>
            <w:r>
              <w:rPr>
                <w:rFonts w:ascii="Arial" w:cs="Arial" w:eastAsia="Arial" w:hAnsi="Arial"/>
                <w:sz w:val="18"/>
                <w:szCs w:val="18"/>
                <w:color w:val="0000FF"/>
                <w:w w:val="93"/>
              </w:rPr>
              <w:t>12,500</w:t>
            </w:r>
            <w:r>
              <w:rPr>
                <w:rFonts w:ascii="Arial" w:cs="Arial" w:eastAsia="Arial" w:hAnsi="Arial"/>
                <w:sz w:val="22"/>
                <w:szCs w:val="22"/>
                <w:color w:val="008000"/>
                <w:w w:val="93"/>
                <w:vertAlign w:val="superscript"/>
              </w:rPr>
              <w:t>(1)</w:t>
            </w:r>
          </w:p>
        </w:tc>
        <w:tc>
          <w:tcPr>
            <w:tcW w:w="880" w:type="dxa"/>
            <w:vAlign w:val="bottom"/>
          </w:tcPr>
          <w:p>
            <w:pPr>
              <w:ind w:left="200"/>
              <w:spacing w:after="0"/>
              <w:rPr>
                <w:sz w:val="20"/>
                <w:szCs w:val="20"/>
                <w:color w:val="auto"/>
              </w:rPr>
            </w:pPr>
            <w:r>
              <w:rPr>
                <w:rFonts w:ascii="Arial" w:cs="Arial" w:eastAsia="Arial" w:hAnsi="Arial"/>
                <w:sz w:val="18"/>
                <w:szCs w:val="18"/>
                <w:color w:val="0000FF"/>
              </w:rPr>
              <w:t>32.345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Granted under the Winnebago Industries, Inc. 2004 Incentive Compensation Plan which is a Section 16(b) Plan. Options become exercisable in annual increments of one-third commencing 11/14/06.</w:t>
      </w:r>
    </w:p>
    <w:p>
      <w:pPr>
        <w:sectPr>
          <w:pgSz w:w="11900" w:h="16838" w:orient="portrait"/>
          <w:cols w:equalWidth="0" w:num="1">
            <w:col w:w="11420"/>
          </w:cols>
          <w:pgMar w:left="240" w:top="226" w:right="239" w:bottom="1440" w:gutter="0" w:footer="0" w:header="0"/>
          <w:type w:val="continuous"/>
        </w:sectPr>
      </w:pPr>
    </w:p>
    <w:p>
      <w:pPr>
        <w:spacing w:after="0" w:line="94"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spacing w:after="0"/>
        <w:rPr>
          <w:sz w:val="20"/>
          <w:szCs w:val="20"/>
          <w:color w:val="auto"/>
        </w:rPr>
      </w:pPr>
      <w:r>
        <w:rPr>
          <w:rFonts w:ascii="Arial" w:cs="Arial" w:eastAsia="Arial" w:hAnsi="Arial"/>
          <w:sz w:val="15"/>
          <w:szCs w:val="15"/>
          <w:color w:val="0000FF"/>
        </w:rPr>
        <w:t>11/15/2005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 IT KNOWN, that Sarah N. Nielsen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194" w:lineRule="exact"/>
        <w:rPr>
          <w:sz w:val="20"/>
          <w:szCs w:val="20"/>
          <w:color w:val="auto"/>
        </w:rPr>
      </w:pPr>
    </w:p>
    <w:p>
      <w:pPr>
        <w:ind w:left="1040" w:right="1400"/>
        <w:spacing w:after="0" w:line="332" w:lineRule="auto"/>
        <w:rPr>
          <w:sz w:val="20"/>
          <w:szCs w:val="20"/>
          <w:color w:val="auto"/>
        </w:rPr>
      </w:pPr>
      <w:r>
        <w:rPr>
          <w:rFonts w:ascii="Arial" w:cs="Arial" w:eastAsia="Arial" w:hAnsi="Arial"/>
          <w:sz w:val="16"/>
          <w:szCs w:val="16"/>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38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this 14</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2005.</w:t>
      </w:r>
    </w:p>
    <w:p>
      <w:pPr>
        <w:spacing w:after="0" w:line="38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80010</wp:posOffset>
            </wp:positionV>
            <wp:extent cx="2607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Sarah N. Nielsen</w:t>
      </w:r>
    </w:p>
    <w:p>
      <w:pPr>
        <w:sectPr>
          <w:pgSz w:w="11900" w:h="16838" w:orient="portrait"/>
          <w:cols w:equalWidth="0" w:num="1">
            <w:col w:w="11420"/>
          </w:cols>
          <w:pgMar w:left="240" w:top="111" w:right="239" w:bottom="1440" w:gutter="0" w:footer="0" w:header="0"/>
        </w:sectPr>
      </w:pPr>
    </w:p>
    <w:p>
      <w:pPr>
        <w:spacing w:after="0" w:line="252" w:lineRule="exact"/>
        <w:rPr>
          <w:sz w:val="20"/>
          <w:szCs w:val="20"/>
          <w:color w:val="auto"/>
        </w:rPr>
      </w:pPr>
    </w:p>
    <w:p>
      <w:pPr>
        <w:spacing w:after="0" w:line="564" w:lineRule="auto"/>
        <w:rPr>
          <w:sz w:val="20"/>
          <w:szCs w:val="20"/>
          <w:color w:val="auto"/>
        </w:rPr>
      </w:pPr>
      <w:r>
        <w:rPr>
          <w:rFonts w:ascii="Arial" w:cs="Arial" w:eastAsia="Arial" w:hAnsi="Arial"/>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0" w:lineRule="exact"/>
        <w:rPr>
          <w:sz w:val="20"/>
          <w:szCs w:val="20"/>
          <w:color w:val="auto"/>
        </w:rPr>
      </w:pPr>
    </w:p>
    <w:p>
      <w:pPr>
        <w:sectPr>
          <w:pgSz w:w="11900" w:h="16838" w:orient="portrait"/>
          <w:cols w:equalWidth="0" w:num="2">
            <w:col w:w="1920" w:space="220"/>
            <w:col w:w="9280"/>
          </w:cols>
          <w:pgMar w:left="240" w:top="111" w:right="239" w:bottom="1440" w:gutter="0" w:footer="0" w:header="0"/>
          <w:type w:val="continuous"/>
        </w:sectPr>
      </w:pPr>
    </w:p>
    <w:p>
      <w:pPr>
        <w:ind w:right="120" w:firstLine="348"/>
        <w:spacing w:after="0" w:line="212" w:lineRule="auto"/>
        <w:rPr>
          <w:sz w:val="20"/>
          <w:szCs w:val="20"/>
          <w:color w:val="auto"/>
        </w:rPr>
      </w:pPr>
      <w:r>
        <w:rPr>
          <w:rFonts w:ascii="Arial" w:cs="Arial" w:eastAsia="Arial" w:hAnsi="Arial"/>
          <w:sz w:val="18"/>
          <w:szCs w:val="18"/>
          <w:color w:val="auto"/>
        </w:rPr>
        <w:t>The foregoing instrument was acknowledged by me this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November, 2005, by Sarah N. Nielsen who is personally known by me and who did not take an oath.</w:t>
      </w: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Karen C. Jefson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80010</wp:posOffset>
            </wp:positionV>
            <wp:extent cx="2607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Karen C. Jefson</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 in and for the State of Iowa</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My Commission Expires: 5/11/07</w:t>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1" Type="http://schemas.openxmlformats.org/officeDocument/2006/relationships/hyperlink" Target="http://www.sec.gov/cgi-bin/browse-edgar?action=getcompany&amp;CIK=0001344393"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2019-12-16T07:48:40Z</dcterms:created>
  <dcterms:modified xsi:type="dcterms:W3CDTF">2019-12-16T07:48:40Z</dcterms:modified>
</cp:coreProperties>
</file>