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9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March 21,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175260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1000" w:type="dxa"/>
        <w:tblCellMar>
          <w:top w:w="0" w:type="dxa"/>
          <w:left w:w="0" w:type="dxa"/>
          <w:bottom w:w="0" w:type="dxa"/>
          <w:right w:w="0" w:type="dxa"/>
        </w:tblCellMar>
      </w:tblPr>
      <w:tr>
        <w:trPr>
          <w:trHeight w:val="217"/>
        </w:trPr>
        <w:tc>
          <w:tcPr>
            <w:tcW w:w="17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rPr>
              <w:t>Minnesota</w:t>
            </w:r>
          </w:p>
        </w:tc>
        <w:tc>
          <w:tcPr>
            <w:tcW w:w="1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001-06403</w:t>
            </w:r>
          </w:p>
        </w:tc>
        <w:tc>
          <w:tcPr>
            <w:tcW w:w="29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42-0802678</w:t>
            </w:r>
          </w:p>
        </w:tc>
      </w:tr>
      <w:tr>
        <w:trPr>
          <w:trHeight w:val="169"/>
        </w:trPr>
        <w:tc>
          <w:tcPr>
            <w:tcW w:w="4620" w:type="dxa"/>
            <w:vAlign w:val="bottom"/>
            <w:gridSpan w:val="3"/>
          </w:tcPr>
          <w:p>
            <w:pPr>
              <w:jc w:val="center"/>
              <w:spacing w:after="0" w:line="169" w:lineRule="exact"/>
              <w:rPr>
                <w:sz w:val="20"/>
                <w:szCs w:val="20"/>
                <w:color w:val="auto"/>
              </w:rPr>
            </w:pPr>
            <w:r>
              <w:rPr>
                <w:rFonts w:ascii="Arial" w:cs="Arial" w:eastAsia="Arial" w:hAnsi="Arial"/>
                <w:sz w:val="16"/>
                <w:szCs w:val="16"/>
                <w:color w:val="auto"/>
              </w:rPr>
              <w:t>(State or Other Jurisdiction of Incorporation)</w:t>
            </w:r>
          </w:p>
        </w:tc>
        <w:tc>
          <w:tcPr>
            <w:tcW w:w="1660" w:type="dxa"/>
            <w:vAlign w:val="bottom"/>
          </w:tcPr>
          <w:p>
            <w:pPr>
              <w:jc w:val="center"/>
              <w:spacing w:after="0" w:line="169" w:lineRule="exact"/>
              <w:rPr>
                <w:sz w:val="20"/>
                <w:szCs w:val="20"/>
                <w:color w:val="auto"/>
              </w:rPr>
            </w:pPr>
            <w:r>
              <w:rPr>
                <w:rFonts w:ascii="Arial" w:cs="Arial" w:eastAsia="Arial" w:hAnsi="Arial"/>
                <w:sz w:val="16"/>
                <w:szCs w:val="16"/>
                <w:color w:val="auto"/>
              </w:rPr>
              <w:t>(Commission File</w:t>
            </w:r>
          </w:p>
        </w:tc>
        <w:tc>
          <w:tcPr>
            <w:tcW w:w="2960" w:type="dxa"/>
            <w:vAlign w:val="bottom"/>
          </w:tcPr>
          <w:p>
            <w:pPr>
              <w:jc w:val="center"/>
              <w:spacing w:after="0" w:line="169" w:lineRule="exact"/>
              <w:rPr>
                <w:sz w:val="20"/>
                <w:szCs w:val="20"/>
                <w:color w:val="auto"/>
              </w:rPr>
            </w:pPr>
            <w:r>
              <w:rPr>
                <w:rFonts w:ascii="Arial" w:cs="Arial" w:eastAsia="Arial" w:hAnsi="Arial"/>
                <w:sz w:val="16"/>
                <w:szCs w:val="16"/>
                <w:color w:val="auto"/>
              </w:rPr>
              <w:t>(IRS Employer Identification No.)</w:t>
            </w:r>
          </w:p>
        </w:tc>
      </w:tr>
      <w:tr>
        <w:trPr>
          <w:trHeight w:val="215"/>
        </w:trPr>
        <w:tc>
          <w:tcPr>
            <w:tcW w:w="1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Number)</w:t>
            </w:r>
          </w:p>
        </w:tc>
        <w:tc>
          <w:tcPr>
            <w:tcW w:w="2960" w:type="dxa"/>
            <w:vAlign w:val="bottom"/>
          </w:tcPr>
          <w:p>
            <w:pPr>
              <w:spacing w:after="0"/>
              <w:rPr>
                <w:sz w:val="18"/>
                <w:szCs w:val="18"/>
                <w:color w:val="auto"/>
              </w:rPr>
            </w:pPr>
          </w:p>
        </w:tc>
      </w:tr>
      <w:tr>
        <w:trPr>
          <w:trHeight w:val="541"/>
        </w:trPr>
        <w:tc>
          <w:tcPr>
            <w:tcW w:w="17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13200 Pioneer Trail</w:t>
            </w: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Eden Prairie</w:t>
            </w: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Minnesota</w:t>
            </w:r>
          </w:p>
        </w:tc>
        <w:tc>
          <w:tcPr>
            <w:tcW w:w="1660" w:type="dxa"/>
            <w:vAlign w:val="bottom"/>
          </w:tcPr>
          <w:p>
            <w:pPr>
              <w:spacing w:after="0"/>
              <w:rPr>
                <w:sz w:val="24"/>
                <w:szCs w:val="24"/>
                <w:color w:val="auto"/>
              </w:rPr>
            </w:pPr>
          </w:p>
        </w:tc>
        <w:tc>
          <w:tcPr>
            <w:tcW w:w="296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55347</w:t>
            </w:r>
          </w:p>
        </w:tc>
      </w:tr>
      <w:tr>
        <w:trPr>
          <w:trHeight w:val="235"/>
        </w:trPr>
        <w:tc>
          <w:tcPr>
            <w:tcW w:w="462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66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9" w:lineRule="exact"/>
        <w:rPr>
          <w:sz w:val="24"/>
          <w:szCs w:val="24"/>
          <w:color w:val="auto"/>
        </w:rPr>
      </w:pPr>
    </w:p>
    <w:p>
      <w:pPr>
        <w:jc w:val="center"/>
        <w:ind w:right="20"/>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952-829-8600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750570</wp:posOffset>
            </wp:positionH>
            <wp:positionV relativeFrom="paragraph">
              <wp:posOffset>200660</wp:posOffset>
            </wp:positionV>
            <wp:extent cx="56661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390"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62" w:lineRule="exact"/>
        <w:rPr>
          <w:sz w:val="24"/>
          <w:szCs w:val="24"/>
          <w:color w:val="auto"/>
        </w:rPr>
      </w:pPr>
    </w:p>
    <w:p>
      <w:pPr>
        <w:ind w:right="2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4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1"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10" w:lineRule="exact"/>
        <w:rPr>
          <w:sz w:val="24"/>
          <w:szCs w:val="24"/>
          <w:color w:val="auto"/>
        </w:rPr>
      </w:pPr>
    </w:p>
    <w:p>
      <w:pPr>
        <w:jc w:val="both"/>
        <w:ind w:right="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 w:lineRule="exact"/>
        <w:rPr>
          <w:sz w:val="24"/>
          <w:szCs w:val="24"/>
          <w:color w:val="auto"/>
        </w:rPr>
      </w:pP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9" w:lineRule="exact"/>
        <w:rPr>
          <w:sz w:val="24"/>
          <w:szCs w:val="24"/>
          <w:color w:val="auto"/>
        </w:rPr>
      </w:pPr>
    </w:p>
    <w:p>
      <w:pPr>
        <w:ind w:right="16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02"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48" w:lineRule="exact"/>
        <w:rPr>
          <w:sz w:val="20"/>
          <w:szCs w:val="20"/>
          <w:color w:val="auto"/>
        </w:rPr>
      </w:pPr>
    </w:p>
    <w:p>
      <w:pPr>
        <w:ind w:right="440"/>
        <w:spacing w:after="0" w:line="304" w:lineRule="auto"/>
        <w:rPr>
          <w:sz w:val="20"/>
          <w:szCs w:val="20"/>
          <w:color w:val="auto"/>
        </w:rPr>
      </w:pPr>
      <w:r>
        <w:rPr>
          <w:rFonts w:ascii="Arial" w:cs="Arial" w:eastAsia="Arial" w:hAnsi="Arial"/>
          <w:sz w:val="16"/>
          <w:szCs w:val="16"/>
          <w:color w:val="auto"/>
        </w:rPr>
        <w:t>On March 21, 2024, Winnebago Industries, Inc. (the "Company") issued a press release to report financial results for the second quarter of Fiscal 2024 ended February 24, 2024. A copy of the press release is attached as Exhibit 99.1 and is incorporated by reference herein.</w:t>
      </w:r>
    </w:p>
    <w:p>
      <w:pPr>
        <w:spacing w:after="0" w:line="168"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second quarter of Fiscal 2024.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199"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color w:val="auto"/>
        </w:rPr>
        <w:t>The information set forth in this Item 2.02, including Exhibit 99.1, of this Form 8-K shall be deemed "furnished" pursuant to Item 2.02 and not "filed" for purposes of Section 18 of the Securities and Exchange Act of 1934, or otherwise subject to the liabilities of that section, and shall not be deemed incorporated by reference in any filing under the Securities Act of 1933 or the Securities Exchange Act of 1934, except as shall be expressly set forth by specific reference in such filing.</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60" w:type="dxa"/>
            <w:vAlign w:val="bottom"/>
            <w:gridSpan w:val="4"/>
          </w:tcPr>
          <w:p>
            <w:pPr>
              <w:spacing w:after="0"/>
              <w:rPr>
                <w:sz w:val="20"/>
                <w:szCs w:val="20"/>
                <w:color w:val="auto"/>
              </w:rPr>
            </w:pPr>
            <w:r>
              <w:rPr>
                <w:rFonts w:ascii="Arial" w:cs="Arial" w:eastAsia="Arial" w:hAnsi="Arial"/>
                <w:sz w:val="16"/>
                <w:szCs w:val="16"/>
                <w:color w:val="auto"/>
              </w:rPr>
              <w:t>(d) Exhibits</w:t>
            </w:r>
          </w:p>
        </w:tc>
        <w:tc>
          <w:tcPr>
            <w:tcW w:w="48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4"/>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9480" w:type="dxa"/>
            <w:vAlign w:val="bottom"/>
            <w:gridSpan w:val="3"/>
          </w:tcPr>
          <w:p>
            <w:pPr>
              <w:spacing w:after="0"/>
              <w:rPr>
                <w:sz w:val="20"/>
                <w:szCs w:val="20"/>
                <w:color w:val="auto"/>
              </w:rPr>
            </w:pPr>
            <w:r>
              <w:rPr>
                <w:rFonts w:ascii="Arial" w:cs="Arial" w:eastAsia="Arial" w:hAnsi="Arial"/>
                <w:sz w:val="16"/>
                <w:szCs w:val="16"/>
                <w:b w:val="1"/>
                <w:bCs w:val="1"/>
                <w:color w:val="auto"/>
              </w:rPr>
              <w:t>Description</w:t>
            </w:r>
          </w:p>
        </w:tc>
      </w:tr>
      <w:tr>
        <w:trPr>
          <w:trHeight w:val="169"/>
        </w:trPr>
        <w:tc>
          <w:tcPr>
            <w:tcW w:w="400" w:type="dxa"/>
            <w:vAlign w:val="bottom"/>
          </w:tcPr>
          <w:p>
            <w:pPr>
              <w:spacing w:after="0"/>
              <w:rPr>
                <w:sz w:val="14"/>
                <w:szCs w:val="14"/>
                <w:color w:val="auto"/>
              </w:rPr>
            </w:pPr>
          </w:p>
        </w:tc>
        <w:tc>
          <w:tcPr>
            <w:tcW w:w="1360" w:type="dxa"/>
            <w:vAlign w:val="bottom"/>
            <w:tcBorders>
              <w:top w:val="single" w:sz="8" w:color="auto"/>
            </w:tcBorders>
            <w:gridSpan w:val="3"/>
          </w:tcPr>
          <w:p>
            <w:pPr>
              <w:ind w:left="20"/>
              <w:spacing w:after="0" w:line="169" w:lineRule="exact"/>
              <w:rPr>
                <w:sz w:val="20"/>
                <w:szCs w:val="20"/>
                <w:color w:val="auto"/>
              </w:rPr>
            </w:pPr>
            <w:r>
              <w:rPr>
                <w:rFonts w:ascii="Arial" w:cs="Arial" w:eastAsia="Arial" w:hAnsi="Arial"/>
                <w:sz w:val="16"/>
                <w:szCs w:val="16"/>
                <w:color w:val="0000FF"/>
              </w:rPr>
              <w:t>99.</w:t>
            </w:r>
            <w:r>
              <w:rPr>
                <w:rFonts w:ascii="Arial" w:cs="Arial" w:eastAsia="Arial" w:hAnsi="Arial"/>
                <w:sz w:val="16"/>
                <w:szCs w:val="16"/>
                <w:u w:val="single" w:color="auto"/>
                <w:color w:val="0000FF"/>
              </w:rPr>
              <w:t>1</w:t>
            </w:r>
          </w:p>
        </w:tc>
        <w:tc>
          <w:tcPr>
            <w:tcW w:w="938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color w:val="0000FF"/>
              </w:rPr>
              <w:t>Press Release of Winnebago Industries, Inc. dated March 21, 2024</w:t>
            </w:r>
          </w:p>
        </w:tc>
        <w:tc>
          <w:tcPr>
            <w:tcW w:w="100" w:type="dxa"/>
            <w:vAlign w:val="bottom"/>
          </w:tcPr>
          <w:p>
            <w:pPr>
              <w:spacing w:after="0"/>
              <w:rPr>
                <w:sz w:val="14"/>
                <w:szCs w:val="14"/>
                <w:color w:val="auto"/>
              </w:rPr>
            </w:pPr>
          </w:p>
        </w:tc>
      </w:tr>
      <w:tr>
        <w:trPr>
          <w:trHeight w:val="20"/>
        </w:trPr>
        <w:tc>
          <w:tcPr>
            <w:tcW w:w="4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20" w:type="dxa"/>
            <w:vAlign w:val="bottom"/>
            <w:shd w:val="clear" w:color="auto" w:fill="0000FF"/>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r>
      <w:tr>
        <w:trPr>
          <w:trHeight w:val="235"/>
        </w:trPr>
        <w:tc>
          <w:tcPr>
            <w:tcW w:w="740" w:type="dxa"/>
            <w:vAlign w:val="bottom"/>
            <w:gridSpan w:val="3"/>
          </w:tcPr>
          <w:p>
            <w:pPr>
              <w:ind w:left="420"/>
              <w:spacing w:after="0"/>
              <w:rPr>
                <w:sz w:val="20"/>
                <w:szCs w:val="20"/>
                <w:color w:val="auto"/>
              </w:rPr>
            </w:pPr>
            <w:r>
              <w:rPr>
                <w:rFonts w:ascii="Arial" w:cs="Arial" w:eastAsia="Arial" w:hAnsi="Arial"/>
                <w:sz w:val="16"/>
                <w:szCs w:val="16"/>
                <w:color w:val="auto"/>
              </w:rPr>
              <w:t>104</w:t>
            </w:r>
          </w:p>
        </w:tc>
        <w:tc>
          <w:tcPr>
            <w:tcW w:w="102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981"/>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5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440" w:type="dxa"/>
            <w:vAlign w:val="bottom"/>
            <w:gridSpan w:val="2"/>
          </w:tcPr>
          <w:p>
            <w:pPr>
              <w:ind w:left="90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429"/>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200" w:type="dxa"/>
            <w:vAlign w:val="bottom"/>
          </w:tcPr>
          <w:p>
            <w:pPr>
              <w:ind w:left="160"/>
              <w:spacing w:after="0"/>
              <w:rPr>
                <w:sz w:val="20"/>
                <w:szCs w:val="20"/>
                <w:color w:val="auto"/>
              </w:rPr>
            </w:pPr>
            <w:r>
              <w:rPr>
                <w:rFonts w:ascii="Arial" w:cs="Arial" w:eastAsia="Arial" w:hAnsi="Arial"/>
                <w:sz w:val="16"/>
                <w:szCs w:val="16"/>
                <w:color w:val="auto"/>
              </w:rPr>
              <w:t>March 21, 2024</w:t>
            </w:r>
          </w:p>
        </w:tc>
        <w:tc>
          <w:tcPr>
            <w:tcW w:w="1720" w:type="dxa"/>
            <w:vAlign w:val="bottom"/>
          </w:tcPr>
          <w:p>
            <w:pPr>
              <w:ind w:left="900"/>
              <w:spacing w:after="0"/>
              <w:rPr>
                <w:sz w:val="20"/>
                <w:szCs w:val="20"/>
                <w:color w:val="auto"/>
              </w:rPr>
            </w:pPr>
            <w:r>
              <w:rPr>
                <w:rFonts w:ascii="Arial" w:cs="Arial" w:eastAsia="Arial" w:hAnsi="Arial"/>
                <w:sz w:val="16"/>
                <w:szCs w:val="16"/>
                <w:color w:val="auto"/>
              </w:rPr>
              <w:t>By:</w:t>
            </w: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r>
      <w:tr>
        <w:trPr>
          <w:trHeight w:val="210"/>
        </w:trPr>
        <w:tc>
          <w:tcPr>
            <w:tcW w:w="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720" w:type="dxa"/>
            <w:vAlign w:val="bottom"/>
          </w:tcPr>
          <w:p>
            <w:pPr>
              <w:ind w:left="900"/>
              <w:spacing w:after="0"/>
              <w:rPr>
                <w:sz w:val="20"/>
                <w:szCs w:val="20"/>
                <w:color w:val="auto"/>
              </w:rPr>
            </w:pPr>
            <w:r>
              <w:rPr>
                <w:rFonts w:ascii="Arial" w:cs="Arial" w:eastAsia="Arial" w:hAnsi="Arial"/>
                <w:sz w:val="16"/>
                <w:szCs w:val="16"/>
                <w:color w:val="auto"/>
              </w:rPr>
              <w:t>Name:</w:t>
            </w:r>
          </w:p>
        </w:tc>
        <w:tc>
          <w:tcPr>
            <w:tcW w:w="5720" w:type="dxa"/>
            <w:vAlign w:val="bottom"/>
          </w:tcPr>
          <w:p>
            <w:pPr>
              <w:ind w:left="20"/>
              <w:spacing w:after="0"/>
              <w:rPr>
                <w:sz w:val="20"/>
                <w:szCs w:val="20"/>
                <w:color w:val="auto"/>
              </w:rPr>
            </w:pPr>
            <w:r>
              <w:rPr>
                <w:rFonts w:ascii="Arial" w:cs="Arial" w:eastAsia="Arial" w:hAnsi="Arial"/>
                <w:sz w:val="16"/>
                <w:szCs w:val="16"/>
                <w:color w:val="auto"/>
              </w:rPr>
              <w:t>Bryan L. Hughes</w:t>
            </w:r>
          </w:p>
        </w:tc>
      </w:tr>
      <w:tr>
        <w:trPr>
          <w:trHeight w:val="215"/>
        </w:trPr>
        <w:tc>
          <w:tcPr>
            <w:tcW w:w="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720" w:type="dxa"/>
            <w:vAlign w:val="bottom"/>
          </w:tcPr>
          <w:p>
            <w:pPr>
              <w:ind w:left="900"/>
              <w:spacing w:after="0"/>
              <w:rPr>
                <w:sz w:val="20"/>
                <w:szCs w:val="20"/>
                <w:color w:val="auto"/>
              </w:rPr>
            </w:pPr>
            <w:r>
              <w:rPr>
                <w:rFonts w:ascii="Arial" w:cs="Arial" w:eastAsia="Arial" w:hAnsi="Arial"/>
                <w:sz w:val="16"/>
                <w:szCs w:val="16"/>
                <w:color w:val="auto"/>
              </w:rPr>
              <w:t>Title:</w:t>
            </w:r>
          </w:p>
        </w:tc>
        <w:tc>
          <w:tcPr>
            <w:tcW w:w="5720" w:type="dxa"/>
            <w:vAlign w:val="bottom"/>
          </w:tcPr>
          <w:p>
            <w:pPr>
              <w:ind w:left="20"/>
              <w:spacing w:after="0"/>
              <w:rPr>
                <w:sz w:val="20"/>
                <w:szCs w:val="20"/>
                <w:color w:val="auto"/>
              </w:rPr>
            </w:pPr>
            <w:r>
              <w:rPr>
                <w:rFonts w:ascii="Arial" w:cs="Arial" w:eastAsia="Arial" w:hAnsi="Arial"/>
                <w:sz w:val="16"/>
                <w:szCs w:val="16"/>
                <w:color w:val="auto"/>
              </w:rPr>
              <w:t>Chief Financial Officer and Senior Vice President</w:t>
            </w:r>
          </w:p>
        </w:tc>
      </w:tr>
      <w:tr>
        <w:trPr>
          <w:trHeight w:val="216"/>
        </w:trPr>
        <w:tc>
          <w:tcPr>
            <w:tcW w:w="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bl>
    <w:p>
      <w:pPr>
        <w:sectPr>
          <w:pgSz w:w="11900" w:h="16838" w:orient="portrait"/>
          <w:cols w:equalWidth="0" w:num="1">
            <w:col w:w="11220"/>
          </w:cols>
          <w:pgMar w:left="320" w:top="88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2957195" cy="814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57195" cy="8147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7020"/>
        <w:spacing w:after="0"/>
        <w:rPr>
          <w:sz w:val="20"/>
          <w:szCs w:val="20"/>
          <w:color w:val="auto"/>
        </w:rPr>
      </w:pPr>
      <w:r>
        <w:rPr>
          <w:rFonts w:ascii="Arial" w:cs="Arial" w:eastAsia="Arial" w:hAnsi="Arial"/>
          <w:sz w:val="43"/>
          <w:szCs w:val="43"/>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REPORTS SECOND QUARTER FISCAL 2024 RESULTS</w:t>
      </w:r>
    </w:p>
    <w:p>
      <w:pPr>
        <w:spacing w:after="0" w:line="207" w:lineRule="exact"/>
        <w:rPr>
          <w:sz w:val="20"/>
          <w:szCs w:val="20"/>
          <w:color w:val="auto"/>
        </w:rPr>
      </w:pPr>
    </w:p>
    <w:p>
      <w:pPr>
        <w:jc w:val="center"/>
        <w:ind w:left="4660" w:right="1980" w:hanging="2668"/>
        <w:spacing w:after="0" w:line="493" w:lineRule="auto"/>
        <w:tabs>
          <w:tab w:leader="none" w:pos="2153" w:val="left"/>
        </w:tabs>
        <w:numPr>
          <w:ilvl w:val="1"/>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Delivers Solid Gross Margin of 15.0% Demonstrating Strength of Product Diversification and Variable Cost Structure --</w:t>
      </w:r>
    </w:p>
    <w:p>
      <w:pPr>
        <w:ind w:left="2080" w:hanging="156"/>
        <w:spacing w:after="0"/>
        <w:tabs>
          <w:tab w:leader="none" w:pos="208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Completes $350 Million Offering of Convertible Senior Notes for Refinancing 2025 Maturities --</w:t>
      </w:r>
    </w:p>
    <w:p>
      <w:pPr>
        <w:spacing w:after="0" w:line="183" w:lineRule="exact"/>
        <w:rPr>
          <w:rFonts w:ascii="Arial" w:cs="Arial" w:eastAsia="Arial" w:hAnsi="Arial"/>
          <w:sz w:val="16"/>
          <w:szCs w:val="16"/>
          <w:b w:val="1"/>
          <w:bCs w:val="1"/>
          <w:color w:val="auto"/>
        </w:rPr>
      </w:pPr>
    </w:p>
    <w:p>
      <w:pPr>
        <w:ind w:left="2160" w:hanging="154"/>
        <w:spacing w:after="0"/>
        <w:tabs>
          <w:tab w:leader="none" w:pos="2160" w:val="left"/>
        </w:tabs>
        <w:numPr>
          <w:ilvl w:val="2"/>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Barletta Captures 7.9% Share of U.S. Aluminum Pontoon Market</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up 80 Basis Points YoY --</w:t>
      </w:r>
    </w:p>
    <w:p>
      <w:pPr>
        <w:spacing w:after="0" w:line="133" w:lineRule="exact"/>
        <w:rPr>
          <w:rFonts w:ascii="Arial" w:cs="Arial" w:eastAsia="Arial" w:hAnsi="Arial"/>
          <w:sz w:val="16"/>
          <w:szCs w:val="16"/>
          <w:b w:val="1"/>
          <w:bCs w:val="1"/>
          <w:color w:val="auto"/>
        </w:rPr>
      </w:pPr>
    </w:p>
    <w:p>
      <w:pPr>
        <w:ind w:left="3200" w:hanging="158"/>
        <w:spacing w:after="0"/>
        <w:tabs>
          <w:tab w:leader="none" w:pos="3200" w:val="left"/>
        </w:tabs>
        <w:numPr>
          <w:ilvl w:val="3"/>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Company Introduces Future Mid-Cycle Organic Growth Targets --</w:t>
      </w:r>
    </w:p>
    <w:p>
      <w:pPr>
        <w:spacing w:after="0" w:line="302" w:lineRule="exact"/>
        <w:rPr>
          <w:sz w:val="20"/>
          <w:szCs w:val="20"/>
          <w:color w:val="auto"/>
        </w:rPr>
      </w:pPr>
    </w:p>
    <w:p>
      <w:pPr>
        <w:ind w:right="640"/>
        <w:spacing w:after="0" w:line="409" w:lineRule="auto"/>
        <w:rPr>
          <w:sz w:val="20"/>
          <w:szCs w:val="20"/>
          <w:color w:val="auto"/>
        </w:rPr>
      </w:pPr>
      <w:r>
        <w:rPr>
          <w:rFonts w:ascii="Arial" w:cs="Arial" w:eastAsia="Arial" w:hAnsi="Arial"/>
          <w:sz w:val="16"/>
          <w:szCs w:val="16"/>
          <w:color w:val="auto"/>
        </w:rPr>
        <w:t>EDEN PRAIRIE, MINNESOTA, March 21, 2024 -- Winnebago Industries, Inc. (NYSE: WGO), a leading outdoor lifestyle product manufacturer, today reported financial results for the fiscal 2024 second quarter ended February 24, 2024.</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Second Quarter Fiscal 2024 Financial Summary</w:t>
      </w:r>
    </w:p>
    <w:p>
      <w:pPr>
        <w:spacing w:after="0" w:line="100"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Revenues of $703.6 million</w:t>
      </w:r>
    </w:p>
    <w:p>
      <w:pPr>
        <w:spacing w:after="0" w:line="86"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Gross profit of $105.3 million, representing 15.0% gross margin</w:t>
      </w:r>
    </w:p>
    <w:p>
      <w:pPr>
        <w:spacing w:after="0" w:line="99" w:lineRule="exact"/>
        <w:rPr>
          <w:rFonts w:ascii="Arial" w:cs="Arial" w:eastAsia="Arial" w:hAnsi="Arial"/>
          <w:sz w:val="16"/>
          <w:szCs w:val="16"/>
          <w:color w:val="auto"/>
        </w:rPr>
      </w:pPr>
    </w:p>
    <w:p>
      <w:pPr>
        <w:ind w:left="660" w:right="640" w:hanging="328"/>
        <w:spacing w:after="0" w:line="369"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loss of $12.7 million, or $0.43 per share, includes charge of $32.7 million, or $1.12 per share, attributable to the refinancing of our 2025 convertible senior notes; adjusted diluted earnings per share of $0.93</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EBITDA of $49.8 million, representing 7.1% adjusted EBITDA margin</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CEO Commentary</w:t>
      </w:r>
    </w:p>
    <w:p>
      <w:pPr>
        <w:spacing w:after="0" w:line="235" w:lineRule="exact"/>
        <w:rPr>
          <w:sz w:val="20"/>
          <w:szCs w:val="20"/>
          <w:color w:val="auto"/>
        </w:rPr>
      </w:pPr>
    </w:p>
    <w:p>
      <w:pPr>
        <w:ind w:right="40"/>
        <w:spacing w:after="0" w:line="379" w:lineRule="auto"/>
        <w:rPr>
          <w:sz w:val="20"/>
          <w:szCs w:val="20"/>
          <w:color w:val="auto"/>
        </w:rPr>
      </w:pPr>
      <w:r>
        <w:rPr>
          <w:rFonts w:ascii="Arial" w:cs="Arial" w:eastAsia="Arial" w:hAnsi="Arial"/>
          <w:sz w:val="16"/>
          <w:szCs w:val="16"/>
          <w:color w:val="auto"/>
        </w:rPr>
        <w:t>"Winnebago Industries performed in line with our expectations for the quarter, navigating the effects of ongoing softness in the RV and marine markets,” said President and Chief Executive Officer Michael Happe. “As anticipated, wholesale shipments were constrained in the quarter, as dealers continued to closely manage inventory levels amid a higher interest rate environment and seasonal demand trends. Despite these macroeconomic challenges, we continue to demonstrate resilient profitability and an unwavering commitment to operational discipline that is reflected in the Company’s diversified portfolio of premium brands, investments in new products and technologies, and healthy balance sheet."</w:t>
      </w:r>
    </w:p>
    <w:p>
      <w:pPr>
        <w:spacing w:after="0" w:line="113" w:lineRule="exact"/>
        <w:rPr>
          <w:sz w:val="20"/>
          <w:szCs w:val="20"/>
          <w:color w:val="auto"/>
        </w:rPr>
      </w:pPr>
    </w:p>
    <w:p>
      <w:pPr>
        <w:ind w:right="20"/>
        <w:spacing w:after="0" w:line="375" w:lineRule="auto"/>
        <w:rPr>
          <w:sz w:val="20"/>
          <w:szCs w:val="20"/>
          <w:color w:val="auto"/>
        </w:rPr>
      </w:pPr>
      <w:r>
        <w:rPr>
          <w:rFonts w:ascii="Arial" w:cs="Arial" w:eastAsia="Arial" w:hAnsi="Arial"/>
          <w:sz w:val="16"/>
          <w:szCs w:val="16"/>
          <w:color w:val="auto"/>
        </w:rPr>
        <w:t>“Purposeful innovation remains a core driver of our growth strategy, delivering customer-centric design and thoughtful, affordable technology to delight customers,” Happe continued. “In recent months we have introduced new models and features across our motorized and towable RV portfolios, enabling Winnebago, Grand Design RV and Newmar to further enhance our customers’ ability to be great outdoors. On the marine side, Chris-Craft recently launched a special 150th anniversary edition of its iconic Launch 27, while our Barletta brand continues to expand its product reach as the industry’s fastest-growing pontoon business."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89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Second Quarter Fiscal 2024 Results</w:t>
      </w:r>
    </w:p>
    <w:p>
      <w:pPr>
        <w:spacing w:after="0" w:line="100" w:lineRule="exact"/>
        <w:rPr>
          <w:sz w:val="20"/>
          <w:szCs w:val="20"/>
          <w:color w:val="auto"/>
        </w:rPr>
      </w:pPr>
    </w:p>
    <w:p>
      <w:pPr>
        <w:ind w:right="160"/>
        <w:spacing w:after="0" w:line="409" w:lineRule="auto"/>
        <w:rPr>
          <w:sz w:val="20"/>
          <w:szCs w:val="20"/>
          <w:color w:val="auto"/>
        </w:rPr>
      </w:pPr>
      <w:r>
        <w:rPr>
          <w:rFonts w:ascii="Arial" w:cs="Arial" w:eastAsia="Arial" w:hAnsi="Arial"/>
          <w:sz w:val="16"/>
          <w:szCs w:val="16"/>
          <w:color w:val="auto"/>
        </w:rPr>
        <w:t>Revenues were $703.6 million, a decrease of 18.8% compared to $866.7 million for the comparable fiscal 2023 period, driven by lower unit sales related to market conditions and unfavorable product mix.</w:t>
      </w:r>
    </w:p>
    <w:p>
      <w:pPr>
        <w:spacing w:after="0" w:line="75" w:lineRule="exact"/>
        <w:rPr>
          <w:sz w:val="20"/>
          <w:szCs w:val="20"/>
          <w:color w:val="auto"/>
        </w:rPr>
      </w:pPr>
    </w:p>
    <w:p>
      <w:pPr>
        <w:ind w:right="140"/>
        <w:spacing w:after="0" w:line="409" w:lineRule="auto"/>
        <w:rPr>
          <w:sz w:val="20"/>
          <w:szCs w:val="20"/>
          <w:color w:val="auto"/>
        </w:rPr>
      </w:pPr>
      <w:r>
        <w:rPr>
          <w:rFonts w:ascii="Arial" w:cs="Arial" w:eastAsia="Arial" w:hAnsi="Arial"/>
          <w:sz w:val="16"/>
          <w:szCs w:val="16"/>
          <w:color w:val="auto"/>
        </w:rPr>
        <w:t>Gross profit was $105.3 million, a decrease of 28.3% compared to $146.8 million for the fiscal 2023 period. Gross profit margin decreased 190 basis points in the quarter to 15.0% as a result of deleverage and higher warranty experience compared to prior year.</w:t>
      </w:r>
    </w:p>
    <w:p>
      <w:pPr>
        <w:spacing w:after="0" w:line="88" w:lineRule="exact"/>
        <w:rPr>
          <w:sz w:val="20"/>
          <w:szCs w:val="20"/>
          <w:color w:val="auto"/>
        </w:rPr>
      </w:pPr>
    </w:p>
    <w:p>
      <w:pPr>
        <w:ind w:right="140"/>
        <w:spacing w:after="0" w:line="409" w:lineRule="auto"/>
        <w:rPr>
          <w:sz w:val="20"/>
          <w:szCs w:val="20"/>
          <w:color w:val="auto"/>
        </w:rPr>
      </w:pPr>
      <w:r>
        <w:rPr>
          <w:rFonts w:ascii="Arial" w:cs="Arial" w:eastAsia="Arial" w:hAnsi="Arial"/>
          <w:sz w:val="16"/>
          <w:szCs w:val="16"/>
          <w:color w:val="auto"/>
        </w:rPr>
        <w:t>Selling, general and administrative expenses were $64.2 million, a decrease of 3.0% compared to $66.2 million in the second quarter of last year, driven by lower incentive-based compensation.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was $35.4 million, a decrease of 53.8% compared to $76.8 million for the second quarter of last year.</w:t>
      </w:r>
    </w:p>
    <w:p>
      <w:pPr>
        <w:spacing w:after="0" w:line="248" w:lineRule="exact"/>
        <w:rPr>
          <w:sz w:val="20"/>
          <w:szCs w:val="20"/>
          <w:color w:val="auto"/>
        </w:rPr>
      </w:pPr>
    </w:p>
    <w:p>
      <w:pPr>
        <w:ind w:right="20"/>
        <w:spacing w:after="0" w:line="377" w:lineRule="auto"/>
        <w:rPr>
          <w:sz w:val="20"/>
          <w:szCs w:val="20"/>
          <w:color w:val="auto"/>
        </w:rPr>
      </w:pPr>
      <w:r>
        <w:rPr>
          <w:rFonts w:ascii="Arial" w:cs="Arial" w:eastAsia="Arial" w:hAnsi="Arial"/>
          <w:sz w:val="16"/>
          <w:szCs w:val="16"/>
          <w:color w:val="auto"/>
        </w:rPr>
        <w:t>Net loss was $12.7 million, compared to net income of $52.8 million in the prior year quarter. Reported net loss per share was $0.43, compared to reported earnings per diluted share of $1.52 in the same period last year. Results for the second quarter of fiscal 2024 included a charge of $32.7 million, or $1.12 per share, attributable to the loss on repurchase of a significant portion of our 2025 convertible senior notes. Adjusted earnings per diluted share was $0.93, a decrease of 50.5% compared to adjusted earnings per diluted share of $1.88 in the same period last year.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Consolidated Adjusted EBITDA was $49.8 million, a decrease of 43.7%, compared to $88.4 million last year.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60" w:type="dxa"/>
            <w:vAlign w:val="bottom"/>
            <w:gridSpan w:val="2"/>
          </w:tcPr>
          <w:p>
            <w:pPr>
              <w:spacing w:after="0"/>
              <w:rPr>
                <w:sz w:val="20"/>
                <w:szCs w:val="20"/>
                <w:color w:val="auto"/>
              </w:rPr>
            </w:pPr>
            <w:r>
              <w:rPr>
                <w:rFonts w:ascii="Arial" w:cs="Arial" w:eastAsia="Arial" w:hAnsi="Arial"/>
                <w:sz w:val="16"/>
                <w:szCs w:val="16"/>
                <w:b w:val="1"/>
                <w:bCs w:val="1"/>
                <w:color w:val="auto"/>
              </w:rPr>
              <w:t>Second Quarter Fiscal 2024 Segments Summary</w:t>
            </w: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345"/>
        </w:trPr>
        <w:tc>
          <w:tcPr>
            <w:tcW w:w="4660" w:type="dxa"/>
            <w:vAlign w:val="bottom"/>
            <w:gridSpan w:val="2"/>
          </w:tcPr>
          <w:p>
            <w:pPr>
              <w:spacing w:after="0"/>
              <w:rPr>
                <w:sz w:val="20"/>
                <w:szCs w:val="20"/>
                <w:color w:val="auto"/>
              </w:rPr>
            </w:pPr>
            <w:r>
              <w:rPr>
                <w:rFonts w:ascii="Arial" w:cs="Arial" w:eastAsia="Arial" w:hAnsi="Arial"/>
                <w:sz w:val="16"/>
                <w:szCs w:val="16"/>
                <w:color w:val="auto"/>
              </w:rPr>
              <w:t>Towable RV</w:t>
            </w: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04"/>
        </w:trPr>
        <w:tc>
          <w:tcPr>
            <w:tcW w:w="860" w:type="dxa"/>
            <w:vAlign w:val="bottom"/>
            <w:tcBorders>
              <w:top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6"/>
                <w:szCs w:val="16"/>
                <w:b w:val="1"/>
                <w:bCs w:val="1"/>
                <w:color w:val="auto"/>
              </w:rPr>
              <w:t>Three Months Ended</w:t>
            </w:r>
          </w:p>
        </w:tc>
        <w:tc>
          <w:tcPr>
            <w:tcW w:w="2120" w:type="dxa"/>
            <w:vAlign w:val="bottom"/>
            <w:tcBorders>
              <w:bottom w:val="single" w:sz="8" w:color="auto"/>
            </w:tcBorders>
          </w:tcPr>
          <w:p>
            <w:pPr>
              <w:spacing w:after="0"/>
              <w:rPr>
                <w:sz w:val="24"/>
                <w:szCs w:val="24"/>
                <w:color w:val="auto"/>
              </w:rPr>
            </w:pPr>
          </w:p>
        </w:tc>
      </w:tr>
      <w:tr>
        <w:trPr>
          <w:trHeight w:val="209"/>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300" w:type="dxa"/>
            <w:vAlign w:val="bottom"/>
          </w:tcPr>
          <w:p>
            <w:pPr>
              <w:spacing w:after="0"/>
              <w:rPr>
                <w:sz w:val="18"/>
                <w:szCs w:val="18"/>
                <w:color w:val="auto"/>
              </w:rPr>
            </w:pPr>
          </w:p>
        </w:tc>
        <w:tc>
          <w:tcPr>
            <w:tcW w:w="1940" w:type="dxa"/>
            <w:vAlign w:val="bottom"/>
            <w:gridSpan w:val="3"/>
          </w:tcPr>
          <w:p>
            <w:pPr>
              <w:ind w:left="80"/>
              <w:spacing w:after="0"/>
              <w:rPr>
                <w:sz w:val="20"/>
                <w:szCs w:val="20"/>
                <w:color w:val="auto"/>
              </w:rPr>
            </w:pPr>
            <w:r>
              <w:rPr>
                <w:rFonts w:ascii="Arial" w:cs="Arial" w:eastAsia="Arial" w:hAnsi="Arial"/>
                <w:sz w:val="16"/>
                <w:szCs w:val="16"/>
                <w:b w:val="1"/>
                <w:bCs w:val="1"/>
                <w:color w:val="auto"/>
              </w:rPr>
              <w:t>February 24, 2024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rPr>
              <w:t>February 25, 2023</w:t>
            </w:r>
          </w:p>
        </w:tc>
        <w:tc>
          <w:tcPr>
            <w:tcW w:w="2120" w:type="dxa"/>
            <w:vAlign w:val="bottom"/>
          </w:tcPr>
          <w:p>
            <w:pPr>
              <w:jc w:val="right"/>
              <w:ind w:right="61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r>
      <w:tr>
        <w:trPr>
          <w:trHeight w:val="210"/>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284.7</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342.5</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15"/>
        </w:trPr>
        <w:tc>
          <w:tcPr>
            <w:tcW w:w="466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119"/>
              <w:spacing w:after="0"/>
              <w:rPr>
                <w:sz w:val="20"/>
                <w:szCs w:val="20"/>
                <w:color w:val="auto"/>
              </w:rPr>
            </w:pPr>
            <w:r>
              <w:rPr>
                <w:rFonts w:ascii="Arial" w:cs="Arial" w:eastAsia="Arial" w:hAnsi="Arial"/>
                <w:sz w:val="16"/>
                <w:szCs w:val="16"/>
                <w:color w:val="auto"/>
              </w:rPr>
              <w:t>26.8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jc w:val="right"/>
              <w:ind w:right="1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ind w:right="99"/>
              <w:spacing w:after="0"/>
              <w:rPr>
                <w:sz w:val="20"/>
                <w:szCs w:val="20"/>
                <w:color w:val="auto"/>
              </w:rPr>
            </w:pPr>
            <w:r>
              <w:rPr>
                <w:rFonts w:ascii="Arial" w:cs="Arial" w:eastAsia="Arial" w:hAnsi="Arial"/>
                <w:sz w:val="16"/>
                <w:szCs w:val="16"/>
                <w:color w:val="auto"/>
              </w:rPr>
              <w:t>39.3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(31.8)%</w:t>
            </w:r>
          </w:p>
        </w:tc>
      </w:tr>
      <w:tr>
        <w:trPr>
          <w:trHeight w:val="217"/>
        </w:trPr>
        <w:tc>
          <w:tcPr>
            <w:tcW w:w="46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Adjusted EBITDA Margin</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11.5 %</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bps</w:t>
            </w:r>
          </w:p>
        </w:tc>
      </w:tr>
      <w:tr>
        <w:trPr>
          <w:trHeight w:val="580"/>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300" w:type="dxa"/>
            <w:vAlign w:val="bottom"/>
          </w:tcPr>
          <w:p>
            <w:pPr>
              <w:spacing w:after="0"/>
              <w:rPr>
                <w:sz w:val="24"/>
                <w:szCs w:val="24"/>
                <w:color w:val="auto"/>
              </w:rPr>
            </w:pPr>
          </w:p>
        </w:tc>
        <w:tc>
          <w:tcPr>
            <w:tcW w:w="1940" w:type="dxa"/>
            <w:vAlign w:val="bottom"/>
            <w:gridSpan w:val="3"/>
          </w:tcPr>
          <w:p>
            <w:pPr>
              <w:ind w:left="160"/>
              <w:spacing w:after="0"/>
              <w:rPr>
                <w:sz w:val="20"/>
                <w:szCs w:val="20"/>
                <w:color w:val="auto"/>
              </w:rPr>
            </w:pPr>
            <w:r>
              <w:rPr>
                <w:rFonts w:ascii="Arial" w:cs="Arial" w:eastAsia="Arial" w:hAnsi="Arial"/>
                <w:sz w:val="16"/>
                <w:szCs w:val="16"/>
                <w:b w:val="1"/>
                <w:bCs w:val="1"/>
                <w:color w:val="auto"/>
              </w:rPr>
              <w:t>February 24, 2024</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rPr>
              <w:t>February 25, 2023</w:t>
            </w:r>
          </w:p>
        </w:tc>
        <w:tc>
          <w:tcPr>
            <w:tcW w:w="2120" w:type="dxa"/>
            <w:vAlign w:val="bottom"/>
          </w:tcPr>
          <w:p>
            <w:pPr>
              <w:jc w:val="right"/>
              <w:ind w:right="639"/>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r>
      <w:tr>
        <w:trPr>
          <w:trHeight w:val="210"/>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222.3</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278.2</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r>
    </w:tbl>
    <w:p>
      <w:pPr>
        <w:spacing w:after="0" w:line="21" w:lineRule="exact"/>
        <w:rPr>
          <w:sz w:val="20"/>
          <w:szCs w:val="20"/>
          <w:color w:val="auto"/>
        </w:rPr>
      </w:pPr>
    </w:p>
    <w:p>
      <w:pPr>
        <w:ind w:left="280" w:hanging="272"/>
        <w:spacing w:after="0"/>
        <w:tabs>
          <w:tab w:leader="none" w:pos="280" w:val="left"/>
        </w:tabs>
        <w:numPr>
          <w:ilvl w:val="0"/>
          <w:numId w:val="4"/>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263" w:lineRule="exact"/>
        <w:rPr>
          <w:rFonts w:ascii="Arial" w:cs="Arial" w:eastAsia="Arial" w:hAnsi="Arial"/>
          <w:sz w:val="21"/>
          <w:szCs w:val="21"/>
          <w:color w:val="auto"/>
          <w:vertAlign w:val="superscript"/>
        </w:rPr>
      </w:pPr>
    </w:p>
    <w:p>
      <w:pPr>
        <w:ind w:left="660" w:right="200" w:hanging="328"/>
        <w:spacing w:after="0" w:line="369" w:lineRule="auto"/>
        <w:tabs>
          <w:tab w:leader="none" w:pos="649" w:val="left"/>
        </w:tabs>
        <w:numPr>
          <w:ilvl w:val="1"/>
          <w:numId w:val="4"/>
        </w:numPr>
        <w:rPr>
          <w:rFonts w:ascii="Arial" w:cs="Arial" w:eastAsia="Arial" w:hAnsi="Arial"/>
          <w:sz w:val="16"/>
          <w:szCs w:val="16"/>
          <w:color w:val="auto"/>
        </w:rPr>
      </w:pPr>
      <w:r>
        <w:rPr>
          <w:rFonts w:ascii="Arial" w:cs="Arial" w:eastAsia="Arial" w:hAnsi="Arial"/>
          <w:sz w:val="16"/>
          <w:szCs w:val="16"/>
          <w:color w:val="auto"/>
        </w:rPr>
        <w:t>Revenues for the Towable RV segment were down compared to the prior year, primarily driven by a decline in unit volume related to market conditions and a reduction in average selling price per unit related to product mix and targeted price reductions, partially offset by lower discounts and allowances.</w:t>
      </w:r>
    </w:p>
    <w:p>
      <w:pPr>
        <w:spacing w:after="0" w:line="1" w:lineRule="exact"/>
        <w:rPr>
          <w:rFonts w:ascii="Arial" w:cs="Arial" w:eastAsia="Arial" w:hAnsi="Arial"/>
          <w:sz w:val="16"/>
          <w:szCs w:val="16"/>
          <w:color w:val="auto"/>
        </w:rPr>
      </w:pPr>
    </w:p>
    <w:p>
      <w:pPr>
        <w:ind w:left="660" w:right="60" w:hanging="328"/>
        <w:spacing w:after="0" w:line="369" w:lineRule="auto"/>
        <w:tabs>
          <w:tab w:leader="none" w:pos="649" w:val="left"/>
        </w:tabs>
        <w:numPr>
          <w:ilvl w:val="1"/>
          <w:numId w:val="4"/>
        </w:numPr>
        <w:rPr>
          <w:rFonts w:ascii="Arial" w:cs="Arial" w:eastAsia="Arial" w:hAnsi="Arial"/>
          <w:sz w:val="16"/>
          <w:szCs w:val="16"/>
          <w:color w:val="auto"/>
        </w:rPr>
      </w:pPr>
      <w:r>
        <w:rPr>
          <w:rFonts w:ascii="Arial" w:cs="Arial" w:eastAsia="Arial" w:hAnsi="Arial"/>
          <w:sz w:val="16"/>
          <w:szCs w:val="16"/>
          <w:color w:val="auto"/>
        </w:rPr>
        <w:t>Segment Adjusted EBITDA margin decreased compared to the prior year, primarily due to deleverage and higher warranty experience compared to prior year, partially offset by lower discounts and allowances.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1"/>
          <w:numId w:val="4"/>
        </w:numPr>
        <w:rPr>
          <w:rFonts w:ascii="Arial" w:cs="Arial" w:eastAsia="Arial" w:hAnsi="Arial"/>
          <w:sz w:val="16"/>
          <w:szCs w:val="16"/>
          <w:color w:val="auto"/>
        </w:rPr>
      </w:pPr>
      <w:r>
        <w:rPr>
          <w:rFonts w:ascii="Arial" w:cs="Arial" w:eastAsia="Arial" w:hAnsi="Arial"/>
          <w:sz w:val="16"/>
          <w:szCs w:val="16"/>
          <w:color w:val="auto"/>
        </w:rPr>
        <w:t>Backlog decreased compared to the prior year due to current market conditions and a cautious dealer network.</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93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4660" w:type="dxa"/>
            <w:vAlign w:val="bottom"/>
            <w:gridSpan w:val="2"/>
          </w:tcPr>
          <w:p>
            <w:pPr>
              <w:spacing w:after="0"/>
              <w:rPr>
                <w:sz w:val="20"/>
                <w:szCs w:val="20"/>
                <w:color w:val="auto"/>
              </w:rPr>
            </w:pPr>
            <w:r>
              <w:rPr>
                <w:rFonts w:ascii="Arial" w:cs="Arial" w:eastAsia="Arial" w:hAnsi="Arial"/>
                <w:sz w:val="16"/>
                <w:szCs w:val="16"/>
                <w:color w:val="auto"/>
              </w:rPr>
              <w:t>Motorhome RV</w:t>
            </w:r>
          </w:p>
        </w:tc>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304"/>
        </w:trPr>
        <w:tc>
          <w:tcPr>
            <w:tcW w:w="1100" w:type="dxa"/>
            <w:vAlign w:val="bottom"/>
            <w:tcBorders>
              <w:top w:val="single" w:sz="8" w:color="auto"/>
            </w:tcBorders>
          </w:tcPr>
          <w:p>
            <w:pPr>
              <w:spacing w:after="0"/>
              <w:rPr>
                <w:sz w:val="24"/>
                <w:szCs w:val="24"/>
                <w:color w:val="auto"/>
              </w:rPr>
            </w:pPr>
          </w:p>
        </w:tc>
        <w:tc>
          <w:tcPr>
            <w:tcW w:w="3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6"/>
                <w:szCs w:val="16"/>
                <w:b w:val="1"/>
                <w:bCs w:val="1"/>
                <w:color w:val="auto"/>
              </w:rPr>
              <w:t>Three Months Ended</w:t>
            </w:r>
          </w:p>
        </w:tc>
        <w:tc>
          <w:tcPr>
            <w:tcW w:w="2120" w:type="dxa"/>
            <w:vAlign w:val="bottom"/>
            <w:tcBorders>
              <w:bottom w:val="single" w:sz="8" w:color="auto"/>
            </w:tcBorders>
          </w:tcPr>
          <w:p>
            <w:pPr>
              <w:spacing w:after="0"/>
              <w:rPr>
                <w:sz w:val="24"/>
                <w:szCs w:val="24"/>
                <w:color w:val="auto"/>
              </w:rPr>
            </w:pPr>
          </w:p>
        </w:tc>
      </w:tr>
      <w:tr>
        <w:trPr>
          <w:trHeight w:val="209"/>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300" w:type="dxa"/>
            <w:vAlign w:val="bottom"/>
          </w:tcPr>
          <w:p>
            <w:pPr>
              <w:spacing w:after="0"/>
              <w:rPr>
                <w:sz w:val="18"/>
                <w:szCs w:val="18"/>
                <w:color w:val="auto"/>
              </w:rPr>
            </w:pPr>
          </w:p>
        </w:tc>
        <w:tc>
          <w:tcPr>
            <w:tcW w:w="1940" w:type="dxa"/>
            <w:vAlign w:val="bottom"/>
            <w:gridSpan w:val="3"/>
          </w:tcPr>
          <w:p>
            <w:pPr>
              <w:ind w:left="80"/>
              <w:spacing w:after="0"/>
              <w:rPr>
                <w:sz w:val="20"/>
                <w:szCs w:val="20"/>
                <w:color w:val="auto"/>
              </w:rPr>
            </w:pPr>
            <w:r>
              <w:rPr>
                <w:rFonts w:ascii="Arial" w:cs="Arial" w:eastAsia="Arial" w:hAnsi="Arial"/>
                <w:sz w:val="16"/>
                <w:szCs w:val="16"/>
                <w:b w:val="1"/>
                <w:bCs w:val="1"/>
                <w:color w:val="auto"/>
              </w:rPr>
              <w:t>February 24, 2024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rPr>
              <w:t>February 25, 2023</w:t>
            </w:r>
          </w:p>
        </w:tc>
        <w:tc>
          <w:tcPr>
            <w:tcW w:w="2120" w:type="dxa"/>
            <w:vAlign w:val="bottom"/>
          </w:tcPr>
          <w:p>
            <w:pPr>
              <w:jc w:val="right"/>
              <w:ind w:right="61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r>
      <w:tr>
        <w:trPr>
          <w:trHeight w:val="210"/>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338.4</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403.8</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15"/>
        </w:trPr>
        <w:tc>
          <w:tcPr>
            <w:tcW w:w="466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119"/>
              <w:spacing w:after="0"/>
              <w:rPr>
                <w:sz w:val="20"/>
                <w:szCs w:val="20"/>
                <w:color w:val="auto"/>
              </w:rPr>
            </w:pPr>
            <w:r>
              <w:rPr>
                <w:rFonts w:ascii="Arial" w:cs="Arial" w:eastAsia="Arial" w:hAnsi="Arial"/>
                <w:sz w:val="16"/>
                <w:szCs w:val="16"/>
                <w:color w:val="auto"/>
              </w:rPr>
              <w:t>26.0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jc w:val="right"/>
              <w:ind w:right="19"/>
              <w:spacing w:after="0"/>
              <w:rPr>
                <w:sz w:val="20"/>
                <w:szCs w:val="20"/>
                <w:color w:val="auto"/>
              </w:rPr>
            </w:pPr>
            <w:r>
              <w:rPr>
                <w:rFonts w:ascii="Arial" w:cs="Arial" w:eastAsia="Arial" w:hAnsi="Arial"/>
                <w:sz w:val="16"/>
                <w:szCs w:val="16"/>
                <w:color w:val="auto"/>
                <w:w w:val="89"/>
              </w:rPr>
              <w:t>$</w:t>
            </w:r>
          </w:p>
        </w:tc>
        <w:tc>
          <w:tcPr>
            <w:tcW w:w="1880" w:type="dxa"/>
            <w:vAlign w:val="bottom"/>
          </w:tcPr>
          <w:p>
            <w:pPr>
              <w:ind w:left="1400"/>
              <w:spacing w:after="0"/>
              <w:rPr>
                <w:sz w:val="20"/>
                <w:szCs w:val="20"/>
                <w:color w:val="auto"/>
              </w:rPr>
            </w:pPr>
            <w:r>
              <w:rPr>
                <w:rFonts w:ascii="Arial" w:cs="Arial" w:eastAsia="Arial" w:hAnsi="Arial"/>
                <w:sz w:val="16"/>
                <w:szCs w:val="16"/>
                <w:color w:val="auto"/>
              </w:rPr>
              <w:t>42.5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(38.9)%</w:t>
            </w:r>
          </w:p>
        </w:tc>
      </w:tr>
      <w:tr>
        <w:trPr>
          <w:trHeight w:val="217"/>
        </w:trPr>
        <w:tc>
          <w:tcPr>
            <w:tcW w:w="46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Adjusted EBITDA Margin</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1400"/>
              <w:spacing w:after="0"/>
              <w:rPr>
                <w:sz w:val="20"/>
                <w:szCs w:val="20"/>
                <w:color w:val="auto"/>
              </w:rPr>
            </w:pPr>
            <w:r>
              <w:rPr>
                <w:rFonts w:ascii="Arial" w:cs="Arial" w:eastAsia="Arial" w:hAnsi="Arial"/>
                <w:sz w:val="16"/>
                <w:szCs w:val="16"/>
                <w:color w:val="auto"/>
              </w:rPr>
              <w:t>10.5 %</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 bps</w:t>
            </w:r>
          </w:p>
        </w:tc>
      </w:tr>
      <w:tr>
        <w:trPr>
          <w:trHeight w:val="581"/>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300" w:type="dxa"/>
            <w:vAlign w:val="bottom"/>
          </w:tcPr>
          <w:p>
            <w:pPr>
              <w:spacing w:after="0"/>
              <w:rPr>
                <w:sz w:val="24"/>
                <w:szCs w:val="24"/>
                <w:color w:val="auto"/>
              </w:rPr>
            </w:pPr>
          </w:p>
        </w:tc>
        <w:tc>
          <w:tcPr>
            <w:tcW w:w="1940" w:type="dxa"/>
            <w:vAlign w:val="bottom"/>
            <w:gridSpan w:val="3"/>
          </w:tcPr>
          <w:p>
            <w:pPr>
              <w:ind w:left="160"/>
              <w:spacing w:after="0"/>
              <w:rPr>
                <w:sz w:val="20"/>
                <w:szCs w:val="20"/>
                <w:color w:val="auto"/>
              </w:rPr>
            </w:pPr>
            <w:r>
              <w:rPr>
                <w:rFonts w:ascii="Arial" w:cs="Arial" w:eastAsia="Arial" w:hAnsi="Arial"/>
                <w:sz w:val="16"/>
                <w:szCs w:val="16"/>
                <w:b w:val="1"/>
                <w:bCs w:val="1"/>
                <w:color w:val="auto"/>
              </w:rPr>
              <w:t>February 24, 2024</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rPr>
              <w:t>February 25, 2023</w:t>
            </w:r>
          </w:p>
        </w:tc>
        <w:tc>
          <w:tcPr>
            <w:tcW w:w="2120" w:type="dxa"/>
            <w:vAlign w:val="bottom"/>
          </w:tcPr>
          <w:p>
            <w:pPr>
              <w:jc w:val="right"/>
              <w:ind w:right="639"/>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r>
      <w:tr>
        <w:trPr>
          <w:trHeight w:val="209"/>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452.2</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ind w:left="1400"/>
              <w:spacing w:after="0"/>
              <w:rPr>
                <w:sz w:val="20"/>
                <w:szCs w:val="20"/>
                <w:color w:val="auto"/>
              </w:rPr>
            </w:pPr>
            <w:r>
              <w:rPr>
                <w:rFonts w:ascii="Arial" w:cs="Arial" w:eastAsia="Arial" w:hAnsi="Arial"/>
                <w:sz w:val="16"/>
                <w:szCs w:val="16"/>
                <w:color w:val="auto"/>
              </w:rPr>
              <w:t>872.7</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w:t>
            </w:r>
          </w:p>
        </w:tc>
      </w:tr>
    </w:tbl>
    <w:p>
      <w:pPr>
        <w:spacing w:after="0" w:line="61" w:lineRule="exact"/>
        <w:rPr>
          <w:sz w:val="20"/>
          <w:szCs w:val="20"/>
          <w:color w:val="auto"/>
        </w:rPr>
      </w:pPr>
    </w:p>
    <w:p>
      <w:pPr>
        <w:ind w:left="280" w:hanging="272"/>
        <w:spacing w:after="0"/>
        <w:tabs>
          <w:tab w:leader="none" w:pos="280" w:val="left"/>
        </w:tabs>
        <w:numPr>
          <w:ilvl w:val="0"/>
          <w:numId w:val="5"/>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304" w:lineRule="exact"/>
        <w:rPr>
          <w:rFonts w:ascii="Arial" w:cs="Arial" w:eastAsia="Arial" w:hAnsi="Arial"/>
          <w:sz w:val="21"/>
          <w:szCs w:val="21"/>
          <w:color w:val="auto"/>
          <w:vertAlign w:val="superscript"/>
        </w:rPr>
      </w:pPr>
    </w:p>
    <w:p>
      <w:pPr>
        <w:ind w:left="660" w:right="60" w:hanging="328"/>
        <w:spacing w:after="0" w:line="361" w:lineRule="auto"/>
        <w:tabs>
          <w:tab w:leader="none" w:pos="649" w:val="left"/>
        </w:tabs>
        <w:numPr>
          <w:ilvl w:val="1"/>
          <w:numId w:val="5"/>
        </w:numPr>
        <w:rPr>
          <w:rFonts w:ascii="Arial" w:cs="Arial" w:eastAsia="Arial" w:hAnsi="Arial"/>
          <w:sz w:val="16"/>
          <w:szCs w:val="16"/>
          <w:color w:val="auto"/>
        </w:rPr>
      </w:pPr>
      <w:r>
        <w:rPr>
          <w:rFonts w:ascii="Arial" w:cs="Arial" w:eastAsia="Arial" w:hAnsi="Arial"/>
          <w:sz w:val="16"/>
          <w:szCs w:val="16"/>
          <w:color w:val="auto"/>
        </w:rPr>
        <w:t>Revenues for the Motorhome RV segment were down from the prior year, due to a decline in unit volume related to market conditions, higher levels of discounts and allowances and unfavorable product mix, partially offset by price increases related to higher motorized chassis costs.</w:t>
      </w:r>
    </w:p>
    <w:p>
      <w:pPr>
        <w:ind w:left="660" w:right="740" w:hanging="328"/>
        <w:spacing w:after="0" w:line="369" w:lineRule="auto"/>
        <w:tabs>
          <w:tab w:leader="none" w:pos="649" w:val="left"/>
        </w:tabs>
        <w:numPr>
          <w:ilvl w:val="1"/>
          <w:numId w:val="5"/>
        </w:numPr>
        <w:rPr>
          <w:rFonts w:ascii="Arial" w:cs="Arial" w:eastAsia="Arial" w:hAnsi="Arial"/>
          <w:sz w:val="16"/>
          <w:szCs w:val="16"/>
          <w:color w:val="auto"/>
        </w:rPr>
      </w:pPr>
      <w:r>
        <w:rPr>
          <w:rFonts w:ascii="Arial" w:cs="Arial" w:eastAsia="Arial" w:hAnsi="Arial"/>
          <w:sz w:val="16"/>
          <w:szCs w:val="16"/>
          <w:color w:val="auto"/>
        </w:rPr>
        <w:t>Segment Adjusted EBITDA margin decreased compared to the prior year, primarily due to deleverage, higher warranty experience, higher discounts and allowances, and operational efficiency challenges, partially offset by cost containment efforts.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1"/>
          <w:numId w:val="5"/>
        </w:numPr>
        <w:rPr>
          <w:rFonts w:ascii="Arial" w:cs="Arial" w:eastAsia="Arial" w:hAnsi="Arial"/>
          <w:sz w:val="16"/>
          <w:szCs w:val="16"/>
          <w:color w:val="auto"/>
        </w:rPr>
      </w:pPr>
      <w:r>
        <w:rPr>
          <w:rFonts w:ascii="Arial" w:cs="Arial" w:eastAsia="Arial" w:hAnsi="Arial"/>
          <w:sz w:val="16"/>
          <w:szCs w:val="16"/>
          <w:color w:val="auto"/>
        </w:rPr>
        <w:t>Backlog decreased from the prior year due to current market conditions and a cautious dealer network.</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gridSpan w:val="2"/>
          </w:tcPr>
          <w:p>
            <w:pPr>
              <w:spacing w:after="0"/>
              <w:rPr>
                <w:sz w:val="20"/>
                <w:szCs w:val="20"/>
                <w:color w:val="auto"/>
              </w:rPr>
            </w:pPr>
            <w:r>
              <w:rPr>
                <w:rFonts w:ascii="Arial" w:cs="Arial" w:eastAsia="Arial" w:hAnsi="Arial"/>
                <w:sz w:val="16"/>
                <w:szCs w:val="16"/>
                <w:color w:val="auto"/>
              </w:rPr>
              <w:t>Marine</w:t>
            </w:r>
          </w:p>
        </w:tc>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304"/>
        </w:trPr>
        <w:tc>
          <w:tcPr>
            <w:tcW w:w="500" w:type="dxa"/>
            <w:vAlign w:val="bottom"/>
            <w:tcBorders>
              <w:top w:val="single" w:sz="8" w:color="auto"/>
            </w:tcBorders>
          </w:tcPr>
          <w:p>
            <w:pPr>
              <w:spacing w:after="0"/>
              <w:rPr>
                <w:sz w:val="24"/>
                <w:szCs w:val="24"/>
                <w:color w:val="auto"/>
              </w:rPr>
            </w:pPr>
          </w:p>
        </w:tc>
        <w:tc>
          <w:tcPr>
            <w:tcW w:w="4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6"/>
                <w:szCs w:val="16"/>
                <w:b w:val="1"/>
                <w:bCs w:val="1"/>
                <w:color w:val="auto"/>
              </w:rPr>
              <w:t>Three Months Ended</w:t>
            </w:r>
          </w:p>
        </w:tc>
        <w:tc>
          <w:tcPr>
            <w:tcW w:w="2120" w:type="dxa"/>
            <w:vAlign w:val="bottom"/>
            <w:tcBorders>
              <w:bottom w:val="single" w:sz="8" w:color="auto"/>
            </w:tcBorders>
          </w:tcPr>
          <w:p>
            <w:pPr>
              <w:spacing w:after="0"/>
              <w:rPr>
                <w:sz w:val="24"/>
                <w:szCs w:val="24"/>
                <w:color w:val="auto"/>
              </w:rPr>
            </w:pPr>
          </w:p>
        </w:tc>
      </w:tr>
      <w:tr>
        <w:trPr>
          <w:trHeight w:val="209"/>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300" w:type="dxa"/>
            <w:vAlign w:val="bottom"/>
          </w:tcPr>
          <w:p>
            <w:pPr>
              <w:spacing w:after="0"/>
              <w:rPr>
                <w:sz w:val="18"/>
                <w:szCs w:val="18"/>
                <w:color w:val="auto"/>
              </w:rPr>
            </w:pPr>
          </w:p>
        </w:tc>
        <w:tc>
          <w:tcPr>
            <w:tcW w:w="1940" w:type="dxa"/>
            <w:vAlign w:val="bottom"/>
            <w:gridSpan w:val="3"/>
          </w:tcPr>
          <w:p>
            <w:pPr>
              <w:ind w:left="80"/>
              <w:spacing w:after="0"/>
              <w:rPr>
                <w:sz w:val="20"/>
                <w:szCs w:val="20"/>
                <w:color w:val="auto"/>
              </w:rPr>
            </w:pPr>
            <w:r>
              <w:rPr>
                <w:rFonts w:ascii="Arial" w:cs="Arial" w:eastAsia="Arial" w:hAnsi="Arial"/>
                <w:sz w:val="16"/>
                <w:szCs w:val="16"/>
                <w:b w:val="1"/>
                <w:bCs w:val="1"/>
                <w:color w:val="auto"/>
              </w:rPr>
              <w:t>February 24, 2024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rPr>
              <w:t>February 25, 2023</w:t>
            </w:r>
          </w:p>
        </w:tc>
        <w:tc>
          <w:tcPr>
            <w:tcW w:w="2120" w:type="dxa"/>
            <w:vAlign w:val="bottom"/>
          </w:tcPr>
          <w:p>
            <w:pPr>
              <w:jc w:val="right"/>
              <w:ind w:right="61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r>
      <w:tr>
        <w:trPr>
          <w:trHeight w:val="209"/>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6"/>
                <w:szCs w:val="16"/>
                <w:color w:val="auto"/>
              </w:rPr>
              <w:t>69.8</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112.9</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w:t>
            </w:r>
          </w:p>
        </w:tc>
      </w:tr>
      <w:tr>
        <w:trPr>
          <w:trHeight w:val="215"/>
        </w:trPr>
        <w:tc>
          <w:tcPr>
            <w:tcW w:w="466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20" w:type="dxa"/>
            <w:vAlign w:val="bottom"/>
          </w:tcPr>
          <w:p>
            <w:pPr>
              <w:ind w:left="1400"/>
              <w:spacing w:after="0"/>
              <w:rPr>
                <w:sz w:val="20"/>
                <w:szCs w:val="20"/>
                <w:color w:val="auto"/>
              </w:rPr>
            </w:pPr>
            <w:r>
              <w:rPr>
                <w:rFonts w:ascii="Arial" w:cs="Arial" w:eastAsia="Arial" w:hAnsi="Arial"/>
                <w:sz w:val="16"/>
                <w:szCs w:val="16"/>
                <w:color w:val="auto"/>
              </w:rPr>
              <w:t>4.4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jc w:val="right"/>
              <w:ind w:right="19"/>
              <w:spacing w:after="0"/>
              <w:rPr>
                <w:sz w:val="20"/>
                <w:szCs w:val="20"/>
                <w:color w:val="auto"/>
              </w:rPr>
            </w:pPr>
            <w:r>
              <w:rPr>
                <w:rFonts w:ascii="Arial" w:cs="Arial" w:eastAsia="Arial" w:hAnsi="Arial"/>
                <w:sz w:val="16"/>
                <w:szCs w:val="16"/>
                <w:color w:val="auto"/>
                <w:w w:val="89"/>
              </w:rPr>
              <w:t>$</w:t>
            </w:r>
          </w:p>
        </w:tc>
        <w:tc>
          <w:tcPr>
            <w:tcW w:w="1880" w:type="dxa"/>
            <w:vAlign w:val="bottom"/>
          </w:tcPr>
          <w:p>
            <w:pPr>
              <w:ind w:left="1400"/>
              <w:spacing w:after="0"/>
              <w:rPr>
                <w:sz w:val="20"/>
                <w:szCs w:val="20"/>
                <w:color w:val="auto"/>
              </w:rPr>
            </w:pPr>
            <w:r>
              <w:rPr>
                <w:rFonts w:ascii="Arial" w:cs="Arial" w:eastAsia="Arial" w:hAnsi="Arial"/>
                <w:sz w:val="16"/>
                <w:szCs w:val="16"/>
                <w:color w:val="auto"/>
              </w:rPr>
              <w:t>14.4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(69.7)%</w:t>
            </w:r>
          </w:p>
        </w:tc>
      </w:tr>
      <w:tr>
        <w:trPr>
          <w:trHeight w:val="217"/>
        </w:trPr>
        <w:tc>
          <w:tcPr>
            <w:tcW w:w="46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Adjusted EBITDA Margin</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ind w:left="1400"/>
              <w:spacing w:after="0"/>
              <w:rPr>
                <w:sz w:val="20"/>
                <w:szCs w:val="20"/>
                <w:color w:val="auto"/>
              </w:rPr>
            </w:pPr>
            <w:r>
              <w:rPr>
                <w:rFonts w:ascii="Arial" w:cs="Arial" w:eastAsia="Arial" w:hAnsi="Arial"/>
                <w:sz w:val="16"/>
                <w:szCs w:val="16"/>
                <w:color w:val="auto"/>
                <w:w w:val="97"/>
              </w:rPr>
              <w:t>6.3 %</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1400"/>
              <w:spacing w:after="0"/>
              <w:rPr>
                <w:sz w:val="20"/>
                <w:szCs w:val="20"/>
                <w:color w:val="auto"/>
              </w:rPr>
            </w:pPr>
            <w:r>
              <w:rPr>
                <w:rFonts w:ascii="Arial" w:cs="Arial" w:eastAsia="Arial" w:hAnsi="Arial"/>
                <w:sz w:val="16"/>
                <w:szCs w:val="16"/>
                <w:color w:val="auto"/>
              </w:rPr>
              <w:t>12.8 %</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 bps</w:t>
            </w:r>
          </w:p>
        </w:tc>
      </w:tr>
      <w:tr>
        <w:trPr>
          <w:trHeight w:val="580"/>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300" w:type="dxa"/>
            <w:vAlign w:val="bottom"/>
          </w:tcPr>
          <w:p>
            <w:pPr>
              <w:spacing w:after="0"/>
              <w:rPr>
                <w:sz w:val="24"/>
                <w:szCs w:val="24"/>
                <w:color w:val="auto"/>
              </w:rPr>
            </w:pPr>
          </w:p>
        </w:tc>
        <w:tc>
          <w:tcPr>
            <w:tcW w:w="1940" w:type="dxa"/>
            <w:vAlign w:val="bottom"/>
            <w:gridSpan w:val="3"/>
          </w:tcPr>
          <w:p>
            <w:pPr>
              <w:ind w:left="160"/>
              <w:spacing w:after="0"/>
              <w:rPr>
                <w:sz w:val="20"/>
                <w:szCs w:val="20"/>
                <w:color w:val="auto"/>
              </w:rPr>
            </w:pPr>
            <w:r>
              <w:rPr>
                <w:rFonts w:ascii="Arial" w:cs="Arial" w:eastAsia="Arial" w:hAnsi="Arial"/>
                <w:sz w:val="16"/>
                <w:szCs w:val="16"/>
                <w:b w:val="1"/>
                <w:bCs w:val="1"/>
                <w:color w:val="auto"/>
              </w:rPr>
              <w:t>February 24, 2024</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rPr>
              <w:t>February 25, 2023</w:t>
            </w:r>
          </w:p>
        </w:tc>
        <w:tc>
          <w:tcPr>
            <w:tcW w:w="2120" w:type="dxa"/>
            <w:vAlign w:val="bottom"/>
          </w:tcPr>
          <w:p>
            <w:pPr>
              <w:jc w:val="right"/>
              <w:ind w:right="639"/>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r>
      <w:tr>
        <w:trPr>
          <w:trHeight w:val="209"/>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shd w:val="clear" w:color="auto" w:fill="CCEEFF"/>
          </w:tcPr>
          <w:p>
            <w:pPr>
              <w:ind w:left="1380"/>
              <w:spacing w:after="0"/>
              <w:rPr>
                <w:sz w:val="20"/>
                <w:szCs w:val="20"/>
                <w:color w:val="auto"/>
              </w:rPr>
            </w:pPr>
            <w:r>
              <w:rPr>
                <w:rFonts w:ascii="Arial" w:cs="Arial" w:eastAsia="Arial" w:hAnsi="Arial"/>
                <w:sz w:val="16"/>
                <w:szCs w:val="16"/>
                <w:color w:val="auto"/>
              </w:rPr>
              <w:t>102.9</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ind w:left="1400"/>
              <w:spacing w:after="0"/>
              <w:rPr>
                <w:sz w:val="20"/>
                <w:szCs w:val="20"/>
                <w:color w:val="auto"/>
              </w:rPr>
            </w:pPr>
            <w:r>
              <w:rPr>
                <w:rFonts w:ascii="Arial" w:cs="Arial" w:eastAsia="Arial" w:hAnsi="Arial"/>
                <w:sz w:val="16"/>
                <w:szCs w:val="16"/>
                <w:color w:val="auto"/>
              </w:rPr>
              <w:t>238.5</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w:t>
            </w:r>
          </w:p>
        </w:tc>
      </w:tr>
    </w:tbl>
    <w:p>
      <w:pPr>
        <w:spacing w:after="0" w:line="61" w:lineRule="exact"/>
        <w:rPr>
          <w:sz w:val="20"/>
          <w:szCs w:val="20"/>
          <w:color w:val="auto"/>
        </w:rPr>
      </w:pPr>
    </w:p>
    <w:p>
      <w:pPr>
        <w:ind w:left="280" w:hanging="272"/>
        <w:spacing w:after="0"/>
        <w:tabs>
          <w:tab w:leader="none" w:pos="280" w:val="left"/>
        </w:tabs>
        <w:numPr>
          <w:ilvl w:val="0"/>
          <w:numId w:val="6"/>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304" w:lineRule="exact"/>
        <w:rPr>
          <w:rFonts w:ascii="Arial" w:cs="Arial" w:eastAsia="Arial" w:hAnsi="Arial"/>
          <w:sz w:val="21"/>
          <w:szCs w:val="21"/>
          <w:color w:val="auto"/>
          <w:vertAlign w:val="superscript"/>
        </w:rPr>
      </w:pPr>
    </w:p>
    <w:p>
      <w:pPr>
        <w:ind w:left="660" w:right="740" w:hanging="328"/>
        <w:spacing w:after="0" w:line="369" w:lineRule="auto"/>
        <w:tabs>
          <w:tab w:leader="none" w:pos="649" w:val="left"/>
        </w:tabs>
        <w:numPr>
          <w:ilvl w:val="1"/>
          <w:numId w:val="6"/>
        </w:numPr>
        <w:rPr>
          <w:rFonts w:ascii="Arial" w:cs="Arial" w:eastAsia="Arial" w:hAnsi="Arial"/>
          <w:sz w:val="16"/>
          <w:szCs w:val="16"/>
          <w:color w:val="auto"/>
        </w:rPr>
      </w:pPr>
      <w:r>
        <w:rPr>
          <w:rFonts w:ascii="Arial" w:cs="Arial" w:eastAsia="Arial" w:hAnsi="Arial"/>
          <w:sz w:val="16"/>
          <w:szCs w:val="16"/>
          <w:color w:val="auto"/>
        </w:rPr>
        <w:t>Revenues for the Marine segment were down from the prior year, primarily driven by a decline in unit volume related to market conditions, unfavorable product mix and higher discounts and allowances.</w:t>
      </w:r>
    </w:p>
    <w:p>
      <w:pPr>
        <w:spacing w:after="0" w:line="1" w:lineRule="exact"/>
        <w:rPr>
          <w:rFonts w:ascii="Arial" w:cs="Arial" w:eastAsia="Arial" w:hAnsi="Arial"/>
          <w:sz w:val="16"/>
          <w:szCs w:val="16"/>
          <w:color w:val="auto"/>
        </w:rPr>
      </w:pPr>
    </w:p>
    <w:p>
      <w:pPr>
        <w:ind w:left="660" w:right="80" w:hanging="328"/>
        <w:spacing w:after="0" w:line="361" w:lineRule="auto"/>
        <w:tabs>
          <w:tab w:leader="none" w:pos="649" w:val="left"/>
        </w:tabs>
        <w:numPr>
          <w:ilvl w:val="1"/>
          <w:numId w:val="6"/>
        </w:numPr>
        <w:rPr>
          <w:rFonts w:ascii="Arial" w:cs="Arial" w:eastAsia="Arial" w:hAnsi="Arial"/>
          <w:sz w:val="16"/>
          <w:szCs w:val="16"/>
          <w:color w:val="auto"/>
        </w:rPr>
      </w:pPr>
      <w:r>
        <w:rPr>
          <w:rFonts w:ascii="Arial" w:cs="Arial" w:eastAsia="Arial" w:hAnsi="Arial"/>
          <w:sz w:val="16"/>
          <w:szCs w:val="16"/>
          <w:color w:val="auto"/>
        </w:rPr>
        <w:t>Segment Adjusted EBITDA decreased compared to the prior year, primarily due to deleverage and higher discounts and allowances, partially offset by lower incentive-based compensation.</w:t>
      </w:r>
    </w:p>
    <w:p>
      <w:pPr>
        <w:ind w:left="640" w:hanging="308"/>
        <w:spacing w:after="0"/>
        <w:tabs>
          <w:tab w:leader="none" w:pos="640" w:val="left"/>
        </w:tabs>
        <w:numPr>
          <w:ilvl w:val="1"/>
          <w:numId w:val="6"/>
        </w:numPr>
        <w:rPr>
          <w:rFonts w:ascii="Arial" w:cs="Arial" w:eastAsia="Arial" w:hAnsi="Arial"/>
          <w:sz w:val="16"/>
          <w:szCs w:val="16"/>
          <w:color w:val="auto"/>
        </w:rPr>
      </w:pPr>
      <w:r>
        <w:rPr>
          <w:rFonts w:ascii="Arial" w:cs="Arial" w:eastAsia="Arial" w:hAnsi="Arial"/>
          <w:sz w:val="16"/>
          <w:szCs w:val="16"/>
          <w:color w:val="auto"/>
        </w:rPr>
        <w:t>Backlog for the Marine segment was down from the prior-year period due to a cautious dealer network.</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Sheet and Cash Flow</w:t>
      </w:r>
    </w:p>
    <w:p>
      <w:pPr>
        <w:spacing w:after="0" w:line="100" w:lineRule="exact"/>
        <w:rPr>
          <w:sz w:val="20"/>
          <w:szCs w:val="20"/>
          <w:color w:val="auto"/>
        </w:rPr>
      </w:pPr>
    </w:p>
    <w:p>
      <w:pPr>
        <w:ind w:right="200"/>
        <w:spacing w:after="0" w:line="377" w:lineRule="auto"/>
        <w:rPr>
          <w:sz w:val="20"/>
          <w:szCs w:val="20"/>
          <w:color w:val="auto"/>
        </w:rPr>
      </w:pPr>
      <w:r>
        <w:rPr>
          <w:rFonts w:ascii="Arial" w:cs="Arial" w:eastAsia="Arial" w:hAnsi="Arial"/>
          <w:sz w:val="16"/>
          <w:szCs w:val="16"/>
          <w:color w:val="auto"/>
        </w:rPr>
        <w:t>As of February 24, 2024, the Company had total outstanding debt of $694.8 million ($709.3 million of debt, net of debt issuance costs of $14.5 million) and working capital of $649.0 million. Cash flow provided by operations was $25.2 million in the Fiscal 2024 second quarter. During the quarter, Winnebago Industries completed a $350 million offering of convertible senior notes for refinancing 2025 maturities. The successful refinancing of its convertible senior notes underscores the Company’s strong operating performance and credit profile, and provides financial flexibility for future growth.</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171"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Future Mid-Cycle Organic Growth Targets</w:t>
      </w:r>
    </w:p>
    <w:p>
      <w:pPr>
        <w:spacing w:after="0" w:line="100" w:lineRule="exact"/>
        <w:rPr>
          <w:sz w:val="20"/>
          <w:szCs w:val="20"/>
          <w:color w:val="auto"/>
        </w:rPr>
      </w:pPr>
    </w:p>
    <w:p>
      <w:pPr>
        <w:ind w:right="320"/>
        <w:spacing w:after="0" w:line="377" w:lineRule="auto"/>
        <w:rPr>
          <w:sz w:val="20"/>
          <w:szCs w:val="20"/>
          <w:color w:val="auto"/>
        </w:rPr>
      </w:pPr>
      <w:r>
        <w:rPr>
          <w:rFonts w:ascii="Arial" w:cs="Arial" w:eastAsia="Arial" w:hAnsi="Arial"/>
          <w:sz w:val="16"/>
          <w:szCs w:val="16"/>
          <w:color w:val="auto"/>
        </w:rPr>
        <w:t>Winnebago Industries today announced future mid-cycle organic growth targets. These targets leverage the strength of the Company’s operating model, product innovation and business diversification, as well as the long-term secular growth trends driving consumer demand across the outdoor recreation markets. Market assumptions underlying the financial targets include North American RV retail volume at a mid-cycle, fiscal year range of 425,000 to 450,000 units and U.S. aluminum pontoon retail volume at a mid-cycle, fiscal year range of 60,000 to 63,000 units. The Company expects:</w:t>
      </w:r>
    </w:p>
    <w:p>
      <w:pPr>
        <w:spacing w:after="0" w:line="23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6"/>
          <w:szCs w:val="16"/>
          <w:color w:val="auto"/>
        </w:rPr>
        <w:t>Net revenues of $4.5 billion to $5.0 billion</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6"/>
          <w:szCs w:val="16"/>
          <w:color w:val="auto"/>
        </w:rPr>
        <w:t>Gross margin of 18.0% to 18.5%</w:t>
      </w:r>
    </w:p>
    <w:p>
      <w:pPr>
        <w:spacing w:after="0" w:line="163"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6"/>
          <w:szCs w:val="16"/>
          <w:color w:val="auto"/>
        </w:rPr>
        <w:t>Adjusted EBITDA margin of 11.0% to 11.5%</w:t>
      </w:r>
      <w:r>
        <w:rPr>
          <w:rFonts w:ascii="Arial" w:cs="Arial" w:eastAsia="Arial" w:hAnsi="Arial"/>
          <w:sz w:val="21"/>
          <w:szCs w:val="21"/>
          <w:color w:val="auto"/>
          <w:vertAlign w:val="superscript"/>
        </w:rPr>
        <w:t>(2)</w:t>
      </w:r>
    </w:p>
    <w:p>
      <w:pPr>
        <w:spacing w:after="0" w:line="114"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6"/>
          <w:szCs w:val="16"/>
          <w:color w:val="auto"/>
        </w:rPr>
        <w:t>Free cash flow of $325 million to $375 million</w:t>
      </w:r>
      <w:r>
        <w:rPr>
          <w:rFonts w:ascii="Arial" w:cs="Arial" w:eastAsia="Arial" w:hAnsi="Arial"/>
          <w:sz w:val="21"/>
          <w:szCs w:val="21"/>
          <w:color w:val="auto"/>
          <w:vertAlign w:val="superscript"/>
        </w:rPr>
        <w:t>(2,3)</w:t>
      </w:r>
    </w:p>
    <w:p>
      <w:pPr>
        <w:spacing w:after="0" w:line="83"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6"/>
          <w:szCs w:val="16"/>
          <w:color w:val="auto"/>
        </w:rPr>
        <w:t>North American RV market share of more than 13%</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6"/>
          <w:szCs w:val="16"/>
          <w:color w:val="auto"/>
        </w:rPr>
        <w:t>U.S. aluminum pontoon market share of 13%</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6"/>
          <w:szCs w:val="16"/>
          <w:color w:val="auto"/>
        </w:rPr>
        <w:t>Organic non-RV revenue mix representing 15% to 20% of total revenue</w:t>
      </w:r>
    </w:p>
    <w:p>
      <w:pPr>
        <w:spacing w:after="0" w:line="339" w:lineRule="exact"/>
        <w:rPr>
          <w:sz w:val="20"/>
          <w:szCs w:val="20"/>
          <w:color w:val="auto"/>
        </w:rPr>
      </w:pPr>
    </w:p>
    <w:p>
      <w:pPr>
        <w:spacing w:after="0" w:line="374" w:lineRule="auto"/>
        <w:rPr>
          <w:sz w:val="20"/>
          <w:szCs w:val="20"/>
          <w:color w:val="auto"/>
        </w:rPr>
      </w:pPr>
      <w:r>
        <w:rPr>
          <w:rFonts w:ascii="Arial" w:cs="Arial" w:eastAsia="Arial" w:hAnsi="Arial"/>
          <w:sz w:val="16"/>
          <w:szCs w:val="16"/>
          <w:color w:val="auto"/>
        </w:rPr>
        <w:t>“Interest in the RV and boating lifestyles remains strong, creating a secular tailwind that supports the anticipated long-term growth of our portfolio of exceptional brands and aligns with our vision to be the trusted leader in premium outdoor recreation,” Happe said. “As we enter the second half of fiscal 2024, we are encouraged by data indicating that RV inventory levels are returning to an equilibrium stage, though we remain aggressive in managing production output and overall costs in a targeted manner. Looking ahead, we will continue to rely on our flexible, high-variable cost structure to drive improved operating leverage, while capitalizing on innovation, product line expansion, channel partnerships, and operational excellence to achieve our future mid-cycle organic growth targets.”</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FY 2024 Conference Call</w:t>
      </w:r>
    </w:p>
    <w:p>
      <w:pPr>
        <w:spacing w:after="0" w:line="100" w:lineRule="exact"/>
        <w:rPr>
          <w:sz w:val="20"/>
          <w:szCs w:val="20"/>
          <w:color w:val="auto"/>
        </w:rPr>
      </w:pPr>
    </w:p>
    <w:p>
      <w:pPr>
        <w:ind w:right="20"/>
        <w:spacing w:after="0" w:line="377" w:lineRule="auto"/>
        <w:rPr>
          <w:sz w:val="20"/>
          <w:szCs w:val="20"/>
          <w:color w:val="auto"/>
        </w:rPr>
      </w:pPr>
      <w:r>
        <w:rPr>
          <w:rFonts w:ascii="Arial" w:cs="Arial" w:eastAsia="Arial" w:hAnsi="Arial"/>
          <w:sz w:val="16"/>
          <w:szCs w:val="16"/>
          <w:color w:val="auto"/>
        </w:rPr>
        <w:t>Winnebago Industries, Inc. will discuss second quarter fiscal 2024 earnings results and the Company’s mid-cycle organic growth targets during a conference call scheduled for 9:00 a.m. Central Time today. Members of the news media, investors and the general public are invited to access a live broadcast of the conference call and view the accompanying presentation slides via the Investor Relations page of the Company's website at http://investor.wgo.net. The event will be archived and available for replay for the next 90 days.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20"/>
          </w:cols>
          <w:pgMar w:left="320" w:top="1084" w:right="35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100" w:lineRule="exact"/>
        <w:rPr>
          <w:sz w:val="20"/>
          <w:szCs w:val="20"/>
          <w:color w:val="auto"/>
        </w:rPr>
      </w:pPr>
    </w:p>
    <w:p>
      <w:pPr>
        <w:spacing w:after="0" w:line="374" w:lineRule="auto"/>
        <w:rPr>
          <w:sz w:val="20"/>
          <w:szCs w:val="20"/>
          <w:color w:val="auto"/>
        </w:rPr>
      </w:pPr>
      <w:r>
        <w:rPr>
          <w:rFonts w:ascii="Arial" w:cs="Arial" w:eastAsia="Arial" w:hAnsi="Arial"/>
          <w:sz w:val="16"/>
          <w:szCs w:val="16"/>
          <w:color w:val="auto"/>
        </w:rPr>
        <w:t>Winnebago Industries, Inc. is a leading North American manufacturer of outdoor lifestyle products under the Winnebago, Grand Design, Chris-Craft, Newmar and Barletta brands, which are used primarily in leisure travel and outdoor recreation activities. The Company builds high-quality motorhomes, travel trailers, fifth-wheel products, outboard and sterndrive powerboats, pontoons, and commercial community outreach vehicles. Committed to advancing sustainable innovation and leveraging vertical integration in key component areas,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http://investor.wgo.net.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Forward-Looking Statements</w:t>
      </w:r>
    </w:p>
    <w:p>
      <w:pPr>
        <w:spacing w:after="0" w:line="100" w:lineRule="exact"/>
        <w:rPr>
          <w:sz w:val="20"/>
          <w:szCs w:val="20"/>
          <w:color w:val="auto"/>
        </w:rPr>
      </w:pPr>
    </w:p>
    <w:p>
      <w:pPr>
        <w:ind w:right="40"/>
        <w:spacing w:after="0" w:line="370"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general economic uncertainty in key markets and a worsening of domestic and global economic conditions or low levels of economic growth; availability of financing for RV and marine dealers; competition and new product introductions by competitors; ability to innovate and commercialize new products; ability to manage our inventory to meet demand; risk related to cyclicality and seasonality of our business; risk related to independent dealers; risk related to dealer consolidation or the loss of a significant dealer; significant increase in repurchase obligations; ability to retain relationships with our suppliers and obtain components; business or production disruptions; inadequate management of dealer inventory levels; increased material and component costs, including availability and price of fuel and other raw materials; ability to integrate mergers and acquisitions; ability to attract and retain qualified personnel and changes in market compensation rates; exposure to warranty claims; ability to protect our information technology systems from data security, cyberattacks, and network disruption risks and the ability to successfully upgrade and evolve our information technology systems; ability to retain brand reputation and related exposure to product liability claims; governmental regulation, including for climate change; increased attention to environmental, social, and governance ("ESG") matters, and our ability to meet our commitments; impairment of goodwill and trade names; and risks related to our 2025 Convertible Notes, 2030 Convertible Notes and Senior Secured Notes, including our ability to satisfy our obligations under these notes.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Contacts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Investors: Ray Posadas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3051F2"/>
        </w:rPr>
        <w:t>ir@winnebagoind.com</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Media: Dan Sullivan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3051F2"/>
        </w:rPr>
        <w:t>media@winnebagoind.com</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178" w:right="339" w:bottom="1440" w:gutter="0" w:footer="0" w:header="0"/>
        </w:sectPr>
      </w:pPr>
    </w:p>
    <w:bookmarkStart w:id="8" w:name="page9"/>
    <w:bookmarkEnd w:id="8"/>
    <w:p>
      <w:pPr>
        <w:ind w:left="4480"/>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Footnotes to News Release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Footnotes:</w:t>
      </w:r>
    </w:p>
    <w:p>
      <w:pPr>
        <w:spacing w:after="0" w:line="302" w:lineRule="exact"/>
        <w:rPr>
          <w:sz w:val="20"/>
          <w:szCs w:val="20"/>
          <w:color w:val="auto"/>
        </w:rPr>
      </w:pPr>
    </w:p>
    <w:p>
      <w:pPr>
        <w:ind w:left="260" w:hanging="252"/>
        <w:spacing w:after="0" w:line="290" w:lineRule="auto"/>
        <w:tabs>
          <w:tab w:leader="none" w:pos="261" w:val="left"/>
        </w:tabs>
        <w:numPr>
          <w:ilvl w:val="0"/>
          <w:numId w:val="8"/>
        </w:numPr>
        <w:rPr>
          <w:rFonts w:ascii="Arial" w:cs="Arial" w:eastAsia="Arial" w:hAnsi="Arial"/>
          <w:sz w:val="9"/>
          <w:szCs w:val="9"/>
          <w:color w:val="auto"/>
        </w:rPr>
      </w:pPr>
      <w:r>
        <w:rPr>
          <w:rFonts w:ascii="Arial" w:cs="Arial" w:eastAsia="Arial" w:hAnsi="Arial"/>
          <w:sz w:val="16"/>
          <w:szCs w:val="16"/>
          <w:color w:val="auto"/>
        </w:rPr>
        <w:t>Data reported by Statistical Surveys, Inc., representing trailing twelve-month pontoon market share through January 2024. This data is continuously updated and often impacted by delays in reporting by various states.</w:t>
      </w:r>
    </w:p>
    <w:p>
      <w:pPr>
        <w:ind w:left="260" w:right="180" w:hanging="252"/>
        <w:spacing w:after="0" w:line="238" w:lineRule="auto"/>
        <w:tabs>
          <w:tab w:leader="none" w:pos="263"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The Company has not reconciled the forward-looking Adjusted EBITDA margin range and Free Cash Flow range to the most directly comparable forward-looking GAAP measures because this cannot be done without unreasonable effort due to the lack of predictability regarding the various reconciling items such as provision for income taxes and depreciation and amortization.</w:t>
      </w:r>
    </w:p>
    <w:p>
      <w:pPr>
        <w:spacing w:after="0" w:line="3" w:lineRule="exact"/>
        <w:rPr>
          <w:rFonts w:ascii="Arial" w:cs="Arial" w:eastAsia="Arial" w:hAnsi="Arial"/>
          <w:sz w:val="21"/>
          <w:szCs w:val="21"/>
          <w:color w:val="auto"/>
          <w:vertAlign w:val="superscript"/>
        </w:rPr>
      </w:pPr>
    </w:p>
    <w:p>
      <w:pPr>
        <w:ind w:left="260" w:hanging="252"/>
        <w:spacing w:after="0"/>
        <w:tabs>
          <w:tab w:leader="none" w:pos="26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Assumes a consistent tax rate and regulatory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800"/>
          </w:cols>
          <w:pgMar w:left="320" w:top="890" w:right="77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0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 except percent and per share data)</w:t>
            </w:r>
          </w:p>
        </w:tc>
        <w:tc>
          <w:tcPr>
            <w:tcW w:w="5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ind w:left="440"/>
              <w:spacing w:after="0"/>
              <w:rPr>
                <w:sz w:val="20"/>
                <w:szCs w:val="20"/>
                <w:color w:val="auto"/>
              </w:rPr>
            </w:pPr>
            <w:r>
              <w:rPr>
                <w:rFonts w:ascii="Arial" w:cs="Arial" w:eastAsia="Arial" w:hAnsi="Arial"/>
                <w:sz w:val="16"/>
                <w:szCs w:val="16"/>
                <w:b w:val="1"/>
                <w:bCs w:val="1"/>
                <w:color w:val="auto"/>
              </w:rPr>
              <w:t>February 24, 2024</w:t>
            </w: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February 25, 2023</w:t>
            </w:r>
          </w:p>
        </w:tc>
        <w:tc>
          <w:tcPr>
            <w:tcW w:w="780" w:type="dxa"/>
            <w:vAlign w:val="bottom"/>
            <w:tcBorders>
              <w:bottom w:val="single" w:sz="8" w:color="auto"/>
            </w:tcBorders>
          </w:tcPr>
          <w:p>
            <w:pPr>
              <w:spacing w:after="0"/>
              <w:rPr>
                <w:sz w:val="18"/>
                <w:szCs w:val="18"/>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598.3</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719.9</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66.2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0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0.8 %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0.6 %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note repurchase</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0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loss</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8.0 %</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w:t>
            </w:r>
          </w:p>
        </w:tc>
      </w:tr>
      <w:tr>
        <w:trPr>
          <w:trHeight w:val="23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6.1 %</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earnings per common share:</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5"/>
        </w:trPr>
        <w:tc>
          <w:tcPr>
            <w:tcW w:w="4580" w:type="dxa"/>
            <w:vAlign w:val="bottom"/>
          </w:tcPr>
          <w:p>
            <w:pPr>
              <w:ind w:left="180"/>
              <w:spacing w:after="0"/>
              <w:rPr>
                <w:sz w:val="20"/>
                <w:szCs w:val="20"/>
                <w:color w:val="auto"/>
              </w:rPr>
            </w:pPr>
            <w:r>
              <w:rPr>
                <w:rFonts w:ascii="Arial" w:cs="Arial" w:eastAsia="Arial" w:hAnsi="Arial"/>
                <w:sz w:val="16"/>
                <w:szCs w:val="16"/>
                <w:color w:val="auto"/>
              </w:rPr>
              <w:t>Basic</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(0.43)</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5"/>
        </w:trPr>
        <w:tc>
          <w:tcPr>
            <w:tcW w:w="4580" w:type="dxa"/>
            <w:vAlign w:val="bottom"/>
          </w:tcPr>
          <w:p>
            <w:pPr>
              <w:ind w:left="180"/>
              <w:spacing w:after="0"/>
              <w:rPr>
                <w:sz w:val="20"/>
                <w:szCs w:val="20"/>
                <w:color w:val="auto"/>
              </w:rPr>
            </w:pPr>
            <w:r>
              <w:rPr>
                <w:rFonts w:ascii="Arial" w:cs="Arial" w:eastAsia="Arial" w:hAnsi="Arial"/>
                <w:sz w:val="16"/>
                <w:szCs w:val="16"/>
                <w:color w:val="auto"/>
              </w:rPr>
              <w:t>Diluted</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79"/>
        </w:trPr>
        <w:tc>
          <w:tcPr>
            <w:tcW w:w="45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Six Months Ended</w:t>
            </w: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0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 except percent and per share data)</w:t>
            </w:r>
          </w:p>
        </w:tc>
        <w:tc>
          <w:tcPr>
            <w:tcW w:w="5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ind w:left="440"/>
              <w:spacing w:after="0"/>
              <w:rPr>
                <w:sz w:val="20"/>
                <w:szCs w:val="20"/>
                <w:color w:val="auto"/>
              </w:rPr>
            </w:pPr>
            <w:r>
              <w:rPr>
                <w:rFonts w:ascii="Arial" w:cs="Arial" w:eastAsia="Arial" w:hAnsi="Arial"/>
                <w:sz w:val="16"/>
                <w:szCs w:val="16"/>
                <w:b w:val="1"/>
                <w:bCs w:val="1"/>
                <w:color w:val="auto"/>
              </w:rPr>
              <w:t>February 24, 2024</w:t>
            </w: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February 25, 2023</w:t>
            </w:r>
          </w:p>
        </w:tc>
        <w:tc>
          <w:tcPr>
            <w:tcW w:w="780" w:type="dxa"/>
            <w:vAlign w:val="bottom"/>
            <w:tcBorders>
              <w:bottom w:val="single" w:sz="8" w:color="auto"/>
            </w:tcBorders>
          </w:tcPr>
          <w:p>
            <w:pPr>
              <w:spacing w:after="0"/>
              <w:rPr>
                <w:sz w:val="18"/>
                <w:szCs w:val="18"/>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1,818.9</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1,245.5</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1,511.7</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307.2</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135.3</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136.9</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0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144.5</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0.6 %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0.6 %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note repurchase</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0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loss</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8.2 %</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w:t>
            </w:r>
          </w:p>
        </w:tc>
      </w:tr>
      <w:tr>
        <w:trPr>
          <w:trHeight w:val="23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5"/>
        </w:trPr>
        <w:tc>
          <w:tcPr>
            <w:tcW w:w="4580" w:type="dxa"/>
            <w:vAlign w:val="bottom"/>
          </w:tcPr>
          <w:p>
            <w:pPr>
              <w:ind w:left="180"/>
              <w:spacing w:after="0"/>
              <w:rPr>
                <w:sz w:val="20"/>
                <w:szCs w:val="20"/>
                <w:color w:val="auto"/>
              </w:rPr>
            </w:pPr>
            <w:r>
              <w:rPr>
                <w:rFonts w:ascii="Arial" w:cs="Arial" w:eastAsia="Arial" w:hAnsi="Arial"/>
                <w:sz w:val="16"/>
                <w:szCs w:val="16"/>
                <w:color w:val="auto"/>
              </w:rPr>
              <w:t>Basic</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5"/>
        </w:trPr>
        <w:tc>
          <w:tcPr>
            <w:tcW w:w="4580" w:type="dxa"/>
            <w:vAlign w:val="bottom"/>
          </w:tcPr>
          <w:p>
            <w:pPr>
              <w:ind w:left="180"/>
              <w:spacing w:after="0"/>
              <w:rPr>
                <w:sz w:val="20"/>
                <w:szCs w:val="20"/>
                <w:color w:val="auto"/>
              </w:rPr>
            </w:pPr>
            <w:r>
              <w:rPr>
                <w:rFonts w:ascii="Arial" w:cs="Arial" w:eastAsia="Arial" w:hAnsi="Arial"/>
                <w:sz w:val="16"/>
                <w:szCs w:val="16"/>
                <w:color w:val="auto"/>
              </w:rPr>
              <w:t>Diluted</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Amounts in tables are calculated based on unrounded numbers and therefore may not recalculate using the rounded numbers provided.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In addition, percentages may not add in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180"/>
          </w:cols>
          <w:pgMar w:left="320" w:top="890" w:right="3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4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24, 2024</w:t>
            </w:r>
          </w:p>
        </w:tc>
        <w:tc>
          <w:tcPr>
            <w:tcW w:w="220" w:type="dxa"/>
            <w:vAlign w:val="bottom"/>
          </w:tcPr>
          <w:p>
            <w:pPr>
              <w:spacing w:after="0"/>
              <w:rPr>
                <w:sz w:val="18"/>
                <w:szCs w:val="18"/>
                <w:color w:val="auto"/>
              </w:rPr>
            </w:pPr>
          </w:p>
        </w:tc>
        <w:tc>
          <w:tcPr>
            <w:tcW w:w="166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26, 2023</w:t>
            </w:r>
          </w:p>
        </w:tc>
      </w:tr>
      <w:tr>
        <w:trPr>
          <w:trHeight w:val="210"/>
        </w:trPr>
        <w:tc>
          <w:tcPr>
            <w:tcW w:w="7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7"/>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309.9</w:t>
            </w:r>
          </w:p>
        </w:tc>
      </w:tr>
      <w:tr>
        <w:trPr>
          <w:trHeight w:val="215"/>
        </w:trPr>
        <w:tc>
          <w:tcPr>
            <w:tcW w:w="7340" w:type="dxa"/>
            <w:vAlign w:val="bottom"/>
          </w:tcPr>
          <w:p>
            <w:pPr>
              <w:ind w:left="260"/>
              <w:spacing w:after="0"/>
              <w:rPr>
                <w:sz w:val="20"/>
                <w:szCs w:val="20"/>
                <w:color w:val="auto"/>
              </w:rPr>
            </w:pPr>
            <w:r>
              <w:rPr>
                <w:rFonts w:ascii="Arial" w:cs="Arial" w:eastAsia="Arial" w:hAnsi="Arial"/>
                <w:sz w:val="16"/>
                <w:szCs w:val="16"/>
                <w:color w:val="auto"/>
              </w:rPr>
              <w:t>Receivables, net</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234.4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178.5</w:t>
            </w:r>
          </w:p>
        </w:tc>
      </w:tr>
      <w:tr>
        <w:trPr>
          <w:trHeight w:val="217"/>
        </w:trPr>
        <w:tc>
          <w:tcPr>
            <w:tcW w:w="7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Inventories, net</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470.6</w:t>
            </w:r>
          </w:p>
        </w:tc>
      </w:tr>
      <w:tr>
        <w:trPr>
          <w:trHeight w:val="215"/>
        </w:trPr>
        <w:tc>
          <w:tcPr>
            <w:tcW w:w="73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r>
      <w:tr>
        <w:trPr>
          <w:trHeight w:val="210"/>
        </w:trPr>
        <w:tc>
          <w:tcPr>
            <w:tcW w:w="7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996.7</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333.7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327.3</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514.5</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Other intangible assets, net</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490.7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502.0</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life insurance</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Operating lease assets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42.6</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 assets, net</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long-term assets</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r>
      <w:tr>
        <w:trPr>
          <w:trHeight w:val="235"/>
        </w:trPr>
        <w:tc>
          <w:tcPr>
            <w:tcW w:w="7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2,433.9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2,432.4</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6"/>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7"/>
        </w:trPr>
        <w:tc>
          <w:tcPr>
            <w:tcW w:w="7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w:t>
            </w:r>
          </w:p>
        </w:tc>
      </w:tr>
      <w:tr>
        <w:trPr>
          <w:trHeight w:val="215"/>
        </w:trPr>
        <w:tc>
          <w:tcPr>
            <w:tcW w:w="73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Accrued expenses</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249.1</w:t>
            </w:r>
          </w:p>
        </w:tc>
      </w:tr>
      <w:tr>
        <w:trPr>
          <w:trHeight w:val="210"/>
        </w:trPr>
        <w:tc>
          <w:tcPr>
            <w:tcW w:w="7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396.0</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694.8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592.4</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 liabilities, net</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Unrecognized tax benefits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operating lease liabilities</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09"/>
        </w:trPr>
        <w:tc>
          <w:tcPr>
            <w:tcW w:w="734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1,109.3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1,064.3</w:t>
            </w:r>
          </w:p>
        </w:tc>
      </w:tr>
      <w:tr>
        <w:trPr>
          <w:trHeight w:val="216"/>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1,324.6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1,368.1</w:t>
            </w:r>
          </w:p>
        </w:tc>
      </w:tr>
      <w:tr>
        <w:trPr>
          <w:trHeight w:val="210"/>
        </w:trPr>
        <w:tc>
          <w:tcPr>
            <w:tcW w:w="7340" w:type="dxa"/>
            <w:vAlign w:val="bottom"/>
          </w:tcPr>
          <w:p>
            <w:pPr>
              <w:ind w:left="140"/>
              <w:spacing w:after="0"/>
              <w:rPr>
                <w:sz w:val="20"/>
                <w:szCs w:val="20"/>
                <w:color w:val="auto"/>
              </w:rPr>
            </w:pPr>
            <w:r>
              <w:rPr>
                <w:rFonts w:ascii="Arial" w:cs="Arial" w:eastAsia="Arial" w:hAnsi="Arial"/>
                <w:sz w:val="16"/>
                <w:szCs w:val="16"/>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2,433.9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2,432.4</w:t>
            </w:r>
          </w:p>
        </w:tc>
      </w:tr>
      <w:tr>
        <w:trPr>
          <w:trHeight w:val="20"/>
        </w:trPr>
        <w:tc>
          <w:tcPr>
            <w:tcW w:w="7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890" w:right="3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4"/>
          </w:tcPr>
          <w:p>
            <w:pPr>
              <w:jc w:val="right"/>
              <w:ind w:right="117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7240" w:type="dxa"/>
            <w:vAlign w:val="bottom"/>
          </w:tcPr>
          <w:p>
            <w:pPr>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24, 2024</w:t>
            </w:r>
          </w:p>
        </w:tc>
        <w:tc>
          <w:tcPr>
            <w:tcW w:w="200" w:type="dxa"/>
            <w:vAlign w:val="bottom"/>
          </w:tcPr>
          <w:p>
            <w:pPr>
              <w:spacing w:after="0"/>
              <w:rPr>
                <w:sz w:val="18"/>
                <w:szCs w:val="18"/>
                <w:color w:val="auto"/>
              </w:rPr>
            </w:pPr>
          </w:p>
        </w:tc>
        <w:tc>
          <w:tcPr>
            <w:tcW w:w="1720" w:type="dxa"/>
            <w:vAlign w:val="bottom"/>
          </w:tcPr>
          <w:p>
            <w:pPr>
              <w:jc w:val="right"/>
              <w:ind w:right="199"/>
              <w:spacing w:after="0"/>
              <w:rPr>
                <w:sz w:val="20"/>
                <w:szCs w:val="20"/>
                <w:color w:val="auto"/>
              </w:rPr>
            </w:pPr>
            <w:r>
              <w:rPr>
                <w:rFonts w:ascii="Arial" w:cs="Arial" w:eastAsia="Arial" w:hAnsi="Arial"/>
                <w:sz w:val="16"/>
                <w:szCs w:val="16"/>
                <w:b w:val="1"/>
                <w:bCs w:val="1"/>
                <w:color w:val="auto"/>
              </w:rPr>
              <w:t>February 25, 2023</w:t>
            </w:r>
          </w:p>
        </w:tc>
      </w:tr>
      <w:tr>
        <w:trPr>
          <w:trHeight w:val="210"/>
        </w:trPr>
        <w:tc>
          <w:tcPr>
            <w:tcW w:w="7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15"/>
        </w:trPr>
        <w:tc>
          <w:tcPr>
            <w:tcW w:w="724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113.0</w:t>
            </w:r>
          </w:p>
        </w:tc>
      </w:tr>
      <w:tr>
        <w:trPr>
          <w:trHeight w:val="217"/>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5"/>
        </w:trPr>
        <w:tc>
          <w:tcPr>
            <w:tcW w:w="7240" w:type="dxa"/>
            <w:vAlign w:val="bottom"/>
          </w:tcPr>
          <w:p>
            <w:pPr>
              <w:ind w:left="240"/>
              <w:spacing w:after="0"/>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17"/>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5"/>
        </w:trPr>
        <w:tc>
          <w:tcPr>
            <w:tcW w:w="7240" w:type="dxa"/>
            <w:vAlign w:val="bottom"/>
          </w:tcPr>
          <w:p>
            <w:pPr>
              <w:ind w:left="240"/>
              <w:spacing w:after="0"/>
              <w:rPr>
                <w:sz w:val="20"/>
                <w:szCs w:val="20"/>
                <w:color w:val="auto"/>
              </w:rPr>
            </w:pPr>
            <w:r>
              <w:rPr>
                <w:rFonts w:ascii="Arial" w:cs="Arial" w:eastAsia="Arial" w:hAnsi="Arial"/>
                <w:sz w:val="16"/>
                <w:szCs w:val="16"/>
                <w:color w:val="auto"/>
              </w:rPr>
              <w:t>Amortization of debt issuance costs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7"/>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Last in, first-out expense</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5"/>
        </w:trPr>
        <w:tc>
          <w:tcPr>
            <w:tcW w:w="724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7"/>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7240" w:type="dxa"/>
            <w:vAlign w:val="bottom"/>
          </w:tcPr>
          <w:p>
            <w:pPr>
              <w:ind w:left="240"/>
              <w:spacing w:after="0"/>
              <w:rPr>
                <w:sz w:val="20"/>
                <w:szCs w:val="20"/>
                <w:color w:val="auto"/>
              </w:rPr>
            </w:pPr>
            <w:r>
              <w:rPr>
                <w:rFonts w:ascii="Arial" w:cs="Arial" w:eastAsia="Arial" w:hAnsi="Arial"/>
                <w:sz w:val="16"/>
                <w:szCs w:val="16"/>
                <w:color w:val="auto"/>
              </w:rPr>
              <w:t>Loss on note repurchase</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Contingent consideration fair value adjustment</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5"/>
        </w:trPr>
        <w:tc>
          <w:tcPr>
            <w:tcW w:w="7240" w:type="dxa"/>
            <w:vAlign w:val="bottom"/>
          </w:tcPr>
          <w:p>
            <w:pPr>
              <w:ind w:left="24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rPr>
              <w:t>Change in operating assets and liabilities, net of assets and liabilities acquired</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5"/>
        </w:trPr>
        <w:tc>
          <w:tcPr>
            <w:tcW w:w="7240" w:type="dxa"/>
            <w:vAlign w:val="bottom"/>
          </w:tcPr>
          <w:p>
            <w:pPr>
              <w:ind w:left="240"/>
              <w:spacing w:after="0"/>
              <w:rPr>
                <w:sz w:val="20"/>
                <w:szCs w:val="20"/>
                <w:color w:val="auto"/>
              </w:rPr>
            </w:pPr>
            <w:r>
              <w:rPr>
                <w:rFonts w:ascii="Arial" w:cs="Arial" w:eastAsia="Arial" w:hAnsi="Arial"/>
                <w:sz w:val="16"/>
                <w:szCs w:val="16"/>
                <w:color w:val="auto"/>
              </w:rPr>
              <w:t>Receivables, net</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(27.2)</w:t>
            </w:r>
          </w:p>
        </w:tc>
      </w:tr>
      <w:tr>
        <w:trPr>
          <w:trHeight w:val="217"/>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Inventories, net</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15"/>
        </w:trPr>
        <w:tc>
          <w:tcPr>
            <w:tcW w:w="7240" w:type="dxa"/>
            <w:vAlign w:val="bottom"/>
          </w:tcPr>
          <w:p>
            <w:pPr>
              <w:ind w:left="24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7"/>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r>
      <w:tr>
        <w:trPr>
          <w:trHeight w:val="215"/>
        </w:trPr>
        <w:tc>
          <w:tcPr>
            <w:tcW w:w="7240" w:type="dxa"/>
            <w:vAlign w:val="bottom"/>
          </w:tcPr>
          <w:p>
            <w:pPr>
              <w:ind w:left="240"/>
              <w:spacing w:after="0"/>
              <w:rPr>
                <w:sz w:val="20"/>
                <w:szCs w:val="20"/>
                <w:color w:val="auto"/>
              </w:rPr>
            </w:pPr>
            <w:r>
              <w:rPr>
                <w:rFonts w:ascii="Arial" w:cs="Arial" w:eastAsia="Arial" w:hAnsi="Arial"/>
                <w:sz w:val="16"/>
                <w:szCs w:val="16"/>
                <w:color w:val="auto"/>
              </w:rPr>
              <w:t>Income taxes and unrecognized tax benefits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7"/>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 and 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r>
      <w:tr>
        <w:trPr>
          <w:trHeight w:val="209"/>
        </w:trPr>
        <w:tc>
          <w:tcPr>
            <w:tcW w:w="72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w:t>
            </w:r>
          </w:p>
        </w:tc>
      </w:tr>
      <w:tr>
        <w:trPr>
          <w:trHeight w:val="250"/>
        </w:trPr>
        <w:tc>
          <w:tcPr>
            <w:tcW w:w="7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Purchases of property, plant, and equipment</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r>
      <w:tr>
        <w:trPr>
          <w:trHeight w:val="215"/>
        </w:trPr>
        <w:tc>
          <w:tcPr>
            <w:tcW w:w="72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(48.6)</w:t>
            </w:r>
          </w:p>
        </w:tc>
      </w:tr>
      <w:tr>
        <w:trPr>
          <w:trHeight w:val="250"/>
        </w:trPr>
        <w:tc>
          <w:tcPr>
            <w:tcW w:w="7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Financing activities</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5"/>
        </w:trPr>
        <w:tc>
          <w:tcPr>
            <w:tcW w:w="7240" w:type="dxa"/>
            <w:vAlign w:val="bottom"/>
          </w:tcPr>
          <w:p>
            <w:pPr>
              <w:ind w:left="120"/>
              <w:spacing w:after="0"/>
              <w:rPr>
                <w:sz w:val="20"/>
                <w:szCs w:val="20"/>
                <w:color w:val="auto"/>
              </w:rPr>
            </w:pPr>
            <w:r>
              <w:rPr>
                <w:rFonts w:ascii="Arial" w:cs="Arial" w:eastAsia="Arial" w:hAnsi="Arial"/>
                <w:sz w:val="16"/>
                <w:szCs w:val="16"/>
                <w:color w:val="auto"/>
              </w:rPr>
              <w:t>Borrowings on long-term debt</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1,805.7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1,808.5</w:t>
            </w:r>
          </w:p>
        </w:tc>
      </w:tr>
      <w:tr>
        <w:trPr>
          <w:trHeight w:val="217"/>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Repayments on long-term debt</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(1,808.5)</w:t>
            </w:r>
          </w:p>
        </w:tc>
      </w:tr>
      <w:tr>
        <w:trPr>
          <w:trHeight w:val="215"/>
        </w:trPr>
        <w:tc>
          <w:tcPr>
            <w:tcW w:w="7240" w:type="dxa"/>
            <w:vAlign w:val="bottom"/>
          </w:tcPr>
          <w:p>
            <w:pPr>
              <w:ind w:left="120"/>
              <w:spacing w:after="0"/>
              <w:rPr>
                <w:sz w:val="20"/>
                <w:szCs w:val="20"/>
                <w:color w:val="auto"/>
              </w:rPr>
            </w:pPr>
            <w:r>
              <w:rPr>
                <w:rFonts w:ascii="Arial" w:cs="Arial" w:eastAsia="Arial" w:hAnsi="Arial"/>
                <w:sz w:val="16"/>
                <w:szCs w:val="16"/>
                <w:color w:val="auto"/>
              </w:rPr>
              <w:t>Payments for convertible note bond hedge</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issuance of convertible note warrant</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240" w:type="dxa"/>
            <w:vAlign w:val="bottom"/>
          </w:tcPr>
          <w:p>
            <w:pPr>
              <w:ind w:left="120"/>
              <w:spacing w:after="0"/>
              <w:rPr>
                <w:sz w:val="20"/>
                <w:szCs w:val="20"/>
                <w:color w:val="auto"/>
              </w:rPr>
            </w:pPr>
            <w:r>
              <w:rPr>
                <w:rFonts w:ascii="Arial" w:cs="Arial" w:eastAsia="Arial" w:hAnsi="Arial"/>
                <w:sz w:val="16"/>
                <w:szCs w:val="16"/>
                <w:color w:val="auto"/>
              </w:rPr>
              <w:t>Proceeds from partial unwind of convertible note bond hedge</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for partial unwind of convertible note warrant</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240" w:type="dxa"/>
            <w:vAlign w:val="bottom"/>
          </w:tcPr>
          <w:p>
            <w:pPr>
              <w:ind w:left="120"/>
              <w:spacing w:after="0"/>
              <w:rPr>
                <w:sz w:val="20"/>
                <w:szCs w:val="20"/>
                <w:color w:val="auto"/>
              </w:rPr>
            </w:pPr>
            <w:r>
              <w:rPr>
                <w:rFonts w:ascii="Arial" w:cs="Arial" w:eastAsia="Arial" w:hAnsi="Arial"/>
                <w:sz w:val="16"/>
                <w:szCs w:val="16"/>
                <w:color w:val="auto"/>
              </w:rPr>
              <w:t>Payments of cash dividends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217"/>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for repurchases of common stock</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5"/>
        </w:trPr>
        <w:tc>
          <w:tcPr>
            <w:tcW w:w="7240" w:type="dxa"/>
            <w:vAlign w:val="bottom"/>
          </w:tcPr>
          <w:p>
            <w:pPr>
              <w:ind w:left="120"/>
              <w:spacing w:after="0"/>
              <w:rPr>
                <w:sz w:val="20"/>
                <w:szCs w:val="20"/>
                <w:color w:val="auto"/>
              </w:rPr>
            </w:pPr>
            <w:r>
              <w:rPr>
                <w:rFonts w:ascii="Arial" w:cs="Arial" w:eastAsia="Arial" w:hAnsi="Arial"/>
                <w:sz w:val="16"/>
                <w:szCs w:val="16"/>
                <w:color w:val="auto"/>
              </w:rPr>
              <w:t>Payments of debt issuance costs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0"/>
        </w:trPr>
        <w:tc>
          <w:tcPr>
            <w:tcW w:w="72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w:t>
            </w:r>
          </w:p>
        </w:tc>
      </w:tr>
      <w:tr>
        <w:trPr>
          <w:trHeight w:val="250"/>
        </w:trPr>
        <w:tc>
          <w:tcPr>
            <w:tcW w:w="7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15"/>
        </w:trPr>
        <w:tc>
          <w:tcPr>
            <w:tcW w:w="7240" w:type="dxa"/>
            <w:vAlign w:val="bottom"/>
          </w:tcPr>
          <w:p>
            <w:pPr>
              <w:spacing w:after="0"/>
              <w:rPr>
                <w:sz w:val="20"/>
                <w:szCs w:val="20"/>
                <w:color w:val="auto"/>
              </w:rPr>
            </w:pPr>
            <w:r>
              <w:rPr>
                <w:rFonts w:ascii="Arial" w:cs="Arial" w:eastAsia="Arial" w:hAnsi="Arial"/>
                <w:sz w:val="16"/>
                <w:szCs w:val="16"/>
                <w:color w:val="auto"/>
              </w:rPr>
              <w:t>Net decrease in cash and cash equivalents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(52.9)</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282.2</w:t>
            </w:r>
          </w:p>
        </w:tc>
      </w:tr>
      <w:tr>
        <w:trPr>
          <w:trHeight w:val="210"/>
        </w:trPr>
        <w:tc>
          <w:tcPr>
            <w:tcW w:w="724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229.3</w:t>
            </w:r>
          </w:p>
        </w:tc>
      </w:tr>
      <w:tr>
        <w:trPr>
          <w:trHeight w:val="21"/>
        </w:trPr>
        <w:tc>
          <w:tcPr>
            <w:tcW w:w="7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180"/>
          </w:cols>
          <w:pgMar w:left="360" w:top="850"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Disclosures</w:t>
            </w:r>
          </w:p>
        </w:tc>
        <w:tc>
          <w:tcPr>
            <w:tcW w:w="2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700" w:type="dxa"/>
            <w:vAlign w:val="bottom"/>
          </w:tcPr>
          <w:p>
            <w:pPr>
              <w:ind w:left="120"/>
              <w:spacing w:after="0"/>
              <w:rPr>
                <w:sz w:val="20"/>
                <w:szCs w:val="20"/>
                <w:color w:val="auto"/>
              </w:rPr>
            </w:pPr>
            <w:r>
              <w:rPr>
                <w:rFonts w:ascii="Arial" w:cs="Arial" w:eastAsia="Arial" w:hAnsi="Arial"/>
                <w:sz w:val="16"/>
                <w:szCs w:val="16"/>
                <w:color w:val="auto"/>
              </w:rPr>
              <w:t>Income taxes paid, net</w:t>
            </w:r>
          </w:p>
        </w:tc>
        <w:tc>
          <w:tcPr>
            <w:tcW w:w="236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90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42.0</w:t>
            </w:r>
          </w:p>
        </w:tc>
      </w:tr>
      <w:tr>
        <w:trPr>
          <w:trHeight w:val="217"/>
        </w:trPr>
        <w:tc>
          <w:tcPr>
            <w:tcW w:w="5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paid</w:t>
            </w:r>
          </w:p>
        </w:tc>
        <w:tc>
          <w:tcPr>
            <w:tcW w:w="2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57"/>
        </w:trPr>
        <w:tc>
          <w:tcPr>
            <w:tcW w:w="57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2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700" w:type="dxa"/>
            <w:vAlign w:val="bottom"/>
          </w:tcPr>
          <w:p>
            <w:pPr>
              <w:ind w:left="120"/>
              <w:spacing w:after="0"/>
              <w:rPr>
                <w:sz w:val="20"/>
                <w:szCs w:val="20"/>
                <w:color w:val="auto"/>
              </w:rPr>
            </w:pPr>
            <w:r>
              <w:rPr>
                <w:rFonts w:ascii="Arial" w:cs="Arial" w:eastAsia="Arial" w:hAnsi="Arial"/>
                <w:sz w:val="16"/>
                <w:szCs w:val="16"/>
                <w:color w:val="auto"/>
              </w:rPr>
              <w:t>Capital expenditures in accounts payable</w:t>
            </w:r>
          </w:p>
        </w:tc>
        <w:tc>
          <w:tcPr>
            <w:tcW w:w="236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90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7"/>
        </w:trPr>
        <w:tc>
          <w:tcPr>
            <w:tcW w:w="5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debt issuance costs</w:t>
            </w:r>
          </w:p>
        </w:tc>
        <w:tc>
          <w:tcPr>
            <w:tcW w:w="23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90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700" w:type="dxa"/>
            <w:vAlign w:val="bottom"/>
          </w:tcPr>
          <w:p>
            <w:pPr>
              <w:ind w:left="120"/>
              <w:spacing w:after="0"/>
              <w:rPr>
                <w:sz w:val="20"/>
                <w:szCs w:val="20"/>
                <w:color w:val="auto"/>
              </w:rPr>
            </w:pPr>
            <w:r>
              <w:rPr>
                <w:rFonts w:ascii="Arial" w:cs="Arial" w:eastAsia="Arial" w:hAnsi="Arial"/>
                <w:sz w:val="16"/>
                <w:szCs w:val="16"/>
                <w:color w:val="auto"/>
              </w:rPr>
              <w:t>Increase in lease assets in exchange for lease liabilities:</w:t>
            </w:r>
          </w:p>
        </w:tc>
        <w:tc>
          <w:tcPr>
            <w:tcW w:w="2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leases</w:t>
            </w:r>
          </w:p>
        </w:tc>
        <w:tc>
          <w:tcPr>
            <w:tcW w:w="2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5"/>
        </w:trPr>
        <w:tc>
          <w:tcPr>
            <w:tcW w:w="5700" w:type="dxa"/>
            <w:vAlign w:val="bottom"/>
          </w:tcPr>
          <w:p>
            <w:pPr>
              <w:ind w:left="240"/>
              <w:spacing w:after="0"/>
              <w:rPr>
                <w:sz w:val="20"/>
                <w:szCs w:val="20"/>
                <w:color w:val="auto"/>
              </w:rPr>
            </w:pPr>
            <w:r>
              <w:rPr>
                <w:rFonts w:ascii="Arial" w:cs="Arial" w:eastAsia="Arial" w:hAnsi="Arial"/>
                <w:sz w:val="16"/>
                <w:szCs w:val="16"/>
                <w:color w:val="auto"/>
              </w:rPr>
              <w:t>Finance leases</w:t>
            </w:r>
          </w:p>
        </w:tc>
        <w:tc>
          <w:tcPr>
            <w:tcW w:w="236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0.7</w:t>
            </w:r>
          </w:p>
        </w:tc>
        <w:tc>
          <w:tcPr>
            <w:tcW w:w="9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80"/>
          </w:cols>
          <w:pgMar w:left="360" w:top="896" w:right="359" w:bottom="1440" w:gutter="0" w:footer="0" w:header="0"/>
        </w:sectPr>
      </w:pPr>
    </w:p>
    <w:bookmarkStart w:id="13" w:name="page14"/>
    <w:bookmarkEnd w:id="13"/>
    <w:p>
      <w:pPr>
        <w:jc w:val="center"/>
        <w:ind w:right="-151"/>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Supplemental Information by Reportable Segment - Towable RV</w:t>
      </w:r>
    </w:p>
    <w:p>
      <w:pPr>
        <w:spacing w:after="0" w:line="12" w:lineRule="exact"/>
        <w:rPr>
          <w:sz w:val="20"/>
          <w:szCs w:val="20"/>
          <w:color w:val="auto"/>
        </w:rPr>
      </w:pPr>
    </w:p>
    <w:p>
      <w:pPr>
        <w:jc w:val="center"/>
        <w:ind w:right="-15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5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152" w:type="dxa"/>
        <w:tblCellMar>
          <w:top w:w="0" w:type="dxa"/>
          <w:left w:w="0" w:type="dxa"/>
          <w:bottom w:w="0" w:type="dxa"/>
          <w:right w:w="0" w:type="dxa"/>
        </w:tblCellMar>
      </w:tblPr>
      <w:tr>
        <w:trPr>
          <w:trHeight w:val="217"/>
        </w:trPr>
        <w:tc>
          <w:tcPr>
            <w:tcW w:w="20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center"/>
              <w:ind w:right="6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r>
      <w:tr>
        <w:trPr>
          <w:trHeight w:val="209"/>
        </w:trPr>
        <w:tc>
          <w:tcPr>
            <w:tcW w:w="20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24, 2024</w:t>
            </w:r>
          </w:p>
        </w:tc>
        <w:tc>
          <w:tcPr>
            <w:tcW w:w="100" w:type="dxa"/>
            <w:vAlign w:val="bottom"/>
          </w:tcPr>
          <w:p>
            <w:pPr>
              <w:spacing w:after="0"/>
              <w:rPr>
                <w:sz w:val="18"/>
                <w:szCs w:val="18"/>
                <w:color w:val="auto"/>
              </w:rPr>
            </w:pPr>
          </w:p>
        </w:tc>
        <w:tc>
          <w:tcPr>
            <w:tcW w:w="1500" w:type="dxa"/>
            <w:vAlign w:val="bottom"/>
            <w:gridSpan w:val="2"/>
          </w:tcPr>
          <w:p>
            <w:pPr>
              <w:jc w:val="center"/>
              <w:ind w:right="10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25, 2023</w:t>
            </w:r>
          </w:p>
        </w:tc>
        <w:tc>
          <w:tcPr>
            <w:tcW w:w="100" w:type="dxa"/>
            <w:vAlign w:val="bottom"/>
          </w:tcPr>
          <w:p>
            <w:pPr>
              <w:spacing w:after="0"/>
              <w:rPr>
                <w:sz w:val="18"/>
                <w:szCs w:val="18"/>
                <w:color w:val="auto"/>
              </w:rPr>
            </w:pPr>
          </w:p>
        </w:tc>
        <w:tc>
          <w:tcPr>
            <w:tcW w:w="1500" w:type="dxa"/>
            <w:vAlign w:val="bottom"/>
            <w:gridSpan w:val="2"/>
          </w:tcPr>
          <w:p>
            <w:pPr>
              <w:jc w:val="center"/>
              <w:ind w:right="10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40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10"/>
        </w:trPr>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284.7</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342.5</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15"/>
        </w:trPr>
        <w:tc>
          <w:tcPr>
            <w:tcW w:w="20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26.8</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9.4 %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11.5 %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(12.5)</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(31.8)%</w:t>
            </w:r>
          </w:p>
        </w:tc>
      </w:tr>
      <w:tr>
        <w:trPr>
          <w:trHeight w:val="474"/>
        </w:trPr>
        <w:tc>
          <w:tcPr>
            <w:tcW w:w="20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center"/>
              <w:ind w:right="6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250"/>
        </w:trPr>
        <w:tc>
          <w:tcPr>
            <w:tcW w:w="206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24, 2024</w:t>
            </w:r>
          </w:p>
        </w:tc>
        <w:tc>
          <w:tcPr>
            <w:tcW w:w="100" w:type="dxa"/>
            <w:vAlign w:val="bottom"/>
          </w:tcPr>
          <w:p>
            <w:pPr>
              <w:spacing w:after="0"/>
              <w:rPr>
                <w:sz w:val="21"/>
                <w:szCs w:val="21"/>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25, 2023</w:t>
            </w:r>
          </w:p>
        </w:tc>
        <w:tc>
          <w:tcPr>
            <w:tcW w:w="100" w:type="dxa"/>
            <w:vAlign w:val="bottom"/>
          </w:tcPr>
          <w:p>
            <w:pPr>
              <w:spacing w:after="0"/>
              <w:rPr>
                <w:sz w:val="21"/>
                <w:szCs w:val="21"/>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40" w:type="dxa"/>
            <w:vAlign w:val="bottom"/>
          </w:tcPr>
          <w:p>
            <w:pPr>
              <w:spacing w:after="0"/>
              <w:rPr>
                <w:sz w:val="21"/>
                <w:szCs w:val="21"/>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Unit Change</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4,486</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66.5 %</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5,023</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15"/>
        </w:trPr>
        <w:tc>
          <w:tcPr>
            <w:tcW w:w="2060" w:type="dxa"/>
            <w:vAlign w:val="bottom"/>
          </w:tcPr>
          <w:p>
            <w:pPr>
              <w:ind w:left="20"/>
              <w:spacing w:after="0"/>
              <w:rPr>
                <w:sz w:val="20"/>
                <w:szCs w:val="20"/>
                <w:color w:val="auto"/>
              </w:rPr>
            </w:pPr>
            <w:r>
              <w:rPr>
                <w:rFonts w:ascii="Arial" w:cs="Arial" w:eastAsia="Arial" w:hAnsi="Arial"/>
                <w:sz w:val="16"/>
                <w:szCs w:val="16"/>
                <w:color w:val="auto"/>
              </w:rPr>
              <w:t>Fifth wheel</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2,261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33.5 %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2,413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32.5 %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(152)</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35"/>
        </w:trPr>
        <w:tc>
          <w:tcPr>
            <w:tcW w:w="20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 RV</w:t>
            </w: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20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center"/>
              <w:ind w:right="62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209"/>
        </w:trPr>
        <w:tc>
          <w:tcPr>
            <w:tcW w:w="20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24, 2024</w:t>
            </w:r>
          </w:p>
        </w:tc>
        <w:tc>
          <w:tcPr>
            <w:tcW w:w="100" w:type="dxa"/>
            <w:vAlign w:val="bottom"/>
          </w:tcPr>
          <w:p>
            <w:pPr>
              <w:spacing w:after="0"/>
              <w:rPr>
                <w:sz w:val="18"/>
                <w:szCs w:val="18"/>
                <w:color w:val="auto"/>
              </w:rPr>
            </w:pPr>
          </w:p>
        </w:tc>
        <w:tc>
          <w:tcPr>
            <w:tcW w:w="1500" w:type="dxa"/>
            <w:vAlign w:val="bottom"/>
            <w:gridSpan w:val="2"/>
          </w:tcPr>
          <w:p>
            <w:pPr>
              <w:jc w:val="center"/>
              <w:ind w:right="10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25, 2023</w:t>
            </w:r>
          </w:p>
        </w:tc>
        <w:tc>
          <w:tcPr>
            <w:tcW w:w="100" w:type="dxa"/>
            <w:vAlign w:val="bottom"/>
          </w:tcPr>
          <w:p>
            <w:pPr>
              <w:spacing w:after="0"/>
              <w:rPr>
                <w:sz w:val="18"/>
                <w:szCs w:val="18"/>
                <w:color w:val="auto"/>
              </w:rPr>
            </w:pPr>
          </w:p>
        </w:tc>
        <w:tc>
          <w:tcPr>
            <w:tcW w:w="1500" w:type="dxa"/>
            <w:vAlign w:val="bottom"/>
            <w:gridSpan w:val="2"/>
          </w:tcPr>
          <w:p>
            <w:pPr>
              <w:jc w:val="center"/>
              <w:ind w:right="10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40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09"/>
        </w:trPr>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615.5</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689.8</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15"/>
        </w:trPr>
        <w:tc>
          <w:tcPr>
            <w:tcW w:w="20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9.7 %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11.0 %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(15.7)</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(20.8)%</w:t>
            </w:r>
          </w:p>
        </w:tc>
      </w:tr>
      <w:tr>
        <w:trPr>
          <w:trHeight w:val="379"/>
        </w:trPr>
        <w:tc>
          <w:tcPr>
            <w:tcW w:w="20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center"/>
              <w:ind w:right="62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250"/>
        </w:trPr>
        <w:tc>
          <w:tcPr>
            <w:tcW w:w="206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24, 2024</w:t>
            </w:r>
          </w:p>
        </w:tc>
        <w:tc>
          <w:tcPr>
            <w:tcW w:w="100" w:type="dxa"/>
            <w:vAlign w:val="bottom"/>
          </w:tcPr>
          <w:p>
            <w:pPr>
              <w:spacing w:after="0"/>
              <w:rPr>
                <w:sz w:val="21"/>
                <w:szCs w:val="21"/>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25, 2023</w:t>
            </w:r>
          </w:p>
        </w:tc>
        <w:tc>
          <w:tcPr>
            <w:tcW w:w="100" w:type="dxa"/>
            <w:vAlign w:val="bottom"/>
          </w:tcPr>
          <w:p>
            <w:pPr>
              <w:spacing w:after="0"/>
              <w:rPr>
                <w:sz w:val="21"/>
                <w:szCs w:val="21"/>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40" w:type="dxa"/>
            <w:vAlign w:val="bottom"/>
          </w:tcPr>
          <w:p>
            <w:pPr>
              <w:spacing w:after="0"/>
              <w:rPr>
                <w:sz w:val="21"/>
                <w:szCs w:val="21"/>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Unit Change</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9,867</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67.6 %</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9,673</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15"/>
        </w:trPr>
        <w:tc>
          <w:tcPr>
            <w:tcW w:w="2060" w:type="dxa"/>
            <w:vAlign w:val="bottom"/>
          </w:tcPr>
          <w:p>
            <w:pPr>
              <w:ind w:left="20"/>
              <w:spacing w:after="0"/>
              <w:rPr>
                <w:sz w:val="20"/>
                <w:szCs w:val="20"/>
                <w:color w:val="auto"/>
              </w:rPr>
            </w:pPr>
            <w:r>
              <w:rPr>
                <w:rFonts w:ascii="Arial" w:cs="Arial" w:eastAsia="Arial" w:hAnsi="Arial"/>
                <w:sz w:val="16"/>
                <w:szCs w:val="16"/>
                <w:color w:val="auto"/>
              </w:rPr>
              <w:t>Fifth wheel</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4,726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32.4 %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4,954</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33.9 %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(228)</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35"/>
        </w:trPr>
        <w:tc>
          <w:tcPr>
            <w:tcW w:w="20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 RV</w:t>
            </w: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20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24, 2024</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25, 2023</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(1)</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30"/>
        </w:trPr>
        <w:tc>
          <w:tcPr>
            <w:tcW w:w="20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9"/>
                <w:szCs w:val="9"/>
                <w:b w:val="1"/>
                <w:bCs w:val="1"/>
                <w:color w:val="auto"/>
              </w:rPr>
              <w:t>(3)</w:t>
            </w:r>
          </w:p>
        </w:tc>
        <w:tc>
          <w:tcPr>
            <w:tcW w:w="50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15"/>
        </w:trPr>
        <w:tc>
          <w:tcPr>
            <w:tcW w:w="2060" w:type="dxa"/>
            <w:vAlign w:val="bottom"/>
          </w:tcPr>
          <w:p>
            <w:pPr>
              <w:ind w:left="140"/>
              <w:spacing w:after="0"/>
              <w:rPr>
                <w:sz w:val="20"/>
                <w:szCs w:val="20"/>
                <w:color w:val="auto"/>
              </w:rPr>
            </w:pPr>
            <w:r>
              <w:rPr>
                <w:rFonts w:ascii="Arial" w:cs="Arial" w:eastAsia="Arial" w:hAnsi="Arial"/>
                <w:sz w:val="16"/>
                <w:szCs w:val="16"/>
                <w:color w:val="auto"/>
              </w:rPr>
              <w:t>Units</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5,273</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5,841</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(568)</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17"/>
        </w:trPr>
        <w:tc>
          <w:tcPr>
            <w:tcW w:w="2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222.3</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16"/>
        </w:trPr>
        <w:tc>
          <w:tcPr>
            <w:tcW w:w="206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2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18,106</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22,354</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(4,248)</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r>
    </w:tbl>
    <w:p>
      <w:pPr>
        <w:spacing w:after="0" w:line="126" w:lineRule="exact"/>
        <w:rPr>
          <w:sz w:val="20"/>
          <w:szCs w:val="20"/>
          <w:color w:val="auto"/>
        </w:rPr>
      </w:pPr>
    </w:p>
    <w:p>
      <w:pPr>
        <w:ind w:left="272" w:hanging="272"/>
        <w:spacing w:after="0"/>
        <w:tabs>
          <w:tab w:leader="none" w:pos="272" w:val="left"/>
        </w:tabs>
        <w:numPr>
          <w:ilvl w:val="0"/>
          <w:numId w:val="9"/>
        </w:numPr>
        <w:rPr>
          <w:rFonts w:ascii="Arial" w:cs="Arial" w:eastAsia="Arial" w:hAnsi="Arial"/>
          <w:sz w:val="9"/>
          <w:szCs w:val="9"/>
          <w:color w:val="auto"/>
        </w:rPr>
      </w:pPr>
      <w:r>
        <w:rPr>
          <w:rFonts w:ascii="Arial" w:cs="Arial" w:eastAsia="Arial" w:hAnsi="Arial"/>
          <w:sz w:val="14"/>
          <w:szCs w:val="14"/>
          <w:color w:val="auto"/>
        </w:rPr>
        <w:t>Amounts are calculated based on unrounded numbers and therefore may not recalculate using the rounded numbers provided.</w:t>
      </w:r>
    </w:p>
    <w:p>
      <w:pPr>
        <w:spacing w:after="0" w:line="68" w:lineRule="exact"/>
        <w:rPr>
          <w:rFonts w:ascii="Arial" w:cs="Arial" w:eastAsia="Arial" w:hAnsi="Arial"/>
          <w:sz w:val="9"/>
          <w:szCs w:val="9"/>
          <w:color w:val="auto"/>
        </w:rPr>
      </w:pPr>
    </w:p>
    <w:p>
      <w:pPr>
        <w:ind w:left="272" w:hanging="272"/>
        <w:spacing w:after="0"/>
        <w:tabs>
          <w:tab w:leader="none" w:pos="272" w:val="left"/>
        </w:tabs>
        <w:numPr>
          <w:ilvl w:val="0"/>
          <w:numId w:val="9"/>
        </w:numPr>
        <w:rPr>
          <w:rFonts w:ascii="Arial" w:cs="Arial" w:eastAsia="Arial" w:hAnsi="Arial"/>
          <w:sz w:val="9"/>
          <w:szCs w:val="9"/>
          <w:color w:val="auto"/>
        </w:rPr>
      </w:pPr>
      <w:r>
        <w:rPr>
          <w:rFonts w:ascii="Arial" w:cs="Arial" w:eastAsia="Arial" w:hAnsi="Arial"/>
          <w:sz w:val="14"/>
          <w:szCs w:val="14"/>
          <w:color w:val="auto"/>
        </w:rPr>
        <w:t>Percentages may not add due to rounding differences.</w:t>
      </w:r>
    </w:p>
    <w:p>
      <w:pPr>
        <w:spacing w:after="0" w:line="68" w:lineRule="exact"/>
        <w:rPr>
          <w:rFonts w:ascii="Arial" w:cs="Arial" w:eastAsia="Arial" w:hAnsi="Arial"/>
          <w:sz w:val="9"/>
          <w:szCs w:val="9"/>
          <w:color w:val="auto"/>
        </w:rPr>
      </w:pPr>
    </w:p>
    <w:p>
      <w:pPr>
        <w:ind w:left="252" w:right="40" w:hanging="252"/>
        <w:spacing w:after="0" w:line="231" w:lineRule="auto"/>
        <w:tabs>
          <w:tab w:leader="none" w:pos="283"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51"/>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72"/>
          </w:cols>
          <w:pgMar w:left="328" w:top="850" w:right="499" w:bottom="1440" w:gutter="0" w:footer="0" w:header="0"/>
        </w:sectPr>
      </w:pPr>
    </w:p>
    <w:bookmarkStart w:id="14" w:name="page15"/>
    <w:bookmarkEnd w:id="14"/>
    <w:p>
      <w:pPr>
        <w:jc w:val="center"/>
        <w:ind w:right="-171"/>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Supplemental Information by Reportable Segment - Motorhome RV</w:t>
      </w:r>
    </w:p>
    <w:p>
      <w:pPr>
        <w:spacing w:after="0" w:line="12"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192" w:type="dxa"/>
        <w:tblCellMar>
          <w:top w:w="0" w:type="dxa"/>
          <w:left w:w="0" w:type="dxa"/>
          <w:bottom w:w="0" w:type="dxa"/>
          <w:right w:w="0" w:type="dxa"/>
        </w:tblCellMar>
      </w:tblPr>
      <w:tr>
        <w:trPr>
          <w:trHeight w:val="217"/>
        </w:trPr>
        <w:tc>
          <w:tcPr>
            <w:tcW w:w="20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center"/>
              <w:ind w:right="6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10"/>
        </w:trPr>
        <w:tc>
          <w:tcPr>
            <w:tcW w:w="202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24, 2024</w:t>
            </w:r>
          </w:p>
        </w:tc>
        <w:tc>
          <w:tcPr>
            <w:tcW w:w="100" w:type="dxa"/>
            <w:vAlign w:val="bottom"/>
          </w:tcPr>
          <w:p>
            <w:pPr>
              <w:spacing w:after="0"/>
              <w:rPr>
                <w:sz w:val="18"/>
                <w:szCs w:val="18"/>
                <w:color w:val="auto"/>
              </w:rPr>
            </w:pPr>
          </w:p>
        </w:tc>
        <w:tc>
          <w:tcPr>
            <w:tcW w:w="1500" w:type="dxa"/>
            <w:vAlign w:val="bottom"/>
            <w:gridSpan w:val="2"/>
          </w:tcPr>
          <w:p>
            <w:pPr>
              <w:jc w:val="center"/>
              <w:ind w:right="10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25, 2023</w:t>
            </w:r>
          </w:p>
        </w:tc>
        <w:tc>
          <w:tcPr>
            <w:tcW w:w="100" w:type="dxa"/>
            <w:vAlign w:val="bottom"/>
          </w:tcPr>
          <w:p>
            <w:pPr>
              <w:spacing w:after="0"/>
              <w:rPr>
                <w:sz w:val="18"/>
                <w:szCs w:val="18"/>
                <w:color w:val="auto"/>
              </w:rPr>
            </w:pPr>
          </w:p>
        </w:tc>
        <w:tc>
          <w:tcPr>
            <w:tcW w:w="1520" w:type="dxa"/>
            <w:vAlign w:val="bottom"/>
            <w:gridSpan w:val="2"/>
          </w:tcPr>
          <w:p>
            <w:pPr>
              <w:jc w:val="center"/>
              <w:ind w:right="12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0" w:type="dxa"/>
            <w:vAlign w:val="bottom"/>
          </w:tcPr>
          <w:p>
            <w:pPr>
              <w:spacing w:after="0"/>
              <w:rPr>
                <w:sz w:val="18"/>
                <w:szCs w:val="18"/>
                <w:color w:val="auto"/>
              </w:rPr>
            </w:pPr>
          </w:p>
        </w:tc>
        <w:tc>
          <w:tcPr>
            <w:tcW w:w="1240" w:type="dxa"/>
            <w:vAlign w:val="bottom"/>
            <w:gridSpan w:val="2"/>
          </w:tcPr>
          <w:p>
            <w:pPr>
              <w:jc w:val="center"/>
              <w:ind w:right="26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09"/>
        </w:trPr>
        <w:tc>
          <w:tcPr>
            <w:tcW w:w="2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revenues</w:t>
            </w: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338.4</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403.8</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15"/>
        </w:trPr>
        <w:tc>
          <w:tcPr>
            <w:tcW w:w="2020" w:type="dxa"/>
            <w:vAlign w:val="bottom"/>
          </w:tcPr>
          <w:p>
            <w:pPr>
              <w:spacing w:after="0"/>
              <w:rPr>
                <w:sz w:val="20"/>
                <w:szCs w:val="20"/>
                <w:color w:val="auto"/>
              </w:rPr>
            </w:pPr>
            <w:r>
              <w:rPr>
                <w:rFonts w:ascii="Arial" w:cs="Arial" w:eastAsia="Arial" w:hAnsi="Arial"/>
                <w:sz w:val="16"/>
                <w:szCs w:val="16"/>
                <w:color w:val="auto"/>
              </w:rPr>
              <w:t>Adjusted EBITDA</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7.7 %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42.5</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10.5 %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(38.9)%</w:t>
            </w:r>
          </w:p>
        </w:tc>
      </w:tr>
      <w:tr>
        <w:trPr>
          <w:trHeight w:val="474"/>
        </w:trPr>
        <w:tc>
          <w:tcPr>
            <w:tcW w:w="20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center"/>
              <w:ind w:right="6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50"/>
        </w:trPr>
        <w:tc>
          <w:tcPr>
            <w:tcW w:w="2020" w:type="dxa"/>
            <w:vAlign w:val="bottom"/>
          </w:tcPr>
          <w:p>
            <w:pPr>
              <w:spacing w:after="0"/>
              <w:rPr>
                <w:sz w:val="20"/>
                <w:szCs w:val="20"/>
                <w:color w:val="auto"/>
              </w:rPr>
            </w:pPr>
            <w:r>
              <w:rPr>
                <w:rFonts w:ascii="Arial" w:cs="Arial" w:eastAsia="Arial" w:hAnsi="Arial"/>
                <w:sz w:val="16"/>
                <w:szCs w:val="16"/>
                <w:b w:val="1"/>
                <w:bCs w:val="1"/>
                <w:color w:val="auto"/>
              </w:rPr>
              <w:t>Unit deliveries</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24, 2024</w:t>
            </w:r>
          </w:p>
        </w:tc>
        <w:tc>
          <w:tcPr>
            <w:tcW w:w="100" w:type="dxa"/>
            <w:vAlign w:val="bottom"/>
          </w:tcPr>
          <w:p>
            <w:pPr>
              <w:spacing w:after="0"/>
              <w:rPr>
                <w:sz w:val="21"/>
                <w:szCs w:val="21"/>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25, 2023</w:t>
            </w:r>
          </w:p>
        </w:tc>
        <w:tc>
          <w:tcPr>
            <w:tcW w:w="100" w:type="dxa"/>
            <w:vAlign w:val="bottom"/>
          </w:tcPr>
          <w:p>
            <w:pPr>
              <w:spacing w:after="0"/>
              <w:rPr>
                <w:sz w:val="21"/>
                <w:szCs w:val="21"/>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20" w:type="dxa"/>
            <w:vAlign w:val="bottom"/>
          </w:tcPr>
          <w:p>
            <w:pPr>
              <w:spacing w:after="0"/>
              <w:rPr>
                <w:sz w:val="21"/>
                <w:szCs w:val="21"/>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Class A</w:t>
            </w:r>
          </w:p>
        </w:tc>
        <w:tc>
          <w:tcPr>
            <w:tcW w:w="5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20.5 %</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r>
      <w:tr>
        <w:trPr>
          <w:trHeight w:val="215"/>
        </w:trPr>
        <w:tc>
          <w:tcPr>
            <w:tcW w:w="2020" w:type="dxa"/>
            <w:vAlign w:val="bottom"/>
          </w:tcPr>
          <w:p>
            <w:pPr>
              <w:spacing w:after="0"/>
              <w:rPr>
                <w:sz w:val="20"/>
                <w:szCs w:val="20"/>
                <w:color w:val="auto"/>
              </w:rPr>
            </w:pPr>
            <w:r>
              <w:rPr>
                <w:rFonts w:ascii="Arial" w:cs="Arial" w:eastAsia="Arial" w:hAnsi="Arial"/>
                <w:sz w:val="16"/>
                <w:szCs w:val="16"/>
                <w:color w:val="auto"/>
              </w:rPr>
              <w:t>Class B</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648</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35.8 %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893</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41.2 %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(27.4)%</w:t>
            </w:r>
          </w:p>
        </w:tc>
      </w:tr>
      <w:tr>
        <w:trPr>
          <w:trHeight w:val="217"/>
        </w:trPr>
        <w:tc>
          <w:tcPr>
            <w:tcW w:w="2020" w:type="dxa"/>
            <w:vAlign w:val="bottom"/>
            <w:shd w:val="clear" w:color="auto" w:fill="CCEEFF"/>
          </w:tcPr>
          <w:p>
            <w:pPr>
              <w:spacing w:after="0"/>
              <w:rPr>
                <w:sz w:val="20"/>
                <w:szCs w:val="20"/>
                <w:color w:val="auto"/>
              </w:rPr>
            </w:pPr>
            <w:r>
              <w:rPr>
                <w:rFonts w:ascii="Arial" w:cs="Arial" w:eastAsia="Arial" w:hAnsi="Arial"/>
                <w:sz w:val="16"/>
                <w:szCs w:val="16"/>
                <w:color w:val="auto"/>
              </w:rPr>
              <w:t>Class C</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43.7 %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34.9 %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4.9 %</w:t>
            </w:r>
          </w:p>
        </w:tc>
      </w:tr>
      <w:tr>
        <w:trPr>
          <w:trHeight w:val="209"/>
        </w:trPr>
        <w:tc>
          <w:tcPr>
            <w:tcW w:w="2020" w:type="dxa"/>
            <w:vAlign w:val="bottom"/>
          </w:tcPr>
          <w:p>
            <w:pPr>
              <w:ind w:left="120"/>
              <w:spacing w:after="0"/>
              <w:rPr>
                <w:sz w:val="20"/>
                <w:szCs w:val="20"/>
                <w:color w:val="auto"/>
              </w:rPr>
            </w:pPr>
            <w:r>
              <w:rPr>
                <w:rFonts w:ascii="Arial" w:cs="Arial" w:eastAsia="Arial" w:hAnsi="Arial"/>
                <w:sz w:val="16"/>
                <w:szCs w:val="16"/>
                <w:color w:val="auto"/>
              </w:rPr>
              <w:t>Total Motorhome RV</w:t>
            </w:r>
          </w:p>
        </w:tc>
        <w:tc>
          <w:tcPr>
            <w:tcW w:w="5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1,811</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2,165</w:t>
            </w:r>
          </w:p>
        </w:tc>
        <w:tc>
          <w:tcPr>
            <w:tcW w:w="1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w:t>
            </w:r>
          </w:p>
        </w:tc>
      </w:tr>
      <w:tr>
        <w:trPr>
          <w:trHeight w:val="21"/>
        </w:trPr>
        <w:tc>
          <w:tcPr>
            <w:tcW w:w="2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39"/>
        </w:trPr>
        <w:tc>
          <w:tcPr>
            <w:tcW w:w="20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center"/>
              <w:ind w:right="64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09"/>
        </w:trPr>
        <w:tc>
          <w:tcPr>
            <w:tcW w:w="202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24, 2024</w:t>
            </w:r>
          </w:p>
        </w:tc>
        <w:tc>
          <w:tcPr>
            <w:tcW w:w="100" w:type="dxa"/>
            <w:vAlign w:val="bottom"/>
          </w:tcPr>
          <w:p>
            <w:pPr>
              <w:spacing w:after="0"/>
              <w:rPr>
                <w:sz w:val="18"/>
                <w:szCs w:val="18"/>
                <w:color w:val="auto"/>
              </w:rPr>
            </w:pPr>
          </w:p>
        </w:tc>
        <w:tc>
          <w:tcPr>
            <w:tcW w:w="1500" w:type="dxa"/>
            <w:vAlign w:val="bottom"/>
            <w:gridSpan w:val="2"/>
          </w:tcPr>
          <w:p>
            <w:pPr>
              <w:jc w:val="center"/>
              <w:ind w:right="10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25, 2023</w:t>
            </w:r>
          </w:p>
        </w:tc>
        <w:tc>
          <w:tcPr>
            <w:tcW w:w="100" w:type="dxa"/>
            <w:vAlign w:val="bottom"/>
          </w:tcPr>
          <w:p>
            <w:pPr>
              <w:spacing w:after="0"/>
              <w:rPr>
                <w:sz w:val="18"/>
                <w:szCs w:val="18"/>
                <w:color w:val="auto"/>
              </w:rPr>
            </w:pPr>
          </w:p>
        </w:tc>
        <w:tc>
          <w:tcPr>
            <w:tcW w:w="1520" w:type="dxa"/>
            <w:vAlign w:val="bottom"/>
            <w:gridSpan w:val="2"/>
          </w:tcPr>
          <w:p>
            <w:pPr>
              <w:jc w:val="center"/>
              <w:ind w:right="12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0" w:type="dxa"/>
            <w:vAlign w:val="bottom"/>
          </w:tcPr>
          <w:p>
            <w:pPr>
              <w:spacing w:after="0"/>
              <w:rPr>
                <w:sz w:val="18"/>
                <w:szCs w:val="18"/>
                <w:color w:val="auto"/>
              </w:rPr>
            </w:pPr>
          </w:p>
        </w:tc>
        <w:tc>
          <w:tcPr>
            <w:tcW w:w="1240" w:type="dxa"/>
            <w:vAlign w:val="bottom"/>
            <w:gridSpan w:val="2"/>
          </w:tcPr>
          <w:p>
            <w:pPr>
              <w:jc w:val="center"/>
              <w:ind w:right="26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09"/>
        </w:trPr>
        <w:tc>
          <w:tcPr>
            <w:tcW w:w="2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revenues</w:t>
            </w: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672.8</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868.0</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(195.3)</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215"/>
        </w:trPr>
        <w:tc>
          <w:tcPr>
            <w:tcW w:w="2020" w:type="dxa"/>
            <w:vAlign w:val="bottom"/>
          </w:tcPr>
          <w:p>
            <w:pPr>
              <w:spacing w:after="0"/>
              <w:rPr>
                <w:sz w:val="20"/>
                <w:szCs w:val="20"/>
                <w:color w:val="auto"/>
              </w:rPr>
            </w:pPr>
            <w:r>
              <w:rPr>
                <w:rFonts w:ascii="Arial" w:cs="Arial" w:eastAsia="Arial" w:hAnsi="Arial"/>
                <w:sz w:val="16"/>
                <w:szCs w:val="16"/>
                <w:color w:val="auto"/>
              </w:rPr>
              <w:t>Adjusted EBITDA</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7.0 %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92.8</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10.7 %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(49.0)%</w:t>
            </w:r>
          </w:p>
        </w:tc>
      </w:tr>
      <w:tr>
        <w:trPr>
          <w:trHeight w:val="379"/>
        </w:trPr>
        <w:tc>
          <w:tcPr>
            <w:tcW w:w="20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center"/>
              <w:ind w:right="64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50"/>
        </w:trPr>
        <w:tc>
          <w:tcPr>
            <w:tcW w:w="2020" w:type="dxa"/>
            <w:vAlign w:val="bottom"/>
          </w:tcPr>
          <w:p>
            <w:pPr>
              <w:spacing w:after="0"/>
              <w:rPr>
                <w:sz w:val="20"/>
                <w:szCs w:val="20"/>
                <w:color w:val="auto"/>
              </w:rPr>
            </w:pPr>
            <w:r>
              <w:rPr>
                <w:rFonts w:ascii="Arial" w:cs="Arial" w:eastAsia="Arial" w:hAnsi="Arial"/>
                <w:sz w:val="16"/>
                <w:szCs w:val="16"/>
                <w:b w:val="1"/>
                <w:bCs w:val="1"/>
                <w:color w:val="auto"/>
              </w:rPr>
              <w:t>Unit deliveries</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24, 2024</w:t>
            </w:r>
          </w:p>
        </w:tc>
        <w:tc>
          <w:tcPr>
            <w:tcW w:w="100" w:type="dxa"/>
            <w:vAlign w:val="bottom"/>
          </w:tcPr>
          <w:p>
            <w:pPr>
              <w:spacing w:after="0"/>
              <w:rPr>
                <w:sz w:val="21"/>
                <w:szCs w:val="21"/>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25, 2023</w:t>
            </w:r>
          </w:p>
        </w:tc>
        <w:tc>
          <w:tcPr>
            <w:tcW w:w="100" w:type="dxa"/>
            <w:vAlign w:val="bottom"/>
          </w:tcPr>
          <w:p>
            <w:pPr>
              <w:spacing w:after="0"/>
              <w:rPr>
                <w:sz w:val="21"/>
                <w:szCs w:val="21"/>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20" w:type="dxa"/>
            <w:vAlign w:val="bottom"/>
          </w:tcPr>
          <w:p>
            <w:pPr>
              <w:spacing w:after="0"/>
              <w:rPr>
                <w:sz w:val="21"/>
                <w:szCs w:val="21"/>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Class A</w:t>
            </w:r>
          </w:p>
        </w:tc>
        <w:tc>
          <w:tcPr>
            <w:tcW w:w="5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24.1 %</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1,210</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15"/>
        </w:trPr>
        <w:tc>
          <w:tcPr>
            <w:tcW w:w="2020" w:type="dxa"/>
            <w:vAlign w:val="bottom"/>
          </w:tcPr>
          <w:p>
            <w:pPr>
              <w:spacing w:after="0"/>
              <w:rPr>
                <w:sz w:val="20"/>
                <w:szCs w:val="20"/>
                <w:color w:val="auto"/>
              </w:rPr>
            </w:pPr>
            <w:r>
              <w:rPr>
                <w:rFonts w:ascii="Arial" w:cs="Arial" w:eastAsia="Arial" w:hAnsi="Arial"/>
                <w:sz w:val="16"/>
                <w:szCs w:val="16"/>
                <w:color w:val="auto"/>
              </w:rPr>
              <w:t>Class B</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1,339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37.9 %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2,215</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47.4 %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(876)</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(39.5)%</w:t>
            </w:r>
          </w:p>
        </w:tc>
      </w:tr>
      <w:tr>
        <w:trPr>
          <w:trHeight w:val="217"/>
        </w:trPr>
        <w:tc>
          <w:tcPr>
            <w:tcW w:w="2020" w:type="dxa"/>
            <w:vAlign w:val="bottom"/>
            <w:shd w:val="clear" w:color="auto" w:fill="CCEEFF"/>
          </w:tcPr>
          <w:p>
            <w:pPr>
              <w:spacing w:after="0"/>
              <w:rPr>
                <w:sz w:val="20"/>
                <w:szCs w:val="20"/>
                <w:color w:val="auto"/>
              </w:rPr>
            </w:pPr>
            <w:r>
              <w:rPr>
                <w:rFonts w:ascii="Arial" w:cs="Arial" w:eastAsia="Arial" w:hAnsi="Arial"/>
                <w:sz w:val="16"/>
                <w:szCs w:val="16"/>
                <w:color w:val="auto"/>
              </w:rPr>
              <w:t>Class C</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38.0 %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26.7 %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r>
      <w:tr>
        <w:trPr>
          <w:trHeight w:val="209"/>
        </w:trPr>
        <w:tc>
          <w:tcPr>
            <w:tcW w:w="2020" w:type="dxa"/>
            <w:vAlign w:val="bottom"/>
          </w:tcPr>
          <w:p>
            <w:pPr>
              <w:ind w:left="120"/>
              <w:spacing w:after="0"/>
              <w:rPr>
                <w:sz w:val="20"/>
                <w:szCs w:val="20"/>
                <w:color w:val="auto"/>
              </w:rPr>
            </w:pPr>
            <w:r>
              <w:rPr>
                <w:rFonts w:ascii="Arial" w:cs="Arial" w:eastAsia="Arial" w:hAnsi="Arial"/>
                <w:sz w:val="16"/>
                <w:szCs w:val="16"/>
                <w:color w:val="auto"/>
              </w:rPr>
              <w:t>Total Motorhome RV</w:t>
            </w:r>
          </w:p>
        </w:tc>
        <w:tc>
          <w:tcPr>
            <w:tcW w:w="5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3,532</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4,673</w:t>
            </w:r>
          </w:p>
        </w:tc>
        <w:tc>
          <w:tcPr>
            <w:tcW w:w="1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(1,141)</w:t>
            </w:r>
          </w:p>
        </w:tc>
        <w:tc>
          <w:tcPr>
            <w:tcW w:w="1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(24.4)%</w:t>
            </w:r>
          </w:p>
        </w:tc>
      </w:tr>
      <w:tr>
        <w:trPr>
          <w:trHeight w:val="21"/>
        </w:trPr>
        <w:tc>
          <w:tcPr>
            <w:tcW w:w="20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44"/>
        </w:trPr>
        <w:tc>
          <w:tcPr>
            <w:tcW w:w="202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24, 2024</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25, 2023</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(1)</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30"/>
        </w:trPr>
        <w:tc>
          <w:tcPr>
            <w:tcW w:w="20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9"/>
                <w:szCs w:val="9"/>
                <w:b w:val="1"/>
                <w:bCs w:val="1"/>
                <w:color w:val="auto"/>
              </w:rPr>
              <w:t>(3)</w:t>
            </w: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15"/>
        </w:trPr>
        <w:tc>
          <w:tcPr>
            <w:tcW w:w="2020" w:type="dxa"/>
            <w:vAlign w:val="bottom"/>
          </w:tcPr>
          <w:p>
            <w:pPr>
              <w:ind w:left="120"/>
              <w:spacing w:after="0"/>
              <w:rPr>
                <w:sz w:val="20"/>
                <w:szCs w:val="20"/>
                <w:color w:val="auto"/>
              </w:rPr>
            </w:pPr>
            <w:r>
              <w:rPr>
                <w:rFonts w:ascii="Arial" w:cs="Arial" w:eastAsia="Arial" w:hAnsi="Arial"/>
                <w:sz w:val="16"/>
                <w:szCs w:val="16"/>
                <w:color w:val="auto"/>
              </w:rPr>
              <w:t>Units</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2,582</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5,341</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(2,759)</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(51.7)%</w:t>
            </w:r>
          </w:p>
        </w:tc>
      </w:tr>
      <w:tr>
        <w:trPr>
          <w:trHeight w:val="217"/>
        </w:trPr>
        <w:tc>
          <w:tcPr>
            <w:tcW w:w="2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Dollars</w:t>
            </w: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452.2</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872.7</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(420.5)</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r>
      <w:tr>
        <w:trPr>
          <w:trHeight w:val="216"/>
        </w:trPr>
        <w:tc>
          <w:tcPr>
            <w:tcW w:w="2020" w:type="dxa"/>
            <w:vAlign w:val="bottom"/>
          </w:tcPr>
          <w:p>
            <w:pPr>
              <w:spacing w:after="0"/>
              <w:rPr>
                <w:sz w:val="20"/>
                <w:szCs w:val="20"/>
                <w:color w:val="auto"/>
              </w:rPr>
            </w:pPr>
            <w:r>
              <w:rPr>
                <w:rFonts w:ascii="Arial" w:cs="Arial" w:eastAsia="Arial" w:hAnsi="Arial"/>
                <w:sz w:val="16"/>
                <w:szCs w:val="16"/>
                <w:b w:val="1"/>
                <w:bCs w:val="1"/>
                <w:color w:val="auto"/>
              </w:rPr>
              <w:t>Dealer Inventory</w:t>
            </w: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2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Units</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4,844</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0.9 %</w:t>
            </w:r>
          </w:p>
        </w:tc>
      </w:tr>
    </w:tbl>
    <w:p>
      <w:pPr>
        <w:spacing w:after="0" w:line="126" w:lineRule="exact"/>
        <w:rPr>
          <w:sz w:val="20"/>
          <w:szCs w:val="20"/>
          <w:color w:val="auto"/>
        </w:rPr>
      </w:pPr>
    </w:p>
    <w:p>
      <w:pPr>
        <w:ind w:left="272" w:hanging="272"/>
        <w:spacing w:after="0"/>
        <w:tabs>
          <w:tab w:leader="none" w:pos="272" w:val="left"/>
        </w:tabs>
        <w:numPr>
          <w:ilvl w:val="0"/>
          <w:numId w:val="10"/>
        </w:numPr>
        <w:rPr>
          <w:rFonts w:ascii="Arial" w:cs="Arial" w:eastAsia="Arial" w:hAnsi="Arial"/>
          <w:sz w:val="9"/>
          <w:szCs w:val="9"/>
          <w:color w:val="auto"/>
        </w:rPr>
      </w:pPr>
      <w:r>
        <w:rPr>
          <w:rFonts w:ascii="Arial" w:cs="Arial" w:eastAsia="Arial" w:hAnsi="Arial"/>
          <w:sz w:val="14"/>
          <w:szCs w:val="14"/>
          <w:color w:val="auto"/>
        </w:rPr>
        <w:t>Amounts are calculated based on unrounded numbers and therefore may not recalculate using the rounded numbers provided.</w:t>
      </w:r>
    </w:p>
    <w:p>
      <w:pPr>
        <w:spacing w:after="0" w:line="68" w:lineRule="exact"/>
        <w:rPr>
          <w:rFonts w:ascii="Arial" w:cs="Arial" w:eastAsia="Arial" w:hAnsi="Arial"/>
          <w:sz w:val="9"/>
          <w:szCs w:val="9"/>
          <w:color w:val="auto"/>
        </w:rPr>
      </w:pPr>
    </w:p>
    <w:p>
      <w:pPr>
        <w:ind w:left="272" w:hanging="272"/>
        <w:spacing w:after="0"/>
        <w:tabs>
          <w:tab w:leader="none" w:pos="272" w:val="left"/>
        </w:tabs>
        <w:numPr>
          <w:ilvl w:val="0"/>
          <w:numId w:val="10"/>
        </w:numPr>
        <w:rPr>
          <w:rFonts w:ascii="Arial" w:cs="Arial" w:eastAsia="Arial" w:hAnsi="Arial"/>
          <w:sz w:val="9"/>
          <w:szCs w:val="9"/>
          <w:color w:val="auto"/>
        </w:rPr>
      </w:pPr>
      <w:r>
        <w:rPr>
          <w:rFonts w:ascii="Arial" w:cs="Arial" w:eastAsia="Arial" w:hAnsi="Arial"/>
          <w:sz w:val="14"/>
          <w:szCs w:val="14"/>
          <w:color w:val="auto"/>
        </w:rPr>
        <w:t>Percentages may not add due to rounding differences.</w:t>
      </w:r>
    </w:p>
    <w:p>
      <w:pPr>
        <w:spacing w:after="0" w:line="68" w:lineRule="exact"/>
        <w:rPr>
          <w:rFonts w:ascii="Arial" w:cs="Arial" w:eastAsia="Arial" w:hAnsi="Arial"/>
          <w:sz w:val="9"/>
          <w:szCs w:val="9"/>
          <w:color w:val="auto"/>
        </w:rPr>
      </w:pPr>
    </w:p>
    <w:p>
      <w:pPr>
        <w:ind w:left="252" w:right="80" w:hanging="252"/>
        <w:spacing w:after="0" w:line="231" w:lineRule="auto"/>
        <w:tabs>
          <w:tab w:leader="none" w:pos="227"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71"/>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052"/>
          </w:cols>
          <w:pgMar w:left="328" w:top="1147" w:right="519" w:bottom="1440" w:gutter="0" w:footer="0" w:header="0"/>
        </w:sectPr>
      </w:pPr>
    </w:p>
    <w:bookmarkStart w:id="15" w:name="page16"/>
    <w:bookmarkEnd w:id="15"/>
    <w:p>
      <w:pPr>
        <w:ind w:left="4352"/>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ind w:left="3112"/>
        <w:spacing w:after="0"/>
        <w:rPr>
          <w:sz w:val="20"/>
          <w:szCs w:val="20"/>
          <w:color w:val="auto"/>
        </w:rPr>
      </w:pPr>
      <w:r>
        <w:rPr>
          <w:rFonts w:ascii="Arial" w:cs="Arial" w:eastAsia="Arial" w:hAnsi="Arial"/>
          <w:sz w:val="18"/>
          <w:szCs w:val="18"/>
          <w:b w:val="1"/>
          <w:bCs w:val="1"/>
          <w:color w:val="auto"/>
        </w:rPr>
        <w:t>Supplemental Information by Reportable Segment - Marine</w:t>
      </w:r>
    </w:p>
    <w:p>
      <w:pPr>
        <w:spacing w:after="0" w:line="12" w:lineRule="exact"/>
        <w:rPr>
          <w:sz w:val="20"/>
          <w:szCs w:val="20"/>
          <w:color w:val="auto"/>
        </w:rPr>
      </w:pPr>
    </w:p>
    <w:p>
      <w:pPr>
        <w:jc w:val="center"/>
        <w:ind w:right="-25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25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292" w:type="dxa"/>
        <w:tblCellMar>
          <w:top w:w="0" w:type="dxa"/>
          <w:left w:w="0" w:type="dxa"/>
          <w:bottom w:w="0" w:type="dxa"/>
          <w:right w:w="0" w:type="dxa"/>
        </w:tblCellMar>
      </w:tblPr>
      <w:tr>
        <w:trPr>
          <w:trHeight w:val="217"/>
        </w:trPr>
        <w:tc>
          <w:tcPr>
            <w:tcW w:w="18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center"/>
              <w:ind w:right="6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09"/>
        </w:trPr>
        <w:tc>
          <w:tcPr>
            <w:tcW w:w="182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24, 2024</w:t>
            </w:r>
          </w:p>
        </w:tc>
        <w:tc>
          <w:tcPr>
            <w:tcW w:w="80" w:type="dxa"/>
            <w:vAlign w:val="bottom"/>
          </w:tcPr>
          <w:p>
            <w:pPr>
              <w:spacing w:after="0"/>
              <w:rPr>
                <w:sz w:val="18"/>
                <w:szCs w:val="18"/>
                <w:color w:val="auto"/>
              </w:rPr>
            </w:pPr>
          </w:p>
        </w:tc>
        <w:tc>
          <w:tcPr>
            <w:tcW w:w="1500" w:type="dxa"/>
            <w:vAlign w:val="bottom"/>
            <w:gridSpan w:val="2"/>
          </w:tcPr>
          <w:p>
            <w:pPr>
              <w:ind w:left="60"/>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25, 2023</w:t>
            </w:r>
          </w:p>
        </w:tc>
        <w:tc>
          <w:tcPr>
            <w:tcW w:w="100" w:type="dxa"/>
            <w:vAlign w:val="bottom"/>
          </w:tcPr>
          <w:p>
            <w:pPr>
              <w:spacing w:after="0"/>
              <w:rPr>
                <w:sz w:val="18"/>
                <w:szCs w:val="18"/>
                <w:color w:val="auto"/>
              </w:rPr>
            </w:pPr>
          </w:p>
        </w:tc>
        <w:tc>
          <w:tcPr>
            <w:tcW w:w="1500" w:type="dxa"/>
            <w:vAlign w:val="bottom"/>
            <w:gridSpan w:val="2"/>
          </w:tcPr>
          <w:p>
            <w:pPr>
              <w:ind w:left="60"/>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10"/>
        </w:trPr>
        <w:tc>
          <w:tcPr>
            <w:tcW w:w="1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112.9</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w:t>
            </w:r>
          </w:p>
        </w:tc>
      </w:tr>
      <w:tr>
        <w:trPr>
          <w:trHeight w:val="215"/>
        </w:trPr>
        <w:tc>
          <w:tcPr>
            <w:tcW w:w="18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6.3 %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14.4</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12.8 %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(69.7)%</w:t>
            </w:r>
          </w:p>
        </w:tc>
      </w:tr>
      <w:tr>
        <w:trPr>
          <w:trHeight w:val="487"/>
        </w:trPr>
        <w:tc>
          <w:tcPr>
            <w:tcW w:w="18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center"/>
              <w:ind w:right="6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09"/>
        </w:trPr>
        <w:tc>
          <w:tcPr>
            <w:tcW w:w="182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24, 2024</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25, 2023</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35"/>
        </w:trPr>
        <w:tc>
          <w:tcPr>
            <w:tcW w:w="18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w:t>
            </w: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433"/>
        </w:trPr>
        <w:tc>
          <w:tcPr>
            <w:tcW w:w="18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center"/>
              <w:ind w:right="64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10"/>
        </w:trPr>
        <w:tc>
          <w:tcPr>
            <w:tcW w:w="182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24, 2024</w:t>
            </w:r>
          </w:p>
        </w:tc>
        <w:tc>
          <w:tcPr>
            <w:tcW w:w="80" w:type="dxa"/>
            <w:vAlign w:val="bottom"/>
          </w:tcPr>
          <w:p>
            <w:pPr>
              <w:spacing w:after="0"/>
              <w:rPr>
                <w:sz w:val="18"/>
                <w:szCs w:val="18"/>
                <w:color w:val="auto"/>
              </w:rPr>
            </w:pPr>
          </w:p>
        </w:tc>
        <w:tc>
          <w:tcPr>
            <w:tcW w:w="1500" w:type="dxa"/>
            <w:vAlign w:val="bottom"/>
            <w:gridSpan w:val="2"/>
          </w:tcPr>
          <w:p>
            <w:pPr>
              <w:ind w:left="60"/>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25, 2023</w:t>
            </w:r>
          </w:p>
        </w:tc>
        <w:tc>
          <w:tcPr>
            <w:tcW w:w="100" w:type="dxa"/>
            <w:vAlign w:val="bottom"/>
          </w:tcPr>
          <w:p>
            <w:pPr>
              <w:spacing w:after="0"/>
              <w:rPr>
                <w:sz w:val="18"/>
                <w:szCs w:val="18"/>
                <w:color w:val="auto"/>
              </w:rPr>
            </w:pPr>
          </w:p>
        </w:tc>
        <w:tc>
          <w:tcPr>
            <w:tcW w:w="1500" w:type="dxa"/>
            <w:vAlign w:val="bottom"/>
            <w:gridSpan w:val="2"/>
          </w:tcPr>
          <w:p>
            <w:pPr>
              <w:ind w:left="60"/>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09"/>
        </w:trPr>
        <w:tc>
          <w:tcPr>
            <w:tcW w:w="1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157.1</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244.3</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r>
      <w:tr>
        <w:trPr>
          <w:trHeight w:val="215"/>
        </w:trPr>
        <w:tc>
          <w:tcPr>
            <w:tcW w:w="18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7.4 %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13.5 %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(64.8)%</w:t>
            </w:r>
          </w:p>
        </w:tc>
      </w:tr>
      <w:tr>
        <w:trPr>
          <w:trHeight w:val="379"/>
        </w:trPr>
        <w:tc>
          <w:tcPr>
            <w:tcW w:w="18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center"/>
              <w:ind w:right="64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09"/>
        </w:trPr>
        <w:tc>
          <w:tcPr>
            <w:tcW w:w="182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24, 2024</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25, 2023</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34"/>
        </w:trPr>
        <w:tc>
          <w:tcPr>
            <w:tcW w:w="18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182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24, 2024</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25, 2023</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(1)</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30"/>
        </w:trPr>
        <w:tc>
          <w:tcPr>
            <w:tcW w:w="18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9"/>
                <w:szCs w:val="9"/>
                <w:b w:val="1"/>
                <w:bCs w:val="1"/>
                <w:color w:val="auto"/>
              </w:rPr>
              <w:t>(2)</w:t>
            </w: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15"/>
        </w:trPr>
        <w:tc>
          <w:tcPr>
            <w:tcW w:w="1820" w:type="dxa"/>
            <w:vAlign w:val="bottom"/>
          </w:tcPr>
          <w:p>
            <w:pPr>
              <w:ind w:left="140"/>
              <w:spacing w:after="0"/>
              <w:rPr>
                <w:sz w:val="20"/>
                <w:szCs w:val="20"/>
                <w:color w:val="auto"/>
              </w:rPr>
            </w:pPr>
            <w:r>
              <w:rPr>
                <w:rFonts w:ascii="Arial" w:cs="Arial" w:eastAsia="Arial" w:hAnsi="Arial"/>
                <w:sz w:val="16"/>
                <w:szCs w:val="16"/>
                <w:color w:val="auto"/>
              </w:rPr>
              <w:t>Units</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1,194</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2,511</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(1,317)</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217"/>
        </w:trPr>
        <w:tc>
          <w:tcPr>
            <w:tcW w:w="1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r>
      <w:tr>
        <w:trPr>
          <w:trHeight w:val="216"/>
        </w:trPr>
        <w:tc>
          <w:tcPr>
            <w:tcW w:w="182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9"/>
                <w:szCs w:val="9"/>
                <w:b w:val="1"/>
                <w:bCs w:val="1"/>
                <w:color w:val="auto"/>
              </w:rPr>
              <w:t>(3)</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4,095</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4,016</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r>
    </w:tbl>
    <w:p>
      <w:pPr>
        <w:spacing w:after="0" w:line="126" w:lineRule="exact"/>
        <w:rPr>
          <w:sz w:val="20"/>
          <w:szCs w:val="20"/>
          <w:color w:val="auto"/>
        </w:rPr>
      </w:pPr>
    </w:p>
    <w:p>
      <w:pPr>
        <w:ind w:left="272" w:hanging="272"/>
        <w:spacing w:after="0"/>
        <w:tabs>
          <w:tab w:leader="none" w:pos="272" w:val="left"/>
        </w:tabs>
        <w:numPr>
          <w:ilvl w:val="0"/>
          <w:numId w:val="11"/>
        </w:numPr>
        <w:rPr>
          <w:rFonts w:ascii="Arial" w:cs="Arial" w:eastAsia="Arial" w:hAnsi="Arial"/>
          <w:sz w:val="9"/>
          <w:szCs w:val="9"/>
          <w:color w:val="auto"/>
        </w:rPr>
      </w:pPr>
      <w:r>
        <w:rPr>
          <w:rFonts w:ascii="Arial" w:cs="Arial" w:eastAsia="Arial" w:hAnsi="Arial"/>
          <w:sz w:val="14"/>
          <w:szCs w:val="14"/>
          <w:color w:val="auto"/>
        </w:rPr>
        <w:t>Amounts are calculated based on unrounded numbers and therefore may not recalculate using the rounded numbers provided.</w:t>
      </w:r>
    </w:p>
    <w:p>
      <w:pPr>
        <w:spacing w:after="0" w:line="68" w:lineRule="exact"/>
        <w:rPr>
          <w:rFonts w:ascii="Arial" w:cs="Arial" w:eastAsia="Arial" w:hAnsi="Arial"/>
          <w:sz w:val="9"/>
          <w:szCs w:val="9"/>
          <w:color w:val="auto"/>
        </w:rPr>
      </w:pPr>
    </w:p>
    <w:p>
      <w:pPr>
        <w:ind w:left="252" w:hanging="252"/>
        <w:spacing w:after="0" w:line="290" w:lineRule="auto"/>
        <w:tabs>
          <w:tab w:leader="none" w:pos="227" w:val="left"/>
        </w:tabs>
        <w:numPr>
          <w:ilvl w:val="0"/>
          <w:numId w:val="11"/>
        </w:numPr>
        <w:rPr>
          <w:rFonts w:ascii="Arial" w:cs="Arial" w:eastAsia="Arial" w:hAnsi="Arial"/>
          <w:sz w:val="9"/>
          <w:szCs w:val="9"/>
          <w:color w:val="auto"/>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ind w:left="212" w:hanging="212"/>
        <w:spacing w:after="0" w:line="237" w:lineRule="auto"/>
        <w:tabs>
          <w:tab w:leader="none" w:pos="212"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Due to the nature of the Marine industry, this amount includes a higher proportion of retail sold units than our other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51"/>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972"/>
          </w:cols>
          <w:pgMar w:left="328" w:top="904" w:right="599" w:bottom="1440" w:gutter="0" w:footer="0" w:header="0"/>
        </w:sectPr>
      </w:pPr>
    </w:p>
    <w:bookmarkStart w:id="16" w:name="page17"/>
    <w:bookmarkEnd w:id="16"/>
    <w:p>
      <w:pPr>
        <w:ind w:left="4480"/>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Non-GAAP Reconciliation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46" w:lineRule="exact"/>
        <w:rPr>
          <w:sz w:val="20"/>
          <w:szCs w:val="20"/>
          <w:color w:val="auto"/>
        </w:rPr>
      </w:pPr>
    </w:p>
    <w:p>
      <w:pPr>
        <w:ind w:right="140"/>
        <w:spacing w:after="0" w:line="309" w:lineRule="auto"/>
        <w:rPr>
          <w:sz w:val="20"/>
          <w:szCs w:val="20"/>
          <w:color w:val="auto"/>
        </w:rPr>
      </w:pPr>
      <w:r>
        <w:rPr>
          <w:rFonts w:ascii="Arial" w:cs="Arial" w:eastAsia="Arial" w:hAnsi="Arial"/>
          <w:sz w:val="16"/>
          <w:szCs w:val="16"/>
          <w:color w:val="auto"/>
        </w:rPr>
        <w:t>Non-GAAP financial measures, which are not calculated or presented in accordance with accounting principles generally accepted in the United States (“GAAP”), have been provided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presented may differ from similar measures used by other companies.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diluted earnings per share to Adjusted diluted earnings per share: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5"/>
          </w:tcPr>
          <w:p>
            <w:pPr>
              <w:ind w:left="78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326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4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February 24, 2024</w:t>
            </w:r>
          </w:p>
        </w:tc>
        <w:tc>
          <w:tcPr>
            <w:tcW w:w="1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February 25, 2023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February 24, 2024</w:t>
            </w: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February 25, 2023</w:t>
            </w:r>
          </w:p>
        </w:tc>
      </w:tr>
      <w:tr>
        <w:trPr>
          <w:trHeight w:val="209"/>
        </w:trPr>
        <w:tc>
          <w:tcPr>
            <w:tcW w:w="4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(loss) earnings per share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r>
      <w:tr>
        <w:trPr>
          <w:trHeight w:val="257"/>
        </w:trPr>
        <w:tc>
          <w:tcPr>
            <w:tcW w:w="4360" w:type="dxa"/>
            <w:vAlign w:val="bottom"/>
          </w:tcPr>
          <w:p>
            <w:pPr>
              <w:ind w:left="2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(1)</w:t>
            </w: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0.05</w:t>
            </w:r>
          </w:p>
        </w:tc>
      </w:tr>
      <w:tr>
        <w:trPr>
          <w:trHeight w:val="25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w:t>
            </w:r>
          </w:p>
        </w:tc>
      </w:tr>
      <w:tr>
        <w:trPr>
          <w:trHeight w:val="216"/>
        </w:trPr>
        <w:tc>
          <w:tcPr>
            <w:tcW w:w="4360" w:type="dxa"/>
            <w:vAlign w:val="bottom"/>
          </w:tcPr>
          <w:p>
            <w:pPr>
              <w:ind w:left="20"/>
              <w:spacing w:after="0" w:line="216" w:lineRule="exact"/>
              <w:rPr>
                <w:sz w:val="20"/>
                <w:szCs w:val="20"/>
                <w:color w:val="auto"/>
              </w:rPr>
            </w:pPr>
            <w:r>
              <w:rPr>
                <w:rFonts w:ascii="Arial" w:cs="Arial" w:eastAsia="Arial" w:hAnsi="Arial"/>
                <w:sz w:val="16"/>
                <w:szCs w:val="16"/>
                <w:color w:val="auto"/>
              </w:rPr>
              <w:t>Change in fair value of note receivable</w:t>
            </w:r>
            <w:r>
              <w:rPr>
                <w:rFonts w:ascii="Arial" w:cs="Arial" w:eastAsia="Arial" w:hAnsi="Arial"/>
                <w:sz w:val="21"/>
                <w:szCs w:val="21"/>
                <w:color w:val="auto"/>
                <w:vertAlign w:val="superscript"/>
              </w:rPr>
              <w:t>(1)</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fair value adjustment</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r>
      <w:tr>
        <w:trPr>
          <w:trHeight w:val="256"/>
        </w:trPr>
        <w:tc>
          <w:tcPr>
            <w:tcW w:w="4360" w:type="dxa"/>
            <w:vAlign w:val="bottom"/>
          </w:tcPr>
          <w:p>
            <w:pPr>
              <w:ind w:left="20"/>
              <w:spacing w:after="0"/>
              <w:rPr>
                <w:sz w:val="20"/>
                <w:szCs w:val="20"/>
                <w:color w:val="auto"/>
              </w:rPr>
            </w:pPr>
            <w:r>
              <w:rPr>
                <w:rFonts w:ascii="Arial" w:cs="Arial" w:eastAsia="Arial" w:hAnsi="Arial"/>
                <w:sz w:val="16"/>
                <w:szCs w:val="16"/>
                <w:color w:val="auto"/>
              </w:rPr>
              <w:t>Tax impact of adjustments</w:t>
            </w:r>
            <w:r>
              <w:rPr>
                <w:rFonts w:ascii="Arial" w:cs="Arial" w:eastAsia="Arial" w:hAnsi="Arial"/>
                <w:sz w:val="21"/>
                <w:szCs w:val="21"/>
                <w:color w:val="auto"/>
                <w:vertAlign w:val="superscript"/>
              </w:rPr>
              <w:t>(2)</w:t>
            </w: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(0.08)</w:t>
            </w:r>
          </w:p>
        </w:tc>
      </w:tr>
      <w:tr>
        <w:trPr>
          <w:trHeight w:val="25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Impact of call spread overlay</w:t>
            </w:r>
            <w:r>
              <w:rPr>
                <w:rFonts w:ascii="Arial" w:cs="Arial" w:eastAsia="Arial" w:hAnsi="Arial"/>
                <w:sz w:val="21"/>
                <w:szCs w:val="21"/>
                <w:color w:val="auto"/>
                <w:vertAlign w:val="superscript"/>
              </w:rPr>
              <w:t>(3)</w:t>
            </w:r>
          </w:p>
        </w:tc>
        <w:tc>
          <w:tcPr>
            <w:tcW w:w="12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0.46</w:t>
            </w:r>
          </w:p>
        </w:tc>
      </w:tr>
      <w:tr>
        <w:trPr>
          <w:trHeight w:val="255"/>
        </w:trPr>
        <w:tc>
          <w:tcPr>
            <w:tcW w:w="4360" w:type="dxa"/>
            <w:vAlign w:val="bottom"/>
          </w:tcPr>
          <w:p>
            <w:pPr>
              <w:ind w:left="20"/>
              <w:spacing w:after="0"/>
              <w:rPr>
                <w:sz w:val="20"/>
                <w:szCs w:val="20"/>
                <w:color w:val="auto"/>
              </w:rPr>
            </w:pPr>
            <w:r>
              <w:rPr>
                <w:rFonts w:ascii="Arial" w:cs="Arial" w:eastAsia="Arial" w:hAnsi="Arial"/>
                <w:sz w:val="16"/>
                <w:szCs w:val="16"/>
                <w:color w:val="auto"/>
              </w:rPr>
              <w:t>Loss on note repurchase</w:t>
            </w: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4360" w:type="dxa"/>
            <w:vAlign w:val="bottom"/>
            <w:tcBorders>
              <w:top w:val="single" w:sz="8" w:color="CCEEFF"/>
              <w:bottom w:val="single" w:sz="8" w:color="CCEEFF"/>
            </w:tcBorders>
            <w:shd w:val="clear" w:color="auto" w:fill="CCEEFF"/>
          </w:tcPr>
          <w:p>
            <w:pPr>
              <w:ind w:left="140"/>
              <w:spacing w:after="0" w:line="211" w:lineRule="exact"/>
              <w:rPr>
                <w:sz w:val="20"/>
                <w:szCs w:val="20"/>
                <w:color w:val="auto"/>
              </w:rPr>
            </w:pPr>
            <w:r>
              <w:rPr>
                <w:rFonts w:ascii="Arial" w:cs="Arial" w:eastAsia="Arial" w:hAnsi="Arial"/>
                <w:sz w:val="16"/>
                <w:szCs w:val="16"/>
                <w:color w:val="auto"/>
              </w:rPr>
              <w:t>Adjusted diluted earnings per share</w:t>
            </w:r>
            <w:r>
              <w:rPr>
                <w:rFonts w:ascii="Arial" w:cs="Arial" w:eastAsia="Arial" w:hAnsi="Arial"/>
                <w:sz w:val="21"/>
                <w:szCs w:val="21"/>
                <w:color w:val="auto"/>
                <w:vertAlign w:val="superscript"/>
              </w:rPr>
              <w:t>(4)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9"/>
          <w:szCs w:val="9"/>
          <w:color w:val="auto"/>
        </w:rPr>
      </w:pPr>
      <w:r>
        <w:rPr>
          <w:rFonts w:ascii="Arial" w:cs="Arial" w:eastAsia="Arial" w:hAnsi="Arial"/>
          <w:sz w:val="14"/>
          <w:szCs w:val="14"/>
          <w:color w:val="auto"/>
        </w:rPr>
        <w:t>Represents a pre-tax adjustment.</w:t>
      </w:r>
    </w:p>
    <w:p>
      <w:pPr>
        <w:spacing w:after="0" w:line="28" w:lineRule="exact"/>
        <w:rPr>
          <w:rFonts w:ascii="Arial" w:cs="Arial" w:eastAsia="Arial" w:hAnsi="Arial"/>
          <w:sz w:val="9"/>
          <w:szCs w:val="9"/>
          <w:color w:val="auto"/>
        </w:rPr>
      </w:pPr>
    </w:p>
    <w:p>
      <w:pPr>
        <w:ind w:left="220" w:hanging="212"/>
        <w:spacing w:after="0"/>
        <w:tabs>
          <w:tab w:leader="none" w:pos="220" w:val="left"/>
        </w:tabs>
        <w:numPr>
          <w:ilvl w:val="0"/>
          <w:numId w:val="12"/>
        </w:numPr>
        <w:rPr>
          <w:rFonts w:ascii="Arial" w:cs="Arial" w:eastAsia="Arial" w:hAnsi="Arial"/>
          <w:sz w:val="9"/>
          <w:szCs w:val="9"/>
          <w:color w:val="auto"/>
        </w:rPr>
      </w:pPr>
      <w:r>
        <w:rPr>
          <w:rFonts w:ascii="Arial" w:cs="Arial" w:eastAsia="Arial" w:hAnsi="Arial"/>
          <w:sz w:val="14"/>
          <w:szCs w:val="14"/>
          <w:color w:val="auto"/>
        </w:rPr>
        <w:t>Income tax charge calculated using the statutory tax rate for the U.S. of 23.0% and 24.1% for Fiscal 2024 and Fiscal 2023, respectively.</w:t>
      </w:r>
    </w:p>
    <w:p>
      <w:pPr>
        <w:spacing w:after="0" w:line="14" w:lineRule="exact"/>
        <w:rPr>
          <w:rFonts w:ascii="Arial" w:cs="Arial" w:eastAsia="Arial" w:hAnsi="Arial"/>
          <w:sz w:val="9"/>
          <w:szCs w:val="9"/>
          <w:color w:val="auto"/>
        </w:rPr>
      </w:pPr>
    </w:p>
    <w:p>
      <w:pPr>
        <w:ind w:left="220" w:hanging="212"/>
        <w:spacing w:after="0" w:line="192" w:lineRule="auto"/>
        <w:tabs>
          <w:tab w:leader="none" w:pos="22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Represents the impact of a call spread overlay that was put in place upon issuance of the convertible notes and which economically offsets dilution risk.</w:t>
      </w:r>
    </w:p>
    <w:p>
      <w:pPr>
        <w:ind w:left="220" w:hanging="212"/>
        <w:spacing w:after="0" w:line="193" w:lineRule="auto"/>
        <w:tabs>
          <w:tab w:leader="none" w:pos="22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Per share numbers may not foot due to rounding.</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5"/>
          </w:tcPr>
          <w:p>
            <w:pPr>
              <w:ind w:left="78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326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436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February 24, 2024</w:t>
            </w:r>
          </w:p>
        </w:tc>
        <w:tc>
          <w:tcPr>
            <w:tcW w:w="1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February 25, 2023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February 24, 2024</w:t>
            </w: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February 25, 2023</w:t>
            </w:r>
          </w:p>
        </w:tc>
      </w:tr>
      <w:tr>
        <w:trPr>
          <w:trHeight w:val="210"/>
        </w:trPr>
        <w:tc>
          <w:tcPr>
            <w:tcW w:w="4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09"/>
        </w:trPr>
        <w:tc>
          <w:tcPr>
            <w:tcW w:w="4360" w:type="dxa"/>
            <w:vAlign w:val="bottom"/>
          </w:tcPr>
          <w:p>
            <w:pPr>
              <w:ind w:left="140"/>
              <w:spacing w:after="0"/>
              <w:rPr>
                <w:sz w:val="20"/>
                <w:szCs w:val="20"/>
                <w:color w:val="auto"/>
              </w:rPr>
            </w:pPr>
            <w:r>
              <w:rPr>
                <w:rFonts w:ascii="Arial" w:cs="Arial" w:eastAsia="Arial" w:hAnsi="Arial"/>
                <w:sz w:val="16"/>
                <w:szCs w:val="16"/>
                <w:color w:val="auto"/>
              </w:rPr>
              <w:t>EBITDA</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181.5</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Change in fair value of note receivable</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Loss on note repurchase</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 loss</w:t>
            </w: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0"/>
        </w:trPr>
        <w:tc>
          <w:tcPr>
            <w:tcW w:w="4360" w:type="dxa"/>
            <w:vAlign w:val="bottom"/>
          </w:tcPr>
          <w:p>
            <w:pPr>
              <w:ind w:left="140"/>
              <w:spacing w:after="0"/>
              <w:rPr>
                <w:sz w:val="20"/>
                <w:szCs w:val="20"/>
                <w:color w:val="auto"/>
              </w:rPr>
            </w:pPr>
            <w:r>
              <w:rPr>
                <w:rFonts w:ascii="Arial" w:cs="Arial" w:eastAsia="Arial" w:hAnsi="Arial"/>
                <w:sz w:val="16"/>
                <w:szCs w:val="16"/>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185.4</w:t>
            </w:r>
          </w:p>
        </w:tc>
      </w:tr>
      <w:tr>
        <w:trPr>
          <w:trHeight w:val="20"/>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color w:val="auto"/>
        </w:rPr>
        <w:t>Non-GAAP performance measures of Adjusted diluted earnings per share, EBITDA and Adjusted EBITDA have been provided as comparable measures to illustrate the effect of non-recurring transactions occurring during the reported periods and to improve comparability of our results from period to period. Adjusted diluted earnings per share is defined as diluted (loss) earnings per share adjusted for after-tax items that impact the comparability of our results from period to period. EBITDA is defined as net (loss) income before interest expense, provision for income taxes, and depreciation and amortization expense. Adjusted EBITDA is defined as net (loss) income before interest expense, provision for income taxes, depreciation and amortization expense and other pretax adjustments made in order to present comparable results from period to period. Management believes Adjusted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890" w:right="339" w:bottom="1440" w:gutter="0" w:footer="0" w:header="0"/>
        </w:sectPr>
      </w:pPr>
    </w:p>
    <w:bookmarkStart w:id="17" w:name="page18"/>
    <w:bookmarkEnd w:id="17"/>
    <w:p>
      <w:pPr>
        <w:spacing w:after="0" w:line="339" w:lineRule="auto"/>
        <w:rPr>
          <w:sz w:val="20"/>
          <w:szCs w:val="20"/>
          <w:color w:val="auto"/>
        </w:rPr>
      </w:pPr>
      <w:r>
        <w:rPr>
          <w:rFonts w:ascii="Arial" w:cs="Arial" w:eastAsia="Arial" w:hAnsi="Arial"/>
          <w:sz w:val="16"/>
          <w:szCs w:val="16"/>
          <w:color w:val="auto"/>
        </w:rPr>
        <w:t>diluted earnings per share and Adjusted EBITDA provide meaningful supplemental information about our operating performance because these measures exclude amounts that we do not consider part of our core operating results when assessing our performance.</w:t>
      </w:r>
    </w:p>
    <w:p>
      <w:pPr>
        <w:spacing w:after="0" w:line="182"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auto"/>
        </w:rPr>
        <w:t>Management uses these non-GAAP financial measures (a) to evaluate historical and prospective financial performance and trends as well as assess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the Company; (d) to evaluate potential acquisitions; and (e) to ensure compliance with restricted activities under the terms of our asset-backed revolving credit facility and outstanding notes. Management believes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15</w:t>
      </w:r>
    </w:p>
    <w:sectPr>
      <w:pgSz w:w="11900" w:h="16838" w:orient="portrait"/>
      <w:cols w:equalWidth="0" w:num="1">
        <w:col w:w="11020"/>
      </w:cols>
      <w:pgMar w:left="320" w:top="908"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lvl w:ilvl="1">
      <w:lvlJc w:val="left"/>
      <w:lvlText w:val="•"/>
      <w:numFmt w:val="bullet"/>
      <w:start w:val="1"/>
    </w:lvl>
  </w:abstractNum>
  <w:abstractNum w:abstractNumId="4">
    <w:nsid w:val="515F007C"/>
    <w:multiLevelType w:val="hybridMultilevel"/>
    <w:lvl w:ilvl="0">
      <w:lvlJc w:val="left"/>
      <w:lvlText w:val="(%1)"/>
      <w:numFmt w:val="decimal"/>
      <w:start w:val="1"/>
    </w:lvl>
    <w:lvl w:ilvl="1">
      <w:lvlJc w:val="left"/>
      <w:lvlText w:val="•"/>
      <w:numFmt w:val="bullet"/>
      <w:start w:val="1"/>
    </w:lvl>
  </w:abstractNum>
  <w:abstractNum w:abstractNumId="5">
    <w:nsid w:val="5BD062C2"/>
    <w:multiLevelType w:val="hybridMultilevel"/>
    <w:lvl w:ilvl="0">
      <w:lvlJc w:val="left"/>
      <w:lvlText w:val="(%1)"/>
      <w:numFmt w:val="decimal"/>
      <w:start w:val="1"/>
    </w:lvl>
    <w:lvl w:ilvl="1">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2024-03-21T07:07:10Z</dcterms:created>
  <dcterms:modified xsi:type="dcterms:W3CDTF">2024-03-21T07:07:10Z</dcterms:modified>
</cp:coreProperties>
</file>