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4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5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260"/>
        <w:spacing w:after="0" w:line="361" w:lineRule="auto"/>
        <w:rPr>
          <w:sz w:val="20"/>
          <w:szCs w:val="20"/>
          <w:color w:val="auto"/>
        </w:rPr>
      </w:pPr>
      <w:r>
        <w:rPr>
          <w:rFonts w:ascii="Arial" w:cs="Arial" w:eastAsia="Arial" w:hAnsi="Arial"/>
          <w:sz w:val="17"/>
          <w:szCs w:val="17"/>
          <w:color w:val="0000FF"/>
        </w:rPr>
        <w:t>WINNEBAGO INDUSTRIES, INC P.O. BOX 152</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WINNEBAGO INDUSTRIES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VP-Chief Financial Officer</w:t>
            </w:r>
          </w:p>
        </w:tc>
        <w:tc>
          <w:tcPr>
            <w:tcW w:w="0" w:type="dxa"/>
            <w:vAlign w:val="bottom"/>
          </w:tcPr>
          <w:p>
            <w:pPr>
              <w:spacing w:after="0"/>
              <w:rPr>
                <w:sz w:val="1"/>
                <w:szCs w:val="1"/>
                <w:color w:val="auto"/>
              </w:rPr>
            </w:pPr>
          </w:p>
        </w:tc>
      </w:tr>
      <w:tr>
        <w:trPr>
          <w:trHeight w:val="221"/>
        </w:trPr>
        <w:tc>
          <w:tcPr>
            <w:tcW w:w="3120" w:type="dxa"/>
            <w:vAlign w:val="bottom"/>
            <w:gridSpan w:val="3"/>
          </w:tcPr>
          <w:p>
            <w:pPr>
              <w:ind w:left="80"/>
              <w:spacing w:after="0"/>
              <w:rPr>
                <w:sz w:val="20"/>
                <w:szCs w:val="20"/>
                <w:color w:val="auto"/>
              </w:rPr>
            </w:pPr>
            <w:r>
              <w:rPr>
                <w:rFonts w:ascii="Arial" w:cs="Arial" w:eastAsia="Arial" w:hAnsi="Arial"/>
                <w:sz w:val="17"/>
                <w:szCs w:val="17"/>
                <w:color w:val="0000FF"/>
              </w:rPr>
              <w:t>10/15/2018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10/15/2018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4,001</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16,788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11,438</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10/15/2018</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11,438</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10/15/2028</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11,438</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10/15/18 under the Winnebago Industries, Inc. 2014 Omnibus Equity, Performance Awards, and Incentive Plan. Restricted stock units vest in annual increments of one-third beginning on 10/15/2019.</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options vest in annual increments of one-third beginning on 10/15/2019.</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965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322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15"/>
          <w:szCs w:val="15"/>
          <w:color w:val="0000FF"/>
        </w:rPr>
        <w:t>10/17/2018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370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IT KNOWN, that Bryan L. Hughes has made and appointed, and by these presents does hereby make and appoint, Cory J. Nelson and/or Stacy 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Bogart, in their capacity as the legal counsel for Winnebago Industries, Inc., for the following specific and limited purposes only:</w:t>
      </w:r>
    </w:p>
    <w:p>
      <w:pPr>
        <w:spacing w:after="0" w:line="209" w:lineRule="exact"/>
        <w:rPr>
          <w:sz w:val="20"/>
          <w:szCs w:val="20"/>
          <w:color w:val="auto"/>
        </w:rPr>
      </w:pPr>
    </w:p>
    <w:p>
      <w:pPr>
        <w:jc w:val="both"/>
        <w:ind w:left="1300" w:right="1280"/>
        <w:spacing w:after="0" w:line="260"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8</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93345</wp:posOffset>
            </wp:positionV>
            <wp:extent cx="1703070" cy="391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03070"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95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5600"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p>
      <w:pPr>
        <w:spacing w:after="0" w:line="222" w:lineRule="exact"/>
        <w:rPr>
          <w:sz w:val="20"/>
          <w:szCs w:val="20"/>
          <w:color w:val="auto"/>
        </w:rPr>
      </w:pPr>
    </w:p>
    <w:p>
      <w:pPr>
        <w:ind w:right="40"/>
        <w:spacing w:after="0" w:line="562" w:lineRule="auto"/>
        <w:rPr>
          <w:sz w:val="20"/>
          <w:szCs w:val="20"/>
          <w:color w:val="auto"/>
        </w:rPr>
      </w:pPr>
      <w:r>
        <w:rPr>
          <w:rFonts w:ascii="Arial" w:cs="Arial" w:eastAsia="Arial" w:hAnsi="Arial"/>
          <w:sz w:val="16"/>
          <w:szCs w:val="16"/>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sectPr>
          <w:pgSz w:w="11900" w:h="16838" w:orient="portrait"/>
          <w:cols w:equalWidth="0" w:num="2">
            <w:col w:w="1800" w:space="720"/>
            <w:col w:w="8900"/>
          </w:cols>
          <w:pgMar w:left="240" w:top="336" w:right="239" w:bottom="1440" w:gutter="0" w:footer="0" w:header="0"/>
          <w:type w:val="continuous"/>
        </w:sectPr>
      </w:pPr>
    </w:p>
    <w:p>
      <w:pPr>
        <w:ind w:firstLine="644"/>
        <w:spacing w:after="0" w:line="212" w:lineRule="auto"/>
        <w:rPr>
          <w:sz w:val="20"/>
          <w:szCs w:val="20"/>
          <w:color w:val="auto"/>
        </w:rPr>
      </w:pPr>
      <w:r>
        <w:rPr>
          <w:rFonts w:ascii="Arial" w:cs="Arial" w:eastAsia="Arial" w:hAnsi="Arial"/>
          <w:sz w:val="18"/>
          <w:szCs w:val="18"/>
          <w:color w:val="auto"/>
        </w:rPr>
        <w:t>The foregoing instrument was acknowledged by me this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October, 2018, by Bryan L. Hughes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137795</wp:posOffset>
            </wp:positionV>
            <wp:extent cx="1873885" cy="698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873885" cy="69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-130175</wp:posOffset>
            </wp:positionV>
            <wp:extent cx="2895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9560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968375</wp:posOffset>
            </wp:positionV>
            <wp:extent cx="724725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2129155" cy="741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129155" cy="741045"/>
                    </a:xfrm>
                    <a:prstGeom prst="rect">
                      <a:avLst/>
                    </a:prstGeom>
                    <a:noFill/>
                  </pic:spPr>
                </pic:pic>
              </a:graphicData>
            </a:graphic>
          </wp:anchor>
        </w:drawing>
      </w:r>
    </w:p>
    <w:sectPr>
      <w:pgSz w:w="11900" w:h="16838" w:orient="portrait"/>
      <w:cols w:equalWidth="0" w:num="1">
        <w:col w:w="11420"/>
      </w:cols>
      <w:pgMar w:left="240" w:top="33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2019-12-23T15:41:34Z</dcterms:created>
  <dcterms:modified xsi:type="dcterms:W3CDTF">2019-12-23T15:41:34Z</dcterms:modified>
</cp:coreProperties>
</file>