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Winnebago Industries, Inc. is filing herewith a press release issued on December 18, 2014, as Exhibit 99.1 which is incorporated by reference herein. The press release was issued to report earnings for the first quarter Fiscal 2015 ended November 29, 2014.</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December 18, 2014, as Exhibit 99.1 which is included herein. The press release was issued to report that on December 17, 2014, the Board of Winnebago Industries, Inc. approved a quarterly cash dividend of $0.09 per share of common stock, payable on February 4, 2015 to shareholders of record at the close of business on January 21, 2015.</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18, 2014.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8"/>
          <w:szCs w:val="18"/>
          <w:color w:val="auto"/>
        </w:rPr>
        <w:t>December 18,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59"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FIRST QUARTER FISCAL 2015 RESULTS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Board of Directors Approve Quarterly Cash Dividend of $0.09 Per Share --</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FOREST CITY, IOWA, December 18, 2014 - Winnebago Industries, Inc. (NYSE:WGO), a leading United States recreation vehicle manufacturer, today reported financial results for the Company's first quarter of Fiscal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2015 Results</w:t>
      </w:r>
    </w:p>
    <w:p>
      <w:pPr>
        <w:spacing w:after="0" w:line="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Revenues for the Fiscal 2015 first quarter ended November 29, 2014 were $224.4 million, an increase of 0.8%, versus $222.7 million for the Fiscal 2014 first quarter. Operating income was $14.4 million for the Fiscal 2015 first quarter compared to $16.0 million last year. Net income in the Fiscal 2015 first quarter was $9.9 million, or $0.37 per diluted share, versus $11.1 million, or $0.40 per diluted share, last year.</w:t>
      </w:r>
    </w:p>
    <w:p>
      <w:pPr>
        <w:spacing w:after="0" w:line="16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Year over year, first quarter financial results were negatively impacted by labor constraints and supply chain disruptions, which impacted production and delayed the completion and shipment of motorized units. As a result of these operational events, the Company incurred significant production variances in the quarter compared to the same period a year ago, primarily in the form of higher labor-related expenses, including an increase in workers compensation expense, all of which negatively impacted variable costs and margins in the quarter.</w:t>
      </w:r>
    </w:p>
    <w:p>
      <w:pPr>
        <w:spacing w:after="0" w:line="20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Motorhome unit shipments grew 1.3% in the quarter, however revenue declined 0.7%, a result of lower motorhome average sales prices (ASP) of 2.2% due to product mix. Towables operating income improved $0.9 million and was positively impacted by towables revenue growth of 29.2%, comprised of a 15.8% improvement in ASP and a 12.8% increase in units.</w:t>
      </w:r>
    </w:p>
    <w:p>
      <w:pPr>
        <w:spacing w:after="0" w:line="20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Compared to the same period of last year, the Company’s motorhome retail registrations increased 19% in the first quarter of Fiscal 2015 and 30% on a rolling 12-month basis, based on internally reported retail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On December 17, 2014, the Company’s board of directors approved a quarterly cash dividend of $0.09 per share payable on February 4, 2015 to common stockholders of record at the close of business on January 21,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 Repurchase Update</w:t>
      </w:r>
    </w:p>
    <w:p>
      <w:pPr>
        <w:spacing w:after="0" w:line="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During the Fiscal 2015 first quarter, the Company repurchased approximately 272,000 shares of its common stock for approximately $6.0 million, at an average price of $21.86 per share. At November 29, 2014, the Company had authority to repurchase shares worth up to $7.6 million remaining under its stock repurchase program, which has no time restriction.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Comments</w:t>
      </w:r>
    </w:p>
    <w:p>
      <w:pPr>
        <w:spacing w:after="0" w:line="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Chairman, CEO and President Randy Potts commented, “We faced significant operational challenges in the first quarter because of variances attributed in large part to labor-related inefficiencies and supply chain disruptions, which impacted our ability to finish and ship all of the units we otherwise would have. We are disappointed with the effect these issues, along with the corresponding increased expenses, had on our first quarter profitability. We have made significant progress and will continue to work to resolve these issues throughout the second quarter. On a positive note, we are encouraged with the 12% increase sequentially in backlog from the fourth quarter of Fiscal 2014. Further, with double-digit growth in motorhome retail registrations, both year over year and on a rolling 12-month basis, consumer demand for our products remains very strong. We look forward to improving results as Fiscal 2015 progresses.”</w:t>
      </w:r>
    </w:p>
    <w:p>
      <w:pPr>
        <w:spacing w:after="0" w:line="17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Chief Financial Officer Sarah Nielsen added, “Operating cash flow in the first quarter was impacted by higher inventory levels, primarily the result of increased raw materials and work in process inventory and is reflective of both the strong demand for our products and the operational issues that we experienced during the quarter. As we resolve operational issues, we anticipate improvements in working capital related to this matter in the second quarter. However, at the same time, we also expect similar working capital needs as we prepare for the rental build season.”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to discuss first quarter Fiscal 2015 results at 9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 The event will be archived and available for replay for the next 90 days.</w:t>
      </w:r>
    </w:p>
    <w:p>
      <w:pPr>
        <w:sectPr>
          <w:pgSz w:w="11900" w:h="16838" w:orient="portrait"/>
          <w:cols w:equalWidth="0" w:num="1">
            <w:col w:w="11400"/>
          </w:cols>
          <w:pgMar w:left="240" w:top="799"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236"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w:t>
      </w:r>
    </w:p>
    <w:p>
      <w:pPr>
        <w:spacing w:after="0" w:line="18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40"/>
          </w:cols>
          <w:pgMar w:left="240" w:top="601"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8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r>
      <w:tr>
        <w:trPr>
          <w:trHeight w:val="264"/>
        </w:trPr>
        <w:tc>
          <w:tcPr>
            <w:tcW w:w="4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40" w:type="dxa"/>
            <w:vAlign w:val="bottom"/>
            <w:gridSpan w:val="4"/>
          </w:tcPr>
          <w:p>
            <w:pPr>
              <w:ind w:left="480"/>
              <w:spacing w:after="0"/>
              <w:rPr>
                <w:sz w:val="20"/>
                <w:szCs w:val="20"/>
                <w:color w:val="auto"/>
              </w:rPr>
            </w:pPr>
            <w:r>
              <w:rPr>
                <w:rFonts w:ascii="Arial" w:cs="Arial" w:eastAsia="Arial" w:hAnsi="Arial"/>
                <w:sz w:val="18"/>
                <w:szCs w:val="18"/>
                <w:b w:val="1"/>
                <w:bCs w:val="1"/>
                <w:color w:val="auto"/>
              </w:rPr>
              <w:t>November 29, 2014</w:t>
            </w:r>
          </w:p>
        </w:tc>
        <w:tc>
          <w:tcPr>
            <w:tcW w:w="500" w:type="dxa"/>
            <w:vAlign w:val="bottom"/>
          </w:tcPr>
          <w:p>
            <w:pPr>
              <w:spacing w:after="0"/>
              <w:rPr>
                <w:sz w:val="22"/>
                <w:szCs w:val="22"/>
                <w:color w:val="auto"/>
              </w:rPr>
            </w:pPr>
          </w:p>
        </w:tc>
        <w:tc>
          <w:tcPr>
            <w:tcW w:w="27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November 30, 2013</w:t>
            </w:r>
          </w:p>
        </w:tc>
      </w:tr>
      <w:tr>
        <w:trPr>
          <w:trHeight w:val="257"/>
        </w:trPr>
        <w:tc>
          <w:tcPr>
            <w:tcW w:w="4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224,403</w:t>
            </w:r>
          </w:p>
        </w:tc>
        <w:tc>
          <w:tcPr>
            <w:tcW w:w="340" w:type="dxa"/>
            <w:vAlign w:val="bottom"/>
            <w:tcBorders>
              <w:top w:val="single" w:sz="8" w:color="auto"/>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4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222,670</w:t>
            </w:r>
          </w:p>
        </w:tc>
        <w:tc>
          <w:tcPr>
            <w:tcW w:w="320" w:type="dxa"/>
            <w:vAlign w:val="bottom"/>
            <w:tcBorders>
              <w:top w:val="single" w:sz="8" w:color="auto"/>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200,017</w:t>
            </w:r>
          </w:p>
        </w:tc>
        <w:tc>
          <w:tcPr>
            <w:tcW w:w="34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89.1%</w:t>
            </w: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196,708</w:t>
            </w:r>
          </w:p>
        </w:tc>
        <w:tc>
          <w:tcPr>
            <w:tcW w:w="3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88.3%</w:t>
            </w:r>
          </w:p>
        </w:tc>
      </w:tr>
      <w:tr>
        <w:trPr>
          <w:trHeight w:val="257"/>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24,386</w:t>
            </w:r>
          </w:p>
        </w:tc>
        <w:tc>
          <w:tcPr>
            <w:tcW w:w="34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25,962</w:t>
            </w:r>
          </w:p>
        </w:tc>
        <w:tc>
          <w:tcPr>
            <w:tcW w:w="3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11.7%</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4,707</w:t>
            </w: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4,333</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r>
      <w:tr>
        <w:trPr>
          <w:trHeight w:val="264"/>
        </w:trPr>
        <w:tc>
          <w:tcPr>
            <w:tcW w:w="4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5,237</w:t>
            </w:r>
          </w:p>
        </w:tc>
        <w:tc>
          <w:tcPr>
            <w:tcW w:w="34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5,623</w:t>
            </w:r>
          </w:p>
        </w:tc>
        <w:tc>
          <w:tcPr>
            <w:tcW w:w="3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w:t>
            </w:r>
          </w:p>
        </w:tc>
      </w:tr>
      <w:tr>
        <w:trPr>
          <w:trHeight w:val="250"/>
        </w:trPr>
        <w:tc>
          <w:tcPr>
            <w:tcW w:w="4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9,944</w:t>
            </w:r>
          </w:p>
        </w:tc>
        <w:tc>
          <w:tcPr>
            <w:tcW w:w="34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9,956</w:t>
            </w:r>
          </w:p>
        </w:tc>
        <w:tc>
          <w:tcPr>
            <w:tcW w:w="3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r>
      <w:tr>
        <w:trPr>
          <w:trHeight w:val="250"/>
        </w:trPr>
        <w:tc>
          <w:tcPr>
            <w:tcW w:w="4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14,442</w:t>
            </w:r>
          </w:p>
        </w:tc>
        <w:tc>
          <w:tcPr>
            <w:tcW w:w="340" w:type="dxa"/>
            <w:vAlign w:val="bottom"/>
          </w:tcPr>
          <w:p>
            <w:pPr>
              <w:spacing w:after="0"/>
              <w:rPr>
                <w:sz w:val="21"/>
                <w:szCs w:val="21"/>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16,006</w:t>
            </w:r>
          </w:p>
        </w:tc>
        <w:tc>
          <w:tcPr>
            <w:tcW w:w="320" w:type="dxa"/>
            <w:vAlign w:val="bottom"/>
          </w:tcPr>
          <w:p>
            <w:pPr>
              <w:spacing w:after="0"/>
              <w:rPr>
                <w:sz w:val="21"/>
                <w:szCs w:val="21"/>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7.2%</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50"/>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14,449</w:t>
            </w:r>
          </w:p>
        </w:tc>
        <w:tc>
          <w:tcPr>
            <w:tcW w:w="340" w:type="dxa"/>
            <w:vAlign w:val="bottom"/>
          </w:tcPr>
          <w:p>
            <w:pPr>
              <w:spacing w:after="0"/>
              <w:rPr>
                <w:sz w:val="21"/>
                <w:szCs w:val="21"/>
                <w:color w:val="auto"/>
              </w:rPr>
            </w:pPr>
          </w:p>
        </w:tc>
        <w:tc>
          <w:tcPr>
            <w:tcW w:w="16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6.4%</w:t>
            </w:r>
          </w:p>
        </w:tc>
        <w:tc>
          <w:tcPr>
            <w:tcW w:w="4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16,097</w:t>
            </w:r>
          </w:p>
        </w:tc>
        <w:tc>
          <w:tcPr>
            <w:tcW w:w="320" w:type="dxa"/>
            <w:vAlign w:val="bottom"/>
          </w:tcPr>
          <w:p>
            <w:pPr>
              <w:spacing w:after="0"/>
              <w:rPr>
                <w:sz w:val="21"/>
                <w:szCs w:val="21"/>
                <w:color w:val="auto"/>
              </w:rPr>
            </w:pPr>
          </w:p>
        </w:tc>
        <w:tc>
          <w:tcPr>
            <w:tcW w:w="16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7.2%</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taxes</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4,554</w:t>
            </w:r>
          </w:p>
        </w:tc>
        <w:tc>
          <w:tcPr>
            <w:tcW w:w="34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4,951</w:t>
            </w:r>
          </w:p>
        </w:tc>
        <w:tc>
          <w:tcPr>
            <w:tcW w:w="32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9,895</w:t>
            </w:r>
          </w:p>
        </w:tc>
        <w:tc>
          <w:tcPr>
            <w:tcW w:w="34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4.4%</w:t>
            </w:r>
          </w:p>
        </w:tc>
        <w:tc>
          <w:tcPr>
            <w:tcW w:w="4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11,146</w:t>
            </w:r>
          </w:p>
        </w:tc>
        <w:tc>
          <w:tcPr>
            <w:tcW w:w="3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w:t>
            </w:r>
          </w:p>
        </w:tc>
      </w:tr>
      <w:tr>
        <w:trPr>
          <w:trHeight w:val="251"/>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common share:</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63"/>
        </w:trPr>
        <w:tc>
          <w:tcPr>
            <w:tcW w:w="446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26,969</w:t>
            </w: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27,851</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7"/>
        </w:trPr>
        <w:tc>
          <w:tcPr>
            <w:tcW w:w="44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27,078</w:t>
            </w: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27,971</w:t>
            </w: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Nov 29,</w:t>
            </w:r>
          </w:p>
        </w:tc>
        <w:tc>
          <w:tcPr>
            <w:tcW w:w="280" w:type="dxa"/>
            <w:vAlign w:val="bottom"/>
          </w:tcPr>
          <w:p>
            <w:pPr>
              <w:spacing w:after="0"/>
              <w:rPr>
                <w:sz w:val="17"/>
                <w:szCs w:val="17"/>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Aug 30,</w:t>
            </w:r>
          </w:p>
        </w:tc>
      </w:tr>
      <w:tr>
        <w:trPr>
          <w:trHeight w:val="246"/>
        </w:trPr>
        <w:tc>
          <w:tcPr>
            <w:tcW w:w="7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27,803</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57,804</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62,801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69,699</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150,753</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112,848</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Investment in operating leases</w:t>
            </w:r>
          </w:p>
        </w:tc>
        <w:tc>
          <w:tcPr>
            <w:tcW w:w="3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9,951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15,978</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6,525</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5,723</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9,796</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9,641</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267,629</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271,693</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26,295</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25,135</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life insurance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25,303</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25,126</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24,091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24,029</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10,021</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11,091</w:t>
            </w:r>
          </w:p>
        </w:tc>
      </w:tr>
      <w:tr>
        <w:trPr>
          <w:trHeight w:val="257"/>
        </w:trPr>
        <w:tc>
          <w:tcPr>
            <w:tcW w:w="7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354,567</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358,302</w:t>
            </w: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1"/>
        </w:trPr>
        <w:tc>
          <w:tcPr>
            <w:tcW w:w="7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40,298</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33,111</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Operating lease repurchase obligations</w:t>
            </w:r>
          </w:p>
        </w:tc>
        <w:tc>
          <w:tcPr>
            <w:tcW w:w="3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10,177</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16,050</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4,471</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2,927</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39,348</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47,631</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94,294</w:t>
            </w:r>
          </w:p>
        </w:tc>
        <w:tc>
          <w:tcPr>
            <w:tcW w:w="3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99,719</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2,905</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61,637</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62,811</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64,542</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65,835</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195,731</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192,748</w:t>
            </w:r>
          </w:p>
        </w:tc>
      </w:tr>
      <w:tr>
        <w:trPr>
          <w:trHeight w:val="257"/>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354,567</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358,302</w:t>
            </w: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p>
      <w:pPr>
        <w:ind w:left="9320"/>
        <w:spacing w:after="0"/>
        <w:rPr>
          <w:sz w:val="20"/>
          <w:szCs w:val="20"/>
          <w:color w:val="auto"/>
        </w:rPr>
      </w:pPr>
      <w:r>
        <w:rPr>
          <w:rFonts w:ascii="Arial" w:cs="Arial" w:eastAsia="Arial" w:hAnsi="Arial"/>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31750</wp:posOffset>
            </wp:positionV>
            <wp:extent cx="1989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38"/>
              <w:spacing w:after="0"/>
              <w:rPr>
                <w:sz w:val="20"/>
                <w:szCs w:val="20"/>
                <w:color w:val="auto"/>
              </w:rPr>
            </w:pPr>
            <w:r>
              <w:rPr>
                <w:rFonts w:ascii="Arial" w:cs="Arial" w:eastAsia="Arial" w:hAnsi="Arial"/>
                <w:sz w:val="18"/>
                <w:szCs w:val="18"/>
                <w:b w:val="1"/>
                <w:bCs w:val="1"/>
                <w:color w:val="auto"/>
              </w:rPr>
              <w:t>Nov 29,</w:t>
            </w:r>
          </w:p>
        </w:tc>
        <w:tc>
          <w:tcPr>
            <w:tcW w:w="360" w:type="dxa"/>
            <w:vAlign w:val="bottom"/>
          </w:tcPr>
          <w:p>
            <w:pPr>
              <w:spacing w:after="0"/>
              <w:rPr>
                <w:sz w:val="17"/>
                <w:szCs w:val="17"/>
                <w:color w:val="auto"/>
              </w:rPr>
            </w:pPr>
          </w:p>
        </w:tc>
        <w:tc>
          <w:tcPr>
            <w:tcW w:w="1280" w:type="dxa"/>
            <w:vAlign w:val="bottom"/>
          </w:tcPr>
          <w:p>
            <w:pPr>
              <w:jc w:val="right"/>
              <w:ind w:right="398"/>
              <w:spacing w:after="0"/>
              <w:rPr>
                <w:sz w:val="20"/>
                <w:szCs w:val="20"/>
                <w:color w:val="auto"/>
              </w:rPr>
            </w:pPr>
            <w:r>
              <w:rPr>
                <w:rFonts w:ascii="Arial" w:cs="Arial" w:eastAsia="Arial" w:hAnsi="Arial"/>
                <w:sz w:val="18"/>
                <w:szCs w:val="18"/>
                <w:b w:val="1"/>
                <w:bCs w:val="1"/>
                <w:color w:val="auto"/>
              </w:rPr>
              <w:t>Nov 30,</w:t>
            </w:r>
          </w:p>
        </w:tc>
      </w:tr>
      <w:tr>
        <w:trPr>
          <w:trHeight w:val="246"/>
        </w:trPr>
        <w:tc>
          <w:tcPr>
            <w:tcW w:w="8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2013</w:t>
            </w: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9,895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11,146</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1,061</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984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380</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431</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(139)</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901</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952</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366</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(286)</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loss on disposal of property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8</w:t>
            </w: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(38,285)</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(10,368)</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6,841</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(13,928)</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154</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Pr>
          <w:p>
            <w:pPr>
              <w:ind w:left="4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1,794</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4,584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(4,675)</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(970)</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by operating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(19,622)</w:t>
            </w: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(11,895)</w:t>
            </w:r>
          </w:p>
        </w:tc>
      </w:tr>
      <w:tr>
        <w:trPr>
          <w:trHeight w:val="162"/>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the sale of investments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2,350</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(1,693)</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1</w:t>
            </w:r>
          </w:p>
        </w:tc>
      </w:tr>
      <w:tr>
        <w:trPr>
          <w:trHeight w:val="246"/>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293</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153</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811</w:t>
            </w:r>
          </w:p>
        </w:tc>
      </w:tr>
      <w:tr>
        <w:trPr>
          <w:trHeight w:val="162"/>
        </w:trPr>
        <w:tc>
          <w:tcPr>
            <w:tcW w:w="8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(5,561)</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Payments of cash dividends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(2,442)</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2,080</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25</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(8,379)</w:t>
            </w: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(3,456)</w:t>
            </w:r>
          </w:p>
        </w:tc>
      </w:tr>
      <w:tr>
        <w:trPr>
          <w:trHeight w:val="162"/>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(30,001)</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(14,540)</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57,804</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64,277</w:t>
            </w:r>
          </w:p>
        </w:tc>
      </w:tr>
      <w:tr>
        <w:trPr>
          <w:trHeight w:val="24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27,803</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49,737</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6"/>
        </w:trPr>
        <w:tc>
          <w:tcPr>
            <w:tcW w:w="8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4"/>
        </w:trPr>
        <w:tc>
          <w:tcPr>
            <w:tcW w:w="8280" w:type="dxa"/>
            <w:vAlign w:val="bottom"/>
          </w:tcPr>
          <w:p>
            <w:pPr>
              <w:ind w:left="280"/>
              <w:spacing w:after="0"/>
              <w:rPr>
                <w:sz w:val="20"/>
                <w:szCs w:val="20"/>
                <w:color w:val="auto"/>
              </w:rPr>
            </w:pPr>
            <w:r>
              <w:rPr>
                <w:rFonts w:ascii="Arial" w:cs="Arial" w:eastAsia="Arial" w:hAnsi="Arial"/>
                <w:sz w:val="16"/>
                <w:szCs w:val="16"/>
                <w:color w:val="auto"/>
              </w:rPr>
              <w:t>Income taxes paid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3,207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320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Nov 29,</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Nov 30,</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100" w:type="dxa"/>
            <w:vAlign w:val="bottom"/>
          </w:tcPr>
          <w:p>
            <w:pPr>
              <w:spacing w:after="0"/>
              <w:rPr>
                <w:sz w:val="17"/>
                <w:szCs w:val="17"/>
                <w:color w:val="auto"/>
              </w:rPr>
            </w:pPr>
          </w:p>
        </w:tc>
        <w:tc>
          <w:tcPr>
            <w:tcW w:w="16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34"/>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66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615</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710</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35.4%</w:t>
            </w:r>
          </w:p>
        </w:tc>
        <w:tc>
          <w:tcPr>
            <w:tcW w:w="1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312</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(21.4)%</w:t>
            </w:r>
          </w:p>
        </w:tc>
      </w:tr>
      <w:tr>
        <w:trPr>
          <w:trHeight w:val="257"/>
        </w:trPr>
        <w:tc>
          <w:tcPr>
            <w:tcW w:w="3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927</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1,107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Class B</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188</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102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84.3 %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916</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796</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15.1 %</w:t>
            </w:r>
          </w:p>
        </w:tc>
      </w:tr>
      <w:tr>
        <w:trPr>
          <w:trHeight w:val="280"/>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2,031</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1.3 %</w:t>
            </w:r>
          </w:p>
        </w:tc>
      </w:tr>
      <w:tr>
        <w:trPr>
          <w:trHeight w:val="146"/>
        </w:trPr>
        <w:tc>
          <w:tcPr>
            <w:tcW w:w="3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461</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407</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13.3 %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77</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10.4 %</w:t>
            </w:r>
          </w:p>
        </w:tc>
      </w:tr>
      <w:tr>
        <w:trPr>
          <w:trHeight w:val="240"/>
        </w:trPr>
        <w:tc>
          <w:tcPr>
            <w:tcW w:w="320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546</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484</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12.8 %</w:t>
            </w:r>
          </w:p>
        </w:tc>
      </w:tr>
      <w:tr>
        <w:trPr>
          <w:trHeight w:val="20"/>
        </w:trPr>
        <w:tc>
          <w:tcPr>
            <w:tcW w:w="3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98"/>
              </w:rPr>
              <w:t>As Of</w:t>
            </w: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19"/>
                <w:szCs w:val="19"/>
                <w:color w:val="auto"/>
              </w:rPr>
            </w:pPr>
          </w:p>
        </w:tc>
      </w:tr>
      <w:tr>
        <w:trPr>
          <w:trHeight w:val="264"/>
        </w:trPr>
        <w:tc>
          <w:tcPr>
            <w:tcW w:w="3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November 29, 2014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80" w:type="dxa"/>
            <w:vAlign w:val="bottom"/>
            <w:gridSpan w:val="3"/>
          </w:tcPr>
          <w:p>
            <w:pPr>
              <w:ind w:left="280"/>
              <w:spacing w:after="0"/>
              <w:rPr>
                <w:sz w:val="20"/>
                <w:szCs w:val="20"/>
                <w:color w:val="auto"/>
              </w:rPr>
            </w:pPr>
            <w:r>
              <w:rPr>
                <w:rFonts w:ascii="Arial" w:cs="Arial" w:eastAsia="Arial" w:hAnsi="Arial"/>
                <w:sz w:val="16"/>
                <w:szCs w:val="16"/>
                <w:b w:val="1"/>
                <w:bCs w:val="1"/>
                <w:color w:val="auto"/>
              </w:rPr>
              <w:t>November 30, 2013</w:t>
            </w: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70"/>
        </w:trPr>
        <w:tc>
          <w:tcPr>
            <w:tcW w:w="3360" w:type="dxa"/>
            <w:vAlign w:val="bottom"/>
            <w:tcBorders>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000" w:type="dxa"/>
            <w:vAlign w:val="bottom"/>
            <w:tcBorders>
              <w:top w:val="single" w:sz="8" w:color="auto"/>
              <w:bottom w:val="single" w:sz="8" w:color="auto"/>
            </w:tcBorders>
          </w:tcPr>
          <w:p>
            <w:pPr>
              <w:jc w:val="right"/>
              <w:ind w:right="30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4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160" w:type="dxa"/>
            <w:vAlign w:val="bottom"/>
            <w:tcBorders>
              <w:top w:val="single" w:sz="8" w:color="auto"/>
              <w:bottom w:val="single" w:sz="8" w:color="auto"/>
            </w:tcBorders>
          </w:tcPr>
          <w:p>
            <w:pPr>
              <w:jc w:val="right"/>
              <w:ind w:right="46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Units</w:t>
            </w: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429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1,382</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(953)</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(69.0)%</w:t>
            </w:r>
          </w:p>
        </w:tc>
      </w:tr>
      <w:tr>
        <w:trPr>
          <w:trHeight w:val="264"/>
        </w:trPr>
        <w:tc>
          <w:tcPr>
            <w:tcW w:w="3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303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521</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(218)</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(41.8)%</w:t>
            </w:r>
          </w:p>
        </w:tc>
      </w:tr>
      <w:tr>
        <w:trPr>
          <w:trHeight w:val="257"/>
        </w:trPr>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732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1,903</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(1,171)</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(61.5)%</w:t>
            </w:r>
          </w:p>
        </w:tc>
      </w:tr>
      <w:tr>
        <w:trPr>
          <w:trHeight w:val="260"/>
        </w:trPr>
        <w:tc>
          <w:tcPr>
            <w:tcW w:w="3360" w:type="dxa"/>
            <w:vAlign w:val="bottom"/>
          </w:tcPr>
          <w:p>
            <w:pPr>
              <w:ind w:left="40"/>
              <w:spacing w:after="0"/>
              <w:rPr>
                <w:sz w:val="20"/>
                <w:szCs w:val="20"/>
                <w:color w:val="auto"/>
              </w:rPr>
            </w:pPr>
            <w:r>
              <w:rPr>
                <w:rFonts w:ascii="Arial" w:cs="Arial" w:eastAsia="Arial" w:hAnsi="Arial"/>
                <w:sz w:val="16"/>
                <w:szCs w:val="16"/>
                <w:color w:val="auto"/>
              </w:rPr>
              <w:t>Class B</w:t>
            </w:r>
          </w:p>
        </w:tc>
        <w:tc>
          <w:tcPr>
            <w:tcW w:w="260" w:type="dxa"/>
            <w:vAlign w:val="bottom"/>
          </w:tcPr>
          <w:p>
            <w:pPr>
              <w:spacing w:after="0"/>
              <w:rPr>
                <w:sz w:val="22"/>
                <w:szCs w:val="22"/>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340</w:t>
            </w:r>
          </w:p>
        </w:tc>
        <w:tc>
          <w:tcPr>
            <w:tcW w:w="1000" w:type="dxa"/>
            <w:vAlign w:val="bottom"/>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317</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23</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7.3 %</w:t>
            </w:r>
          </w:p>
        </w:tc>
      </w:tr>
      <w:tr>
        <w:trPr>
          <w:trHeight w:val="273"/>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1,050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1,314</w:t>
            </w: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(264)</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(20.1)%</w:t>
            </w:r>
          </w:p>
        </w:tc>
      </w:tr>
      <w:tr>
        <w:trPr>
          <w:trHeight w:val="283"/>
        </w:trPr>
        <w:tc>
          <w:tcPr>
            <w:tcW w:w="336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2,122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3,534</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(1,412)</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w:t>
            </w:r>
          </w:p>
        </w:tc>
      </w:tr>
      <w:tr>
        <w:trPr>
          <w:trHeight w:val="170"/>
        </w:trPr>
        <w:tc>
          <w:tcPr>
            <w:tcW w:w="3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0"/>
        </w:trPr>
        <w:tc>
          <w:tcPr>
            <w:tcW w:w="33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tcPr>
          <w:p>
            <w:pPr>
              <w:spacing w:after="0"/>
              <w:rPr>
                <w:sz w:val="22"/>
                <w:szCs w:val="22"/>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94</w:t>
            </w:r>
          </w:p>
        </w:tc>
        <w:tc>
          <w:tcPr>
            <w:tcW w:w="1000" w:type="dxa"/>
            <w:vAlign w:val="bottom"/>
          </w:tcPr>
          <w:p>
            <w:pPr>
              <w:jc w:val="right"/>
              <w:spacing w:after="0"/>
              <w:rPr>
                <w:sz w:val="20"/>
                <w:szCs w:val="20"/>
                <w:color w:val="auto"/>
              </w:rPr>
            </w:pPr>
            <w:r>
              <w:rPr>
                <w:rFonts w:ascii="Arial" w:cs="Arial" w:eastAsia="Arial" w:hAnsi="Arial"/>
                <w:sz w:val="16"/>
                <w:szCs w:val="16"/>
                <w:color w:val="auto"/>
              </w:rPr>
              <w:t>61.0%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117</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(23)</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(19.7)%</w:t>
            </w:r>
          </w:p>
        </w:tc>
      </w:tr>
      <w:tr>
        <w:trPr>
          <w:trHeight w:val="273"/>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34</w:t>
            </w: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26</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76.5 %</w:t>
            </w:r>
          </w:p>
        </w:tc>
      </w:tr>
      <w:tr>
        <w:trPr>
          <w:trHeight w:val="283"/>
        </w:trPr>
        <w:tc>
          <w:tcPr>
            <w:tcW w:w="3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154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151</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2.0 %</w:t>
            </w:r>
          </w:p>
        </w:tc>
      </w:tr>
      <w:tr>
        <w:trPr>
          <w:trHeight w:val="143"/>
        </w:trPr>
        <w:tc>
          <w:tcPr>
            <w:tcW w:w="3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60"/>
        </w:trPr>
        <w:tc>
          <w:tcPr>
            <w:tcW w:w="476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201,373</w:t>
            </w:r>
          </w:p>
        </w:tc>
        <w:tc>
          <w:tcPr>
            <w:tcW w:w="100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340,703</w:t>
            </w: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(139,330)</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w:t>
            </w:r>
          </w:p>
        </w:tc>
      </w:tr>
      <w:tr>
        <w:trPr>
          <w:trHeight w:val="251"/>
        </w:trPr>
        <w:tc>
          <w:tcPr>
            <w:tcW w:w="3360" w:type="dxa"/>
            <w:vAlign w:val="bottom"/>
          </w:tcPr>
          <w:p>
            <w:pPr>
              <w:ind w:left="40"/>
              <w:spacing w:after="0"/>
              <w:rPr>
                <w:sz w:val="20"/>
                <w:szCs w:val="20"/>
                <w:color w:val="auto"/>
              </w:rPr>
            </w:pPr>
            <w:r>
              <w:rPr>
                <w:rFonts w:ascii="Arial" w:cs="Arial" w:eastAsia="Arial" w:hAnsi="Arial"/>
                <w:sz w:val="16"/>
                <w:szCs w:val="16"/>
                <w:color w:val="auto"/>
              </w:rPr>
              <w:t>Towable</w:t>
            </w:r>
          </w:p>
        </w:tc>
        <w:tc>
          <w:tcPr>
            <w:tcW w:w="260" w:type="dxa"/>
            <w:vAlign w:val="bottom"/>
          </w:tcPr>
          <w:p>
            <w:pPr>
              <w:spacing w:after="0"/>
              <w:rPr>
                <w:sz w:val="21"/>
                <w:szCs w:val="21"/>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4,837</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3,401</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1,436</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42.2 %</w:t>
            </w:r>
          </w:p>
        </w:tc>
      </w:tr>
    </w:tbl>
    <w:p>
      <w:pPr>
        <w:ind w:left="340" w:hanging="332"/>
        <w:spacing w:after="0" w:line="216"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07"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Units As Of</w:t>
            </w:r>
          </w:p>
        </w:tc>
        <w:tc>
          <w:tcPr>
            <w:tcW w:w="1140" w:type="dxa"/>
            <w:vAlign w:val="bottom"/>
            <w:tcBorders>
              <w:bottom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2000" w:type="dxa"/>
            <w:vAlign w:val="bottom"/>
          </w:tcPr>
          <w:p>
            <w:pPr>
              <w:jc w:val="right"/>
              <w:ind w:right="859"/>
              <w:spacing w:after="0"/>
              <w:rPr>
                <w:sz w:val="20"/>
                <w:szCs w:val="20"/>
                <w:color w:val="auto"/>
              </w:rPr>
            </w:pPr>
            <w:r>
              <w:rPr>
                <w:rFonts w:ascii="Arial" w:cs="Arial" w:eastAsia="Arial" w:hAnsi="Arial"/>
                <w:sz w:val="16"/>
                <w:szCs w:val="16"/>
                <w:b w:val="1"/>
                <w:bCs w:val="1"/>
                <w:color w:val="auto"/>
              </w:rPr>
              <w:t>Nov 29,</w:t>
            </w: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Nov 30,</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59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2014</w:t>
            </w: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20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4,192</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3,135</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1,057</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33.7%</w:t>
            </w:r>
          </w:p>
        </w:tc>
      </w:tr>
      <w:tr>
        <w:trPr>
          <w:trHeight w:val="251"/>
        </w:trPr>
        <w:tc>
          <w:tcPr>
            <w:tcW w:w="5940" w:type="dxa"/>
            <w:vAlign w:val="bottom"/>
          </w:tcPr>
          <w:p>
            <w:pPr>
              <w:ind w:left="40"/>
              <w:spacing w:after="0"/>
              <w:rPr>
                <w:sz w:val="20"/>
                <w:szCs w:val="20"/>
                <w:color w:val="auto"/>
              </w:rPr>
            </w:pPr>
            <w:r>
              <w:rPr>
                <w:rFonts w:ascii="Arial" w:cs="Arial" w:eastAsia="Arial" w:hAnsi="Arial"/>
                <w:sz w:val="16"/>
                <w:szCs w:val="16"/>
                <w:color w:val="auto"/>
              </w:rPr>
              <w:t>Towables</w:t>
            </w:r>
          </w:p>
        </w:tc>
        <w:tc>
          <w:tcPr>
            <w:tcW w:w="2000" w:type="dxa"/>
            <w:vAlign w:val="bottom"/>
          </w:tcPr>
          <w:p>
            <w:pPr>
              <w:jc w:val="right"/>
              <w:ind w:right="579"/>
              <w:spacing w:after="0"/>
              <w:rPr>
                <w:sz w:val="20"/>
                <w:szCs w:val="20"/>
                <w:color w:val="auto"/>
              </w:rPr>
            </w:pPr>
            <w:r>
              <w:rPr>
                <w:rFonts w:ascii="Arial" w:cs="Arial" w:eastAsia="Arial" w:hAnsi="Arial"/>
                <w:sz w:val="16"/>
                <w:szCs w:val="16"/>
                <w:color w:val="auto"/>
              </w:rPr>
              <w:t>1,682</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1,591</w:t>
            </w: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91</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5.7%</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2019-12-05T15:42:15Z</dcterms:created>
  <dcterms:modified xsi:type="dcterms:W3CDTF">2019-12-05T15:42:15Z</dcterms:modified>
</cp:coreProperties>
</file>