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10/14/2014</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88"/>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8"/>
                <w:szCs w:val="18"/>
                <w:color w:val="0000FF"/>
                <w:w w:val="88"/>
              </w:rPr>
              <w:t>10/14/2014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39"/>
              <w:spacing w:after="0"/>
              <w:rPr>
                <w:sz w:val="20"/>
                <w:szCs w:val="20"/>
                <w:color w:val="auto"/>
              </w:rPr>
            </w:pPr>
            <w:r>
              <w:rPr>
                <w:rFonts w:ascii="Arial" w:cs="Arial" w:eastAsia="Arial" w:hAnsi="Arial"/>
                <w:sz w:val="18"/>
                <w:szCs w:val="18"/>
                <w:color w:val="0000FF"/>
                <w:w w:val="82"/>
              </w:rPr>
              <w:t>11,855</w:t>
            </w:r>
            <w:r>
              <w:rPr>
                <w:rFonts w:ascii="Arial" w:cs="Arial" w:eastAsia="Arial" w:hAnsi="Arial"/>
                <w:sz w:val="22"/>
                <w:szCs w:val="22"/>
                <w:color w:val="008000"/>
                <w:w w:val="82"/>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76,799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10/14/2014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27"/>
              <w:spacing w:after="0"/>
              <w:rPr>
                <w:sz w:val="20"/>
                <w:szCs w:val="20"/>
                <w:color w:val="auto"/>
              </w:rPr>
            </w:pPr>
            <w:r>
              <w:rPr>
                <w:rFonts w:ascii="Arial" w:cs="Arial" w:eastAsia="Arial" w:hAnsi="Arial"/>
                <w:sz w:val="18"/>
                <w:szCs w:val="18"/>
                <w:color w:val="0000FF"/>
                <w:w w:val="88"/>
              </w:rPr>
              <w:t>6,041</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70,758</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jc w:val="center"/>
              <w:ind w:left="488"/>
              <w:spacing w:after="0"/>
              <w:rPr>
                <w:sz w:val="20"/>
                <w:szCs w:val="20"/>
                <w:color w:val="auto"/>
              </w:rPr>
            </w:pPr>
            <w:r>
              <w:rPr>
                <w:rFonts w:ascii="Arial" w:cs="Arial" w:eastAsia="Arial" w:hAnsi="Arial"/>
                <w:sz w:val="18"/>
                <w:szCs w:val="18"/>
                <w:color w:val="0000FF"/>
                <w:w w:val="88"/>
              </w:rPr>
              <w:t>10/14/2014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jc w:val="center"/>
              <w:ind w:left="127"/>
              <w:spacing w:after="0"/>
              <w:rPr>
                <w:sz w:val="20"/>
                <w:szCs w:val="20"/>
                <w:color w:val="auto"/>
              </w:rPr>
            </w:pPr>
            <w:r>
              <w:rPr>
                <w:rFonts w:ascii="Arial" w:cs="Arial" w:eastAsia="Arial" w:hAnsi="Arial"/>
                <w:sz w:val="18"/>
                <w:szCs w:val="18"/>
                <w:color w:val="0000FF"/>
                <w:w w:val="82"/>
              </w:rPr>
              <w:t>6,391</w:t>
            </w:r>
            <w:r>
              <w:rPr>
                <w:rFonts w:ascii="Arial" w:cs="Arial" w:eastAsia="Arial" w:hAnsi="Arial"/>
                <w:sz w:val="22"/>
                <w:szCs w:val="22"/>
                <w:color w:val="008000"/>
                <w:w w:val="82"/>
                <w:vertAlign w:val="superscript"/>
              </w:rPr>
              <w:t>(2)</w:t>
            </w:r>
          </w:p>
        </w:tc>
        <w:tc>
          <w:tcPr>
            <w:tcW w:w="3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77,149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jc w:val="center"/>
              <w:ind w:left="488"/>
              <w:spacing w:after="0"/>
              <w:rPr>
                <w:sz w:val="20"/>
                <w:szCs w:val="20"/>
                <w:color w:val="auto"/>
              </w:rPr>
            </w:pPr>
            <w:r>
              <w:rPr>
                <w:rFonts w:ascii="Arial" w:cs="Arial" w:eastAsia="Arial" w:hAnsi="Arial"/>
                <w:sz w:val="18"/>
                <w:szCs w:val="18"/>
                <w:color w:val="0000FF"/>
                <w:w w:val="88"/>
              </w:rPr>
              <w:t>10/14/2014</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60" w:type="dxa"/>
            <w:vAlign w:val="bottom"/>
          </w:tcPr>
          <w:p>
            <w:pPr>
              <w:jc w:val="center"/>
              <w:ind w:left="127"/>
              <w:spacing w:after="0"/>
              <w:rPr>
                <w:sz w:val="20"/>
                <w:szCs w:val="20"/>
                <w:color w:val="auto"/>
              </w:rPr>
            </w:pPr>
            <w:r>
              <w:rPr>
                <w:rFonts w:ascii="Arial" w:cs="Arial" w:eastAsia="Arial" w:hAnsi="Arial"/>
                <w:sz w:val="18"/>
                <w:szCs w:val="18"/>
                <w:color w:val="0000FF"/>
                <w:w w:val="88"/>
              </w:rPr>
              <w:t>3,257</w:t>
            </w:r>
          </w:p>
        </w:tc>
        <w:tc>
          <w:tcPr>
            <w:tcW w:w="30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21.36</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73,892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Incentive Compensation Plan for Fiscal Year 2014.</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and Incentive Compensation Plan which provides for stock grants to Executive Officers under the Officers' Long-Term Incentive Plan for Fiscal Three-Year Period 2012, 2013 and 2014.</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2019-12-16T07:29:42Z</dcterms:created>
  <dcterms:modified xsi:type="dcterms:W3CDTF">2019-12-16T07:29:42Z</dcterms:modified>
</cp:coreProperties>
</file>