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20.48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disability, or a "change in the effective control of the Company" as defined in the Plan pursuant to an election made by reporting person on 3/31/2015.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2019-12-05T18:15:38Z</dcterms:created>
  <dcterms:modified xsi:type="dcterms:W3CDTF">2019-12-05T18:15:38Z</dcterms:modified>
</cp:coreProperties>
</file>