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32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16, 2005</w:t>
      </w:r>
    </w:p>
    <w:p>
      <w:pPr>
        <w:spacing w:after="0" w:line="2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WINNEBAGO INDUSTRIES, INC.</w:t>
      </w:r>
    </w:p>
    <w:p>
      <w:pPr>
        <w:spacing w:after="0" w:line="309" w:lineRule="exact"/>
        <w:rPr>
          <w:sz w:val="24"/>
          <w:szCs w:val="24"/>
          <w:color w:val="auto"/>
        </w:rPr>
      </w:pPr>
    </w:p>
    <w:tbl>
      <w:tblPr>
        <w:tblLayout w:type="fixed"/>
        <w:tblInd w:w="184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1720" w:type="dxa"/>
            <w:vAlign w:val="bottom"/>
          </w:tcPr>
          <w:p>
            <w:pPr>
              <w:spacing w:after="0"/>
              <w:rPr>
                <w:sz w:val="19"/>
                <w:szCs w:val="19"/>
                <w:color w:val="auto"/>
              </w:rPr>
            </w:pPr>
          </w:p>
        </w:tc>
      </w:tr>
      <w:tr>
        <w:trPr>
          <w:trHeight w:val="420"/>
        </w:trPr>
        <w:tc>
          <w:tcPr>
            <w:tcW w:w="20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4"/>
              </w:rPr>
              <w:t>Iowa</w:t>
            </w:r>
          </w:p>
        </w:tc>
        <w:tc>
          <w:tcPr>
            <w:tcW w:w="37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001-06403</w:t>
            </w:r>
          </w:p>
        </w:tc>
        <w:tc>
          <w:tcPr>
            <w:tcW w:w="17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42-0802678</w:t>
            </w:r>
          </w:p>
        </w:tc>
      </w:tr>
      <w:tr>
        <w:trPr>
          <w:trHeight w:val="216"/>
        </w:trPr>
        <w:tc>
          <w:tcPr>
            <w:tcW w:w="2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37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Commission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16"/>
        </w:trPr>
        <w:tc>
          <w:tcPr>
            <w:tcW w:w="20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of Incorporation or</w:t>
            </w:r>
          </w:p>
        </w:tc>
        <w:tc>
          <w:tcPr>
            <w:tcW w:w="37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File Number</w:t>
            </w:r>
          </w:p>
        </w:tc>
        <w:tc>
          <w:tcPr>
            <w:tcW w:w="1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228"/>
        </w:trPr>
        <w:tc>
          <w:tcPr>
            <w:tcW w:w="20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Organization)</w:t>
            </w:r>
          </w:p>
        </w:tc>
        <w:tc>
          <w:tcPr>
            <w:tcW w:w="370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152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Forest City, IA 50436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(641) 585-3535</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3" w:lineRule="exact"/>
        <w:rPr>
          <w:sz w:val="24"/>
          <w:szCs w:val="24"/>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4"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Written communications pursuant to Rule 425 under the Securities Act</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Soliciting material pursuant to Rule 14a-12 under the Exchange Act</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Pre-commencement communications pursuant to Rule 14d-2(b) under the Exchange Act</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4.02</w:t>
      </w:r>
      <w:r>
        <w:rPr>
          <w:sz w:val="20"/>
          <w:szCs w:val="20"/>
          <w:color w:val="auto"/>
        </w:rPr>
        <w:tab/>
      </w:r>
      <w:r>
        <w:rPr>
          <w:rFonts w:ascii="Times New Roman" w:cs="Times New Roman" w:eastAsia="Times New Roman" w:hAnsi="Times New Roman"/>
          <w:sz w:val="16"/>
          <w:szCs w:val="16"/>
          <w:b w:val="1"/>
          <w:bCs w:val="1"/>
          <w:color w:val="auto"/>
        </w:rPr>
        <w:t>Non-Reliance on Previously Issued Financial Statements or a Related Audit Report or Completed Interim Review</w:t>
      </w:r>
    </w:p>
    <w:p>
      <w:pPr>
        <w:spacing w:after="0" w:line="254" w:lineRule="exact"/>
        <w:rPr>
          <w:sz w:val="24"/>
          <w:szCs w:val="24"/>
          <w:color w:val="auto"/>
        </w:rPr>
      </w:pPr>
    </w:p>
    <w:p>
      <w:pPr>
        <w:ind w:left="1160" w:right="80"/>
        <w:spacing w:after="0" w:line="254" w:lineRule="auto"/>
        <w:rPr>
          <w:sz w:val="20"/>
          <w:szCs w:val="20"/>
          <w:color w:val="auto"/>
        </w:rPr>
      </w:pPr>
      <w:r>
        <w:rPr>
          <w:rFonts w:ascii="Times New Roman" w:cs="Times New Roman" w:eastAsia="Times New Roman" w:hAnsi="Times New Roman"/>
          <w:sz w:val="18"/>
          <w:szCs w:val="18"/>
          <w:color w:val="auto"/>
        </w:rPr>
        <w:t>On May 16, 2005, management and the Audit Committee of the Board of Directors of Winnebago Industries, Inc. (the “Company”) concluded that a restatement of the consolidated financial statements included in the Company's Form 10-Q for the quarter ended February 26, 2005 is necessary. Subsequent to the Company’s filing the Quarterly Report on Form 10-Q for the quarter ended February 26, 2005, during an internal review of the Company’s annual physical inventory, an error in a formula of an electronic spreadsheet was found which resulted in an overstatement of inventory and an understatement of cost of sales of $2,793,000. The restatement, net of income tax effect, will result in a reduction of net income during the 13 and 26 weeks ended February 26, 2005, of $1,795,000 or $.05 per diluted share. The restatement does not impact either the Company’s cash position at February 26, 2005 or its revenues for the periods affected.</w:t>
      </w:r>
    </w:p>
    <w:p>
      <w:pPr>
        <w:spacing w:after="0" w:line="222" w:lineRule="exact"/>
        <w:rPr>
          <w:sz w:val="24"/>
          <w:szCs w:val="24"/>
          <w:color w:val="auto"/>
        </w:rPr>
      </w:pPr>
    </w:p>
    <w:p>
      <w:pPr>
        <w:ind w:left="1160" w:right="660"/>
        <w:spacing w:after="0" w:line="275" w:lineRule="auto"/>
        <w:rPr>
          <w:sz w:val="20"/>
          <w:szCs w:val="20"/>
          <w:color w:val="auto"/>
        </w:rPr>
      </w:pPr>
      <w:r>
        <w:rPr>
          <w:rFonts w:ascii="Times New Roman" w:cs="Times New Roman" w:eastAsia="Times New Roman" w:hAnsi="Times New Roman"/>
          <w:sz w:val="18"/>
          <w:szCs w:val="18"/>
          <w:color w:val="auto"/>
        </w:rPr>
        <w:t>As a result of the Company’s determination to restate its financial statements as discussed above, the financial statements included in its previously filed Quarterly Report on Form 10-Q for the period ended February 26, 2005 should no longer be relied upon.</w:t>
      </w:r>
    </w:p>
    <w:p>
      <w:pPr>
        <w:spacing w:after="0" w:line="201" w:lineRule="exact"/>
        <w:rPr>
          <w:sz w:val="24"/>
          <w:szCs w:val="24"/>
          <w:color w:val="auto"/>
        </w:rPr>
      </w:pPr>
    </w:p>
    <w:p>
      <w:pPr>
        <w:ind w:left="1160"/>
        <w:spacing w:after="0" w:line="275" w:lineRule="auto"/>
        <w:rPr>
          <w:sz w:val="20"/>
          <w:szCs w:val="20"/>
          <w:color w:val="auto"/>
        </w:rPr>
      </w:pPr>
      <w:r>
        <w:rPr>
          <w:rFonts w:ascii="Times New Roman" w:cs="Times New Roman" w:eastAsia="Times New Roman" w:hAnsi="Times New Roman"/>
          <w:sz w:val="18"/>
          <w:szCs w:val="18"/>
          <w:color w:val="auto"/>
        </w:rPr>
        <w:t>On May 17, 2005, the Company issued a press release disclosing the above revisions. The release is attached hereto as Exhibit 99.1 and is hereby incorporated herein by this reference.</w:t>
      </w:r>
    </w:p>
    <w:p>
      <w:pPr>
        <w:spacing w:after="0" w:line="201" w:lineRule="exact"/>
        <w:rPr>
          <w:sz w:val="24"/>
          <w:szCs w:val="24"/>
          <w:color w:val="auto"/>
        </w:rPr>
      </w:pPr>
    </w:p>
    <w:p>
      <w:pPr>
        <w:ind w:left="1160" w:right="700"/>
        <w:spacing w:after="0" w:line="275" w:lineRule="auto"/>
        <w:rPr>
          <w:sz w:val="20"/>
          <w:szCs w:val="20"/>
          <w:color w:val="auto"/>
        </w:rPr>
      </w:pPr>
      <w:r>
        <w:rPr>
          <w:rFonts w:ascii="Times New Roman" w:cs="Times New Roman" w:eastAsia="Times New Roman" w:hAnsi="Times New Roman"/>
          <w:sz w:val="18"/>
          <w:szCs w:val="18"/>
          <w:color w:val="auto"/>
        </w:rPr>
        <w:t>The Company intends to file a Form 10-Q/A for the quarter ended February 26, 2005 which will include restated consolidated financial statements as soon as practicable.</w:t>
      </w:r>
    </w:p>
    <w:p>
      <w:pPr>
        <w:spacing w:after="0" w:line="201" w:lineRule="exact"/>
        <w:rPr>
          <w:sz w:val="24"/>
          <w:szCs w:val="24"/>
          <w:color w:val="auto"/>
        </w:rPr>
      </w:pPr>
    </w:p>
    <w:p>
      <w:pPr>
        <w:ind w:left="1160" w:right="140"/>
        <w:spacing w:after="0" w:line="275" w:lineRule="auto"/>
        <w:rPr>
          <w:sz w:val="20"/>
          <w:szCs w:val="20"/>
          <w:color w:val="auto"/>
        </w:rPr>
      </w:pPr>
      <w:r>
        <w:rPr>
          <w:rFonts w:ascii="Times New Roman" w:cs="Times New Roman" w:eastAsia="Times New Roman" w:hAnsi="Times New Roman"/>
          <w:sz w:val="18"/>
          <w:szCs w:val="18"/>
          <w:color w:val="auto"/>
        </w:rPr>
        <w:t>The Company’s management and the Audit Committee have discussed the matters disclosed in this Form 8-K with the Company’s independent registered accounting firm, Deloitte &amp; Touche LLP.</w:t>
      </w:r>
    </w:p>
    <w:p>
      <w:pPr>
        <w:spacing w:after="0" w:line="199"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ectPr>
          <w:pgSz w:w="11900" w:h="16838" w:orient="portrait"/>
          <w:cols w:equalWidth="0" w:num="1">
            <w:col w:w="11360"/>
          </w:cols>
          <w:pgMar w:left="240" w:top="985" w:right="299" w:bottom="0" w:gutter="0" w:footer="0" w:header="0"/>
        </w:sectPr>
      </w:pPr>
    </w:p>
    <w:bookmarkStart w:id="1" w:name="page2"/>
    <w:bookmarkEnd w:id="1"/>
    <w:p>
      <w:pPr>
        <w:ind w:left="1380"/>
        <w:spacing w:after="0"/>
        <w:tabs>
          <w:tab w:leader="none" w:pos="2300" w:val="left"/>
        </w:tabs>
        <w:rPr>
          <w:sz w:val="20"/>
          <w:szCs w:val="20"/>
          <w:color w:val="auto"/>
        </w:rPr>
      </w:pPr>
      <w:r>
        <w:rPr>
          <w:rFonts w:ascii="Times New Roman" w:cs="Times New Roman" w:eastAsia="Times New Roman" w:hAnsi="Times New Roman"/>
          <w:sz w:val="18"/>
          <w:szCs w:val="18"/>
          <w:u w:val="single" w:color="auto"/>
          <w:color w:val="auto"/>
        </w:rPr>
        <w:t>Item No.</w:t>
      </w:r>
      <w:r>
        <w:rPr>
          <w:sz w:val="20"/>
          <w:szCs w:val="20"/>
          <w:color w:val="auto"/>
        </w:rPr>
        <w:tab/>
      </w:r>
      <w:r>
        <w:rPr>
          <w:rFonts w:ascii="Times New Roman" w:cs="Times New Roman" w:eastAsia="Times New Roman" w:hAnsi="Times New Roman"/>
          <w:sz w:val="16"/>
          <w:szCs w:val="16"/>
          <w:u w:val="single" w:color="auto"/>
          <w:color w:val="auto"/>
        </w:rPr>
        <w:t>Exhibit Index</w:t>
      </w:r>
    </w:p>
    <w:p>
      <w:pPr>
        <w:spacing w:after="0" w:line="252" w:lineRule="exact"/>
        <w:rPr>
          <w:sz w:val="20"/>
          <w:szCs w:val="20"/>
          <w:color w:val="auto"/>
        </w:rPr>
      </w:pPr>
    </w:p>
    <w:p>
      <w:pPr>
        <w:ind w:left="1500"/>
        <w:spacing w:after="0"/>
        <w:tabs>
          <w:tab w:leader="none" w:pos="23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issued May 17,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1762125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40" w:lineRule="exact"/>
        <w:rPr>
          <w:sz w:val="20"/>
          <w:szCs w:val="20"/>
          <w:color w:val="auto"/>
        </w:rPr>
      </w:pPr>
    </w:p>
    <w:p>
      <w:pPr>
        <w:spacing w:after="0"/>
        <w:tabs>
          <w:tab w:leader="none" w:pos="84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17, 2005</w:t>
      </w:r>
      <w:r>
        <w:rPr>
          <w:sz w:val="20"/>
          <w:szCs w:val="20"/>
          <w:color w:val="auto"/>
        </w:rPr>
        <w:tab/>
      </w:r>
      <w:r>
        <w:rPr>
          <w:rFonts w:ascii="Times New Roman" w:cs="Times New Roman" w:eastAsia="Times New Roman" w:hAnsi="Times New Roman"/>
          <w:sz w:val="18"/>
          <w:szCs w:val="18"/>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960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83820</wp:posOffset>
            </wp:positionV>
            <wp:extent cx="2152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2543175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4"/>
          <w:szCs w:val="24"/>
          <w:b w:val="1"/>
          <w:bCs w:val="1"/>
          <w:color w:val="auto"/>
        </w:rPr>
        <w:t>Exhibit Index</w:t>
      </w:r>
    </w:p>
    <w:p>
      <w:pPr>
        <w:spacing w:after="0" w:line="3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issued May 17, 2005.</w:t>
      </w:r>
    </w:p>
    <w:p>
      <w:pPr>
        <w:sectPr>
          <w:pgSz w:w="11900" w:h="16838" w:orient="portrait"/>
          <w:cols w:equalWidth="0" w:num="1">
            <w:col w:w="11000"/>
          </w:cols>
          <w:pgMar w:left="240" w:top="125" w:right="659" w:bottom="1440" w:gutter="0" w:footer="0" w:header="0"/>
        </w:sectPr>
      </w:pPr>
    </w:p>
    <w:bookmarkStart w:id="2" w:name="page3"/>
    <w:bookmarkEnd w:id="2"/>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Davis</w:t>
            </w:r>
          </w:p>
        </w:tc>
      </w:tr>
      <w:tr>
        <w:trPr>
          <w:trHeight w:val="216"/>
        </w:trPr>
        <w:tc>
          <w:tcPr>
            <w:tcW w:w="11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Public Relations/Investor Relations Manager</w:t>
            </w:r>
          </w:p>
        </w:tc>
      </w:tr>
      <w:tr>
        <w:trPr>
          <w:trHeight w:val="190"/>
        </w:trPr>
        <w:tc>
          <w:tcPr>
            <w:tcW w:w="1180" w:type="dxa"/>
            <w:vAlign w:val="bottom"/>
          </w:tcPr>
          <w:p>
            <w:pPr>
              <w:spacing w:after="0"/>
              <w:rPr>
                <w:sz w:val="16"/>
                <w:szCs w:val="16"/>
                <w:color w:val="auto"/>
              </w:rPr>
            </w:pPr>
          </w:p>
        </w:tc>
        <w:tc>
          <w:tcPr>
            <w:tcW w:w="31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sdavis@winnebagoind.com</w:t>
            </w:r>
          </w:p>
        </w:tc>
      </w:tr>
      <w:tr>
        <w:trPr>
          <w:trHeight w:val="235"/>
        </w:trPr>
        <w:tc>
          <w:tcPr>
            <w:tcW w:w="118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641/585-6803</w:t>
            </w:r>
          </w:p>
        </w:tc>
        <w:tc>
          <w:tcPr>
            <w:tcW w:w="1220" w:type="dxa"/>
            <w:vAlign w:val="bottom"/>
          </w:tcPr>
          <w:p>
            <w:pPr>
              <w:spacing w:after="0"/>
              <w:rPr>
                <w:sz w:val="20"/>
                <w:szCs w:val="20"/>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4"/>
          <w:szCs w:val="24"/>
          <w:b w:val="1"/>
          <w:bCs w:val="1"/>
          <w:color w:val="auto"/>
        </w:rPr>
        <w:t>WINNEBAGO INDUSTRIES TO RESTATE SECOND QUARTER AND YEAR-TO-DATE FISCAL 2005 RESULTS</w:t>
      </w:r>
    </w:p>
    <w:p>
      <w:pPr>
        <w:spacing w:after="0" w:line="209"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color w:val="auto"/>
        </w:rPr>
        <w:t>FOREST CITY, IOWA, May 17, 2005 — Winnebago Industries, Inc. (NYSE: WGO) today announced that it will restate its second quarter and year-to-date results for the periods ended February 26, 2005.</w:t>
      </w:r>
    </w:p>
    <w:p>
      <w:pPr>
        <w:spacing w:after="0" w:line="1" w:lineRule="exact"/>
        <w:rPr>
          <w:sz w:val="20"/>
          <w:szCs w:val="20"/>
          <w:color w:val="auto"/>
        </w:rPr>
      </w:pPr>
    </w:p>
    <w:p>
      <w:pPr>
        <w:jc w:val="both"/>
        <w:ind w:firstLine="351"/>
        <w:spacing w:after="0" w:line="250" w:lineRule="auto"/>
        <w:rPr>
          <w:sz w:val="20"/>
          <w:szCs w:val="20"/>
          <w:color w:val="auto"/>
        </w:rPr>
      </w:pPr>
      <w:r>
        <w:rPr>
          <w:rFonts w:ascii="Times New Roman" w:cs="Times New Roman" w:eastAsia="Times New Roman" w:hAnsi="Times New Roman"/>
          <w:sz w:val="18"/>
          <w:szCs w:val="18"/>
          <w:color w:val="auto"/>
        </w:rPr>
        <w:t>During an internal review of the Company’s annual physical inventory, an error was found in a formula of an electronic spreadsheet. The error resulted in an overstatement of inventory and an understatement of cost of sales of $2,793,000. The restatement, net of income tax effect, will result in a reduction of net income during the 13 and 26 weeks ended February 26, 2005 of $1,795,000 or $.05 per diluted share.</w:t>
      </w:r>
    </w:p>
    <w:p>
      <w:pPr>
        <w:spacing w:after="0" w:line="1" w:lineRule="exact"/>
        <w:rPr>
          <w:sz w:val="20"/>
          <w:szCs w:val="20"/>
          <w:color w:val="auto"/>
        </w:rPr>
      </w:pPr>
    </w:p>
    <w:p>
      <w:pPr>
        <w:ind w:right="40" w:firstLine="341"/>
        <w:spacing w:after="0" w:line="250" w:lineRule="auto"/>
        <w:rPr>
          <w:sz w:val="20"/>
          <w:szCs w:val="20"/>
          <w:color w:val="auto"/>
        </w:rPr>
      </w:pPr>
      <w:r>
        <w:rPr>
          <w:rFonts w:ascii="Times New Roman" w:cs="Times New Roman" w:eastAsia="Times New Roman" w:hAnsi="Times New Roman"/>
          <w:sz w:val="18"/>
          <w:szCs w:val="18"/>
          <w:color w:val="auto"/>
        </w:rPr>
        <w:t>As a result, the Company’s previously issued financial statements for the 13 and 26 weeks ended February 26, 2005 should no longer be relied upon. Attached hereto are the Company’s unaudited consolidated balance sheet as of February 26, 2005, the Company’s unaudited consolidated statements of income for the 13 and 26 weeks ended February 26, 2005 and the Company’s unaudited condensed consolidated statement of cash flows for the 26 weeks ended February 26, 2005, reflecting (i) balances as reflected in the previously filed Form 10-Q for the quarter ended February 26, 2005, (ii) adjustments to reflect the overstatement of inventory valuation and understatement of cost of sales and (iii) balances as restated to the overstatement of inventory valuation and understatement of cost of sales. The restatements will not have any impact on the Company’s cash position at February 26, 2005 or its revenues for the periods affected.</w:t>
      </w:r>
    </w:p>
    <w:p>
      <w:pPr>
        <w:spacing w:after="0" w:line="3" w:lineRule="exact"/>
        <w:rPr>
          <w:sz w:val="20"/>
          <w:szCs w:val="20"/>
          <w:color w:val="auto"/>
        </w:rPr>
      </w:pPr>
    </w:p>
    <w:p>
      <w:pPr>
        <w:ind w:firstLine="348"/>
        <w:spacing w:after="0" w:line="250" w:lineRule="auto"/>
        <w:rPr>
          <w:sz w:val="20"/>
          <w:szCs w:val="20"/>
          <w:color w:val="auto"/>
        </w:rPr>
      </w:pPr>
      <w:r>
        <w:rPr>
          <w:rFonts w:ascii="Times New Roman" w:cs="Times New Roman" w:eastAsia="Times New Roman" w:hAnsi="Times New Roman"/>
          <w:sz w:val="18"/>
          <w:szCs w:val="18"/>
          <w:color w:val="auto"/>
        </w:rPr>
        <w:t>The Company intends to file a Form 10-Q/A for the quarter ended February 26, 2005 which will include restated consolidated financial statements as soon as practicable.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9" w:lineRule="exact"/>
        <w:rPr>
          <w:sz w:val="20"/>
          <w:szCs w:val="20"/>
          <w:color w:val="auto"/>
        </w:rPr>
      </w:pPr>
    </w:p>
    <w:p>
      <w:pPr>
        <w:ind w:right="40" w:firstLine="348"/>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http://www.winnebagoind.com/html/company/investorRelations.html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4"/>
          <w:szCs w:val="24"/>
          <w:b w:val="1"/>
          <w:bCs w:val="1"/>
          <w:color w:val="auto"/>
        </w:rPr>
        <w:t>WINNEBAGO INDUSTRIES, INC. AND SUBSIDIARIES</w:t>
      </w:r>
    </w:p>
    <w:p>
      <w:pPr>
        <w:spacing w:after="0" w:line="4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UNAUDITED CONSOLIDATED BALANCE SHEET</w:t>
      </w:r>
    </w:p>
    <w:p>
      <w:pPr>
        <w:spacing w:after="0" w:line="200" w:lineRule="exact"/>
        <w:rPr>
          <w:sz w:val="20"/>
          <w:szCs w:val="20"/>
          <w:color w:val="auto"/>
        </w:rPr>
      </w:pPr>
    </w:p>
    <w:p>
      <w:pPr>
        <w:spacing w:after="0" w:line="31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780" w:type="dxa"/>
            <w:vAlign w:val="bottom"/>
          </w:tcPr>
          <w:p>
            <w:pPr>
              <w:spacing w:after="0"/>
              <w:rPr>
                <w:sz w:val="20"/>
                <w:szCs w:val="20"/>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February 26, 2005</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10"/>
        </w:trPr>
        <w:tc>
          <w:tcPr>
            <w:tcW w:w="3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301"/>
        </w:trPr>
        <w:tc>
          <w:tcPr>
            <w:tcW w:w="3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Originally</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44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44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As Restated</w:t>
            </w:r>
          </w:p>
        </w:tc>
      </w:tr>
      <w:tr>
        <w:trPr>
          <w:trHeight w:val="110"/>
        </w:trPr>
        <w:tc>
          <w:tcPr>
            <w:tcW w:w="36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8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16,107</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97,479</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less allowance for doubtful</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($137 and $161, respectively)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143,659</w:t>
            </w: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bl>
    <w:p>
      <w:pPr>
        <w:sectPr>
          <w:pgSz w:w="11900" w:h="16838" w:orient="portrait"/>
          <w:cols w:equalWidth="0" w:num="1">
            <w:col w:w="11420"/>
          </w:cols>
          <w:pgMar w:left="240" w:top="10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305,556</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(2,793)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302,763</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8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61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Buildings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Machinery and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99,775</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168,670</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168,670</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105,539</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63,131</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63,131</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430,093</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5"/>
              </w:rPr>
              <w:t>$(2,793)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427,300</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1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6"/>
        </w:trPr>
        <w:tc>
          <w:tcPr>
            <w:tcW w:w="6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-640080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-640080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-640080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-640080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-640080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4"/>
          <w:szCs w:val="24"/>
          <w:b w:val="1"/>
          <w:bCs w:val="1"/>
          <w:color w:val="auto"/>
        </w:rPr>
        <w:t>WINNEBAGO INDUSTRIES, INC. AND SUBSIDIARIES</w:t>
      </w:r>
    </w:p>
    <w:p>
      <w:pPr>
        <w:spacing w:after="0" w:line="4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4"/>
          <w:szCs w:val="24"/>
          <w:b w:val="1"/>
          <w:bCs w:val="1"/>
          <w:color w:val="auto"/>
        </w:rPr>
        <w:t>UNAUDITED CONSOLIDATED BALANCE SHEET</w:t>
      </w:r>
    </w:p>
    <w:p>
      <w:pPr>
        <w:spacing w:after="0" w:line="200" w:lineRule="exact"/>
        <w:rPr>
          <w:sz w:val="20"/>
          <w:szCs w:val="20"/>
          <w:color w:val="auto"/>
        </w:rPr>
      </w:pP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 except par value</w:t>
            </w:r>
          </w:p>
        </w:tc>
        <w:tc>
          <w:tcPr>
            <w:tcW w:w="780" w:type="dxa"/>
            <w:vAlign w:val="bottom"/>
          </w:tcPr>
          <w:p>
            <w:pPr>
              <w:spacing w:after="0"/>
              <w:rPr>
                <w:sz w:val="20"/>
                <w:szCs w:val="20"/>
                <w:color w:val="auto"/>
              </w:rPr>
            </w:pPr>
          </w:p>
        </w:tc>
        <w:tc>
          <w:tcPr>
            <w:tcW w:w="1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February 26, 2005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Originally</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7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Restated</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40,894</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40,894</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warranties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Promotional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Self-insurance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28"/>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0" w:type="dxa"/>
            <w:vAlign w:val="bottom"/>
          </w:tcPr>
          <w:p>
            <w:pPr>
              <w:spacing w:after="0"/>
              <w:rPr>
                <w:sz w:val="1"/>
                <w:szCs w:val="1"/>
                <w:color w:val="auto"/>
              </w:rPr>
            </w:pPr>
          </w:p>
        </w:tc>
      </w:tr>
      <w:tr>
        <w:trPr>
          <w:trHeight w:val="110"/>
        </w:trPr>
        <w:tc>
          <w:tcPr>
            <w:tcW w:w="4480" w:type="dxa"/>
            <w:vAlign w:val="bottom"/>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109,175</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108,177</w:t>
            </w:r>
          </w:p>
        </w:tc>
        <w:tc>
          <w:tcPr>
            <w:tcW w:w="0" w:type="dxa"/>
            <w:vAlign w:val="bottom"/>
          </w:tcPr>
          <w:p>
            <w:pPr>
              <w:spacing w:after="0"/>
              <w:rPr>
                <w:sz w:val="1"/>
                <w:szCs w:val="1"/>
                <w:color w:val="auto"/>
              </w:rPr>
            </w:pPr>
          </w:p>
        </w:tc>
      </w:tr>
      <w:tr>
        <w:trPr>
          <w:trHeight w:val="11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POSTRETIREMENT HEALTH CARE AND</w:t>
            </w: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44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BENEFITS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88,069</w:t>
            </w: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STOCKHOLDERS’ EQUITY</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Capital stock, common, par value $.50; authorized</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60,000,000 shares: issued 51,776,000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Reinvested earnings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421,627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419,832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6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463,386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461,591</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232,849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231,054</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TOTAL LIABILITIES AND STOCKHOLDERS’</w:t>
            </w: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6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430,093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427,300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2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6"/>
        </w:trPr>
        <w:tc>
          <w:tcPr>
            <w:tcW w:w="6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-640080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-640080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-640080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-640080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-640080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4"/>
          <w:szCs w:val="24"/>
          <w:b w:val="1"/>
          <w:bCs w:val="1"/>
          <w:color w:val="auto"/>
        </w:rPr>
        <w:t>WINNEBAGO INDUSTRIES, INC. AND SUBSIDIARIES</w:t>
      </w:r>
    </w:p>
    <w:p>
      <w:pPr>
        <w:spacing w:after="0" w:line="4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4"/>
          <w:szCs w:val="24"/>
          <w:b w:val="1"/>
          <w:bCs w:val="1"/>
          <w:color w:val="auto"/>
        </w:rPr>
        <w:t>UNAUDITED CONSOLIDATED STATEMENTS OF INCOME</w:t>
      </w:r>
    </w:p>
    <w:p>
      <w:pPr>
        <w:spacing w:after="0" w:line="200" w:lineRule="exact"/>
        <w:rPr>
          <w:sz w:val="20"/>
          <w:szCs w:val="20"/>
          <w:color w:val="auto"/>
        </w:rPr>
      </w:pPr>
    </w:p>
    <w:p>
      <w:pPr>
        <w:spacing w:after="0" w:line="3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 thousands, except per share data</w:t>
      </w:r>
    </w:p>
    <w:tbl>
      <w:tblPr>
        <w:tblLayout w:type="fixed"/>
        <w:tblInd w:w="114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7"/>
          </w:tcPr>
          <w:p>
            <w:pPr>
              <w:jc w:val="center"/>
              <w:ind w:left="455"/>
              <w:spacing w:after="0" w:line="155" w:lineRule="exact"/>
              <w:rPr>
                <w:sz w:val="20"/>
                <w:szCs w:val="20"/>
                <w:color w:val="auto"/>
              </w:rPr>
            </w:pPr>
            <w:r>
              <w:rPr>
                <w:rFonts w:ascii="Times New Roman" w:cs="Times New Roman" w:eastAsia="Times New Roman" w:hAnsi="Times New Roman"/>
                <w:sz w:val="14"/>
                <w:szCs w:val="14"/>
                <w:b w:val="1"/>
                <w:bCs w:val="1"/>
                <w:color w:val="auto"/>
                <w:w w:val="95"/>
              </w:rPr>
              <w:t>Thirteen Weeks Ended</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7"/>
          </w:tcPr>
          <w:p>
            <w:pPr>
              <w:jc w:val="center"/>
              <w:ind w:left="415"/>
              <w:spacing w:after="0" w:line="155" w:lineRule="exact"/>
              <w:rPr>
                <w:sz w:val="20"/>
                <w:szCs w:val="20"/>
                <w:color w:val="auto"/>
              </w:rPr>
            </w:pPr>
            <w:r>
              <w:rPr>
                <w:rFonts w:ascii="Times New Roman" w:cs="Times New Roman" w:eastAsia="Times New Roman" w:hAnsi="Times New Roman"/>
                <w:sz w:val="14"/>
                <w:szCs w:val="14"/>
                <w:b w:val="1"/>
                <w:bCs w:val="1"/>
                <w:color w:val="auto"/>
                <w:w w:val="94"/>
              </w:rPr>
              <w:t>Twenty-Six Weeks Ended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February 26, 2005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February 26, 2005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0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Originally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Originally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Reported</w:t>
            </w:r>
          </w:p>
        </w:tc>
        <w:tc>
          <w:tcPr>
            <w:tcW w:w="26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As Restated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Reported</w:t>
            </w:r>
          </w:p>
        </w:tc>
        <w:tc>
          <w:tcPr>
            <w:tcW w:w="28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239,359</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239,359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505,492</w:t>
            </w:r>
          </w:p>
        </w:tc>
        <w:tc>
          <w:tcPr>
            <w:tcW w:w="4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505,492</w:t>
            </w: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210,098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433,374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436,167</w:t>
            </w: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0" w:type="dxa"/>
            <w:vAlign w:val="bottom"/>
          </w:tcPr>
          <w:p>
            <w:pPr>
              <w:spacing w:after="0"/>
              <w:rPr>
                <w:sz w:val="1"/>
                <w:szCs w:val="1"/>
                <w:color w:val="auto"/>
              </w:rPr>
            </w:pPr>
          </w:p>
        </w:tc>
      </w:tr>
      <w:tr>
        <w:trPr>
          <w:trHeight w:val="11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0" w:type="dxa"/>
            <w:vAlign w:val="bottom"/>
          </w:tcPr>
          <w:p>
            <w:pPr>
              <w:spacing w:after="0"/>
              <w:rPr>
                <w:sz w:val="1"/>
                <w:szCs w:val="1"/>
                <w:color w:val="auto"/>
              </w:rPr>
            </w:pPr>
          </w:p>
        </w:tc>
      </w:tr>
      <w:tr>
        <w:trPr>
          <w:trHeight w:val="228"/>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49,985</w:t>
            </w: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4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4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-906145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-906145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-906145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-906145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-906145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-906145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-906145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-906145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-906145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-906145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-906145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-460375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-460375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-460375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-460375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-460375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-460375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-460375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-460375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-460375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-460375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-460375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-460375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shares of common</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1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stock outstanding</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33,647</w:t>
            </w:r>
          </w:p>
        </w:tc>
        <w:tc>
          <w:tcPr>
            <w:tcW w:w="1320" w:type="dxa"/>
            <w:vAlign w:val="bottom"/>
          </w:tcPr>
          <w:p>
            <w:pPr>
              <w:spacing w:after="0"/>
              <w:rPr>
                <w:sz w:val="19"/>
                <w:szCs w:val="19"/>
                <w:color w:val="auto"/>
              </w:rPr>
            </w:pPr>
          </w:p>
        </w:tc>
      </w:tr>
      <w:tr>
        <w:trPr>
          <w:trHeight w:val="120"/>
        </w:trPr>
        <w:tc>
          <w:tcPr>
            <w:tcW w:w="4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r>
      <w:tr>
        <w:trPr>
          <w:trHeight w:val="562"/>
        </w:trPr>
        <w:tc>
          <w:tcPr>
            <w:tcW w:w="4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34,254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34,224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34,224</w:t>
            </w:r>
          </w:p>
        </w:tc>
        <w:tc>
          <w:tcPr>
            <w:tcW w:w="1320" w:type="dxa"/>
            <w:vAlign w:val="bottom"/>
          </w:tcPr>
          <w:p>
            <w:pPr>
              <w:spacing w:after="0"/>
              <w:rPr>
                <w:sz w:val="24"/>
                <w:szCs w:val="24"/>
                <w:color w:val="auto"/>
              </w:rPr>
            </w:pPr>
          </w:p>
        </w:tc>
      </w:tr>
      <w:tr>
        <w:trPr>
          <w:trHeight w:val="120"/>
        </w:trPr>
        <w:tc>
          <w:tcPr>
            <w:tcW w:w="4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r>
      <w:tr>
        <w:trPr>
          <w:trHeight w:val="966"/>
        </w:trPr>
        <w:tc>
          <w:tcPr>
            <w:tcW w:w="4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-1086485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-1086485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-1086485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-1086485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-1086485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-1086485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-1086485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-1086485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-640080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-640080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-640080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-640080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-640080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-640080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-640080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-640080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WINNEBAGO INDUSTRIES, INC. AND SUBSIDIARIES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UNAUDITED CONDENSED 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46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Twenty-Six Weeks Ended February 26, 2005</w:t>
            </w: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55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Originally</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11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5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40" w:type="dxa"/>
            <w:vAlign w:val="bottom"/>
          </w:tcPr>
          <w:p>
            <w:pPr>
              <w:spacing w:after="0"/>
              <w:rPr>
                <w:sz w:val="18"/>
                <w:szCs w:val="18"/>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(increase) in receivable and other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inventories</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40" w:type="dxa"/>
            <w:vAlign w:val="bottom"/>
          </w:tcPr>
          <w:p>
            <w:pPr>
              <w:spacing w:after="0"/>
              <w:rPr>
                <w:sz w:val="18"/>
                <w:szCs w:val="18"/>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increase in postretirement benefits</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5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(147,473)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(147,473)</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sale of short-term investments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0" w:type="dxa"/>
            <w:vAlign w:val="bottom"/>
          </w:tcPr>
          <w:p>
            <w:pPr>
              <w:spacing w:after="0"/>
              <w:rPr>
                <w:sz w:val="1"/>
                <w:szCs w:val="1"/>
                <w:color w:val="auto"/>
              </w:rPr>
            </w:pPr>
          </w:p>
        </w:tc>
      </w:tr>
      <w:tr>
        <w:trPr>
          <w:trHeight w:val="11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used in financing activities and capital transactions</w:t>
            </w: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5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28"/>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issuance of common and treasury stock</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 and capital transactions</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45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2019-12-13T08:23:14Z</dcterms:created>
  <dcterms:modified xsi:type="dcterms:W3CDTF">2019-12-13T08:23:14Z</dcterms:modified>
</cp:coreProperties>
</file>