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157480</wp:posOffset>
            </wp:positionV>
            <wp:extent cx="306133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133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Winnebago Industries,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38" w:right="239" w:bottom="1440" w:gutter="0" w:footer="0" w:header="0"/>
        </w:sectPr>
      </w:pPr>
    </w:p>
    <w:p>
      <w:pPr>
        <w:spacing w:after="0" w:line="20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Iowa</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001-06403</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42-0802678</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38" w:right="2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P.O. Box 152, Forest City, Iowa</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50436</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8" w:right="239" w:bottom="1440" w:gutter="0" w:footer="0" w:header="0"/>
          <w:type w:val="continuous"/>
        </w:sectPr>
      </w:pPr>
    </w:p>
    <w:p>
      <w:pPr>
        <w:spacing w:after="0" w:line="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641-585-3535</w:t>
      </w:r>
    </w:p>
    <w:p>
      <w:pPr>
        <w:spacing w:after="0" w:line="204" w:lineRule="exact"/>
        <w:rPr>
          <w:sz w:val="24"/>
          <w:szCs w:val="24"/>
          <w:color w:val="auto"/>
        </w:rPr>
      </w:pPr>
    </w:p>
    <w:p>
      <w:pPr>
        <w:sectPr>
          <w:pgSz w:w="11900" w:h="16838" w:orient="portrait"/>
          <w:cols w:equalWidth="0" w:num="2">
            <w:col w:w="6980" w:space="140"/>
            <w:col w:w="4300"/>
          </w:cols>
          <w:pgMar w:left="240" w:top="538" w:right="239" w:bottom="1440" w:gutter="0" w:footer="0" w:header="0"/>
          <w:type w:val="continuous"/>
        </w:sect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3060" w:firstLine="8"/>
        <w:spacing w:after="0" w:line="497"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$0.50 par value per share</w:t>
            </w:r>
          </w:p>
        </w:tc>
        <w:tc>
          <w:tcPr>
            <w:tcW w:w="2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WGO</w:t>
            </w:r>
          </w:p>
        </w:tc>
        <w:tc>
          <w:tcPr>
            <w:tcW w:w="2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62"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23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Purchase Agreement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8, 2019, Winnebago Industries, Inc. (“Winnebago”), pursuant to the terms of a previously announced Stock Purchase Agreement (the “Purchase Agreement”), dated September 15, 2019, by and among Winnebago, Octavius Corporation (the “Buyer” and, together with Winnebago, the “Buyer Entities”), Newmar Corporation (“Newmar”), Dutch Real Estate Corp. (“Dutch”), New-Way Transport Corp. (“New-Way Transport”), New-Serv, Inc. (“New-Serv”) (Newmar, Dutch, New-Way Transport, New-Serv and Newmar Risk Management, Inc., a wholly-owned subsidiary of Newmar, the “Acquired Companies”), the shareholders of Newmar, Dutch, New-Way Transport and New-Serv (the “Sellers”) and the sellers agent, consummated the acquisition of the Acquired Companies (the “Transaction”).</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consideration paid by the Buyer Entities to the Sellers pursuant to the terms of the Purchase Agreement was approximately $270.0 million in cash, subject to purchase price adjustments as stipulated in the Purchase Agreement, and 2,000,000 shares of Winnebago common stock that were valued at a price per share based on the volume weighted average share price of Winnebago’s common stock for the five trailing days prior to the closing of the Transaction. The cash portion of the purchase price of the Transaction and certain transaction expenses were funded through the previously announced private placement of $300.0 million in aggregate principal amount of 1.50% convertible senior notes due 2025 that Winnebago issued to certain initial purchasers on November 1, 2019.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Ancillary Agreements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Transaction, Winnebago and the Sellers have entered into certain ancillary agreements previously disclosed. Each of the Sellers has agreed to certain covenants pursuant to the terms of a standstill agreement, a copy of which is filed as Exhibit 10.1 to this Current Report on Form 8-K and is incorporated herein by reference. The standstill agreement provides that, subject to certain limited exceptions, for up to one year after closing of the Transaction each Seller is prohibited from taking certain hostile actions with respect to Winnebago. Each of the Sellers has also entered into a lock-up letter agreement that, subject to certain limited exceptions, restricts such Sellers from transferring their shares of Winnebago common stock for one year from closing of the Transaction. A copy of the lock-up letter agreement is filed as Exhibit 10.2 to this Current Report on Form 8-K and is incorporated herein by reference.</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Purchase Agreement and ancillary agreements are described herein to provide investors with information regarding the terms of the Transaction. The foregoing descriptions of the Purchase Agreement and the ancillary agreements are not complete and are each subject to and qualified in their respective entirety by reference to the Purchase Agreement and the ancillary agreements that are filed herewith and incorporated herein by reference.</w:t>
      </w:r>
    </w:p>
    <w:p>
      <w:pPr>
        <w:spacing w:after="0" w:line="17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reported above under Item 2.01 of this Current Report on Form 8-K regarding the 2,000,000 shares of Winnebago common stock that the Sellers received in connection with the closing of the Transaction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November 8, 2019, Winnebago issued a press release announcing the closing of the Transaction. A copy of that press release is attached hereto as Exhibit 99.1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required financial statements of Newmar required by Item 9.01(a) of Form 8-K are attached hereto as Exhibits 99.2 and 99.3 to this Form 8-K and are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required pro forma financial information required by Item 9.01(b) of Form 8-K is attached hereto as Exhibit 99.4 to this Form 8-K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gridSpan w:val="11"/>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4"/>
                <w:szCs w:val="14"/>
                <w:color w:val="auto"/>
              </w:rPr>
            </w:pPr>
          </w:p>
        </w:tc>
        <w:tc>
          <w:tcPr>
            <w:tcW w:w="8920" w:type="dxa"/>
            <w:vAlign w:val="bottom"/>
            <w:tcBorders>
              <w:top w:val="single" w:sz="8" w:color="auto"/>
            </w:tcBorders>
            <w:gridSpan w:val="15"/>
          </w:tcPr>
          <w:p>
            <w:pPr>
              <w:spacing w:after="0" w:line="170"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Stock Purchase Agreement dated as of September 15, 2019, by and among Winnebago Industries, Inc., Octavius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Corporation, Newmar Corporation, Dutch Real Estate Corp., New-Way Transport Corp., New-Serv, Inc., the shareholders</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20" w:type="dxa"/>
            <w:vAlign w:val="bottom"/>
            <w:gridSpan w:val="15"/>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of Newmar Corporation, Dutch Real Estate Corp., New-Way Transport Corp. and New-Serv, Inc. and Matthew Miller,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Sellers Agent*</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7"/>
                <w:szCs w:val="17"/>
                <w:color w:val="auto"/>
              </w:rPr>
            </w:pPr>
          </w:p>
        </w:tc>
        <w:tc>
          <w:tcPr>
            <w:tcW w:w="87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Standstill Agreement dated as of September 15, 2019, by and among Winnebago Industries, Inc. and each of the investors</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named on the signature pages thereto.</w:t>
              </w:r>
            </w:hyperlink>
          </w:p>
        </w:tc>
        <w:tc>
          <w:tcPr>
            <w:tcW w:w="62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7"/>
                <w:szCs w:val="17"/>
                <w:color w:val="auto"/>
              </w:rPr>
            </w:pPr>
          </w:p>
        </w:tc>
        <w:tc>
          <w:tcPr>
            <w:tcW w:w="8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Lock-Up Letter Agreement dated September 15, 2019, by and among Winnebago Industries, Inc. and each of the parties</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named on the signature pages thereto.</w:t>
              </w:r>
            </w:hyperlink>
          </w:p>
        </w:tc>
        <w:tc>
          <w:tcPr>
            <w:tcW w:w="62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46">
              <w:r>
                <w:rPr>
                  <w:rFonts w:ascii="Times New Roman" w:cs="Times New Roman" w:eastAsia="Times New Roman" w:hAnsi="Times New Roman"/>
                  <w:sz w:val="18"/>
                  <w:szCs w:val="18"/>
                  <w:color w:val="0000EE"/>
                  <w:w w:val="96"/>
                </w:rPr>
                <w:t>Consent of Crowe LLP.</w:t>
              </w:r>
            </w:hyperlink>
          </w:p>
        </w:tc>
        <w:tc>
          <w:tcPr>
            <w:tcW w:w="72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7"/>
                <w:szCs w:val="17"/>
                <w:color w:val="auto"/>
              </w:rPr>
            </w:pPr>
          </w:p>
        </w:tc>
        <w:tc>
          <w:tcPr>
            <w:tcW w:w="8920" w:type="dxa"/>
            <w:vAlign w:val="bottom"/>
            <w:gridSpan w:val="15"/>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Press release dated November 8, 2019</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36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Unaudited balance sheet of Newmar as of June 30, 2019, the related statements of income, members’ equity (deficit), and</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cash flows for the trailing twelve months ended June 30, 2019, and the related notes thereto.</w:t>
              </w:r>
            </w:hyperlink>
          </w:p>
        </w:tc>
        <w:tc>
          <w:tcPr>
            <w:tcW w:w="2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360" w:type="dxa"/>
            <w:vAlign w:val="bottom"/>
          </w:tcPr>
          <w:p>
            <w:pPr>
              <w:spacing w:after="0"/>
              <w:rPr>
                <w:sz w:val="17"/>
                <w:szCs w:val="17"/>
                <w:color w:val="auto"/>
              </w:rPr>
            </w:pPr>
          </w:p>
        </w:tc>
        <w:tc>
          <w:tcPr>
            <w:tcW w:w="8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Audited balance sheet of Newmar as of December 31, 2018, the related statements of income, members’ equity (deficit),</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and cash flows for the year then ended, and the related notes thereto.</w:t>
              </w:r>
            </w:hyperlink>
          </w:p>
        </w:tc>
        <w:tc>
          <w:tcPr>
            <w:tcW w:w="40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99.4</w:t>
            </w:r>
          </w:p>
        </w:tc>
        <w:tc>
          <w:tcPr>
            <w:tcW w:w="360" w:type="dxa"/>
            <w:vAlign w:val="bottom"/>
          </w:tcPr>
          <w:p>
            <w:pPr>
              <w:spacing w:after="0"/>
              <w:rPr>
                <w:sz w:val="17"/>
                <w:szCs w:val="17"/>
                <w:color w:val="auto"/>
              </w:rPr>
            </w:pPr>
          </w:p>
        </w:tc>
        <w:tc>
          <w:tcPr>
            <w:tcW w:w="8920" w:type="dxa"/>
            <w:vAlign w:val="bottom"/>
            <w:gridSpan w:val="15"/>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Unaudited Pro Forma Condensed Combined Financial Information.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Incorporated by reference to the exhibit number in Winnebago’s Current Report on Form 8-K dated September 16,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risks inherent in the achievement of expected financial results and cost synergies for the Transaction and the timing thereof,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our Enterprise Resource Planning System,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WINNEBAGO INDUSTRIES, INC.</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2019</w:t>
            </w:r>
          </w:p>
        </w:tc>
        <w:tc>
          <w:tcPr>
            <w:tcW w:w="26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L. Bogart</w:t>
            </w:r>
          </w:p>
        </w:tc>
        <w:tc>
          <w:tcPr>
            <w:tcW w:w="40" w:type="dxa"/>
            <w:vAlign w:val="bottom"/>
          </w:tcPr>
          <w:p>
            <w:pPr>
              <w:spacing w:after="0"/>
              <w:rPr>
                <w:sz w:val="24"/>
                <w:szCs w:val="24"/>
                <w:color w:val="auto"/>
              </w:rPr>
            </w:pPr>
          </w:p>
        </w:tc>
      </w:tr>
      <w:tr>
        <w:trPr>
          <w:trHeight w:val="191"/>
        </w:trPr>
        <w:tc>
          <w:tcPr>
            <w:tcW w:w="3720" w:type="dxa"/>
            <w:vAlign w:val="bottom"/>
          </w:tcPr>
          <w:p>
            <w:pPr>
              <w:spacing w:after="0"/>
              <w:rPr>
                <w:sz w:val="16"/>
                <w:szCs w:val="16"/>
                <w:color w:val="auto"/>
              </w:rPr>
            </w:pPr>
          </w:p>
        </w:tc>
        <w:tc>
          <w:tcPr>
            <w:tcW w:w="268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Stacy L. Bogart</w:t>
            </w:r>
          </w:p>
        </w:tc>
        <w:tc>
          <w:tcPr>
            <w:tcW w:w="4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p>
        </w:tc>
        <w:tc>
          <w:tcPr>
            <w:tcW w:w="26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6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4</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STANDSTILL AGREEMENT</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THIS STANDSTILL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September 15, 2019 (the “Closing Date”), is entered into by and among each of the undersigned investors named on the signature page hereof (each individually,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Investor Group</w:t>
      </w:r>
      <w:r>
        <w:rPr>
          <w:rFonts w:ascii="Times New Roman" w:cs="Times New Roman" w:eastAsia="Times New Roman" w:hAnsi="Times New Roman"/>
          <w:sz w:val="18"/>
          <w:szCs w:val="18"/>
          <w:color w:val="auto"/>
        </w:rPr>
        <w:t>”) and Winnebago Industries, Inc., an Iowa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Capitalized terms used but not defined in this Agreement shall have the respective meanings set forth in the Purchase Agreement (as defined below).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unless otherwise provided herein, references herein to the Investor Group shall mean the members of such group jointly and severally;</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WHEREAS, this Agreement is made by the undersigned pursuant to that certain Stock Purchase Agreement dated September 15, 2019, by and among Octavius Corporation, a Delaware Corporation, Parent, Newmar Corporation, an Indiana corporation, Dutch Real Estate Corp., an Indiana corporation, New-Way Transport Corp., an Indiana corporation, New-Serv, Inc., an Indiana corporation, the “Sellers” identified therein, and Matthew Miller solely in his capacity as Sellers Agent thereunder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and in accordance with, the Purchase Agreement, each Investor will receive a portion of the Closing Stock Consideration on the Closing Date; and</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WHEREAS, as a condition to the willingness of Parent to enter into the transactions described above, and as an inducement and in consideration thereof, Parent has required that the Investors each agree, and the Investors have agreed, to enter into this Agreement.</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6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right="120" w:firstLine="656"/>
        <w:spacing w:after="0" w:line="268" w:lineRule="auto"/>
        <w:tabs>
          <w:tab w:leader="none" w:pos="129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have the respective meanings set forth in Rule 12b-2 promulgated under the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shall include all persons that at any time during the term of this Agreement become Affiliates or Associates of any person referred to in this Agreement.</w:t>
      </w:r>
    </w:p>
    <w:p>
      <w:pPr>
        <w:spacing w:after="0" w:line="170" w:lineRule="exact"/>
        <w:rPr>
          <w:rFonts w:ascii="Times New Roman" w:cs="Times New Roman" w:eastAsia="Times New Roman" w:hAnsi="Times New Roman"/>
          <w:sz w:val="18"/>
          <w:szCs w:val="18"/>
          <w:color w:val="auto"/>
        </w:rPr>
      </w:pPr>
    </w:p>
    <w:p>
      <w:pPr>
        <w:ind w:right="440" w:firstLine="656"/>
        <w:spacing w:after="0" w:line="286" w:lineRule="auto"/>
        <w:tabs>
          <w:tab w:leader="none" w:pos="13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respective meanings as set forth in Rule 13d-3 promulgated under the Exchange Act.</w:t>
      </w:r>
    </w:p>
    <w:p>
      <w:pPr>
        <w:spacing w:after="0" w:line="154" w:lineRule="exact"/>
        <w:rPr>
          <w:rFonts w:ascii="Times New Roman" w:cs="Times New Roman" w:eastAsia="Times New Roman" w:hAnsi="Times New Roman"/>
          <w:sz w:val="18"/>
          <w:szCs w:val="18"/>
          <w:color w:val="auto"/>
        </w:rPr>
      </w:pPr>
    </w:p>
    <w:p>
      <w:pPr>
        <w:ind w:right="120" w:firstLine="656"/>
        <w:spacing w:after="0" w:line="268" w:lineRule="auto"/>
        <w:tabs>
          <w:tab w:leader="none" w:pos="130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Standstill Period</w:t>
      </w:r>
      <w:r>
        <w:rPr>
          <w:rFonts w:ascii="Times New Roman" w:cs="Times New Roman" w:eastAsia="Times New Roman" w:hAnsi="Times New Roman"/>
          <w:sz w:val="18"/>
          <w:szCs w:val="18"/>
          <w:color w:val="auto"/>
        </w:rPr>
        <w:t>” means as to each Investor the period, from the Closing Date until the earlier of (i ) the first anniversary of the Closing Date; and (ii) such date, if any, as the Investor Group, their Affiliates and any Group of which any of them are a member, taken collectively, cease to beneficially own at least five percent (5%) of the issued and outstanding Parent Stock.</w:t>
      </w:r>
    </w:p>
    <w:p>
      <w:pPr>
        <w:spacing w:after="0" w:line="17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set forth in Section 13(d)(3)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ind w:left="1312" w:hanging="664"/>
        <w:spacing w:after="0"/>
        <w:tabs>
          <w:tab w:leader="none" w:pos="131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w:t>
      </w:r>
      <w:r>
        <w:rPr>
          <w:rFonts w:ascii="Times New Roman" w:cs="Times New Roman" w:eastAsia="Times New Roman" w:hAnsi="Times New Roman"/>
          <w:sz w:val="18"/>
          <w:szCs w:val="18"/>
          <w:color w:val="auto"/>
        </w:rPr>
        <w:t>” means the common stock, $0.50 par value per share of Parent.</w:t>
      </w:r>
    </w:p>
    <w:p>
      <w:pPr>
        <w:spacing w:after="0" w:line="225" w:lineRule="exact"/>
        <w:rPr>
          <w:rFonts w:ascii="Times New Roman" w:cs="Times New Roman" w:eastAsia="Times New Roman" w:hAnsi="Times New Roman"/>
          <w:sz w:val="18"/>
          <w:szCs w:val="18"/>
          <w:color w:val="auto"/>
        </w:rPr>
      </w:pPr>
    </w:p>
    <w:p>
      <w:pPr>
        <w:ind w:left="-8" w:right="140" w:firstLine="656"/>
        <w:spacing w:after="0" w:line="286" w:lineRule="auto"/>
        <w:tabs>
          <w:tab w:leader="none" w:pos="129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shall mean any individual, corporation (including not-for-profit), general or limited partnership, limited liability company, joint venture, estate, trust, association, organization or other entity of any kind or nature, including a Group.</w:t>
      </w:r>
    </w:p>
    <w:p>
      <w:pPr>
        <w:spacing w:after="0" w:line="154"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ind w:left="-8" w:right="160" w:firstLine="656"/>
        <w:spacing w:after="0" w:line="286"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solicitation,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proxy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shall have the respective meanings ascribed to them under Rule 14a-1 promulgated under the Exchange Act or otherwise under Schedule 14A under the Exchange Act.</w:t>
      </w:r>
    </w:p>
    <w:p>
      <w:pPr>
        <w:spacing w:after="0" w:line="158" w:lineRule="exact"/>
        <w:rPr>
          <w:rFonts w:ascii="Times New Roman" w:cs="Times New Roman" w:eastAsia="Times New Roman" w:hAnsi="Times New Roman"/>
          <w:sz w:val="18"/>
          <w:szCs w:val="18"/>
          <w:color w:val="auto"/>
        </w:rPr>
      </w:pPr>
    </w:p>
    <w:p>
      <w:pPr>
        <w:ind w:left="-8" w:right="180" w:firstLine="8"/>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 Standstill</w:t>
      </w:r>
      <w:r>
        <w:rPr>
          <w:rFonts w:ascii="Times New Roman" w:cs="Times New Roman" w:eastAsia="Times New Roman" w:hAnsi="Times New Roman"/>
          <w:sz w:val="18"/>
          <w:szCs w:val="18"/>
          <w:color w:val="auto"/>
        </w:rPr>
        <w:t>. Each of the members of the Investor Group agrees that, except as expressly provided by this Agreement, during the Standstill Period, he will not, and he will cause each of such person’s Affiliates, Associates or agents or other persons acting on his behalf not to:</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28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nominate any person for election at any meeting of shareholders of Parent or make a request of any director of Parent for such director’s resignation or make a request of Parent to seek the resignation of any of its directors, (ii) submit any proposal for consideration at, or bring any other business before any meeting of shareholders of Parent, directly or indirectly, or (iii) initiate, encourage or participate in any “withhold” or similar campaign with respect to any meeting of shareholders, directly or indirectly;</w:t>
      </w:r>
    </w:p>
    <w:p>
      <w:pPr>
        <w:spacing w:after="0" w:line="180" w:lineRule="exact"/>
        <w:rPr>
          <w:rFonts w:ascii="Times New Roman" w:cs="Times New Roman" w:eastAsia="Times New Roman" w:hAnsi="Times New Roman"/>
          <w:sz w:val="18"/>
          <w:szCs w:val="18"/>
          <w:color w:val="auto"/>
        </w:rPr>
      </w:pPr>
    </w:p>
    <w:p>
      <w:pPr>
        <w:ind w:left="-8" w:firstLine="656"/>
        <w:spacing w:after="0" w:line="261"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in or in any other way participate in a Group with respect to the Parent Stock (other than as members of the Investor Group or a Group consisting solely of members of the Investor Group, their Affiliates or Associates or any Group that may be deemed to exist or arise solely by virtue of this Agreement) or deposit any shares of Parent Stock in a voting trust or similar arrangement or subject any shares of Parent Stock to any voting agreement or pooling arrangement with any person other than any of the Investors;</w:t>
      </w:r>
    </w:p>
    <w:p>
      <w:pPr>
        <w:spacing w:after="0" w:line="180" w:lineRule="exact"/>
        <w:rPr>
          <w:rFonts w:ascii="Times New Roman" w:cs="Times New Roman" w:eastAsia="Times New Roman" w:hAnsi="Times New Roman"/>
          <w:sz w:val="18"/>
          <w:szCs w:val="18"/>
          <w:color w:val="auto"/>
        </w:rPr>
      </w:pPr>
    </w:p>
    <w:p>
      <w:pPr>
        <w:jc w:val="both"/>
        <w:ind w:left="-8" w:right="100" w:firstLine="656"/>
        <w:spacing w:after="0" w:line="261" w:lineRule="auto"/>
        <w:tabs>
          <w:tab w:leader="none" w:pos="12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proxies or written consents of shareholders, or otherwise conduct any nonbinding referendum with respect to any shares of Parent Stock, or make, or in any way participate in, any solicitation of any proxy to vote, or advise, encourage or influence any person with respect to voting, any shares of Parent Stock with respect to any matter, or become a participant in any solicitation, including any contested solicitation for the election of directors of Parent;</w:t>
      </w:r>
    </w:p>
    <w:p>
      <w:pPr>
        <w:spacing w:after="0" w:line="180" w:lineRule="exact"/>
        <w:rPr>
          <w:rFonts w:ascii="Times New Roman" w:cs="Times New Roman" w:eastAsia="Times New Roman" w:hAnsi="Times New Roman"/>
          <w:sz w:val="18"/>
          <w:szCs w:val="18"/>
          <w:color w:val="auto"/>
        </w:rPr>
      </w:pPr>
    </w:p>
    <w:p>
      <w:pPr>
        <w:ind w:left="-8" w:right="160" w:firstLine="656"/>
        <w:spacing w:after="0" w:line="261"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call, or to request the call of, a special meeting of the shareholders of Parent, or seek to make, or make, a shareholder proposal at any meeting of the shareholders of Parent or make a request for a list of Parent’s shareholders (or otherwise induce or encourage any other person to initiate such proposal or request) or otherwise acting alone, or in concert with others, seek to control or influence or change the management, Board of Directors, governance or policies of Parent;</w:t>
      </w:r>
    </w:p>
    <w:p>
      <w:pPr>
        <w:spacing w:after="0" w:line="180" w:lineRule="exact"/>
        <w:rPr>
          <w:rFonts w:ascii="Times New Roman" w:cs="Times New Roman" w:eastAsia="Times New Roman" w:hAnsi="Times New Roman"/>
          <w:sz w:val="18"/>
          <w:szCs w:val="18"/>
          <w:color w:val="auto"/>
        </w:rPr>
      </w:pPr>
    </w:p>
    <w:p>
      <w:pPr>
        <w:ind w:left="-8" w:right="20" w:firstLine="656"/>
        <w:spacing w:after="0" w:line="266" w:lineRule="auto"/>
        <w:tabs>
          <w:tab w:leader="none" w:pos="12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seek to effect (including, without limitation, by entering into any discussions, negotiations, agreements or understandings with any person), offer or propose (whether publicly or otherwise) to effect, or cause or participate in, or in any way instigate, support, encourage, assist or facilitate any other person to effect or seek, offer or propose</w:t>
      </w:r>
    </w:p>
    <w:p>
      <w:pPr>
        <w:spacing w:after="0" w:line="17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33" w:right="279" w:bottom="1440" w:gutter="0" w:footer="0" w:header="0"/>
        </w:sectPr>
      </w:pPr>
    </w:p>
    <w:bookmarkStart w:id="6" w:name="page7"/>
    <w:bookmarkEnd w:id="6"/>
    <w:p>
      <w:pPr>
        <w:ind w:right="160"/>
        <w:spacing w:after="0" w:line="256" w:lineRule="auto"/>
        <w:rPr>
          <w:sz w:val="20"/>
          <w:szCs w:val="20"/>
          <w:color w:val="auto"/>
        </w:rPr>
      </w:pPr>
      <w:r>
        <w:rPr>
          <w:rFonts w:ascii="Times New Roman" w:cs="Times New Roman" w:eastAsia="Times New Roman" w:hAnsi="Times New Roman"/>
          <w:sz w:val="18"/>
          <w:szCs w:val="18"/>
          <w:color w:val="auto"/>
        </w:rPr>
        <w:t>(whether publicly or otherwise) to effect or participate in (i) any acquisition of any material assets or businesses of Parent or any of its subsidiaries, (ii) any tender offer or exchange offer, merger, acquisition or other business combination involving Parent or any of its subsidiaries, or (iii) any recapitalization, change in capital structure, dividend or distribution, sale or transfer of assets or securities, restructuring, liquidation, dissolution or other extraordinary transaction with respect to the capital structure of Parent or any of its subsidiaries; provided that this Section 2(e) shall not prohibit any member of the Investor Group from voting his Parent Stock at any meeting of the shareholders of Parent or from participating as a shareholder of Parent, on the same basis as other shareholders, in a transaction described in clauses (i), (ii) or (iii) approved by or recommended by the Board of Directors of Parent;</w:t>
      </w:r>
    </w:p>
    <w:p>
      <w:pPr>
        <w:spacing w:after="0" w:line="188" w:lineRule="exact"/>
        <w:rPr>
          <w:sz w:val="20"/>
          <w:szCs w:val="20"/>
          <w:color w:val="auto"/>
        </w:rPr>
      </w:pPr>
    </w:p>
    <w:p>
      <w:pPr>
        <w:ind w:right="40" w:firstLine="656"/>
        <w:spacing w:after="0" w:line="261" w:lineRule="auto"/>
        <w:tabs>
          <w:tab w:leader="none" w:pos="13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or cause or facilitate the public disclosure (including without limitation the filing of any document or report with the SEC or any other governmental agency or any disclosure to any journalist, member of the media or securities analyst) of any intent, purpose, plan or proposal to obtain any waiver, or consent under, or any amendment of, any of the provisions of this Section 2, or otherwise seek in any manner that would require public disclosure by Parent or any of its Affiliates to obtain any waiver, consent under, or any amendment of, any provision of this Agreement;</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encourage, support or influence any person (except other members of the Investor Group) with respect to any of the foregoing;</w:t>
      </w:r>
    </w:p>
    <w:p>
      <w:pPr>
        <w:spacing w:after="0" w:line="225" w:lineRule="exact"/>
        <w:rPr>
          <w:rFonts w:ascii="Times New Roman" w:cs="Times New Roman" w:eastAsia="Times New Roman" w:hAnsi="Times New Roman"/>
          <w:sz w:val="18"/>
          <w:szCs w:val="18"/>
          <w:color w:val="auto"/>
        </w:rPr>
      </w:pPr>
    </w:p>
    <w:p>
      <w:pPr>
        <w:ind w:right="80" w:firstLine="656"/>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arrangements, understandings or agreements (whether written or oral) with, or advise, finance, assist or encourage, any other person for the purpose of engaging, or offering or proposing to engage, in any of the foregoing; or</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or induce any other person to take any action inconsistent with any of the foregoing.</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provisions of this Section 2 will be of no further force and effect in the event that (I) any person or Group shall have acquired more than 50% of the outstanding voting equity securities of Parent or all or substantially all of the assets of Parent or (II) if Parent is subject to a voluntary proceeding or, if not dismissed within 30 days of filing, involuntary proceeding for bankruptcy, insolvency, reorganization or liquidation and dissolution.</w:t>
      </w:r>
    </w:p>
    <w:p>
      <w:pPr>
        <w:spacing w:after="0" w:line="176" w:lineRule="exact"/>
        <w:rPr>
          <w:sz w:val="20"/>
          <w:szCs w:val="20"/>
          <w:color w:val="auto"/>
        </w:rPr>
      </w:pPr>
    </w:p>
    <w:p>
      <w:pPr>
        <w:ind w:right="160" w:firstLine="8"/>
        <w:spacing w:after="0" w:line="282"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Investor Group</w:t>
      </w:r>
      <w:r>
        <w:rPr>
          <w:rFonts w:ascii="Times New Roman" w:cs="Times New Roman" w:eastAsia="Times New Roman" w:hAnsi="Times New Roman"/>
          <w:sz w:val="18"/>
          <w:szCs w:val="18"/>
          <w:color w:val="auto"/>
        </w:rPr>
        <w:t>. Each member of the Investor Group, individually with respect to itself-only, and not jointly and severally, hereby represents and warrants as follows:</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29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Stock beneficially owned by such member consists solely of the Closing Stock Consideration issued to the such member at the Closing and assuming the accuracy of the representations and warranties, and compliance with the agreements, or Parent pursuant to the Purchase Agreement such Parent Stock is free and clear of all liens, pledges, security interests, charges, claims, encumbrances, agreements, options, voting trusts, proxies and other arrangements or restrictions of any kind, other than those imposed by this Agreement or the Lock-Up Letter (“</w:t>
      </w:r>
      <w:r>
        <w:rPr>
          <w:rFonts w:ascii="Times New Roman" w:cs="Times New Roman" w:eastAsia="Times New Roman" w:hAnsi="Times New Roman"/>
          <w:sz w:val="18"/>
          <w:szCs w:val="18"/>
          <w:b w:val="1"/>
          <w:bCs w:val="1"/>
          <w:color w:val="auto"/>
        </w:rPr>
        <w:t>Encumbrances</w:t>
      </w:r>
      <w:r>
        <w:rPr>
          <w:rFonts w:ascii="Times New Roman" w:cs="Times New Roman" w:eastAsia="Times New Roman" w:hAnsi="Times New Roman"/>
          <w:sz w:val="18"/>
          <w:szCs w:val="18"/>
          <w:color w:val="auto"/>
        </w:rPr>
        <w:t>”). Such party has sole voting and dispositive power over all of the Parent Stock beneficially owned by him, and sole power and authority to agree to all of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120"/>
        <w:spacing w:after="0" w:line="282" w:lineRule="auto"/>
        <w:rPr>
          <w:sz w:val="20"/>
          <w:szCs w:val="20"/>
          <w:color w:val="auto"/>
        </w:rPr>
      </w:pPr>
      <w:r>
        <w:rPr>
          <w:rFonts w:ascii="Times New Roman" w:cs="Times New Roman" w:eastAsia="Times New Roman" w:hAnsi="Times New Roman"/>
          <w:sz w:val="18"/>
          <w:szCs w:val="18"/>
          <w:color w:val="auto"/>
        </w:rPr>
        <w:t>matters set forth in this Agreement, with no limitations, qualification or restrictions on such rights, subject to applicable federal securities laws and the terms of this Agreement.</w:t>
      </w:r>
    </w:p>
    <w:p>
      <w:pPr>
        <w:spacing w:after="0" w:line="162" w:lineRule="exact"/>
        <w:rPr>
          <w:sz w:val="20"/>
          <w:szCs w:val="20"/>
          <w:color w:val="auto"/>
        </w:rPr>
      </w:pPr>
    </w:p>
    <w:p>
      <w:pPr>
        <w:ind w:right="40" w:firstLine="656"/>
        <w:spacing w:after="0" w:line="255" w:lineRule="auto"/>
        <w:tabs>
          <w:tab w:leader="none" w:pos="1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Closing Stock Consideration issued to such Investor at the Closing, such member does not have, and does not have any right to acquire, any interest in any Parent Stock or other securities of Parent or any rights, options or other securities convertible into or exercisable or exchangeable (whether or not convertible, exercisable or exchangeable immediately or only after the passage of time or the occurrence of a specified event) for such securities or any obligations measured by the price or value of any securities of Parent, including any swaps or other derivative arrangements designed to produce economic benefits and risks that correspond to the ownership of Parent Stock, whether or not any of the foregoing would give rise to beneficial ownership and whether or not to be settled by delivery of Parent Stock, payment of cash or by other consideration, and without regard to any short position under any such contract or arrangement.</w:t>
      </w:r>
    </w:p>
    <w:p>
      <w:pPr>
        <w:spacing w:after="0" w:line="189" w:lineRule="exact"/>
        <w:rPr>
          <w:rFonts w:ascii="Times New Roman" w:cs="Times New Roman" w:eastAsia="Times New Roman" w:hAnsi="Times New Roman"/>
          <w:sz w:val="18"/>
          <w:szCs w:val="18"/>
          <w:color w:val="auto"/>
        </w:rPr>
      </w:pPr>
    </w:p>
    <w:p>
      <w:pPr>
        <w:ind w:firstLine="8"/>
        <w:spacing w:after="0" w:line="256"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 and Filings</w:t>
      </w:r>
      <w:r>
        <w:rPr>
          <w:rFonts w:ascii="Times New Roman" w:cs="Times New Roman" w:eastAsia="Times New Roman" w:hAnsi="Times New Roman"/>
          <w:sz w:val="18"/>
          <w:szCs w:val="18"/>
          <w:color w:val="auto"/>
        </w:rPr>
        <w:t>. Each member of the Investor Group shall promptly file (and may choose to file collectively) a Schedule 13D reporting ownership of the Parent Stock and the entry into this Agreement, responding to applicable items to conform to their obligations hereunder, and appending or incorporating by reference this Agreement as an exhibit thereto. Investor shall provide to Parent a reasonable opportunity to review such Schedule 13D in advance of filing, and shall consider in good faith any reasonable comments of Parent. Notwithstanding the foregoing, nothing in this Agreement shall require any member of the Investor Group to report beneficial ownership of Parent Stock beneficially owned by any other member of the Investor Group. Each member of the Investor Group does not, by entering into this Agreement, admit that such member is a member of any Group with respect to Parent Stock.</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right="40" w:firstLine="8"/>
        <w:spacing w:after="0" w:line="266"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Applicable to Bona Fide Management Activities</w:t>
      </w:r>
      <w:r>
        <w:rPr>
          <w:rFonts w:ascii="Times New Roman" w:cs="Times New Roman" w:eastAsia="Times New Roman" w:hAnsi="Times New Roman"/>
          <w:sz w:val="18"/>
          <w:szCs w:val="18"/>
          <w:color w:val="auto"/>
        </w:rPr>
        <w:t>. Notwithstanding any other provision of this Agreement, nothing in this Agreement restricts in any way any action or omission taken in good faith by an individual Investor solely in his capacity as a director or executive officer of Parent or any of its subsidiaries and not as a shareholder of Parent.</w:t>
      </w:r>
    </w:p>
    <w:p>
      <w:pPr>
        <w:spacing w:after="0" w:line="176" w:lineRule="exact"/>
        <w:rPr>
          <w:rFonts w:ascii="Times New Roman" w:cs="Times New Roman" w:eastAsia="Times New Roman" w:hAnsi="Times New Roman"/>
          <w:sz w:val="18"/>
          <w:szCs w:val="18"/>
          <w:color w:val="auto"/>
        </w:rPr>
      </w:pPr>
    </w:p>
    <w:p>
      <w:pPr>
        <w:ind w:right="460" w:firstLine="8"/>
        <w:spacing w:after="0" w:line="266"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Purchase Agreement Provisions</w:t>
      </w:r>
      <w:r>
        <w:rPr>
          <w:rFonts w:ascii="Times New Roman" w:cs="Times New Roman" w:eastAsia="Times New Roman" w:hAnsi="Times New Roman"/>
          <w:sz w:val="18"/>
          <w:szCs w:val="18"/>
          <w:color w:val="auto"/>
        </w:rPr>
        <w:t xml:space="preserve">. The provisions of Section 8.3(a) (Specific Performance), Section 9.1 (Notices), Section 9.3 (Interpretation; Construction), Section 9.5 (Governing Law), Section 9.6 (Jurisdiction, Venue and Waiver of Jury Trial), Section 9.9 (Severability; Blue-Pencil) and Section 9.10 (Counterparts) of the Purchase Agreement shall apply to this Agreement as if fully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firstLine="8"/>
        <w:spacing w:after="0" w:line="256"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and Assigns</w:t>
      </w:r>
      <w:r>
        <w:rPr>
          <w:rFonts w:ascii="Times New Roman" w:cs="Times New Roman" w:eastAsia="Times New Roman" w:hAnsi="Times New Roman"/>
          <w:sz w:val="18"/>
          <w:szCs w:val="18"/>
          <w:color w:val="auto"/>
        </w:rPr>
        <w:t>. This Agreement shall be binding upon and shall inure to the benefit of the parties hereto and their respective heirs, legal successors, executors, legal representatives, and permitted assigns. No party may assign any of its rights or obligations hereunder without the prior written consent of the other parties hereto. Notwithstanding anything contained in this Agreement to the contrary, nothing in this Agreement, expressed or implied, is intended to confer on any person (other than, in the case of Parent, their respective successors and assigns and, in the case of the Investor Group, the members of the Investor Group and their respective successors, assigns, heirs, executors and administrators) any rights, remedies, obligations or liabilities under or by reason of this Agreement.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ind w:left="-8" w:firstLine="8"/>
        <w:spacing w:after="0" w:line="255"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Modification; Waiver</w:t>
      </w:r>
      <w:r>
        <w:rPr>
          <w:rFonts w:ascii="Times New Roman" w:cs="Times New Roman" w:eastAsia="Times New Roman" w:hAnsi="Times New Roman"/>
          <w:sz w:val="18"/>
          <w:szCs w:val="18"/>
          <w:color w:val="auto"/>
        </w:rPr>
        <w:t>. This Agreement may only be amended, modified or supplemented by an agreement in writing signed by the parties hereto. No waiver by any party of any of the provisions hereof shall be effective unless explicitly set forth in writing and signed by the party so waiving. Parent alone may waive any restriction set forth in Section 2 of this Agreement with respect to any member of the Investor Group without the consent of other members of the Investor Group and such waiver need not apply to other members of the Investor Group.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9" w:lineRule="exact"/>
        <w:rPr>
          <w:rFonts w:ascii="Times New Roman" w:cs="Times New Roman" w:eastAsia="Times New Roman" w:hAnsi="Times New Roman"/>
          <w:sz w:val="18"/>
          <w:szCs w:val="18"/>
          <w:color w:val="auto"/>
        </w:rPr>
      </w:pPr>
    </w:p>
    <w:p>
      <w:pPr>
        <w:jc w:val="both"/>
        <w:ind w:left="-8" w:right="460" w:firstLine="8"/>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sole and entire agreement of the parties to this Agreement with respect to the subject matter contained herein, and supersedes all prior and contemporaneous understandings, agreements, representations and warranties, both written and oral, with respect to such subject matter.</w:t>
      </w:r>
    </w:p>
    <w:p>
      <w:pPr>
        <w:spacing w:after="0" w:line="176" w:lineRule="exact"/>
        <w:rPr>
          <w:rFonts w:ascii="Times New Roman" w:cs="Times New Roman" w:eastAsia="Times New Roman" w:hAnsi="Times New Roman"/>
          <w:sz w:val="18"/>
          <w:szCs w:val="18"/>
          <w:color w:val="auto"/>
        </w:rPr>
      </w:pPr>
    </w:p>
    <w:p>
      <w:pPr>
        <w:ind w:left="-8" w:right="120" w:firstLine="8"/>
        <w:spacing w:after="0" w:line="261"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this Agreement</w:t>
      </w:r>
      <w:r>
        <w:rPr>
          <w:rFonts w:ascii="Times New Roman" w:cs="Times New Roman" w:eastAsia="Times New Roman" w:hAnsi="Times New Roman"/>
          <w:sz w:val="18"/>
          <w:szCs w:val="18"/>
          <w:color w:val="auto"/>
        </w:rPr>
        <w:t xml:space="preserve">. Notwithstanding the earlier execution and delivery of this Agreement, the effectiveness of this Agreement is conditioned on the Closing of the transactions contemplated by the Purchase Agreement. If the Closing shall occur, this Agreement shall become effective concurrently with the Closing on the Closing Date. If the Purchase Agreement is terminated for any reason in accordance therewith, this Agreement shall be null and void </w:t>
      </w:r>
      <w:r>
        <w:rPr>
          <w:rFonts w:ascii="Times New Roman" w:cs="Times New Roman" w:eastAsia="Times New Roman" w:hAnsi="Times New Roman"/>
          <w:sz w:val="18"/>
          <w:szCs w:val="18"/>
          <w:i w:val="1"/>
          <w:iCs w:val="1"/>
          <w:color w:val="auto"/>
        </w:rPr>
        <w:t>ab initio.</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Standstill Agreement on the date first written above.</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PARENT COMPANY: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Happe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Happe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Standstill]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Joseph Shoemaker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Joseph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Joyce Helmuth</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Joyce Helmuth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Keith Weirich</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Keith Weirich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Kevin Bogan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Kevin Bogan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Kirk Bates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Kirk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Lauranna Miller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Lauranna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Linda Mast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Linda Mast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Lucretia Hochstetler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Lucretia Hochstetler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Mahlon Miller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Mahlon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Marcus Miller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Marcus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Matthew McQuown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Matthew McQuown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Matthew Miller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Matthew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Matthew Utley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Matthew Utley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Ronald Stichter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Ronald Stichter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Gary Shuder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Gary Shuder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Standstill Agreement on the date first written above.</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Sammut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Sammut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[Signature Page to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LETTER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15,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13200 Pioneer Trial, Suite 150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Eden Prairie, Minnesota 55347</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Shares of Winnebago Industries,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by the undersigned pursuant to that certain Stock Purchase Agreement dated September 15, 2019, by and among Octavius Corporation, a Delaware Corporation, Winnebago Industries, Inc., an Iowa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Newmar Corporation, an Indiana corporation, Dutch Real Estate Corp., an Indiana corporation, New-Way Transport Corp., an Indiana corporation, New-Serv, Inc., an Indiana corporation, the “Sellers” identified therein, and Matthew Miller solely in his capacity as Sellers Agent thereunder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Capitalized terms used but not defined in this Agreement shall have the respective meanings set forth in the Purchase Agreement.</w:t>
      </w:r>
    </w:p>
    <w:p>
      <w:pPr>
        <w:spacing w:after="0" w:line="1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undersigned will receive a portion of the Closing Stock Consideration on the Closing Date. In recognition of the benefits that the Purchase Agreement will confer upon the undersigned, and for other good and valuable consideration, the receipt and sufficiency of which are hereby acknowledged, the undersigned agrees with Parent that:</w:t>
      </w:r>
    </w:p>
    <w:p>
      <w:pPr>
        <w:spacing w:after="0" w:line="17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capitalized terms have the following respective meanings: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shall mean any relationship by blood, marriage or adoption, not more remote than first cousin.</w:t>
      </w:r>
    </w:p>
    <w:p>
      <w:pPr>
        <w:spacing w:after="0" w:line="22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shall mean the Closing Stock Consideration issued to the undersigned at the Closing and any shares of capital stock of Parent issued (or issuable upon the conversion or exercise of any warrant, right or other security) which is issued by Parent as a dividend or other distribution with respect to or in exchange for or in replacement of such Closing Stock Consideration.</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shall mean the period of time from and after the Closing Date until the one (1) year anniversary of the Closing Date.</w:t>
      </w:r>
    </w:p>
    <w:p>
      <w:pPr>
        <w:spacing w:after="0" w:line="225" w:lineRule="exact"/>
        <w:rPr>
          <w:rFonts w:ascii="Times New Roman" w:cs="Times New Roman" w:eastAsia="Times New Roman" w:hAnsi="Times New Roman"/>
          <w:sz w:val="18"/>
          <w:szCs w:val="18"/>
          <w:color w:val="auto"/>
        </w:rPr>
      </w:pPr>
    </w:p>
    <w:p>
      <w:pPr>
        <w:ind w:left="1300" w:right="100" w:hanging="644"/>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(i) any direct or indirect sale, assignment, disposition or other transfer, either voluntary or involuntary, of any capital stock or interest in any capital stock or (ii) in respect of any capital stock or interest in any capital stock, to enter into any swap or other agreement, transaction or series of transactions, in each case that has an exercise or conversion privilege or a settlement or payment mechanism determined with reference to or derived from the value of the capital stock of Parent and that hedges or transfers in whole of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ind w:left="1292"/>
        <w:spacing w:after="0" w:line="258" w:lineRule="auto"/>
        <w:rPr>
          <w:sz w:val="20"/>
          <w:szCs w:val="20"/>
          <w:color w:val="auto"/>
        </w:rPr>
      </w:pPr>
      <w:r>
        <w:rPr>
          <w:rFonts w:ascii="Times New Roman" w:cs="Times New Roman" w:eastAsia="Times New Roman" w:hAnsi="Times New Roman"/>
          <w:sz w:val="18"/>
          <w:szCs w:val="18"/>
          <w:color w:val="auto"/>
        </w:rPr>
        <w:t>part, directly or indirectly, the economic consequences of such capital stock or interest in such capital stock, whether any such transaction, swap or series of transactions is to be settled by delivery of securities, in cash or otherwise; provided, that no Transfer shall be deemed to have occurred as a result of the entry into, modification of or existence of any bona fide pledge of the Lock-Up Shares in connection with a secured borrowing transaction, the pledgee with respect to which is a financial institution in the business of engaging in secured lending and similar transactions and which has entered into such transaction in the ordinary course of business.</w:t>
      </w:r>
    </w:p>
    <w:p>
      <w:pPr>
        <w:spacing w:after="0" w:line="184" w:lineRule="exact"/>
        <w:rPr>
          <w:sz w:val="20"/>
          <w:szCs w:val="20"/>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During the Restricted Period, the undersigned will not, without the prior written consent of Parent, Transfer any of the Lock-Up Shares.</w:t>
      </w:r>
    </w:p>
    <w:p>
      <w:pPr>
        <w:spacing w:after="0" w:line="225" w:lineRule="exact"/>
        <w:rPr>
          <w:rFonts w:ascii="Times New Roman" w:cs="Times New Roman" w:eastAsia="Times New Roman" w:hAnsi="Times New Roman"/>
          <w:sz w:val="18"/>
          <w:szCs w:val="18"/>
          <w:color w:val="auto"/>
        </w:rPr>
      </w:pPr>
    </w:p>
    <w:p>
      <w:pPr>
        <w:ind w:left="652" w:right="80" w:hanging="652"/>
        <w:spacing w:after="0" w:line="282"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Shareholder Rights</w:t>
      </w:r>
      <w:r>
        <w:rPr>
          <w:rFonts w:ascii="Times New Roman" w:cs="Times New Roman" w:eastAsia="Times New Roman" w:hAnsi="Times New Roman"/>
          <w:sz w:val="18"/>
          <w:szCs w:val="18"/>
          <w:color w:val="auto"/>
        </w:rPr>
        <w:t>. Nothing in this Agreement limits the rights of the undersigned as a shareholder of Parent, including, but not limited to, the right to vote and receive dividends on the Lock-Up Shares.</w:t>
      </w:r>
    </w:p>
    <w:p>
      <w:pPr>
        <w:spacing w:after="0" w:line="161" w:lineRule="exact"/>
        <w:rPr>
          <w:rFonts w:ascii="Times New Roman" w:cs="Times New Roman" w:eastAsia="Times New Roman" w:hAnsi="Times New Roman"/>
          <w:sz w:val="18"/>
          <w:szCs w:val="18"/>
          <w:color w:val="auto"/>
        </w:rPr>
      </w:pPr>
    </w:p>
    <w:p>
      <w:pPr>
        <w:ind w:left="652" w:hanging="652"/>
        <w:spacing w:after="0" w:line="253"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Notwithstanding Section 2, the undersigned may Transfer the Lock-Up Shares during the Restricted Period with the prior written consent of Parent or may Transfer the Lock-Up Shares without Parent’s consent: (i) as a bona fide gift or gifts, (ii) to any trust or family limited partnership or similar entity for the direct or indirect benefit of the undersigned and/or the Immediate Family of the undersigned and/or bona fide charities, or (iii) (a) if the undersigned is a corporation, the corporation may Transfer the Lock-Up Shares to any wholly owned subsidiary or stockholder of the undersigned; (b) if the undersigned is a partnership or limited partnership, the partnership or limited partnership may Transfer the Lock-Up Shares to its partners or limited partners, as the case may be; and (c) if the undersigned is a limited liability company, the limited liability company may Transfer the Lock-Up Shares to its members;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any such Transfer, it shall be a condition to the Transfer that (A) the donee, trustee, general partner of the family limited partnership, shareholder, partner, limited partner, member or other transferee agree to be bound in writing by the restrictions set forth herein; (B) such transferee shall execute an agreement stating that the transferee is receiving and holding the Lock-Up Shares subject to the provisions of this Agreement; and (C) there shall be no further Transfer of such Lock-Up Shares by such transferee except in accordance with this Agreement.</w:t>
      </w:r>
    </w:p>
    <w:p>
      <w:pPr>
        <w:spacing w:after="0" w:line="192" w:lineRule="exact"/>
        <w:rPr>
          <w:rFonts w:ascii="Times New Roman" w:cs="Times New Roman" w:eastAsia="Times New Roman" w:hAnsi="Times New Roman"/>
          <w:sz w:val="18"/>
          <w:szCs w:val="18"/>
          <w:color w:val="auto"/>
        </w:rPr>
      </w:pPr>
    </w:p>
    <w:p>
      <w:pPr>
        <w:ind w:left="652" w:right="40" w:hanging="652"/>
        <w:spacing w:after="0" w:line="266"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in Violation</w:t>
      </w:r>
      <w:r>
        <w:rPr>
          <w:rFonts w:ascii="Times New Roman" w:cs="Times New Roman" w:eastAsia="Times New Roman" w:hAnsi="Times New Roman"/>
          <w:sz w:val="18"/>
          <w:szCs w:val="18"/>
          <w:color w:val="auto"/>
        </w:rPr>
        <w:t xml:space="preserve">. Any Transfer or attempted Transfer of Lock-Up Shares in violation of this Agreement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Parent shall not, and shall instruct its transfer agent and other third parties not to, record or recognize any such purported transaction on the share register of Parent,</w:t>
      </w:r>
    </w:p>
    <w:p>
      <w:pPr>
        <w:spacing w:after="0" w:line="176" w:lineRule="exact"/>
        <w:rPr>
          <w:rFonts w:ascii="Times New Roman" w:cs="Times New Roman" w:eastAsia="Times New Roman" w:hAnsi="Times New Roman"/>
          <w:sz w:val="18"/>
          <w:szCs w:val="18"/>
          <w:color w:val="auto"/>
        </w:rPr>
      </w:pPr>
    </w:p>
    <w:p>
      <w:pPr>
        <w:jc w:val="both"/>
        <w:ind w:left="652" w:right="460" w:hanging="652"/>
        <w:spacing w:after="0" w:line="261"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Implementation of Restrictions</w:t>
      </w:r>
      <w:r>
        <w:rPr>
          <w:rFonts w:ascii="Times New Roman" w:cs="Times New Roman" w:eastAsia="Times New Roman" w:hAnsi="Times New Roman"/>
          <w:sz w:val="18"/>
          <w:szCs w:val="18"/>
          <w:color w:val="auto"/>
        </w:rPr>
        <w:t>. The undersigned agrees and consents to the entry of stop transfer instructions with Parent’s transfer agent and registrar against the Transfer of the Lock-Up Shares except in compliance with this Agreement. In furtherance of the foregoing, Parent and its transfer agent are hereby authorized to decline to make any Transfer of securities if such Transfer would constitute a violation or breach of this Agreement. Additionally, Parent’s transfer agent is hereby authorized to note the</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28" w:name="page29"/>
    <w:bookmarkEnd w:id="28"/>
    <w:p>
      <w:pPr>
        <w:ind w:left="652" w:right="460"/>
        <w:spacing w:after="0" w:line="282" w:lineRule="auto"/>
        <w:rPr>
          <w:sz w:val="20"/>
          <w:szCs w:val="20"/>
          <w:color w:val="auto"/>
        </w:rPr>
      </w:pPr>
      <w:r>
        <w:rPr>
          <w:rFonts w:ascii="Times New Roman" w:cs="Times New Roman" w:eastAsia="Times New Roman" w:hAnsi="Times New Roman"/>
          <w:sz w:val="18"/>
          <w:szCs w:val="18"/>
          <w:color w:val="auto"/>
        </w:rPr>
        <w:t>restrictions against Transfer of the Lock-Up Shares of this Agreement in its book entry records and, if any of the Lock-Up Shares are issued in certificated form, Parent’s transfer agent is authorized to place a legend upon such certificate stating the restrictions of this Agreement.</w:t>
      </w:r>
    </w:p>
    <w:p>
      <w:pPr>
        <w:spacing w:after="0" w:line="162" w:lineRule="exact"/>
        <w:rPr>
          <w:sz w:val="20"/>
          <w:szCs w:val="20"/>
          <w:color w:val="auto"/>
        </w:rPr>
      </w:pPr>
    </w:p>
    <w:p>
      <w:pPr>
        <w:ind w:left="652" w:right="60" w:hanging="652"/>
        <w:spacing w:after="0" w:line="266" w:lineRule="auto"/>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Purchase Agreement Provisions</w:t>
      </w:r>
      <w:r>
        <w:rPr>
          <w:rFonts w:ascii="Times New Roman" w:cs="Times New Roman" w:eastAsia="Times New Roman" w:hAnsi="Times New Roman"/>
          <w:sz w:val="18"/>
          <w:szCs w:val="18"/>
          <w:color w:val="auto"/>
        </w:rPr>
        <w:t xml:space="preserve">. The provisions of Section 8.3(a) (Specific Performance), Section 9.1 (Notices), Section 9.3 (Interpretation; Construction), Section 9.5 (Governing Law), Section 9.6 (Jurisdiction, Venue and Waiver of Jury Trial), Section 9.9 (Severability; Blue-Pencil) and Section 9.10 (Counterparts) of the Purchase Agreement shall apply to this Agreement as if fully set forth herein, </w:t>
      </w:r>
      <w:r>
        <w:rPr>
          <w:rFonts w:ascii="Times New Roman" w:cs="Times New Roman" w:eastAsia="Times New Roman" w:hAnsi="Times New Roman"/>
          <w:sz w:val="18"/>
          <w:szCs w:val="18"/>
          <w:i w:val="1"/>
          <w:iCs w:val="1"/>
          <w:color w:val="auto"/>
        </w:rPr>
        <w:t>mutatis mutandis.</w:t>
      </w:r>
    </w:p>
    <w:p>
      <w:pPr>
        <w:spacing w:after="0" w:line="176" w:lineRule="exact"/>
        <w:rPr>
          <w:rFonts w:ascii="Times New Roman" w:cs="Times New Roman" w:eastAsia="Times New Roman" w:hAnsi="Times New Roman"/>
          <w:sz w:val="18"/>
          <w:szCs w:val="18"/>
          <w:color w:val="auto"/>
        </w:rPr>
      </w:pPr>
    </w:p>
    <w:p>
      <w:pPr>
        <w:ind w:left="652" w:hanging="652"/>
        <w:spacing w:after="0" w:line="258" w:lineRule="auto"/>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Assigns</w:t>
      </w:r>
      <w:r>
        <w:rPr>
          <w:rFonts w:ascii="Times New Roman" w:cs="Times New Roman" w:eastAsia="Times New Roman" w:hAnsi="Times New Roman"/>
          <w:sz w:val="18"/>
          <w:szCs w:val="18"/>
          <w:color w:val="auto"/>
        </w:rPr>
        <w:t>. The undersigned represents and warrants that the undersigned has full power and authority to enter into this Agreement and sole power and authority to agree to all of the matters set forth in this Agreement, with no limitations, qualifications or restrictions on such rights, subject to applicable federal securities laws and the terms of this Agreement. This Agreement shall be binding upon and shall inure to the benefit of the parties hereto and their respective heirs, successors, executors, legal representatives, and permitted assigns. The undersigned may not assign any of its rights or obligations hereunder without the prior written consent of Parent.</w:t>
      </w:r>
    </w:p>
    <w:p>
      <w:pPr>
        <w:spacing w:after="0" w:line="183" w:lineRule="exact"/>
        <w:rPr>
          <w:rFonts w:ascii="Times New Roman" w:cs="Times New Roman" w:eastAsia="Times New Roman" w:hAnsi="Times New Roman"/>
          <w:sz w:val="18"/>
          <w:szCs w:val="18"/>
          <w:color w:val="auto"/>
        </w:rPr>
      </w:pPr>
    </w:p>
    <w:p>
      <w:pPr>
        <w:ind w:left="652" w:right="40" w:hanging="652"/>
        <w:spacing w:after="0" w:line="258" w:lineRule="auto"/>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Modification, Waiver</w:t>
      </w:r>
      <w:r>
        <w:rPr>
          <w:rFonts w:ascii="Times New Roman" w:cs="Times New Roman" w:eastAsia="Times New Roman" w:hAnsi="Times New Roman"/>
          <w:sz w:val="18"/>
          <w:szCs w:val="18"/>
          <w:color w:val="auto"/>
        </w:rPr>
        <w:t>. This Agreement may only be amended, modified or supplemented by an agreement in writing signed by the parties hereto. No waiver by any party of any of the provisions hereof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3" w:lineRule="exact"/>
        <w:rPr>
          <w:rFonts w:ascii="Times New Roman" w:cs="Times New Roman" w:eastAsia="Times New Roman" w:hAnsi="Times New Roman"/>
          <w:sz w:val="18"/>
          <w:szCs w:val="18"/>
          <w:color w:val="auto"/>
        </w:rPr>
      </w:pPr>
    </w:p>
    <w:p>
      <w:pPr>
        <w:ind w:left="652" w:right="160" w:hanging="652"/>
        <w:spacing w:after="0" w:line="266" w:lineRule="auto"/>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sole and entire agreement of the parties to this Agreement with respect to the subject matter contained herein, and supersedes all prior and contemporaneous understandings, agreements, representations and warranties, both written and oral, with respect to such subject matter.</w:t>
      </w:r>
    </w:p>
    <w:p>
      <w:pPr>
        <w:spacing w:after="0" w:line="176" w:lineRule="exact"/>
        <w:rPr>
          <w:rFonts w:ascii="Times New Roman" w:cs="Times New Roman" w:eastAsia="Times New Roman" w:hAnsi="Times New Roman"/>
          <w:sz w:val="18"/>
          <w:szCs w:val="18"/>
          <w:color w:val="auto"/>
        </w:rPr>
      </w:pPr>
    </w:p>
    <w:p>
      <w:pPr>
        <w:ind w:left="652" w:right="240" w:hanging="652"/>
        <w:spacing w:after="0" w:line="261" w:lineRule="auto"/>
        <w:tabs>
          <w:tab w:leader="none" w:pos="6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this Agreement</w:t>
      </w:r>
      <w:r>
        <w:rPr>
          <w:rFonts w:ascii="Times New Roman" w:cs="Times New Roman" w:eastAsia="Times New Roman" w:hAnsi="Times New Roman"/>
          <w:sz w:val="18"/>
          <w:szCs w:val="18"/>
          <w:color w:val="auto"/>
        </w:rPr>
        <w:t xml:space="preserve">. Notwithstanding the earlier execution and delivery of this Agreement the effectiveness of this Agreement is conditioned on the Closing of the transactions contemplated by the Purchase Agreement. If the Closing shall occur, this Agreement shall become effective concurrently with the Closing on the Closing Date. If the Purchase Agreement is terminated for any reason in accordance therewith this Agreement shall be null and void </w:t>
      </w:r>
      <w:r>
        <w:rPr>
          <w:rFonts w:ascii="Times New Roman" w:cs="Times New Roman" w:eastAsia="Times New Roman" w:hAnsi="Times New Roman"/>
          <w:sz w:val="18"/>
          <w:szCs w:val="18"/>
          <w:i w:val="1"/>
          <w:iCs w:val="1"/>
          <w:color w:val="auto"/>
        </w:rPr>
        <w:t>ab initio.</w:t>
      </w:r>
    </w:p>
    <w:p>
      <w:pPr>
        <w:spacing w:after="0" w:line="18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37"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Utley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Utley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Ronald Stichter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Stichter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0" w:lineRule="exact"/>
        <w:rPr>
          <w:sz w:val="20"/>
          <w:szCs w:val="20"/>
          <w:color w:val="auto"/>
        </w:rPr>
      </w:pPr>
    </w:p>
    <w:p>
      <w:pPr>
        <w:jc w:val="right"/>
        <w:ind w:right="3299"/>
        <w:spacing w:after="0"/>
        <w:rPr>
          <w:sz w:val="20"/>
          <w:szCs w:val="20"/>
          <w:color w:val="auto"/>
        </w:rPr>
      </w:pPr>
      <w:r>
        <w:rPr>
          <w:rFonts w:ascii="Times New Roman" w:cs="Times New Roman" w:eastAsia="Times New Roman" w:hAnsi="Times New Roman"/>
          <w:sz w:val="18"/>
          <w:szCs w:val="18"/>
          <w:color w:val="auto"/>
        </w:rPr>
        <w:t>Signature Page to Lock Up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Shuder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Shuder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Sammut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Sammut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Shoemaker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Joyce Helmuth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Helmuth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Weirich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Weirich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Bogan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Bogan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Kirk Bates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Lauranna Miller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Lauranna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Linda Mast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Mast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Lucretia Hochstetler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Lucretia Hochstetler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Mahlon Miller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Mahlon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Marcus Miller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McQuown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McQuown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Miller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8"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333-31595, No. 333-47123, No. 333-113246, No. 333-194854, No. 333-222261 and No. 333-232220 on Form S-8 and No. 333-215641 on Form S-3 of Winnebago Industries, Inc. of our report dated January 29, 2019, except Note 11, as to which the date is October 25, 2019, on the consolidated financial statements of Newmar Corporation and Subsidiaries, which is included in this Current Report on Form 8-K.</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Crowe LLP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Crowe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Bend,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Winnebago Industries Completes Acquisition of Newmar</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FOREST CITY, IA, November 8, 2019 — Winnebago Industries, Inc. (NYSE: WGO), a leading outdoor lifestyle product manufacturer, today announced that it has completed the previously announced acquisition of Newmar Corporation (“Newmar”), a leading manufacturer of Class A and Super C motorized recreation vehicles (RVs). Consideration paid included $270 million in cash plus two million shares of Winnebago Industries common stock.</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acquisition of Newmar further strengthens our core RV Platform and enhances the scale and profitability of our overall motorhome business,” said Winnebago Industries President and Chief Executive Officer, Michael Happe. “We are excited to welcome Newmar into our premium portfolio and look forward to working with their dedicated and talented team and high-quality dealer network to drive new growth opportunities and significant value creation for our employees, customers, and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acted as financial advisor to Winnebago Industries and Faegre Baker Daniels LLP served as legal advisor.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Winnebago Industries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Winnebago Industries, Inc. is a leading U.S. manufacturer of outdoor lifestyle products under the Winnebago, Grand Design, Newmar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Newmar Corporation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Established in 1968, Newmar is an innovator and leader in the RV manufacturing industry. Newmar has an industry leading portfolio of premium motorhomes in the Class A Diesel, Class A Gas and Super C categories sold through a nationwide dealer network in the US and Canada. Newmar is well known for its product quality and unique customer service model. Newmar is located in Nappanee, Indiana and has manufacturing and customer service operations there. A nationwide network of 55 dealer service centers provides customer service and support.</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Investors are cautioned that forward-looking statements are inherently uncertain and involve potential risks and uncertainties. A number of factors could cause actual results to differ materially from these statements, including, but not limited to competition and new product introductions by competitors, our ability to attract and retain qualified personnel, increases in market compensation rates, business or production disruptions, sales order cancellations, risk related to the terms of our credit agreement and compliance with debt covenants and leverage ratios, stock price volatility and share dilution, disruptions or unanticipated costs from facility expansions, availability of labor, a slowdown in the economy, low consumer confidence, the effect of global tensions, increases in interest rates, availability of credit, availability of financing for RV and marine dealers, impairment of good will, risk related to cyclicality and seasonality of our business, slower than anticipated sales of new or existing products, integration of operations relating to merger and acquisition activities generally, the possibility that the Newmar acquisition may not perform as expected or may not result in earnings growth, difficulties and expenses related to integrating Newmar into our business, possible unknown liabilities of Newmar, significant costs related to the Newmar acquisition, increased focus of management attention and resources on the Newmar Acquisition,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the implementation of our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7" w:name="page48"/>
    <w:bookmarkEnd w:id="47"/>
    <w:p>
      <w:pPr>
        <w:spacing w:after="0" w:line="256" w:lineRule="auto"/>
        <w:rPr>
          <w:sz w:val="20"/>
          <w:szCs w:val="20"/>
          <w:color w:val="auto"/>
        </w:rPr>
      </w:pPr>
      <w:r>
        <w:rPr>
          <w:rFonts w:ascii="Times New Roman" w:cs="Times New Roman" w:eastAsia="Times New Roman" w:hAnsi="Times New Roman"/>
          <w:sz w:val="18"/>
          <w:szCs w:val="18"/>
          <w:color w:val="auto"/>
        </w:rPr>
        <w:t>Resource Planning system, risk related to data security, governmental regulation, including for climate change and risk related to anti-takeover provisions applicable to us.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Stuber - Investor Relations - 952-828-8461 - srstuber@wgo.net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 Sam Jefson - Public Relations Specialist - 641-585-6803 - sjefson@wgo.net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9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tc>
      </w:tr>
      <w:tr>
        <w:trPr>
          <w:trHeight w:val="432"/>
        </w:trPr>
        <w:tc>
          <w:tcPr>
            <w:tcW w:w="910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NEWMAR CORPORATION AND SUBSIDIARIES</w:t>
            </w:r>
          </w:p>
        </w:tc>
        <w:tc>
          <w:tcPr>
            <w:tcW w:w="2360" w:type="dxa"/>
            <w:vAlign w:val="bottom"/>
          </w:tcPr>
          <w:p>
            <w:pPr>
              <w:spacing w:after="0"/>
              <w:rPr>
                <w:sz w:val="24"/>
                <w:szCs w:val="24"/>
                <w:color w:val="auto"/>
              </w:rPr>
            </w:pPr>
          </w:p>
        </w:tc>
      </w:tr>
      <w:tr>
        <w:trPr>
          <w:trHeight w:val="414"/>
        </w:trPr>
        <w:tc>
          <w:tcPr>
            <w:tcW w:w="910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FINANCIAL STATEMENTS (unaudited)</w:t>
            </w:r>
          </w:p>
        </w:tc>
        <w:tc>
          <w:tcPr>
            <w:tcW w:w="2360" w:type="dxa"/>
            <w:vAlign w:val="bottom"/>
          </w:tcPr>
          <w:p>
            <w:pPr>
              <w:spacing w:after="0"/>
              <w:rPr>
                <w:sz w:val="24"/>
                <w:szCs w:val="24"/>
                <w:color w:val="auto"/>
              </w:rPr>
            </w:pPr>
          </w:p>
        </w:tc>
      </w:tr>
      <w:tr>
        <w:trPr>
          <w:trHeight w:val="234"/>
        </w:trPr>
        <w:tc>
          <w:tcPr>
            <w:tcW w:w="910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99"/>
              </w:rPr>
              <w:t>June 30, 2019</w:t>
            </w:r>
          </w:p>
        </w:tc>
        <w:tc>
          <w:tcPr>
            <w:tcW w:w="2360" w:type="dxa"/>
            <w:vAlign w:val="bottom"/>
          </w:tcPr>
          <w:p>
            <w:pPr>
              <w:spacing w:after="0"/>
              <w:rPr>
                <w:sz w:val="20"/>
                <w:szCs w:val="20"/>
                <w:color w:val="auto"/>
              </w:rPr>
            </w:pPr>
          </w:p>
        </w:tc>
      </w:tr>
      <w:tr>
        <w:trPr>
          <w:trHeight w:val="432"/>
        </w:trPr>
        <w:tc>
          <w:tcPr>
            <w:tcW w:w="910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CONTENTS</w:t>
            </w:r>
          </w:p>
        </w:tc>
        <w:tc>
          <w:tcPr>
            <w:tcW w:w="2360" w:type="dxa"/>
            <w:vAlign w:val="bottom"/>
          </w:tcPr>
          <w:p>
            <w:pPr>
              <w:spacing w:after="0"/>
              <w:rPr>
                <w:sz w:val="24"/>
                <w:szCs w:val="24"/>
                <w:color w:val="auto"/>
              </w:rPr>
            </w:pPr>
          </w:p>
        </w:tc>
      </w:tr>
      <w:tr>
        <w:trPr>
          <w:trHeight w:val="41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360" w:type="dxa"/>
            <w:vAlign w:val="bottom"/>
          </w:tcPr>
          <w:p>
            <w:pPr>
              <w:spacing w:after="0"/>
              <w:rPr>
                <w:sz w:val="24"/>
                <w:szCs w:val="24"/>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SHEET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STATEMENTS OF INCOME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STATEMENTS OF CHANGES IN SHAREHOLDERS’ EQUITY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STATEMENTS OF CASH FLOWS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48"/>
        </w:trPr>
        <w:tc>
          <w:tcPr>
            <w:tcW w:w="91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5,753,291</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4,210,000</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(after allowance for doubtful accounts of $100,000)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42,166,218</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70,477,004</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show fees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660,509</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 and other current assets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2,331,819</w:t>
            </w: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125,598,841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7,100,636</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center building</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6,525,766</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12,188,401</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621,081</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2,648,624</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Molds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3,893,586</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Construction-in-process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1,475,650</w:t>
            </w:r>
          </w:p>
        </w:tc>
        <w:tc>
          <w:tcPr>
            <w:tcW w:w="0" w:type="dxa"/>
            <w:vAlign w:val="bottom"/>
          </w:tcPr>
          <w:p>
            <w:pPr>
              <w:spacing w:after="0"/>
              <w:rPr>
                <w:sz w:val="1"/>
                <w:szCs w:val="1"/>
                <w:color w:val="auto"/>
              </w:rPr>
            </w:pPr>
          </w:p>
        </w:tc>
      </w:tr>
      <w:tr>
        <w:trPr>
          <w:trHeight w:val="210"/>
        </w:trPr>
        <w:tc>
          <w:tcPr>
            <w:tcW w:w="99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34,453,744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(19,457,292)</w:t>
            </w:r>
          </w:p>
        </w:tc>
        <w:tc>
          <w:tcPr>
            <w:tcW w:w="0" w:type="dxa"/>
            <w:vAlign w:val="bottom"/>
          </w:tcPr>
          <w:p>
            <w:pPr>
              <w:spacing w:after="0"/>
              <w:rPr>
                <w:sz w:val="1"/>
                <w:szCs w:val="1"/>
                <w:color w:val="auto"/>
              </w:rPr>
            </w:pPr>
          </w:p>
        </w:tc>
      </w:tr>
      <w:tr>
        <w:trPr>
          <w:trHeight w:val="210"/>
        </w:trPr>
        <w:tc>
          <w:tcPr>
            <w:tcW w:w="99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14,996,452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140,595,293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dealer incentive bonuses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1,583,000</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dealer promotions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1,125,735</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17,424,110</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wages payable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7,147,807</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taxes payable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1,061,545</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warranty claims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15,860,000</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profit sharing</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560,556</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group insurance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569,749</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repurchase obligation</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305,000</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payable — short term</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511,378</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416,255</w:t>
            </w: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46,565,135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notes payable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3,689,820</w:t>
            </w: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Lease payable — long term</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5,584,416</w:t>
            </w: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17,274,236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common stock</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123,740,227</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 voting</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no par value; nonvoting</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(46,992,028)</w:t>
            </w:r>
          </w:p>
        </w:tc>
        <w:tc>
          <w:tcPr>
            <w:tcW w:w="0" w:type="dxa"/>
            <w:vAlign w:val="bottom"/>
          </w:tcPr>
          <w:p>
            <w:pPr>
              <w:spacing w:after="0"/>
              <w:rPr>
                <w:sz w:val="1"/>
                <w:szCs w:val="1"/>
                <w:color w:val="auto"/>
              </w:rPr>
            </w:pPr>
          </w:p>
        </w:tc>
      </w:tr>
      <w:tr>
        <w:trPr>
          <w:trHeight w:val="210"/>
        </w:trPr>
        <w:tc>
          <w:tcPr>
            <w:tcW w:w="99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(46,984,305)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140,595,293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2019 and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5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330,021,521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287,824,645</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289,956,966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251,508,094</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40,064,555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36,316,551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20,753,739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18,975,275</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19,310,816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17,341,276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524,937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143,779</w:t>
            </w:r>
          </w:p>
        </w:tc>
      </w:tr>
      <w:tr>
        <w:trPr>
          <w:trHeight w:val="21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18,785,879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17,197,497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1" w:name="page52"/>
    <w:bookmarkEnd w:id="5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NEWMAR CORPORATION AND SUBSIDIARIES CONSOLIDATED STATEMENTS OF CHANGES IN SHAREHOLDERS’ EQUITY (Unaudited) Six months ended June 30, 2019 and 2018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2018</w:t>
            </w: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7,723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(14,201,151)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(14,193,428)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17,197,497</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17,197,497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redemption value of redeemable common stock</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(50,618,172)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(50,618,172)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0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(16,801,968)</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(16,801,968)</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2018</w:t>
            </w:r>
          </w:p>
        </w:tc>
        <w:tc>
          <w:tcPr>
            <w:tcW w:w="108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(64,423,794)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(64,416,071)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2019</w:t>
            </w: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vMerge w:val="continue"/>
          </w:tcPr>
          <w:p>
            <w:pPr>
              <w:spacing w:after="0"/>
              <w:rPr>
                <w:sz w:val="17"/>
                <w:szCs w:val="17"/>
                <w:color w:val="auto"/>
              </w:rPr>
            </w:pPr>
          </w:p>
        </w:tc>
        <w:tc>
          <w:tcPr>
            <w:tcW w:w="960" w:type="dxa"/>
            <w:vAlign w:val="bottom"/>
          </w:tcPr>
          <w:p>
            <w:pPr>
              <w:jc w:val="right"/>
              <w:ind w:right="7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7,723</w:t>
            </w:r>
          </w:p>
        </w:tc>
        <w:tc>
          <w:tcPr>
            <w:tcW w:w="28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(52,753,743)</w:t>
            </w:r>
          </w:p>
        </w:tc>
        <w:tc>
          <w:tcPr>
            <w:tcW w:w="28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(52,746,020)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18,785,879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18,785,879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0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(13,024,164)</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(13,024,164)</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2019</w:t>
            </w:r>
          </w:p>
        </w:tc>
        <w:tc>
          <w:tcPr>
            <w:tcW w:w="108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(46,992,028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(46,984,305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2019 and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18,785,879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17,197,497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1,452,992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844,718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(5,495,420)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12,635</w:t>
            </w:r>
          </w:p>
        </w:tc>
        <w:tc>
          <w:tcPr>
            <w:tcW w:w="0" w:type="dxa"/>
            <w:vAlign w:val="bottom"/>
          </w:tcPr>
          <w:p>
            <w:pPr>
              <w:spacing w:after="0"/>
              <w:rPr>
                <w:sz w:val="1"/>
                <w:szCs w:val="1"/>
                <w:color w:val="auto"/>
              </w:rPr>
            </w:pPr>
          </w:p>
        </w:tc>
      </w:tr>
      <w:tr>
        <w:trPr>
          <w:trHeight w:val="216"/>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(5,634,199)</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(14,618,895)</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assets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(1,395,418)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(984,370)</w:t>
            </w:r>
          </w:p>
        </w:tc>
        <w:tc>
          <w:tcPr>
            <w:tcW w:w="0" w:type="dxa"/>
            <w:vAlign w:val="bottom"/>
          </w:tcPr>
          <w:p>
            <w:pPr>
              <w:spacing w:after="0"/>
              <w:rPr>
                <w:sz w:val="1"/>
                <w:szCs w:val="1"/>
                <w:color w:val="auto"/>
              </w:rPr>
            </w:pPr>
          </w:p>
        </w:tc>
      </w:tr>
      <w:tr>
        <w:trPr>
          <w:trHeight w:val="216"/>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dealer incentive bonuses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68,500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dealer promotions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16"/>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6,902,420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10,235,992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Salaries and wages payable</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5,379,193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5,756,838</w:t>
            </w:r>
          </w:p>
        </w:tc>
        <w:tc>
          <w:tcPr>
            <w:tcW w:w="0" w:type="dxa"/>
            <w:vAlign w:val="bottom"/>
          </w:tcPr>
          <w:p>
            <w:pPr>
              <w:spacing w:after="0"/>
              <w:rPr>
                <w:sz w:val="1"/>
                <w:szCs w:val="1"/>
                <w:color w:val="auto"/>
              </w:rPr>
            </w:pPr>
          </w:p>
        </w:tc>
      </w:tr>
      <w:tr>
        <w:trPr>
          <w:trHeight w:val="216"/>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taxes payable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382,190</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(194,248)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warranty claims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1,360,600</w:t>
            </w:r>
          </w:p>
        </w:tc>
        <w:tc>
          <w:tcPr>
            <w:tcW w:w="0" w:type="dxa"/>
            <w:vAlign w:val="bottom"/>
          </w:tcPr>
          <w:p>
            <w:pPr>
              <w:spacing w:after="0"/>
              <w:rPr>
                <w:sz w:val="1"/>
                <w:szCs w:val="1"/>
                <w:color w:val="auto"/>
              </w:rPr>
            </w:pPr>
          </w:p>
        </w:tc>
      </w:tr>
      <w:tr>
        <w:trPr>
          <w:trHeight w:val="216"/>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profit sharing</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(518,448)</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(469,190)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group insurance</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36,259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(18,009)</w:t>
            </w:r>
          </w:p>
        </w:tc>
        <w:tc>
          <w:tcPr>
            <w:tcW w:w="0" w:type="dxa"/>
            <w:vAlign w:val="bottom"/>
          </w:tcPr>
          <w:p>
            <w:pPr>
              <w:spacing w:after="0"/>
              <w:rPr>
                <w:sz w:val="1"/>
                <w:szCs w:val="1"/>
                <w:color w:val="auto"/>
              </w:rPr>
            </w:pPr>
          </w:p>
        </w:tc>
      </w:tr>
      <w:tr>
        <w:trPr>
          <w:trHeight w:val="216"/>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306,745</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(97,409)</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20,641,693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19,260,259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(1,275,614)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(1,568,108)</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to shareholder</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proceeds of certificates of deposit, net</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(1,025,000)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(2,299,614)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borrowings under bank revolving line of credit agreement, net</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lease payable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(246,504)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(13,024,164)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(16,801,968)</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3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(16,270,668)</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(14,801,968)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2,071,411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3,681,880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2,237,612</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5,753,291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4,327,795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524,937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143,779</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 acquired through financing obligation</w:t>
            </w:r>
          </w:p>
        </w:tc>
        <w:tc>
          <w:tcPr>
            <w:tcW w:w="1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6,525,766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Nature of Business: </w:t>
      </w:r>
      <w:r>
        <w:rPr>
          <w:rFonts w:ascii="Times New Roman" w:cs="Times New Roman" w:eastAsia="Times New Roman" w:hAnsi="Times New Roman"/>
          <w:sz w:val="18"/>
          <w:szCs w:val="18"/>
          <w:color w:val="auto"/>
        </w:rPr>
        <w:t>Newmar Corporation and Subsidiaries is a recreational vehicle manufacturer operating from facilities in Nappanee, Indiana.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sells primarily to dealers throughout the United States and select foreign countries. Substantially all of the Company’s products are sold to dealers who utilize floor plan arrangements with lending institutions (Note 10). Newmar Risk Management, Inc. (NRM) is a captive insurance company providing commercial property and various liability insurance to Newmar Corporation. NRM is a participant in a certain reinsurance agreement with other captive insurance companies. Newmar Corporation International, Inc. is an interest charge domestic international sales corporation that collects tax deductible commissions from Newmar Corporation.</w:t>
      </w:r>
    </w:p>
    <w:p>
      <w:pPr>
        <w:spacing w:after="0" w:line="183"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Reporting: </w:t>
      </w:r>
      <w:r>
        <w:rPr>
          <w:rFonts w:ascii="Times New Roman" w:cs="Times New Roman" w:eastAsia="Times New Roman" w:hAnsi="Times New Roman"/>
          <w:sz w:val="18"/>
          <w:szCs w:val="18"/>
          <w:color w:val="auto"/>
        </w:rPr>
        <w:t>These financial statements include the financial position and results of operations of Newmar Corporation and its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Newmar Corporation International, Inc. and Newmar Risk Management, Inc. (collectively, the “Company”). All significant intercompany accounts and transactions have been eliminated in consolidation.</w:t>
      </w:r>
    </w:p>
    <w:p>
      <w:pPr>
        <w:spacing w:after="0" w:line="174"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As of June 30, 2019, the Company maintains cash deposits with two financial institutions. Each of the institutions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insured by an agency of the U.S. Government up to $250,000 and at times, deposits may be in excess of federally insured limits. The Company considers all highly liquid investments with original maturities of three months or less to be cash equivalents.</w:t>
      </w:r>
    </w:p>
    <w:p>
      <w:pPr>
        <w:spacing w:after="0" w:line="174"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Certificates of Deposit: </w:t>
      </w:r>
      <w:r>
        <w:rPr>
          <w:rFonts w:ascii="Times New Roman" w:cs="Times New Roman" w:eastAsia="Times New Roman" w:hAnsi="Times New Roman"/>
          <w:sz w:val="18"/>
          <w:szCs w:val="18"/>
          <w:color w:val="auto"/>
        </w:rPr>
        <w:t>Investments consists of certificates of deposit. The certificates of deposits are carried at amortized cost, which approximates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at June 30, 2019.</w:t>
      </w:r>
    </w:p>
    <w:p>
      <w:pPr>
        <w:spacing w:after="0" w:line="158"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The Company accounts for trade receivables based on the amounts billed to customers. Most billings and past due receivables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determined based on contractual terms. The Company does not charge interest on any of its trade receivables.</w:t>
      </w:r>
    </w:p>
    <w:p>
      <w:pPr>
        <w:spacing w:after="0" w:line="15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The allowance for doubtful accounts is determined by management based on the Company’s historical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customer circumstances, and general economic conditions. Periodically, management reviews accounts receivable, records an allowance for specific customers based on current circumstances, and charges off uncollectible receivables when all attempts to collect have failed.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Inventories, Net: </w:t>
      </w:r>
      <w:r>
        <w:rPr>
          <w:rFonts w:ascii="Times New Roman" w:cs="Times New Roman" w:eastAsia="Times New Roman" w:hAnsi="Times New Roman"/>
          <w:sz w:val="18"/>
          <w:szCs w:val="18"/>
          <w:color w:val="auto"/>
        </w:rPr>
        <w:t>Inventories are valued at the lower of cost (first-in first-out method) or net realizable value.</w:t>
      </w:r>
    </w:p>
    <w:p>
      <w:pPr>
        <w:spacing w:after="0" w:line="225"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and Depreciation: </w:t>
      </w:r>
      <w:r>
        <w:rPr>
          <w:rFonts w:ascii="Times New Roman" w:cs="Times New Roman" w:eastAsia="Times New Roman" w:hAnsi="Times New Roman"/>
          <w:sz w:val="18"/>
          <w:szCs w:val="18"/>
          <w:color w:val="auto"/>
        </w:rPr>
        <w:t>Assets are recorded at cost less accumulated depreciation. Repairs and maintenance are expensed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incurred; additions and betterments are capitalized. As assets are sold or disposed of, the cost and accumulated depreciation are removed from the accounts and any resulting gain or loss is reflected in current earnings.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the asset’s useful life, generally over 5 years. Depreciation is computed using the straight-line method over the estimated useful lives of the respective assets as follows: machinery and equipment, 7 years; transportation equipment, 5 years; office furniture and equipment, 5 to 7 years; service center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4" w:name="page55"/>
    <w:bookmarkEnd w:id="5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(Unaudited) (Continued) June 30, 2019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10 years; molds, 3 years. Depreciation expense for the six month periods ended June 30, 2019 and 2018 was $1,452,992 and $844,718, respectively.</w:t>
      </w:r>
    </w:p>
    <w:p>
      <w:pPr>
        <w:spacing w:after="0" w:line="223"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Accrued Dealer Incentive Bonuses: </w:t>
      </w:r>
      <w:r>
        <w:rPr>
          <w:rFonts w:ascii="Times New Roman" w:cs="Times New Roman" w:eastAsia="Times New Roman" w:hAnsi="Times New Roman"/>
          <w:sz w:val="18"/>
          <w:szCs w:val="18"/>
          <w:color w:val="auto"/>
        </w:rPr>
        <w:t>Estimated dealer incentive bonuses are accrued for at the time of the sale of recreational vehicles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against sales.</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Accrued Dealer Promotions: </w:t>
      </w:r>
      <w:r>
        <w:rPr>
          <w:rFonts w:ascii="Times New Roman" w:cs="Times New Roman" w:eastAsia="Times New Roman" w:hAnsi="Times New Roman"/>
          <w:sz w:val="18"/>
          <w:szCs w:val="18"/>
          <w:color w:val="auto"/>
        </w:rPr>
        <w:t>Estimated dealer promotions, such as advertisement, show assistance, and sales incentives, are accrued for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sale of recreational vehicles and are charged against sales.</w:t>
      </w:r>
    </w:p>
    <w:p>
      <w:pPr>
        <w:spacing w:after="0" w:line="158"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Accrued Warranty Claims: </w:t>
      </w:r>
      <w:r>
        <w:rPr>
          <w:rFonts w:ascii="Times New Roman" w:cs="Times New Roman" w:eastAsia="Times New Roman" w:hAnsi="Times New Roman"/>
          <w:sz w:val="18"/>
          <w:szCs w:val="18"/>
          <w:color w:val="auto"/>
        </w:rPr>
        <w:t>The Company provides limited warranties on recreational vehicles for a period of one year from the time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takes delivery of the vehicle. An estimated warranty cost liability is provided for at the time of the sale. Provisions are accrued for future warranty costs based on the Company’s historical experience.</w:t>
      </w:r>
    </w:p>
    <w:p>
      <w:pPr>
        <w:spacing w:after="0" w:line="174"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Redeemable Common Stock: </w:t>
      </w:r>
      <w:r>
        <w:rPr>
          <w:rFonts w:ascii="Times New Roman" w:cs="Times New Roman" w:eastAsia="Times New Roman" w:hAnsi="Times New Roman"/>
          <w:sz w:val="18"/>
          <w:szCs w:val="18"/>
          <w:color w:val="auto"/>
        </w:rPr>
        <w:t>The Company reports common stock subject to redemption features that are outside the control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separately from permanent shareholders’ equity. See Note 11.</w:t>
      </w:r>
    </w:p>
    <w:p>
      <w:pPr>
        <w:spacing w:after="0" w:line="158"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from the sale of recreational vehicles is recognized at the time the products are shipped. The shipping terms are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board (“FOB”) shipping point and title and risk of ownership are transferred to the independent dealers at that time.</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Advertising costs consist primarily of trade shows and literature. Sale materials for literature including brochures and catalogs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prepaid supplies until they are used or no longer expected to be used, in which case their cost is expensed. Trade shows are expensed in the period in which the show occurs. Other advertising costs are expensed when incurred. Advertising expense for the six month periods ended June 30, 2019 and 2018 was $2,685,609 and $1,267,006, respectively.</w:t>
      </w:r>
    </w:p>
    <w:p>
      <w:pPr>
        <w:spacing w:after="0" w:line="18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The Company records freight billed to customers as sales. Costs incurred related to shipping and handling of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reported as cost of sales.</w:t>
      </w:r>
    </w:p>
    <w:p>
      <w:pPr>
        <w:spacing w:after="0" w:line="158"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Use of Estimates and Assumptions: </w:t>
      </w:r>
      <w:r>
        <w:rPr>
          <w:rFonts w:ascii="Times New Roman" w:cs="Times New Roman" w:eastAsia="Times New Roman" w:hAnsi="Times New Roman"/>
          <w:sz w:val="17"/>
          <w:szCs w:val="17"/>
          <w:color w:val="auto"/>
        </w:rPr>
        <w:t>The preparation of financial statements in conformity with accounting principles generally accepted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States of America requires management to make estimates and assumptions that affect the reported amounts of assets and liabilities, disclosure of contingent assets and liabilities at the date of the financial statements and reported amounts of revenues and expenses during the reporting period. These estimates and assumptions may change in the near future resulting in different actual results. Estimates associated with the allowance for doubtful accounts, accrued warranty claims, insurance loss reserve, and accrued repurchase obligations are particularly susceptible to material change in the near term.</w:t>
      </w:r>
    </w:p>
    <w:p>
      <w:pPr>
        <w:spacing w:after="0" w:line="16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Effective January 1, 1990, the Company elected, with the consent of its shareholders, to be taxed as an S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Section 1362 of the Internal Revenue Code and a similar section of the state income tax laws where available which provides that, in lieu of corporate income taxes, the shareholders will be taxed on their proportionate share of the Company’s taxable income. Due to its pass through status (or tax-exempt status); the Company is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5" w:name="page56"/>
    <w:bookmarkEnd w:id="55"/>
    <w:p>
      <w:pPr>
        <w:jc w:val="center"/>
        <w:ind w:left="280" w:right="2340"/>
        <w:spacing w:after="0" w:line="27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(Unaudited) (Continued) June 30, 2019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 (Continued)</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not subject to U.S. federal income tax. The Company files in various states in which it has a franchise/excise tax or where the Company has elected or is required to file as a regular corporation under those state statutes and these income taxes are included in operating expenses with franchise taxes and gross receipts taxes since the amount of income taxes is not significant.</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Newmar Risk Management, Inc. has elected to be taxed under Section 831(b) of the Internal Revenue Code. Pursuant to Section 831(b), if gross premiums do not exceed $2,300,000, then Newmar Risk Management, Inc. is taxed solely on its investment income.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follows guidance issued by the Financial Accounting Standards Board with respect to accounting for uncertainty in income taxes.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18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The Company recognizes interest and penalties related to unrecognized tax benefits in interest and income tax expense, respectively. The Company has no amounts accrued for interest or penalties as of June 30, 2019 and 2018. The Company does not expect the total amount of unrecognized tax benefits to significantly change in the next 12 months. The Company’s major tax jurisdictions are the United States government and various state governments for which management believes that with few exceptions, the Company is no longer subject to income tax examinations by these tax authorities for years prior to 2015.</w:t>
      </w:r>
    </w:p>
    <w:p>
      <w:pPr>
        <w:spacing w:after="0" w:line="16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Management has performed an analysis of the activities and transactions subsequent to June 30, 2019 to determine the need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adjustments to and/or disclosures within the financial statements for the period ended June 30, 2019. Management has performed their analysis through October 25, 2019, the date the financial statements were available to be issued.</w:t>
      </w:r>
    </w:p>
    <w:p>
      <w:pPr>
        <w:spacing w:after="0" w:line="17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Not Yet Effective: </w:t>
      </w:r>
      <w:r>
        <w:rPr>
          <w:rFonts w:ascii="Times New Roman" w:cs="Times New Roman" w:eastAsia="Times New Roman" w:hAnsi="Times New Roman"/>
          <w:sz w:val="18"/>
          <w:szCs w:val="18"/>
          <w:color w:val="auto"/>
        </w:rPr>
        <w:t>The Company has not yet adopted ASU 2014-09, Revenue from Contracts with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which establishes a comprehensive five-step model for recognition of revenue from contracts with customers that will replace most of the accounting guidance currently effective and used in determining amounts and timing of revenue recognition. The effective date for this standard is for annual reporting periods beginning after December 15, 2018, which includes the Company’s current year end period for 2019. This standard does not apply to the interim period ended June 30, 2019. Based on an analysis of the Company’s historical internal accounting procedures and revenue recognition policies, the Company does not expect a material impact to its consolidated financial statements upon the adoption of this standard.</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yet adopted ASU 2016-02, Leases (Topic 842), which requires the Company to recognize both assets and liabilities arising from financing and operating leases for annual reporting periods beginning after December 15, 2019. This standard does not apply to the Company’s current year end period or the interim period ended June 30, 2019. There could be a material impact to the presentation of the manufacturing and office space lease between the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6" w:name="page57"/>
    <w:bookmarkEnd w:id="5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(Unaudited) (Continued) June 30, 2019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 (Continued)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Company and Dutch Real Estate Corp. An analysis on this specific lease has not been completed at this time. By the end of the year 2020, the Company could be required to record an approximate $19,000,000 asset and corresponding liability related to the present value of these lease payments. The company does not anticipate any other leases would result in a material impact on the consolidated financial statements at this time, including the current lease with Air Investments, LLC accounted for under the financing method.</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has not yet adopted ASU 2016-13, Financial Instruments — Credit Losses: Measurement of Credit Losses on Financial Instruments, which amends certain provisions accounting standards and changes the impairment model for most financial assets and certain other instruments. For trade and other receivables, held to maturity debt securities, loans and other instruments, entities will be required to use a new forward-looking “expected loss” model that generally will result in the earlier recognition of allowances for losses. Additionally, entities will have to disclose more information with respect to credit quality indicators, including information used to track credit quality by year of origination for most financing receivables. The effective date for this standard is for annual reporting periods beginning after December 15, 2019. This standard does not apply to the Company’s current year end period or the interim period ended June 30, 2019. The Company does not expect a material impact to its consolidated financial statements upon adoption of this standard.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 at June 30, 2019 consist of the following:</w:t>
            </w: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Chassis</w:t>
            </w:r>
          </w:p>
        </w:tc>
        <w:tc>
          <w:tcPr>
            <w:tcW w:w="2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13,101,050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18,110,448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8,864,039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32,108,467</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72,184,004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(1,707,000)</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580" w:type="dxa"/>
            <w:vAlign w:val="bottom"/>
            <w:tcBorders>
              <w:top w:val="single" w:sz="8" w:color="CCEEFF"/>
              <w:bottom w:val="single" w:sz="8" w:color="CCEEFF"/>
            </w:tcBorders>
            <w:shd w:val="clear" w:color="auto" w:fill="CCEEFF"/>
          </w:tcPr>
          <w:p>
            <w:pPr>
              <w:spacing w:after="0"/>
              <w:rPr>
                <w:sz w:val="18"/>
                <w:szCs w:val="18"/>
                <w:color w:val="auto"/>
              </w:rPr>
            </w:pP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70,477,004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LINE OF CREDIT</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During 2019, the Company amended its revolving credit agreement with 1st Source Bank, increasing the maximum available amount from</w:t>
      </w:r>
    </w:p>
    <w:p>
      <w:pPr>
        <w:spacing w:after="0" w:line="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$17,000,000 to $20,000,000 at June 30, 2019 and extending maturity through June 30, 2021. Interest is payable monthly at a floating rate per annum equal to one-month LIBOR rate plus 2.30% (effective interest rate of 4.70% at June 30, 2019). The line is secured by substantially all assets of the Company. The agreement also contains various financial covenants, with which the Company was in compliance at June 30, 2019. Borrowings on the line of credit at June 30, 2019 were $8,000,000.</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7" w:name="page58"/>
    <w:bookmarkEnd w:id="57"/>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(Unaudited) (Continued) June 30, 2019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At June 30, 2019, the Company had outstanding notes payable to a shareholder of $3,689,820. These notes are secured by the Company’s assets and accrue interest at the prime rate minus 1% (effective rate of 4.50% at June 30, 2019) until maturity at December 31, 2022, when the principal and accrued interest are due. Interest expense related to these notes was $82,339 and $66,998 for the six month periods ended June 30, 2019 and June 30, 2018, respectively.</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had a non-interest bearing demand advance receivable of $1,000,000 with one of its shareholders. The receivable was short-term in nature and was paid back to the Company in full subsequent to the six month period ended June 30, 2018.</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At June 30, 2019, the Company had miscellaneous receivable balances from related parties of $118,213, which take place in the normal course of business and are reimbursed to the Company. The majority of this amount is due from shareholders ($67,538) for miscellaneous shop supplies. At June 30, 2019, there is a receivable from an entity affiliated through common ownership, New-Serv Inc., for a mobile service truck in the amount of $49,682 that was paid for by the Company. Any remaining amount relates to New-Way Transport Corp. and is described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2019, the Company contracted with an entity affiliated through common ownership, New-Way Transport Corp., to deliver certain units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its dealer network. Transportation costs paid to New-Way Transport Corp. for the six months ended June 30, 2019 and June 30, 2018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$1,897,215 and $1,601,810, respectively. The Company did not owe New-Way Transport Corp. for any delivery services rendered as of June 30, 2019.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New-Way Transport Corp. owed the Company $993 for miscellaneous office supplies and fees paid for by the Company. New-Way Transport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 also owes the Company for unbilled services of approximately $151,630 at June 30, 2019 for related administration and dispatch services performed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employees.</w:t>
      </w:r>
    </w:p>
    <w:p>
      <w:pPr>
        <w:spacing w:after="0" w:line="205" w:lineRule="exact"/>
        <w:rPr>
          <w:sz w:val="20"/>
          <w:szCs w:val="20"/>
          <w:color w:val="auto"/>
        </w:rPr>
      </w:pPr>
    </w:p>
    <w:p>
      <w:pPr>
        <w:ind w:right="8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leases its office and manufacturing facilities from a related party, Dutch Real Estate Corp., as referenced in </w:t>
      </w:r>
      <w:r>
        <w:rPr>
          <w:rFonts w:ascii="Times New Roman" w:cs="Times New Roman" w:eastAsia="Times New Roman" w:hAnsi="Times New Roman"/>
          <w:sz w:val="18"/>
          <w:szCs w:val="18"/>
          <w:i w:val="1"/>
          <w:iCs w:val="1"/>
          <w:color w:val="auto"/>
        </w:rPr>
        <w:t>Note 7 —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COMMON STOCK</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a total of 200,000 shares of no par value, voting common stock and 6,000,000 shares of no par value, non-voting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voting and non-voting common shares issued and outstanding at June 30, 2019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common stock</w:t>
            </w:r>
          </w:p>
        </w:tc>
        <w:tc>
          <w:tcPr>
            <w:tcW w:w="4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52,698</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2,518,161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2,538,282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8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34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58" w:name="page59"/>
    <w:bookmarkEnd w:id="58"/>
    <w:p>
      <w:pPr>
        <w:jc w:val="center"/>
        <w:ind w:left="260" w:right="2360"/>
        <w:spacing w:after="0" w:line="27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(Unaudited) (Continued) June 30, 2019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ACCRUED WARRANTY CLAIMS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activity in accrued warranty claims for the six month periods ended June 30, 2019 and 2018 is as follows:</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60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15,570,000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Claims paid</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(8,480,450)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(7,058,955)</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8,770,450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8,419,555</w:t>
            </w:r>
          </w:p>
        </w:tc>
        <w:tc>
          <w:tcPr>
            <w:tcW w:w="8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15,860,000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14,482,100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 COMMITMENTS</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its office and manufacturing facilities from Dutch Real Estate Corp., an entity affiliated through common ownership, on a month-to-month basis. The monthly payments varied during the period and are $358,620 as of June 30, 2019. The Company intends to lease all of the facilities for at least five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leased a service facility from an unrelated party through March 2018, and the lease was modified as described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leases obligate the Company to pay property taxes, insurance, maintenance, and utilities on the respective facilities.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rental expense was $2,401,858 and $2,148,919 for the six month periods ended June 30, 2019 and 2018, of which $2,151,720 and $1,953,540 was paid to related parties. Future intended minimum rental payments over the next five years based on the month to month terms of the leases are as follows: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Related Party</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(6-month period)</w:t>
            </w:r>
          </w:p>
        </w:tc>
        <w:tc>
          <w:tcPr>
            <w:tcW w:w="3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4,303,440</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4,303,440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4,303,440</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4,303,440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2024 (6-month period)</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2,151,720</w:t>
            </w:r>
          </w:p>
        </w:tc>
      </w:tr>
      <w:tr>
        <w:trPr>
          <w:trHeight w:val="210"/>
        </w:trPr>
        <w:tc>
          <w:tcPr>
            <w:tcW w:w="4640" w:type="dxa"/>
            <w:vAlign w:val="bottom"/>
            <w:tcBorders>
              <w:top w:val="single" w:sz="8" w:color="CCEEFF"/>
              <w:bottom w:val="single" w:sz="8" w:color="CCEEFF"/>
            </w:tcBorders>
            <w:shd w:val="clear" w:color="auto" w:fill="CCEEFF"/>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On March 26, 2018, the Company entered into a modified lease agreement (Lease) with Air Investments, LLC for a lease of the service center building that it has been leasing. Under this Lease, Air Investments, LLC is adding a large expansion to the service center building and the Company is agreeing to lease the expanded facility for 10 years through June 30, 2028. Because the lease modification exposed the Company to substantial construction risks through its obligation to fund certain cost overruns, the Company was deemed the accounting owner of the entire facility as of the date of the lease modification. As the deemed accounting owner, the Company recognized the facility on its consolidated balance sheet at the estimated cost of the facility, and</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9" w:name="page60"/>
    <w:bookmarkEnd w:id="5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(Unaudited) (Continued) June 30, 2019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 COMMITMENTS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an accompanying financing obligation, which is included in lease payable in the consolidated balance sheet.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Lease was determined to not qualify for sale-leaseback accounting treatment due to the Company’s continued involvement in the facility through its option to purchase the facility under the terms of the Lease. As a result, the Lease is accounted for under the financing method, under which the Company recognizes the facility on its consolidated balance sheet and depreciates it over the shorter of the facility’s estimated life or the lease term. The related financing obligation is being amortized over the life of the Lease term based on the minimum lease payments required under the Lease of $68,450 per month and the Company’s incremental borrowing rate of 5.27%.</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property held under the lease arrangement at June 30, 2019:</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7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center building</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6,525,766</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(450,053)</w:t>
            </w:r>
          </w:p>
        </w:tc>
      </w:tr>
      <w:tr>
        <w:trPr>
          <w:trHeight w:val="210"/>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At June 30, 2019, the lease payable balance is $6,095,794. The current portion of the lease payable is $511,378, and the long-term portion of the lease payable is $5,584,416. As of June 30, 2019, the future minimum finance lease payments are as follows: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98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210"/>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2019</w:t>
            </w: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 month period)</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412,969</w:t>
            </w: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2020</w:t>
            </w:r>
          </w:p>
        </w:tc>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821,000</w:t>
            </w:r>
          </w:p>
        </w:tc>
        <w:tc>
          <w:tcPr>
            <w:tcW w:w="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2021</w:t>
            </w:r>
          </w:p>
        </w:tc>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821,000</w:t>
            </w: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821,000</w:t>
            </w:r>
          </w:p>
        </w:tc>
        <w:tc>
          <w:tcPr>
            <w:tcW w:w="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831,600</w:t>
            </w: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(6-month period)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415,800</w:t>
            </w:r>
          </w:p>
        </w:tc>
        <w:tc>
          <w:tcPr>
            <w:tcW w:w="80" w:type="dxa"/>
            <w:vAlign w:val="bottom"/>
          </w:tcPr>
          <w:p>
            <w:pPr>
              <w:spacing w:after="0"/>
              <w:rPr>
                <w:sz w:val="18"/>
                <w:szCs w:val="18"/>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3,592,260</w:t>
            </w:r>
          </w:p>
        </w:tc>
        <w:tc>
          <w:tcPr>
            <w:tcW w:w="80" w:type="dxa"/>
            <w:vAlign w:val="bottom"/>
            <w:shd w:val="clear" w:color="auto" w:fill="CCEEFF"/>
          </w:tcPr>
          <w:p>
            <w:pPr>
              <w:spacing w:after="0"/>
              <w:rPr>
                <w:sz w:val="18"/>
                <w:szCs w:val="18"/>
                <w:color w:val="auto"/>
              </w:rPr>
            </w:pPr>
          </w:p>
        </w:tc>
      </w:tr>
      <w:tr>
        <w:trPr>
          <w:trHeight w:val="21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7,715,629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(1,619,835)</w:t>
            </w:r>
          </w:p>
        </w:tc>
      </w:tr>
      <w:tr>
        <w:trPr>
          <w:trHeight w:val="210"/>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6,095,794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SAVINGS AND PROFIT SHARING PLAN</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qualified savings and profit sharing 401(k) plan covering substantially all employees. Company regular and employee matching contributions to the plan are discretionary. For the six month periods ended June 30, 2019 and 2018, the Company accrued and expensed estimated matching contributions for the 2019 and 2018 plan years of $560,556 and $508,962,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0" w:name="page61"/>
    <w:bookmarkEnd w:id="60"/>
    <w:p>
      <w:pPr>
        <w:jc w:val="center"/>
        <w:ind w:left="280" w:right="2340"/>
        <w:spacing w:after="0" w:line="27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(Unaudited) (Continued) June 30, 2019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INSURANCE PLANS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high deductible plan for health insurance. The Company is responsible for the first $125,000 of each individual claim on the health insurance plan. The approximate aggregate loss exposure for the Company is $7,000,000, after which the stop loss insurance coverage is effective. Insurance expense under the plan was approximately $793,229 and $1,590,056 for the six month periods ended June 30,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CONTINGENCIES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wholesale floor-plan financing of recreational vehicles, the Company has entered into repurchase agreements with lending institutions of approximately $300,000,000 and $210,000,000 at June 30, 2019 and 2018, respectively. The terms of the repurchase obligations vary based upon the terms of the floor plan arrangements. The majority of these terms are 18 months or less and the expected terms of the financing under the agreements are considerably shorter because floor plan financing arrangements require payment upon sale of the unit by the dealer.</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agreements require the Company to repurchase its product from lending institutions in the event of dealer default. Such agreements are customary in the recreational vehicle industry and while the Company’s maximum exposure to loss under such agreements is the aforementioned amount, the actual exposure is limited by the resale value of the inventory which is required to be repurchased. In addition, since these obligations relate to numerous dealers and lenders, the risk of loss to the Company is mitigated.</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the guarantee under its repurchase agreements of its dealers’ financing by deferring a portion of the related product sale that represents the estimated fair value of the guarantee. The estimated fair value takes into account the estimate of losses the Company might incur upon resale of any repurchases. This estimate is based on recent historical experience supplemented by management’s assessment of current economic conditions affecting the Company’s dealers. The Company has recorded a repurchase reserve of $305,000 and $219,000 at June 30, 2019 and 2018, respectively. There were no losses on repurchases recorded during the six month periods ended June 30, 2019 and 2018.</w:t>
      </w:r>
    </w:p>
    <w:p>
      <w:pPr>
        <w:spacing w:after="0" w:line="18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is the defendant in certain litigation arising in the ordinary course of business, primarily related to product warranty and product liability claims. In certain of these cases, a loss is reasonably possible, but an estimate of loss cannot be made. In the opinion of management, such items are adequately covered by insurance or their ultimate outcome will not have a material impact on the financial position, results of operations and cash flows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REDEEMABLE COMMON STOCK</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shareholder agreement with certain Officer/Shareholders. No Officer/Shareholder is permitted to transfer shares to any person other than to the Company or existing Officer/Shareholders. The agreement allows these Officer/Shareholders to voluntarily offer shares for sale. In certain cases, including demotion, retirement, voluntary or involuntary termination, death or disability, the Officer/Shareholder is deemed to have offered their shares for sale. In the event an Officer/Shareholder offers their shares for sale, certain shareholders have the first option to</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61" w:name="page62"/>
    <w:bookmarkEnd w:id="61"/>
    <w:p>
      <w:pPr>
        <w:jc w:val="center"/>
        <w:ind w:left="280" w:right="2340"/>
        <w:spacing w:after="0" w:line="27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(Unaudited) (Continued) June 30, 2019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REDEEMABLE COMMON STOCK (Continued)</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purchase these shares, the Company has the second option to purchase these shares, and the other existing Officer/Shareholders have the last option to purchase these shares. If the certain shareholders or other existing Officer/Shareholders do not purchase the offered shares, then the Company is required to purchase these shares at a price determined by all shareholders as periodically adjusted.</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also has a shareholder agreement with six shareholders collectively referred to as “Shareholders”. The agreement allows these Shareholders to voluntarily sell their shares at any time, with the Company and non-selling Shareholders having exclusive rights to accept the offer for a defined period of time. In case of the death of a Shareholder, the Company is required to purchase the shares held by the Shareholder’s or surviving spouse’s estate at a price determined by all shareholders as periodically adjusted.</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required redemption of the shares subject to agreements with Officer/Shareholders and Shareholders is outside the control of the Company. As a result, all shares subject to these agreements are presented separately from permanent equity as redeemable common stock. Shares of redeemable common stock are measured at fair value upon issuance and subsequently measured at redemption value at each reporting date, which is the amount that would be paid if settlement were to occur on those dates. The redemption value of redeemable common stock was $123,740,227 at June 30, 2019. Changes to redemption value during the reporting periods are reported in retained earnings (accumulated deficit). There were no changes in the number of shares reported as redeemable common stock during the six-month periods ended June 30, 2019 and 2018. In May 2018, the shareholders approved an increase in the redemption price per share, which resulted in an increase in redemption value of redeemable common stock of $50,618,172 and a corresponding charge to accumulated deficit for the six month period ended June 30, 2018. Per the terms of the agreement with Shareholders, if the Company does not have sufficient retained earnings to settle the redemption amount, the other Shareholders are required to contribute additional capital based on their proportional ownership in an amount sufficient to complete the settlement. The redemption amount related to the agreement with Shareholders is $115,180,277 at June 30, 2019 and is included in the total redemption amounts reported as redeemable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15, 2019, the shareholders of the Company entered into a definitive agreement to sell the Company to Winnebago Industries, Inc. The sale is expected to close in Winnebago’s first quarter of fiscal year ending August 31, 2020 and is subject to regulatory approvals and other closing conditions.</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October 11, 2019, the board of directors approved the dissolution of NRM and that any proceeds from the dissolution be remitted to a seller escrow account for the benefit of the shareholders of the Company. The final dissolution of NRM is pending.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14, 2019, the Company dissolved Newmar Corporation International,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9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tc>
      </w:tr>
      <w:tr>
        <w:trPr>
          <w:trHeight w:val="432"/>
        </w:trPr>
        <w:tc>
          <w:tcPr>
            <w:tcW w:w="910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NEWMAR CORPORATION AND SUBSIDIARIES</w:t>
            </w:r>
          </w:p>
        </w:tc>
        <w:tc>
          <w:tcPr>
            <w:tcW w:w="2360" w:type="dxa"/>
            <w:vAlign w:val="bottom"/>
          </w:tcPr>
          <w:p>
            <w:pPr>
              <w:spacing w:after="0"/>
              <w:rPr>
                <w:sz w:val="24"/>
                <w:szCs w:val="24"/>
                <w:color w:val="auto"/>
              </w:rPr>
            </w:pPr>
          </w:p>
        </w:tc>
      </w:tr>
      <w:tr>
        <w:trPr>
          <w:trHeight w:val="414"/>
        </w:trPr>
        <w:tc>
          <w:tcPr>
            <w:tcW w:w="910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FINANCIAL STATEMENTS</w:t>
            </w:r>
          </w:p>
        </w:tc>
        <w:tc>
          <w:tcPr>
            <w:tcW w:w="2360" w:type="dxa"/>
            <w:vAlign w:val="bottom"/>
          </w:tcPr>
          <w:p>
            <w:pPr>
              <w:spacing w:after="0"/>
              <w:rPr>
                <w:sz w:val="24"/>
                <w:szCs w:val="24"/>
                <w:color w:val="auto"/>
              </w:rPr>
            </w:pPr>
          </w:p>
        </w:tc>
      </w:tr>
      <w:tr>
        <w:trPr>
          <w:trHeight w:val="234"/>
        </w:trPr>
        <w:tc>
          <w:tcPr>
            <w:tcW w:w="910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rPr>
              <w:t>December 31, 2018</w:t>
            </w:r>
          </w:p>
        </w:tc>
        <w:tc>
          <w:tcPr>
            <w:tcW w:w="2360" w:type="dxa"/>
            <w:vAlign w:val="bottom"/>
          </w:tcPr>
          <w:p>
            <w:pPr>
              <w:spacing w:after="0"/>
              <w:rPr>
                <w:sz w:val="20"/>
                <w:szCs w:val="20"/>
                <w:color w:val="auto"/>
              </w:rPr>
            </w:pPr>
          </w:p>
        </w:tc>
      </w:tr>
      <w:tr>
        <w:trPr>
          <w:trHeight w:val="432"/>
        </w:trPr>
        <w:tc>
          <w:tcPr>
            <w:tcW w:w="910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CONTENTS</w:t>
            </w:r>
          </w:p>
        </w:tc>
        <w:tc>
          <w:tcPr>
            <w:tcW w:w="2360" w:type="dxa"/>
            <w:vAlign w:val="bottom"/>
          </w:tcPr>
          <w:p>
            <w:pPr>
              <w:spacing w:after="0"/>
              <w:rPr>
                <w:sz w:val="24"/>
                <w:szCs w:val="24"/>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360" w:type="dxa"/>
            <w:vAlign w:val="bottom"/>
          </w:tcPr>
          <w:p>
            <w:pPr>
              <w:spacing w:after="0"/>
              <w:rPr>
                <w:sz w:val="24"/>
                <w:szCs w:val="24"/>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SHEET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 OF INCOME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 OF CHANGES IN SHAREHOLDERS’ EQUITY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 OF CASH FLOWS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48"/>
        </w:trPr>
        <w:tc>
          <w:tcPr>
            <w:tcW w:w="91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63" w:name="page64"/>
    <w:bookmarkEnd w:id="63"/>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226060</wp:posOffset>
            </wp:positionV>
            <wp:extent cx="6174740" cy="6000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60007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Newmar Corporation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Nappanee, Indiana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the Financial Statements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Newmar Corporation and Subsidiaries, which comprise the consolidated balance sheet as of December 31, 2018 and the related consolidated statements of income, changes in shareholders’ equity, and cash flows for the year then ended, and the related notes to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the Financial Statements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Responsibility</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Newmar Corporation and Subsidiaries as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December 31, 2018, and the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114300</wp:posOffset>
            </wp:positionV>
            <wp:extent cx="1397635" cy="3689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3976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Crowe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Bend,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2019, except for Note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which the date is October 25, 2019</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240" w:top="337" w:right="8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(after allowance for doubtful accounts of $100,000)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36,670,798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64,842,805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show fees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 and other current assets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109,977,393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6,596,607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center building</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Molds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Construction-in-process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33,205,350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(18,031,520)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15,173,830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125,151,223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9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dealer incentive bonuses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dealer promotions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wages payable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taxes payable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warranty claims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profit sharing</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group insurance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repurchase obligation</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payable — short term</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33,623,938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notes payable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Lease payable — long term</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5,843,258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20,533,078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common stock</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123,740,227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 voting</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no par value; nonvoting</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(52,753,743)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(52,746,020)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125,151,223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780" w:type="dxa"/>
            <w:vAlign w:val="bottom"/>
            <w:gridSpan w:val="2"/>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w w:val="99"/>
              </w:rPr>
              <w:t>NEWMAR CORPORATION AND SUBSIDIARIES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780" w:type="dxa"/>
            <w:vAlign w:val="bottom"/>
            <w:gridSpan w:val="2"/>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780" w:type="dxa"/>
            <w:vAlign w:val="bottom"/>
            <w:gridSpan w:val="2"/>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2018</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6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618,913,254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541,325,082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6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77,588,172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35,929,178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41,658,994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466,801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5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41,192,193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7" w:name="page68"/>
    <w:bookmarkEnd w:id="6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NEWMAR CORPORATION AND SUBSIDIARIES CONSOLIDATED STATEMENT OF CHANGES IN SHAREHOLDERS’ EQUITY Year ended December 31, 2018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2018</w:t>
            </w:r>
          </w:p>
        </w:tc>
        <w:tc>
          <w:tcPr>
            <w:tcW w:w="100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(14,201,151)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(14,193,428)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41,192,193</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41,192,193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redemption value of redeemable common stock</w:t>
            </w: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(50,618,172)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(50,618,172)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0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(29,126,613)</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(29,126,613)</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2018</w:t>
            </w:r>
          </w:p>
        </w:tc>
        <w:tc>
          <w:tcPr>
            <w:tcW w:w="100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(52,753,743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(52,746,020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NEWMAR CORPORATION AND SUBSIDIARIES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CASH FLOWS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9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2018</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41,192,193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sale of fixed assets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(15,073,806)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assets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dealer incentive bonuses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dealer promotions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Salaries and wages payable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taxes payable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warranty claims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profit sharing</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group insurance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repurchase obligation</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26,337,613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(3,679,583)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certificates of deposit, net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bank revolving line of credit agreement, net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lease payable</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(29,126,613)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redeemable common stock</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redeemable common stock</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(21,360,962)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2,237,612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3,681,880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 acquired through financing obligation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6,525,766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Nature of Business: </w:t>
      </w:r>
      <w:r>
        <w:rPr>
          <w:rFonts w:ascii="Times New Roman" w:cs="Times New Roman" w:eastAsia="Times New Roman" w:hAnsi="Times New Roman"/>
          <w:sz w:val="18"/>
          <w:szCs w:val="18"/>
          <w:color w:val="auto"/>
        </w:rPr>
        <w:t>Newmar Corporation and Subsidiaries is a recreational vehicle manufacturer operating from facilities in Nappanee, Indiana.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sells primarily to dealers throughout the United States and select foreign countries. Substantially all of the Company’s products are sold to dealers who utilize floor plan arrangements with lending institutions (Note 10). Newmar Risk Management, Inc. (NRM) is a captive insurance company providing commercial property and various liability insurance to Newmar Corporation and certain affiliated entities. NRM is a participant in a certain reinsurance agreement with other captive insurance companies. Newmar Corporation International is an interest charge domestic international sales corporation that collects tax deductible commissions from Newmar Corporation.</w:t>
      </w:r>
    </w:p>
    <w:p>
      <w:pPr>
        <w:spacing w:after="0" w:line="183"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Reporting: </w:t>
      </w:r>
      <w:r>
        <w:rPr>
          <w:rFonts w:ascii="Times New Roman" w:cs="Times New Roman" w:eastAsia="Times New Roman" w:hAnsi="Times New Roman"/>
          <w:sz w:val="18"/>
          <w:szCs w:val="18"/>
          <w:color w:val="auto"/>
        </w:rPr>
        <w:t>These financial statements include the financial position and the results of operations of Newmar Corporation and its wholly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subsidiaries Newmar Corporation International and Newmar Risk Management, Inc. (collectively, the “Company”). All significant intercompany accounts and transactions have been eliminated in consolidation.</w:t>
      </w:r>
    </w:p>
    <w:p>
      <w:pPr>
        <w:spacing w:after="0" w:line="174"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As of December 31, 2018, the Company maintains cash deposits with two financial institutions. Each of the institutions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insured by an agency of the U.S. Government up to $250,000 and at times, deposits may be in excess of federally insured limits. The Company considers all highly liquid investments with original maturities of three months or less to be cash equivalents.</w:t>
      </w:r>
    </w:p>
    <w:p>
      <w:pPr>
        <w:spacing w:after="0" w:line="174"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Certificates of Deposit: </w:t>
      </w:r>
      <w:r>
        <w:rPr>
          <w:rFonts w:ascii="Times New Roman" w:cs="Times New Roman" w:eastAsia="Times New Roman" w:hAnsi="Times New Roman"/>
          <w:sz w:val="18"/>
          <w:szCs w:val="18"/>
          <w:color w:val="auto"/>
        </w:rPr>
        <w:t>Investments consists of certificates of deposit. The certificates of deposits are carried at amortized cost, which approximates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at December 31, 2018.</w:t>
      </w:r>
    </w:p>
    <w:p>
      <w:pPr>
        <w:spacing w:after="0" w:line="158"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The Company accounts for trade receivables based on the amounts billed to customers. Most billings and past due receivables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determined based on contractual terms. The Company does not accrue interest on any of its trade receivables.</w:t>
      </w:r>
    </w:p>
    <w:p>
      <w:pPr>
        <w:spacing w:after="0" w:line="15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The allowance for doubtful accounts is determined by management based on the Company’s historical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customer circumstances, and general economic conditions. Periodically, management reviews accounts receivable, records an allowance for specific customers based on current circumstances, and charges off uncollectible receivables when all attempts to collect have failed.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Inventories are valued at the lower of cost (first-in first-out method) or net realizable value.</w:t>
      </w:r>
    </w:p>
    <w:p>
      <w:pPr>
        <w:spacing w:after="0" w:line="225"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and Depreciation: </w:t>
      </w:r>
      <w:r>
        <w:rPr>
          <w:rFonts w:ascii="Times New Roman" w:cs="Times New Roman" w:eastAsia="Times New Roman" w:hAnsi="Times New Roman"/>
          <w:sz w:val="18"/>
          <w:szCs w:val="18"/>
          <w:color w:val="auto"/>
        </w:rPr>
        <w:t>Assets are recorded at cost less accumulated depreciation. Repairs and maintenance are expensed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incurred; additions and betterments are capitalized. As assets are sold or disposed of, the cost and accumulated depreciation are removed from the accounts and any resulting gain or loss is reflected in current earnings.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the asset’s useful life, generally over 5 years. Depreciation is computed using the straight-line method over the estimated useful lives of the respective assets as follows: machinery and equipment, 7 years; transportation equipment, 5 years; office furniture and equipment, 5 to 7 years; service center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10 years; molds, 3 years. Depreciation expense for the year ended December 31, 2018 was $1,656,082.</w:t>
      </w:r>
    </w:p>
    <w:p>
      <w:pPr>
        <w:spacing w:after="0" w:line="223"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Accrued Dealer Incentive Bonuses: </w:t>
      </w:r>
      <w:r>
        <w:rPr>
          <w:rFonts w:ascii="Times New Roman" w:cs="Times New Roman" w:eastAsia="Times New Roman" w:hAnsi="Times New Roman"/>
          <w:sz w:val="18"/>
          <w:szCs w:val="18"/>
          <w:color w:val="auto"/>
        </w:rPr>
        <w:t>Estimated dealer incentive bonuses are accrued for at the time of the sale of recreational vehicles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against sales.</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Accrued Dealer Promotions: </w:t>
      </w:r>
      <w:r>
        <w:rPr>
          <w:rFonts w:ascii="Times New Roman" w:cs="Times New Roman" w:eastAsia="Times New Roman" w:hAnsi="Times New Roman"/>
          <w:sz w:val="18"/>
          <w:szCs w:val="18"/>
          <w:color w:val="auto"/>
        </w:rPr>
        <w:t>Estimated dealer promotions, such as advertisement, show assistance, and sales incentives, are accrued for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sale of recreational vehicles and are charged against sales.</w:t>
      </w:r>
    </w:p>
    <w:p>
      <w:pPr>
        <w:spacing w:after="0" w:line="158"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Accrued Warranty Claims: </w:t>
      </w:r>
      <w:r>
        <w:rPr>
          <w:rFonts w:ascii="Times New Roman" w:cs="Times New Roman" w:eastAsia="Times New Roman" w:hAnsi="Times New Roman"/>
          <w:sz w:val="18"/>
          <w:szCs w:val="18"/>
          <w:color w:val="auto"/>
        </w:rPr>
        <w:t>The Company provides limited warranties on recreational vehicles for a period of one year from the time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takes delivery of the vehicle. An estimated warranty cost liability is provided for at the time of the sale. Provisions are accrued for future warranty costs based on the Company’s historical experience.</w:t>
      </w:r>
    </w:p>
    <w:p>
      <w:pPr>
        <w:spacing w:after="0" w:line="174"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Redeemable Common Stock: </w:t>
      </w:r>
      <w:r>
        <w:rPr>
          <w:rFonts w:ascii="Times New Roman" w:cs="Times New Roman" w:eastAsia="Times New Roman" w:hAnsi="Times New Roman"/>
          <w:sz w:val="18"/>
          <w:szCs w:val="18"/>
          <w:color w:val="auto"/>
        </w:rPr>
        <w:t>The Company reports common stock subject to redemption features that are outside the control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separately from permanent shareholders’ equity. See Note 11.</w:t>
      </w:r>
    </w:p>
    <w:p>
      <w:pPr>
        <w:spacing w:after="0" w:line="158"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from the sale of recreational vehicles is recognized at the time the products are shipped. The shipping terms are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board (“FOB”) shipping point and title and risk of ownership are transferred to the independent dealers at that time.</w:t>
      </w:r>
    </w:p>
    <w:p>
      <w:pPr>
        <w:spacing w:after="0" w:line="15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Advertising costs consist primarily of trade shows and literature. Sale materials for literature including brochures and catalogs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prepaid supplies until they are used or no longer expected to be used, in which case their cost is expensed. Trade shows are expensed in the period in which the show occurs. Other advertising costs are expensed when incurred. Advertising expense for the year ended December 31, 2018 was $2,710,779.</w:t>
      </w:r>
    </w:p>
    <w:p>
      <w:pPr>
        <w:spacing w:after="0" w:line="18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The Company records freight billed to customers as sales. Costs incurred related to shipping and handling of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reported as cost of sales.</w:t>
      </w:r>
    </w:p>
    <w:p>
      <w:pPr>
        <w:spacing w:after="0" w:line="158"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Use of Estimates and Assumptions: </w:t>
      </w:r>
      <w:r>
        <w:rPr>
          <w:rFonts w:ascii="Times New Roman" w:cs="Times New Roman" w:eastAsia="Times New Roman" w:hAnsi="Times New Roman"/>
          <w:sz w:val="17"/>
          <w:szCs w:val="17"/>
          <w:color w:val="auto"/>
        </w:rPr>
        <w:t>The preparation of financial statements in conformity with accounting principles generally accepted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States of America requires management to make estimates and assumptions that affect the reported amounts of assets and liabilities, disclosure of contingent assets and liabilities at the date of the financial statements, and reported amounts of revenues and expenses during the reporting period. These estimates and assumptions may change in the near future resulting in different actual results. Estimates associated with the allowance for doubtful accounts, accrued warranty claims, insurance loss reserve, and accrued repurchase obligations are particularly susceptible to material change in the near term.</w:t>
      </w:r>
    </w:p>
    <w:p>
      <w:pPr>
        <w:spacing w:after="0" w:line="16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Effective January 1, 1990, the Company elected, with the consent of its shareholders, to be taxed as an S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Section 1362 of the Internal Revenue Code and a similar section of the state income tax laws where available which provides that, in lieu of corporate income taxes, the shareholders will be taxed on their proportionate share of the Company’s taxable income. Due to its pass through status (or tax-exempt status); the Company is not subject to U.S. federal income tax. The Company files in various states in which it has 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1" w:name="page72"/>
    <w:bookmarkEnd w:id="71"/>
    <w:p>
      <w:pPr>
        <w:jc w:val="center"/>
        <w:ind w:left="280" w:right="2820"/>
        <w:spacing w:after="0" w:line="26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(Continued) December 31,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 (Continued)</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franchise/excise tax or where the Company has elected or is required to file as a regular corporation under those state statutes and these income taxes are included in operating expenses with franchise taxes and gross receipts taxes since the amount of income taxes is not significant.</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Newmar Risk Management, Inc. has elected to be taxed under Section 831(b) of the Internal Revenue Code. Pursuant to Section 831(b), if gross premiums do not exceed $2,300,000, then Newmar Risk Management, Inc. is taxed solely on its investment income.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follows guidance issued by the Financial Accounting Standards Board with respect to accounting for uncertainty in income taxes.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180"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The Company recognizes interest and penalties related to unrecognized tax benefits in interest and income tax expense, respectively. The Company has no amounts accrued for interest or penalties as of December 31, 2018. The Company does not expect the total amount of unrecognized tax benefits to significantly change in the next 12 months. The Company’s major tax jurisdictions are the United States government and various state governments for which management believes that with few exceptions, the Company is no longer subject to income tax examinations by these tax authorities for years prior to 2015.</w:t>
      </w:r>
    </w:p>
    <w:p>
      <w:pPr>
        <w:spacing w:after="0" w:line="163"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Management has performed an analysis of the activities and transactions subsequent to December 31, 2018 to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for any adjustments to and/or disclosures within the financial statements for the year ended December 31, 2018. Management has performed their analysis through January 29, 2019, the date the financial statements were available to be issued.</w:t>
      </w:r>
    </w:p>
    <w:p>
      <w:pPr>
        <w:spacing w:after="0" w:line="17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Not Yet Effective: </w:t>
      </w:r>
      <w:r>
        <w:rPr>
          <w:rFonts w:ascii="Times New Roman" w:cs="Times New Roman" w:eastAsia="Times New Roman" w:hAnsi="Times New Roman"/>
          <w:sz w:val="18"/>
          <w:szCs w:val="18"/>
          <w:color w:val="auto"/>
        </w:rPr>
        <w:t>The Company has not yet adopted ASU 2014-09, Revenue from Contracts with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which establishes a comprehensive five-step model for recognition of revenue from contracts with customers that will replace most of the accounting guidance currently effective and used in determining amounts and timing of revenue recognition. The effective date for this standard is for annual reporting periods beginning after December 15, 2018. This standard does not apply to the year ended December 31, 2018. Based on an analysis of the Company’s historical internal accounting procedures and revenue recognition policies, the Company does not expect a material impact to its consolidated financial statements upon the adoption of this standard.</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has not yet adopted ASU 2016-02, Leases (Topic 842), which requires the Company to recognize both assets and liabilities arising from financing and operating leases for annual reporting periods beginning after December 15, 2019. This standard does not apply to the year ended December 31, 2018. There could be a material impact to the presentation of the manufacturing and office space lease between the Company and Dutch Real Estate Corp. An analysis on this specific lease has not been completed at this time. By the end of the year 2020, the Company could be required to record an approximate $19,000,000 asset and corresponding</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72" w:name="page73"/>
    <w:bookmarkEnd w:id="72"/>
    <w:p>
      <w:pPr>
        <w:jc w:val="center"/>
        <w:ind w:left="280" w:right="2820"/>
        <w:spacing w:after="0" w:line="26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(Continued) December 31,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 (Continued)</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liability related to the present value of these lease payments. The company does not anticipate any other leases would result in a material impact on the consolidated financial statements at this time, including the current lease with Air Investments, LLC accounted for under the financing method.</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not yet adopted ASU 2016-13, Financial Instruments — Credit Losses: Measurement of Credit Losses on Financial Instruments, which amends certain provisions accounting standards and changes the impairment model for most financial assets and certain other instruments. For trade and other receivables, held to maturity debt securities, loans and other instruments, entities will be required to use a new forward-looking “expected loss” model that generally will result in the earlier recognition of allowances for losses. Additionally, entities will have to disclose more information with respect to credit quality indicators, including information used to track credit quality by year of origination for most financing receivables. The effective date for this standard is for annual reporting periods beginning after December 15, 2019. This standard does not apply to the year ended December 31, 2018. The Company does not expect a material impact to its consolidated financial statements upon adoption of this standard.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 at December 31, 2018 consist of the following:</w:t>
            </w: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Chassis</w:t>
            </w:r>
          </w:p>
        </w:tc>
        <w:tc>
          <w:tcPr>
            <w:tcW w:w="22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10,578,422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17,040,904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9,478,194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29,119,285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66,216,805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(1,374,000)</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80" w:type="dxa"/>
            <w:vAlign w:val="bottom"/>
            <w:tcBorders>
              <w:top w:val="single" w:sz="8" w:color="CCEEFF"/>
              <w:bottom w:val="single" w:sz="8" w:color="CCEEFF"/>
            </w:tcBorders>
            <w:shd w:val="clear" w:color="auto" w:fill="CCEEFF"/>
          </w:tcPr>
          <w:p>
            <w:pPr>
              <w:spacing w:after="0"/>
              <w:rPr>
                <w:sz w:val="18"/>
                <w:szCs w:val="18"/>
                <w:color w:val="auto"/>
              </w:rPr>
            </w:pP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64,842,805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LINE OF CREDIT</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During 2018, the Company amended its revolving credit agreement with 1st Source Bank, increasing the maximum available amount to $17,000,000 and extending maturity through June 30, 2020. Interest is payable monthly at a floating rate per annum equal to one-month LIBOR rate plus 2.30% (effective interest rate of 4.65% at December 31, 2018). The line is secured by substantially all assets of the Company. The agreement also contains various financial covenants, with which the Company was in compliance at December 31, 2018. Borrowings on the line of credit at December 31, 2018 were $11,000,000.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2018, the Company had outstanding notes payable to a shareholder of $3,689,820. These notes are secured by the Company’s assets and accrue interest at the prime rate minus 1% (effective rate of 4.50% at December 31, 2018) until maturity at December 31, 2019, when the principal and accrued interest are due. Interest expense related to these notes was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 (Continued)</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$144,105 for the year ended December 31, 2018. Effective January 21, 2019, these notes payable were modified to extend the maturity dates to December 31, 2022.</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During 2018, the Company had a non-interest bearing demand advance receivable of $1,000,000 with one of its shareholders. The receivable was short-term in nature and was borrowed and paid back to the Company in full during the year ended December 31, 2018.</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2018 the Company has a receivable from an entity affiliated through common ownership, New-Serv Inc., for a mobile service truck in the amount of $46,139 that was paid for by the Company.</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At December 31, 2018, the Company contracted with an entity affiliated through common ownership, New-Way Transport Corp., to deliver certain units throughout its dealer network. Transportation costs paid to New-Way Transport Corp. for the year ended December 31, 2018 was $3,319,101. The Company owed New-Way Transport Corp. $44,618 for delivery services rendered as of December 31, 2018. During 2018 New-Way Transport Corp. paid the Company $257,000 for administration and dispatch services performed by the Company’s employees.</w:t>
      </w:r>
    </w:p>
    <w:p>
      <w:pPr>
        <w:spacing w:after="0" w:line="178" w:lineRule="exact"/>
        <w:rPr>
          <w:sz w:val="20"/>
          <w:szCs w:val="20"/>
          <w:color w:val="auto"/>
        </w:rPr>
      </w:pPr>
    </w:p>
    <w:p>
      <w:pPr>
        <w:ind w:right="8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leases its office and manufacturing facilities from a related party, Dutch Real Estate Corp., as referenced in </w:t>
      </w:r>
      <w:r>
        <w:rPr>
          <w:rFonts w:ascii="Times New Roman" w:cs="Times New Roman" w:eastAsia="Times New Roman" w:hAnsi="Times New Roman"/>
          <w:sz w:val="18"/>
          <w:szCs w:val="18"/>
          <w:i w:val="1"/>
          <w:iCs w:val="1"/>
          <w:color w:val="auto"/>
        </w:rPr>
        <w:t>Note 7 —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COMMON STOCK</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a total of 200,000 shares of no par value, voting common stock and 6,000,000 shares of no par value, non-voting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voting and non-voting common shares issued and outstanding at December 31, 2018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common stock</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2,518,161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2,538,282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 ACCRUED WARRANTY CLAIMS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activity in accrued warranty claims for the year ended December 31, 2018 is as follows: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64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13,121,500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Claims paid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(14,126,964)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expense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16,575,464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15,570,000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60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 COMMITMENTS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its office and manufacturing facilities from Dutch Real Estate Corp., an entity affiliated through common ownership, on a month-to-month basis. The monthly payments varied during the year and are $325,950 as of December 31, 2018. The monthly rental payments increased to $358,620 as of January 2019. The Company intends to lease all of the facilities for at least five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leased service facilities from an unrelated party through March 2018, and the lease was modified as described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leases obligate the Company to pay property taxes, insurance, maintenance, and utilities on the respective facilities.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Total annual rental expense was $4,206,162 for the year ended December 31, 2018, of which $3,911,400 was paid to related parties. Future intended minimum rental payments over the next five years based on the month to month terms of the leases are as follows (unaudited):</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Related Party</w:t>
            </w:r>
          </w:p>
        </w:tc>
      </w:tr>
      <w:tr>
        <w:trPr>
          <w:trHeight w:val="210"/>
        </w:trPr>
        <w:tc>
          <w:tcPr>
            <w:tcW w:w="7660" w:type="dxa"/>
            <w:vAlign w:val="bottom"/>
            <w:tcBorders>
              <w:top w:val="single" w:sz="8" w:color="CCEEFF"/>
            </w:tcBorders>
            <w:shd w:val="clear" w:color="auto" w:fill="CCEEFF"/>
          </w:tcPr>
          <w:p>
            <w:pPr>
              <w:jc w:val="right"/>
              <w:ind w:right="7210"/>
              <w:spacing w:after="0"/>
              <w:rPr>
                <w:sz w:val="20"/>
                <w:szCs w:val="20"/>
                <w:color w:val="auto"/>
              </w:rPr>
            </w:pPr>
            <w:r>
              <w:rPr>
                <w:rFonts w:ascii="Times New Roman" w:cs="Times New Roman" w:eastAsia="Times New Roman" w:hAnsi="Times New Roman"/>
                <w:sz w:val="18"/>
                <w:szCs w:val="18"/>
                <w:color w:val="auto"/>
                <w:w w:val="94"/>
              </w:rPr>
              <w:t>2019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4,303,440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jc w:val="right"/>
              <w:ind w:right="7210"/>
              <w:spacing w:after="0"/>
              <w:rPr>
                <w:sz w:val="20"/>
                <w:szCs w:val="20"/>
                <w:color w:val="auto"/>
              </w:rPr>
            </w:pPr>
            <w:r>
              <w:rPr>
                <w:rFonts w:ascii="Times New Roman" w:cs="Times New Roman" w:eastAsia="Times New Roman" w:hAnsi="Times New Roman"/>
                <w:sz w:val="18"/>
                <w:szCs w:val="18"/>
                <w:color w:val="auto"/>
                <w:w w:val="94"/>
              </w:rPr>
              <w:t>2020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4,303,440</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jc w:val="right"/>
              <w:ind w:right="7210"/>
              <w:spacing w:after="0"/>
              <w:rPr>
                <w:sz w:val="20"/>
                <w:szCs w:val="20"/>
                <w:color w:val="auto"/>
              </w:rPr>
            </w:pPr>
            <w:r>
              <w:rPr>
                <w:rFonts w:ascii="Times New Roman" w:cs="Times New Roman" w:eastAsia="Times New Roman" w:hAnsi="Times New Roman"/>
                <w:sz w:val="18"/>
                <w:szCs w:val="18"/>
                <w:color w:val="auto"/>
                <w:w w:val="94"/>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4,303,440</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jc w:val="right"/>
              <w:ind w:right="7210"/>
              <w:spacing w:after="0"/>
              <w:rPr>
                <w:sz w:val="20"/>
                <w:szCs w:val="20"/>
                <w:color w:val="auto"/>
              </w:rPr>
            </w:pPr>
            <w:r>
              <w:rPr>
                <w:rFonts w:ascii="Times New Roman" w:cs="Times New Roman" w:eastAsia="Times New Roman" w:hAnsi="Times New Roman"/>
                <w:sz w:val="18"/>
                <w:szCs w:val="18"/>
                <w:color w:val="auto"/>
                <w:w w:val="94"/>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4,303,440</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jc w:val="right"/>
              <w:ind w:right="7210"/>
              <w:spacing w:after="0"/>
              <w:rPr>
                <w:sz w:val="20"/>
                <w:szCs w:val="20"/>
                <w:color w:val="auto"/>
              </w:rPr>
            </w:pPr>
            <w:r>
              <w:rPr>
                <w:rFonts w:ascii="Times New Roman" w:cs="Times New Roman" w:eastAsia="Times New Roman" w:hAnsi="Times New Roman"/>
                <w:sz w:val="18"/>
                <w:szCs w:val="18"/>
                <w:color w:val="auto"/>
                <w:w w:val="94"/>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4,303,440</w:t>
            </w:r>
          </w:p>
        </w:tc>
        <w:tc>
          <w:tcPr>
            <w:tcW w:w="80" w:type="dxa"/>
            <w:vAlign w:val="bottom"/>
            <w:shd w:val="clear" w:color="auto" w:fill="CCEEFF"/>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21,517,200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26, 2018, the Company entered into a modified lease agreement (Lease) with Air Investments, LLC for a lease of the service center building that it has been leasing. Under this Lease, Air Investments, LLC is adding a large expansion to the service center building and the Company is agreeing to lease the expanded facility for 10 years through June 30, 2028. Because the lease modification exposed the Company to substantial construction risks through its obligation to fund certain cost overruns, the Company was deemed the accounting owner of the entire facility as of the date of the lease modification. As the deemed accounting owner, the Company recognized the facility on its consolidated balance sheet at the estimated cost of the facility, and recognized an accompanying financing obligation, which is included in lease payable in the consolidated balance sheet.</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Lease was determined to not qualify for sale-leaseback accounting treatment due to the Company’s continued involvement in the facility through its option to purchase the facility under the terms of the Lease. As a result, the Lease is accounted for under the financing method, under which the Company recognizes the facility on its consolidated balance sheet and depreciates it over the shorter of the facility’s estimated life or the lease term. The related financing obligation is being amortized over the life of the Lease term based on the minimum lease payments required under the Lease of $68,450 per month and the Company’s incremental borrowing rate of 5.27%.</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5" w:name="page76"/>
    <w:bookmarkEnd w:id="75"/>
    <w:p>
      <w:pPr>
        <w:jc w:val="center"/>
        <w:ind w:left="320" w:right="2780"/>
        <w:spacing w:after="0" w:line="26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(Continued) December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LEASE COMMITMENTS (Continued)</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property held under the lease arrangement at December 31, 2018:</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center building</w:t>
            </w:r>
          </w:p>
        </w:tc>
        <w:tc>
          <w:tcPr>
            <w:tcW w:w="86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6,525,766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(112,513)</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6,413,253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2018, the lease payable balance is $6,342,298. The current portion of the lease payable is $499,040 and the long-term portion of the lease payable is $5,843,258. As of December 31, 2018, the future minimum finance lease payments are as follows: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821,400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821,400</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821,400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821,400</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831,600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4,008,060</w:t>
            </w:r>
          </w:p>
        </w:tc>
      </w:tr>
      <w:tr>
        <w:trPr>
          <w:trHeight w:val="210"/>
        </w:trPr>
        <w:tc>
          <w:tcPr>
            <w:tcW w:w="7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(1,782,962)</w:t>
            </w:r>
          </w:p>
        </w:tc>
      </w:tr>
      <w:tr>
        <w:trPr>
          <w:trHeight w:val="210"/>
        </w:trPr>
        <w:tc>
          <w:tcPr>
            <w:tcW w:w="7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6,342,298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SAVINGS AND PROFIT SHARING PLAN</w:t>
      </w:r>
    </w:p>
    <w:p>
      <w:pPr>
        <w:spacing w:after="0" w:line="229"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7"/>
          <w:szCs w:val="17"/>
          <w:color w:val="auto"/>
        </w:rPr>
        <w:t>The Company has a qualified savings and profit sharing 401(k) plan covering substantially all employees. Company regular and employee matching contributions to the plan are discretionary. The Company’s Board of Directors authorized contributions of $1,079,004 for the year ended December 31, 2018.</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INSURANCE PLANS</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high deductible plan for health insurance. The Company is responsible for the first $125,000 of each individual claim on the health insurance plan. The approximate aggregate loss exposure for the Company is $6,000,000, after which the stop loss insurance coverage is effective. Insurance expense under the plan was approximately $3,234,639 for the year ended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CONTINGENCIES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wholesale floor-plan financing of recreational vehicles, the Company has entered into repurchase agreements with lending institutions of approximately $242,000,000 at December 31, 2018. The terms of the repurchase obligations vary based upon the terms of the floor plan arrangements. The majority of these terms are 18 months or less and the expected terms of</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NEWMAR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CONTINGENCIES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financing under the agreements are considerably shorter because floor plan financing arrangements require payment upon sale of the unit by the dealer.</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agreements require the Company to repurchase its product from lending institutions in the event of dealer default. Such agreements are customary in the recreational vehicle industry and while the Company’s maximum exposure to loss under such agreements is the aforementioned amount, the actual exposure is limited by the resale value of the inventory which is required to be repurchased. In addition, since these obligations relate to numerous dealers and lenders, the risk of loss to the Company is mitigated.</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the guarantee under its repurchase agreements of its dealers’ financing by deferring a portion of the related product sale that represents the estimated fair value of the guarantee. The estimated fair value takes into account the estimate of losses the Company might incur upon resale of any repurchases. This estimate is based on recent historical experience supplemented by management’s assessment of current economic conditions affecting the Company’s dealers. The Company has recorded a repurchase reserve of $305,000 at December 31, 2018. There were no losses on repurchases recorded during the year ended December 31, 2018.</w:t>
      </w:r>
    </w:p>
    <w:p>
      <w:pPr>
        <w:spacing w:after="0" w:line="184"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 is the defendant in certain litigation arising in the ordinary course of business. In the opinion of management, such items are adequately covered by insurance or their ultimate outcome will not have a material impact on the financial position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REDEEMABLE COMMON STOCK</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adopted financial reporting guidance related to redeemable securities for the preparation of these financial statements to comply as to form and content with Regulation S-X of the Securities and Exchange Commission (“Regulation S-X”). Such guidance requires the Company to report common stock subject to redemption features that are outside the control of the Company separately from permanent shareholders’ equity, as further described in the paragraphs below. The Company previously issued 2018 financial statements that were not required to comply with Regulation S-X.</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This change in accounting principle was applied retrospective to January 1, 2018 and had no effect on net income as previously reported. The effect of the change on total shareholders’ equity as previously reported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To Redeemable</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January 1, 2018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58,979,508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(73,172,936)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(14,193,428)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 December 31, 2018</w:t>
            </w:r>
          </w:p>
        </w:tc>
        <w:tc>
          <w:tcPr>
            <w:tcW w:w="1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70,994,207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(123,740,227)</w:t>
            </w:r>
          </w:p>
        </w:tc>
        <w:tc>
          <w:tcPr>
            <w:tcW w:w="200" w:type="dxa"/>
            <w:vAlign w:val="bottom"/>
          </w:tcPr>
          <w:p>
            <w:pPr>
              <w:spacing w:after="0"/>
              <w:rPr>
                <w:sz w:val="20"/>
                <w:szCs w:val="20"/>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(52,746,020)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shareholder agreement with certain Officer/Shareholders. No Officer/Shareholder is permitted to transfer shares to any person other than to the Company or existing Officer/Shareholders. The agreement allows these Officer/Shareholders to voluntarily offer shares 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7" w:name="page78"/>
    <w:bookmarkEnd w:id="77"/>
    <w:p>
      <w:pPr>
        <w:jc w:val="center"/>
        <w:ind w:left="280" w:right="2820"/>
        <w:spacing w:after="0" w:line="268" w:lineRule="auto"/>
        <w:rPr>
          <w:sz w:val="20"/>
          <w:szCs w:val="20"/>
          <w:color w:val="auto"/>
        </w:rPr>
      </w:pPr>
      <w:r>
        <w:rPr>
          <w:rFonts w:ascii="Times New Roman" w:cs="Times New Roman" w:eastAsia="Times New Roman" w:hAnsi="Times New Roman"/>
          <w:sz w:val="18"/>
          <w:szCs w:val="18"/>
          <w:b w:val="1"/>
          <w:bCs w:val="1"/>
          <w:color w:val="auto"/>
        </w:rPr>
        <w:t>NEWMAR CORPORATION AND SUBSIDIARIES NOTES TO CONSOLIDATED FINANCIAL STATEMENTS (Continued) December 31,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REDEEMABLE COMMON STOCK (Continued)</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 In certain cases, including demotion, retirement, voluntary or involuntary termination, death or disability, the Officer/Shareholder is deemed to have offered their shares for sale. In the event an Officer/Shareholder offers their shares for sale, certain shareholders have the first option to purchase these shares, the Company has the second option to purchase these shares, and the other existing Officer/Shareholders have the last option to purchase these shares. If the certain shareholders or other existing Officer/Shareholders do not purchase the offered shares, then the Company is required to purchase these shares at a price determined by all shareholders as periodically adjusted.</w:t>
      </w:r>
    </w:p>
    <w:p>
      <w:pPr>
        <w:spacing w:after="0" w:line="18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also has a shareholder agreement with six shareholders collectively referred to as “Shareholders”. The agreement allows these Shareholders to voluntarily sell their shares at any time, with the Company and non-selling Shareholders having exclusive rights to accept the offer for a defined period of time. In case of the death of a Shareholder, the Company is required to purchase the shares held by the Shareholders’ or surviving spouse’s estate at a price determined by all shareholders as periodically adjusted.</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required redemption of the shares subject to agreements with Officer/Shareholders and Shareholders is outside the control of the Company. As a result, all shares subject to these agreements are presented separately from permanent equity as redeemable common stock. Shares of redeemable common stock are measured at fair value upon issuance and subsequently measured at redemption value at each reporting date, which is the amount that would be paid if settlement were to occur on those dates. The redemption value of redeemable common stock was $123,740,227 at December 31, 2018. Changes to redemption value during the reporting periods are reported in retained earnings (accumulated deficit). During the year ended December 31, 2018, the Company redeemed 100 voting shares and 11,300 nonvoting shares for $5,061 and $543,304, respectively, and issued 10,347 non-voting shares for $497,484 In May 2018, the shareholders approved an increase in the redemption price per share, which resulted in an increase in redemption value of redeemable common stock of $50,618,172 and a corresponding charge to accumulated deficit for the year ended December 31, 2018. Per the terms of the agreement with Shareholders, if the Company does not have sufficient retained earnings to settle the redemption amount, the other Shareholders are required to contribute additional capital based on their proportional ownership in an amount sufficient to complete the settlement. The redemption amount related to the agreement with Shareholders is $115,180,277 at December 31, 2018 and is included in the total redemption amounts reported as redeemable common stock.</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September 15, 2019, Winnebago Industries, Inc. (the “Company” or “Winnebago”), through its wholly owned subsidiary Octavius Corporation, entered into a Stock Purchase Agreement (the “Purchase Agreement”) by and among the Company, Newmar Corporation (“Newmar Corporation”), Dutch Real Estate Corp. (“Dutch”), New-Way Transport Corp. (“New-Way Transport”), and New-Serv, Inc. (“New-Serv”) (Newmar Corporation, Dutch, New-Way Transport, New-Serv, and Newmar Risk Management, as defined below, collectively “Newmar Acquired Companies”), the shareholders of Newmar Corporation, Dutch, New-Way Transport and New-Serv (the “Sellers”), and the sellers agent, regarding the proposed acquisition of the Newmar Acquired Companies by Winnebago (the “Transaction”).</w:t>
      </w:r>
    </w:p>
    <w:p>
      <w:pPr>
        <w:spacing w:after="0" w:line="1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Newmar Corporation owns all of the issued and outstanding Capital Stock of Newmar Risk Management, Inc. (“Newmar Risk Management”) and Newmar Corporation International (“Newmar International”) (together, “Newmar Corporation and Subsidiaries”). Dutch, New-Way Transport, and New-Serv are related entities of Newmar Corporation (“Newmar Related Entities”).</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provides that Winnebago will acquire all of the equity interests of the Newmar Acquired Companies. Following the Transaction, each of the Newmar Acquired Companies will be an indirect wholly-owned subsidiary of Winnebago.</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Purchase Agreement, as consideration for the acquisition of the Newmar Acquired Companies, Winnebago will, at the close of the Transaction, (i) pay in cash to the Sellers $270.0 million, subject to an upward adjustment (the “Base Cash Amount”) and (ii) transfer to the Sellers an aggregate of 2,000,000 shares of common stock of Winnebago, par value $0.50 per share, valued at a price per share based on the volume weighted average share price of Winnebago of the 5 trailing business days prior to the closing date of the Transaction (the “Closing Stock Consideration”). If the aggregate value of the Closing Stock Consideration is not sufficient for the sum of the Base Cash Amount and the aggregate value of the Closing Stock Consideration to equal at least $330.0 million at the closing, then the amount of cash included in the Base Cash Amount shall be increased so that the sum of the Base Cash Amount and the Closing Stock Consideration is equal to $330.0 million. The Purchase Agreement also calls for a floor to Winnebago stock price of $20 per share, at which point Winnebago has a right to terminate the Transaction.</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to illustrate the estimated effects of the Transaction and the other activities contemplated by the Purchase Agreement based on the historical financial position and results of operations of Winnebago and Newmar Corporation and Subsidiaries. In addition, the unaudited pro forma condensed combined financial information gives pro forma effect to the issuance of $300.0 million in aggregate principal amount of convertible notes in a private placement. The unaudited pro forma condensed combined financial information gives effect to the Transaction and the debt issuance as if they had been completed on August 31, 2019, for balance sheet purposes and August 26, 2018, for statement of income purposes.</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fiscal year end of Newmar Acquired Companies, which is December 31, has been conformed to the fiscal year end of Winnebago, which is the last Saturday in August, for the purpose of presenting the unaudited pro forma condensed combined financial statements, pursuant to Rule 11-02(c) (3) of Regulation S-X, because the fiscal year ends differed by more than 93 days.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as follows:</w:t>
      </w:r>
    </w:p>
    <w:p>
      <w:pPr>
        <w:spacing w:after="0" w:line="225" w:lineRule="exact"/>
        <w:rPr>
          <w:sz w:val="20"/>
          <w:szCs w:val="20"/>
          <w:color w:val="auto"/>
        </w:rPr>
      </w:pPr>
    </w:p>
    <w:p>
      <w:pPr>
        <w:jc w:val="both"/>
        <w:ind w:left="980" w:right="420" w:hanging="324"/>
        <w:spacing w:after="0" w:line="266" w:lineRule="auto"/>
        <w:tabs>
          <w:tab w:leader="none" w:pos="9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as of August 31, 2019, prepared based on (i) the historical audited consolidated balance sheet of Winnebago as of August 31, 2019 and (ii) the historical unaudited consolidated balance sheet of Newmar Corporation and Subsidiaries as of June 30, 2019;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9" w:name="page80"/>
    <w:bookmarkEnd w:id="79"/>
    <w:p>
      <w:pPr>
        <w:jc w:val="both"/>
        <w:ind w:left="980" w:right="520" w:hanging="324"/>
        <w:spacing w:after="0" w:line="289" w:lineRule="auto"/>
        <w:tabs>
          <w:tab w:leader="none" w:pos="9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pro forma condensed combined statement of income for the year ended August 31, 2019 prepared based on (i) the historical audited consolidated statement of income of Winnebago for the year ended August 31, 2019 and (ii) the historical unaudited consolidated statement of income of Newmar Corporation and Subsidiaries for the trailing twelve months ended June 30, 2019 (see Note 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unaudited pro forma condensed combined financial information was derived from and should be read in conjunction with the separate</w:t>
      </w:r>
    </w:p>
    <w:p>
      <w:pPr>
        <w:spacing w:after="0" w:line="27" w:lineRule="exact"/>
        <w:rPr>
          <w:sz w:val="20"/>
          <w:szCs w:val="20"/>
          <w:color w:val="auto"/>
        </w:rPr>
      </w:pPr>
    </w:p>
    <w:p>
      <w:pPr>
        <w:ind w:right="200" w:firstLine="8"/>
        <w:spacing w:after="0" w:line="254"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and accompanying notes of Winnebago as of and for the year ended August 31, 2019 included in Winnebago’s Annual Report on Form 10-K that Winnebago filed with the SEC on October 23, 2019, (ii) Newmar Corporation and Subsidiaries’ unaudited consolidated financial statements as of and for the six months ended June 30, 2019 and 2018, and (iii) Newmar Corporation and Subsidiaries’ audited consolidated financial statements as of and for the year ended December 31, 2018.</w:t>
      </w:r>
    </w:p>
    <w:p>
      <w:pPr>
        <w:spacing w:after="0" w:line="18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pro forma adjustments presented in the unaudited pro forma condensed combined financial statements also include adjustments for the pro forma impact of the Newmar Related Entities, which are not included in the historical Newmar Corporation and Subsidiaries’ financial statements (see Notes 6A and 7A). As part of the Transaction, the Company acquired three related entities (Newmar Related Entities) that are not included in the audited financial statements of Newmar Corporation and Subsidiaries, but which provided services to the entities reflected in the consolidated financial statements. The assets and operations of Newmar Related Entities were not material to the Company or the overall acquisition. The assets of these entities are primarily related to real estate associated with Newmar Corporation’s manufacturing facilities. The majority of the activities of these entities would have been eliminated in consolidation had these entities been included in financial statements of Newmar Corporation on a combined basis. These entities are reflected in the pro forma financial statements and the assets have been fair valued in arriving at the pro forma balance sheet and income statements. Newmar Related Entities account for less than two percent of the assets and operations of the combined total Company post-acquisition and are not material to the pro forma information or the ongoing financial position or operations of the Company.</w:t>
      </w:r>
    </w:p>
    <w:p>
      <w:pPr>
        <w:spacing w:after="0" w:line="18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Transaction will be accounted for using the acquisition method of accounting in accordance with Accounting Standards Codification (“ASC”) 805, “Business Combinations,” (“ASC 805”) with Winnebago being designated as the accounting acquirer of Newmar Acquired Companies. The unaudited pro forma condensed combined financial information set forth below primarily gives effect to the following:</w:t>
      </w:r>
    </w:p>
    <w:p>
      <w:pPr>
        <w:spacing w:after="0" w:line="176" w:lineRule="exact"/>
        <w:rPr>
          <w:sz w:val="20"/>
          <w:szCs w:val="20"/>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alignment of accounting policies and financial statement classifications of Newmar Acquired Companies to those of Winnebago;</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the acquisition method of accounting in connection with the Transaction;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debt financing in an aggregate principal amount of $300 million in connection with the Transaction.</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informational purposes only and is not necessarily indicative of what the combined company’s financial position or results of operations actually would have been had the Transaction been completed as of the dates indicated. In addition, the unaudited pro forma condensed combined financial information does not purport to project the future financial position or operating results of the combined company. The accompanying unaudited pro forma condensed combined statement of income does not include any pro forma adjustments to reflect certain expected financial benefits of the Transaction, such as tax savings, cost synergies, revenue synergies or restructuring actions which may be achievable, the anticipated costs to achieve these benefits, including the cost of integration activities, or the impact of any non-recurring activity and one-time transaction related costs.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acquisition method of accounting under existing United States generally accepted accounting principles (“U.S. GAAP”), which are subject to change. Winnebago will be deemed the acquirer for accounting purposes and Newmar Acquired Companies will be treated as the acquiree, based on a number of factors considered at the time of preparation, such as the legal form of the Transaction, relative size (assets, revenues, or earnings), terms of the exchange, relative voting rights in the combined company after the business combination, etc. The acquisition accounting is dependent upon certain valuations and other studies that have yet to progress to a stage where there is sufficient information for a definitive measurement. Winnebago intends to complete the valuations and other studies upon completion of the Transaction and will finalize the purchase price allocation as soon as practicable within the measurement period, but in no event later than one year following the closing date of the Transaction. The assets and liabilities of Newmar Acquired Companies have been measured based on various preliminary estimates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0" w:name="page81"/>
    <w:bookmarkEnd w:id="80"/>
    <w:p>
      <w:pPr>
        <w:ind w:right="100"/>
        <w:spacing w:after="0" w:line="258" w:lineRule="auto"/>
        <w:rPr>
          <w:sz w:val="20"/>
          <w:szCs w:val="20"/>
          <w:color w:val="auto"/>
        </w:rPr>
      </w:pPr>
      <w:r>
        <w:rPr>
          <w:rFonts w:ascii="Times New Roman" w:cs="Times New Roman" w:eastAsia="Times New Roman" w:hAnsi="Times New Roman"/>
          <w:sz w:val="18"/>
          <w:szCs w:val="18"/>
          <w:color w:val="auto"/>
        </w:rPr>
        <w:t>assumptions that Winnebago believes are reasonable, based on information that is currently available. Accordingly, the valuations are preliminary and have been made solely for the purpose of providing pro forma condensed combined financial information prepared in accordance with the rules and regulations of the U.S. Securities and Exchange Commission (“SEC”). Differences between these preliminary estimates and the final acquisition accounting will occur, and these differences could have a material impact on the accompanying unaudited pro forma condensed combined financial information and the combined company’s future results of operations and financial position.</w:t>
      </w:r>
    </w:p>
    <w:p>
      <w:pPr>
        <w:spacing w:after="0" w:line="18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compiled in a manner consistent with the accounting policies adopted by Winnebago in all material aspects. Upon completion of the Transaction, Winnebago will perform a detailed review of Newmar Acquired Companies’ accounting policies. As a result of that review, Winnebago may identify additional differences between the accounting policies of the two companies that, when conformed, could have an impact on the financial statements of the combined company.</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Additionally, certain financial information of Newmar Corporation and Subsidiaries as presented in its historical financial statements has been reclassified to conform to the historical presentation in Winnebago’s financial statements for purposes of preparation of the unaudited pro forma condensed combined financial information (see Note 8). There were no transactions between Winnebago and the Newmar Acquired Companies during the period presented in the unaudited pro forma condensed combined financial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31,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(Note 8)</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Newmar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Winnebago</w:t>
            </w: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Industries, Inc.</w:t>
            </w:r>
          </w:p>
        </w:tc>
        <w:tc>
          <w:tcPr>
            <w:tcW w:w="12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37,431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6A,6B</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254,000</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6B</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(280,869)</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6B</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10,562</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less allowance for doubtful accounts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158,049</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42,166</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200,164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201,126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70,477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6C</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275,457</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14,051</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2,993</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17,044</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410,657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164,920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274,931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83,387</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358,318</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256,082</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175,500</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431,582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life insurance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26,846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26,846</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8,143</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8,143</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1,104,231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81,635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17,424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6A</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98,977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20,328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7,709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28,037</w:t>
            </w:r>
          </w:p>
        </w:tc>
        <w:tc>
          <w:tcPr>
            <w:tcW w:w="0" w:type="dxa"/>
            <w:vAlign w:val="bottom"/>
          </w:tcPr>
          <w:p>
            <w:pPr>
              <w:spacing w:after="0"/>
              <w:rPr>
                <w:sz w:val="1"/>
                <w:szCs w:val="1"/>
                <w:color w:val="auto"/>
              </w:rPr>
            </w:pPr>
          </w:p>
        </w:tc>
      </w:tr>
      <w:tr>
        <w:trPr>
          <w:trHeight w:val="216"/>
        </w:trPr>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warranties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44,436</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15,860</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60,296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Self-insurance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13,820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14,390</w:t>
            </w:r>
          </w:p>
        </w:tc>
        <w:tc>
          <w:tcPr>
            <w:tcW w:w="0" w:type="dxa"/>
            <w:vAlign w:val="bottom"/>
          </w:tcPr>
          <w:p>
            <w:pPr>
              <w:spacing w:after="0"/>
              <w:rPr>
                <w:sz w:val="1"/>
                <w:szCs w:val="1"/>
                <w:color w:val="auto"/>
              </w:rPr>
            </w:pPr>
          </w:p>
        </w:tc>
      </w:tr>
      <w:tr>
        <w:trPr>
          <w:trHeight w:val="216"/>
        </w:trPr>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Promotional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10,896</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16"/>
        </w:trPr>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13,678</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8,892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8,892</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197,744</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46,565</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245,402</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11,690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6G</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442,650</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12,032</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6H</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 benefits, net of current portion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12,878</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5,584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274,275</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190,642</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Contingent liabilities and commitments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common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123,740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(123,740)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6I</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Authorized-10,000 shares; Issued-none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Authorized-60,000 shares; Issued-51,776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25,888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6J</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26,888</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91,185</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144,260</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6J</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235,453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866,886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(46,992)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36,123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6J</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856,017</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at cost: 20,262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(351,256)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(351,256)</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632,212</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181,383</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1,104,231</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140,595</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248,210</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0"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Winnebago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Year Ended August 31,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Winnebago</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(Note 8) Newmar</w:t>
            </w:r>
          </w:p>
        </w:tc>
        <w:tc>
          <w:tcPr>
            <w:tcW w:w="120" w:type="dxa"/>
            <w:vAlign w:val="bottom"/>
          </w:tcPr>
          <w:p>
            <w:pPr>
              <w:spacing w:after="0"/>
              <w:rPr>
                <w:sz w:val="13"/>
                <w:szCs w:val="13"/>
                <w:color w:val="auto"/>
              </w:rPr>
            </w:pPr>
          </w:p>
        </w:tc>
        <w:tc>
          <w:tcPr>
            <w:tcW w:w="12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Corporation and</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3"/>
            <w:vMerge w:val="restart"/>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Industries, Inc.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3"/>
            <w:vMerge w:val="continue"/>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661,110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2,646,784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1,678,477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579,774</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1360" w:type="dxa"/>
            <w:vAlign w:val="bottom"/>
            <w:gridSpan w:val="3"/>
          </w:tcPr>
          <w:p>
            <w:pPr>
              <w:jc w:val="center"/>
              <w:ind w:right="335"/>
              <w:spacing w:after="0"/>
              <w:rPr>
                <w:sz w:val="20"/>
                <w:szCs w:val="20"/>
                <w:color w:val="auto"/>
              </w:rPr>
            </w:pPr>
            <w:r>
              <w:rPr>
                <w:rFonts w:ascii="Times New Roman" w:cs="Times New Roman" w:eastAsia="Times New Roman" w:hAnsi="Times New Roman"/>
                <w:sz w:val="18"/>
                <w:szCs w:val="18"/>
                <w:color w:val="auto"/>
                <w:w w:val="99"/>
              </w:rPr>
              <w:t>7A</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w:t>
            </w:r>
          </w:p>
        </w:tc>
        <w:tc>
          <w:tcPr>
            <w:tcW w:w="1360" w:type="dxa"/>
            <w:vAlign w:val="bottom"/>
            <w:gridSpan w:val="3"/>
            <w:shd w:val="clear" w:color="auto" w:fill="CCEEFF"/>
          </w:tcPr>
          <w:p>
            <w:pPr>
              <w:jc w:val="center"/>
              <w:ind w:right="355"/>
              <w:spacing w:after="0"/>
              <w:rPr>
                <w:sz w:val="20"/>
                <w:szCs w:val="20"/>
                <w:color w:val="auto"/>
              </w:rPr>
            </w:pPr>
            <w:r>
              <w:rPr>
                <w:rFonts w:ascii="Times New Roman" w:cs="Times New Roman" w:eastAsia="Times New Roman" w:hAnsi="Times New Roman"/>
                <w:sz w:val="18"/>
                <w:szCs w:val="18"/>
                <w:color w:val="auto"/>
                <w:w w:val="94"/>
              </w:rPr>
              <w:t>7B</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81,336</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7A</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360" w:type="dxa"/>
            <w:vAlign w:val="bottom"/>
            <w:gridSpan w:val="3"/>
          </w:tcPr>
          <w:p>
            <w:pPr>
              <w:jc w:val="center"/>
              <w:ind w:right="355"/>
              <w:spacing w:after="0"/>
              <w:rPr>
                <w:sz w:val="20"/>
                <w:szCs w:val="20"/>
                <w:color w:val="auto"/>
              </w:rPr>
            </w:pPr>
            <w:r>
              <w:rPr>
                <w:rFonts w:ascii="Times New Roman" w:cs="Times New Roman" w:eastAsia="Times New Roman" w:hAnsi="Times New Roman"/>
                <w:sz w:val="18"/>
                <w:szCs w:val="18"/>
                <w:color w:val="auto"/>
                <w:w w:val="94"/>
              </w:rPr>
              <w:t>7B</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1360" w:type="dxa"/>
            <w:vAlign w:val="bottom"/>
            <w:gridSpan w:val="3"/>
            <w:shd w:val="clear" w:color="auto" w:fill="CCEEFF"/>
          </w:tcPr>
          <w:p>
            <w:pPr>
              <w:jc w:val="center"/>
              <w:ind w:right="355"/>
              <w:spacing w:after="0"/>
              <w:rPr>
                <w:sz w:val="20"/>
                <w:szCs w:val="20"/>
                <w:color w:val="auto"/>
              </w:rPr>
            </w:pPr>
            <w:r>
              <w:rPr>
                <w:rFonts w:ascii="Times New Roman" w:cs="Times New Roman" w:eastAsia="Times New Roman" w:hAnsi="Times New Roman"/>
                <w:sz w:val="18"/>
                <w:szCs w:val="18"/>
                <w:color w:val="auto"/>
                <w:w w:val="94"/>
              </w:rPr>
              <w:t>7C</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80" w:type="dxa"/>
            <w:vAlign w:val="bottom"/>
          </w:tcPr>
          <w:p>
            <w:pPr>
              <w:spacing w:after="0"/>
              <w:rPr>
                <w:sz w:val="18"/>
                <w:szCs w:val="18"/>
                <w:color w:val="auto"/>
              </w:rPr>
            </w:pPr>
          </w:p>
        </w:tc>
        <w:tc>
          <w:tcPr>
            <w:tcW w:w="1360" w:type="dxa"/>
            <w:vAlign w:val="bottom"/>
            <w:gridSpan w:val="3"/>
          </w:tcPr>
          <w:p>
            <w:pPr>
              <w:jc w:val="center"/>
              <w:ind w:right="335"/>
              <w:spacing w:after="0"/>
              <w:rPr>
                <w:sz w:val="20"/>
                <w:szCs w:val="20"/>
                <w:color w:val="auto"/>
              </w:rPr>
            </w:pPr>
            <w:r>
              <w:rPr>
                <w:rFonts w:ascii="Times New Roman" w:cs="Times New Roman" w:eastAsia="Times New Roman" w:hAnsi="Times New Roman"/>
                <w:sz w:val="18"/>
                <w:szCs w:val="18"/>
                <w:color w:val="auto"/>
                <w:w w:val="99"/>
              </w:rPr>
              <w:t>7D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20,134</w:t>
            </w:r>
          </w:p>
        </w:tc>
        <w:tc>
          <w:tcPr>
            <w:tcW w:w="1360" w:type="dxa"/>
            <w:vAlign w:val="bottom"/>
            <w:gridSpan w:val="3"/>
            <w:shd w:val="clear" w:color="auto" w:fill="CCEEFF"/>
          </w:tcPr>
          <w:p>
            <w:pPr>
              <w:jc w:val="center"/>
              <w:ind w:right="355"/>
              <w:spacing w:after="0"/>
              <w:rPr>
                <w:sz w:val="20"/>
                <w:szCs w:val="20"/>
                <w:color w:val="auto"/>
              </w:rPr>
            </w:pPr>
            <w:r>
              <w:rPr>
                <w:rFonts w:ascii="Times New Roman" w:cs="Times New Roman" w:eastAsia="Times New Roman" w:hAnsi="Times New Roman"/>
                <w:sz w:val="18"/>
                <w:szCs w:val="18"/>
                <w:color w:val="auto"/>
                <w:w w:val="99"/>
              </w:rPr>
              <w:t>7E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80" w:type="dxa"/>
            <w:vAlign w:val="bottom"/>
          </w:tcPr>
          <w:p>
            <w:pPr>
              <w:spacing w:after="0"/>
              <w:rPr>
                <w:sz w:val="18"/>
                <w:szCs w:val="18"/>
                <w:color w:val="auto"/>
              </w:rPr>
            </w:pPr>
          </w:p>
        </w:tc>
        <w:tc>
          <w:tcPr>
            <w:tcW w:w="1360" w:type="dxa"/>
            <w:vAlign w:val="bottom"/>
            <w:gridSpan w:val="3"/>
          </w:tcPr>
          <w:p>
            <w:pPr>
              <w:jc w:val="center"/>
              <w:ind w:right="355"/>
              <w:spacing w:after="0"/>
              <w:rPr>
                <w:sz w:val="20"/>
                <w:szCs w:val="20"/>
                <w:color w:val="auto"/>
              </w:rPr>
            </w:pPr>
            <w:r>
              <w:rPr>
                <w:rFonts w:ascii="Times New Roman" w:cs="Times New Roman" w:eastAsia="Times New Roman" w:hAnsi="Times New Roman"/>
                <w:sz w:val="18"/>
                <w:szCs w:val="18"/>
                <w:color w:val="auto"/>
              </w:rPr>
              <w:t>7F</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18"/>
                <w:szCs w:val="18"/>
                <w:color w:val="auto"/>
              </w:rPr>
            </w:pPr>
          </w:p>
        </w:tc>
        <w:tc>
          <w:tcPr>
            <w:tcW w:w="1360" w:type="dxa"/>
            <w:vAlign w:val="bottom"/>
            <w:gridSpan w:val="3"/>
          </w:tcPr>
          <w:p>
            <w:pPr>
              <w:jc w:val="center"/>
              <w:ind w:right="335"/>
              <w:spacing w:after="0"/>
              <w:rPr>
                <w:sz w:val="20"/>
                <w:szCs w:val="20"/>
                <w:color w:val="auto"/>
              </w:rPr>
            </w:pPr>
            <w:r>
              <w:rPr>
                <w:rFonts w:ascii="Times New Roman" w:cs="Times New Roman" w:eastAsia="Times New Roman" w:hAnsi="Times New Roman"/>
                <w:sz w:val="18"/>
                <w:szCs w:val="18"/>
                <w:color w:val="auto"/>
                <w:w w:val="99"/>
              </w:rPr>
              <w:t>7G</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335"/>
              <w:spacing w:after="0"/>
              <w:rPr>
                <w:sz w:val="20"/>
                <w:szCs w:val="20"/>
                <w:color w:val="auto"/>
              </w:rPr>
            </w:pPr>
            <w:r>
              <w:rPr>
                <w:rFonts w:ascii="Times New Roman" w:cs="Times New Roman" w:eastAsia="Times New Roman" w:hAnsi="Times New Roman"/>
                <w:sz w:val="18"/>
                <w:szCs w:val="18"/>
                <w:color w:val="auto"/>
                <w:w w:val="99"/>
              </w:rPr>
              <w:t>7G</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 1. Description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Agreement</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On September 15, 2019, Winnebago entered into the Purchase Agreement by and among Winnebago, Newmar Acquired Companies and the Sellers, pursuant to which Winnebago will acquire Newmar Acquired Companies.</w:t>
      </w:r>
    </w:p>
    <w:p>
      <w:pPr>
        <w:spacing w:after="0" w:line="162" w:lineRule="exact"/>
        <w:rPr>
          <w:sz w:val="20"/>
          <w:szCs w:val="20"/>
          <w:color w:val="auto"/>
        </w:rPr>
      </w:pPr>
    </w:p>
    <w:p>
      <w:pPr>
        <w:ind w:right="280" w:firstLine="648"/>
        <w:spacing w:after="0" w:line="276" w:lineRule="auto"/>
        <w:rPr>
          <w:sz w:val="20"/>
          <w:szCs w:val="20"/>
          <w:color w:val="auto"/>
        </w:rPr>
      </w:pPr>
      <w:r>
        <w:rPr>
          <w:rFonts w:ascii="Times New Roman" w:cs="Times New Roman" w:eastAsia="Times New Roman" w:hAnsi="Times New Roman"/>
          <w:sz w:val="17"/>
          <w:szCs w:val="17"/>
          <w:color w:val="auto"/>
        </w:rPr>
        <w:t>Subject to the terms and conditions of the Purchase Agreement, as consideration for the acquisition of Newmar Acquired Companies, Winnebago will, at the close of the Transaction, (i) pay in cash to the Sellers $270 million, subject to an upward adjustment, referred to as the Base Cash Amount and</w:t>
      </w:r>
    </w:p>
    <w:p>
      <w:pPr>
        <w:spacing w:after="0" w:line="1" w:lineRule="exact"/>
        <w:rPr>
          <w:sz w:val="20"/>
          <w:szCs w:val="20"/>
          <w:color w:val="auto"/>
        </w:rPr>
      </w:pPr>
    </w:p>
    <w:p>
      <w:pPr>
        <w:ind w:right="20" w:firstLine="8"/>
        <w:spacing w:after="0" w:line="255"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to the Sellers an aggregate of 2,000,000 shares of common stock of Winnebago, par value $0.50 per share, valued at a price per share based on the volume weighted average share price of Winnebago of the 5 trailing business days prior to the closing date of the Transaction, which is referred to as the Closing Stock Consideration.</w:t>
      </w:r>
    </w:p>
    <w:p>
      <w:pPr>
        <w:spacing w:after="0" w:line="18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If the aggregate value of the Closing Stock Consideration is not sufficient for the sum of the Base Cash Amount and the aggregate value of the Closing Stock Consideration to equal at least $330 million at the closing, then the amount of cash included in the Base Cash Amount shall be increased so that the sum of the Base Cash Amount and the Closing Stock Consideration is equal to $330 million.</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Each of the Sellers have also agreed to a lock-up letter agreement that, subject to certain limited exceptions, restricts such Sellers from transferring their shares of Winnebago common stock for one year from closing.</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certain termination rights, including that either Winnebago or the Sellers may terminate the Purchase Agreement if the Transaction is not completed by January 31, 2020. The Purchase Agreement also provides that Winnebago may terminate the Purchase Agreement if the Company’s stock price falls below $20.00 per share, in which case Winnebago will pay the Sellers a termination fee of $5.0 million. The acquisition is not subject to approval by Winnebago’s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To finance the acquisition consideration, Winnebago issued $300.0 million aggregate principal amount of convertible notes. The convertible notes will accrue interest at a fixed rate, payable semi-annually, and mature on April 1, 2025, the maturity date. The convertible notes will be convertible, at the holders’ option, in certain circumstances and during specified periods. Conversions of the notes will be settled in cash, shares of Winnebago common stock or a combination of cash and shares of Winnebago common stock (together with cash in lieu of any fractional share, if applicable), at Winnebago’s election. The conversion rate will be subject to adjustment upon the occurrence of certain events. Winnebago cannot redeem the convertible notes at its option prior to the maturity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Pro Forma Presentation</w:t>
      </w:r>
    </w:p>
    <w:p>
      <w:pPr>
        <w:spacing w:after="0" w:line="229"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information has been prepared in accordance with Article 11 of Regulation S-X and has been derived from the audited and unaudited financial statements of Winnebago and Newmar Corporation and Subsidiaries. The financial information has been adjusted in the accompanying unaudited pro forma condensed combined financial information to give effect to pro forma events that are (1) directly attributable to the Transaction, (2) factually supportable and (3) with respect to the unaudited pro forma condensed combined statement of income, expected to have a continuing impact on the combined results of operations of Winnebago.</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fiscal year end of Newmar Acquired Companies, which is December 31, has been conformed to the fiscal year end of Winnebago, which is the last Saturday in August, for the purpose of presenting pro forma condensed combined financial statements, pursuant to Rule 11-02(c)(3) of Regulation S-X, as the fiscal years differed by more than 93 days. The historical statement of income of Newmar Corporation and Subsidiaries used in the unaudited pro forma condensed combined statement of income for the year ended August 31, 2019 was derived by adding the results from the unaudited consolidated statement of income for the six months ended June 30, 2019 to the results from the audited consolidated statement of income for the year ended December 31, 2018 and removing the results from the unaudited consolidated statement of income 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4" w:name="page85"/>
    <w:bookmarkEnd w:id="84"/>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historical balance sheet of Newmar Corporation and Subsidiaries used in the unaudited pro forma condensed combined balance sheet as of August 31, 2019 was the unaudited consolidated balance sheet as of June 30, 2019.</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addition, certain amounts from the historical financial statements of Newmar Corporation and Subsidiaries were reclassified to conform their presentation to that of Winnebago (see Note 8).</w:t>
      </w:r>
    </w:p>
    <w:p>
      <w:pPr>
        <w:spacing w:after="0" w:line="16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using the acquisition method of accounting in accordance with ASC 805, which requires, among other things, that assets acquired and liabilities assumed in a business combination be recognized at their fair values as of the acquisition date. The acquisition method of accounting, in accordance with ASC 805, uses the fair value concepts defined in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(“ASC 820”).</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ASC 820 defines fair value, establishes the framework for measuring fair value for any asset acquired or liability assumed under GAAP, expands disclosures about fair value measurements, and specifies a hierarchy of valuation techniques based on the nature of the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an asset or liability. Market participants are assumed to be buyers or sellers in the most advantageous market for the asset or liability. Fair value measurement for an asset assumes the highest and best use by these market participants, and as a result, assets may be required to be recorded which are not intended to be used or sold. Additionally, the fair value may not reflect management’s intended use for those assets.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Fair value measurements can be highly subjective and it is possible the application of reasonable judgment could develop different assumptions resulting in a range of alternative estimates using the same facts and circumstances.</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allocation of the aggregate transaction consideration, as well as certain amounts relating to the issuance of the convertible notes and the use of proceeds therefrom, used in the unaudited pro forma condensed combined financial information is based on preliminary estimates. The estimates and assumptions are subject to change as of the effective time of the closing of the Transaction. The final determination of the allocation of the aggregate transaction consideration will be based on the actual tangible and intangible assets and the liabilities of Newmar Acquired Companies at the effective time of the Transaction (see Note 5).</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Newmar Acquired Companies’ assets acquired and liabilities assumed will be recorded at their fair value at the transaction date. ASC 805 establishes that the consideration transferred shall be measured at the closing date of the Transaction at the then-current market price. This particular requirement will likely result in a per share equity component that is different from the amount assumed in this unaudited pro forma condensed combined financial information. The preliminary purchase price allocation assumes a common stock price of $49.24, the price at market close on October 23, 2019. The fair value of the Closing Stock Consideration also includes an approximate 5% discount for lack of marketability to reflect the one-year lock-up period on the Closing Stock Consideration. If the price of the Company’s common stock increases or decreases by 10%, the purchase price would increase or decrease by $9.3 million and could impact the purchase price allocation.</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solely for informational purposes and is not necessarily indicative of the combined results of operations or financial position that might have been achieved for the periods or dates indicated, nor is it necessarily indicative of the future results of the combined company. The unaudited pro forma condensed combined financial information has not been adjusted to give effect to certain expected financial benefits of the Transaction, such as tax savings, cost synergies or revenue synergies, or the anticipated costs to achieve these benefits, including the cost of integration activities. Also, the unaudited pro forma condensed combined financial information does not reflect possible adjustments related to restructuring or integration activities that have yet to be determined or transaction or other costs following the combination that are not expected to have a continuing impact on the business of the combined company. Further, one-time Transaction-related expenses anticipated to be incurred prior to, or concurrent with, the closing of the Transaction are not included in the unaudited pro forma condensed combined statement of income. For the year ended August 31, 2019, such acquisition-related expenses were $0.7 million. Management has identified an additional $10.9 million of acquisition-related expenses, not yet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Accounting Policies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Winnebago has completed a preliminary review of significant accounting policies for purposes of the unaudited pro forma condensed combined financial information. None of the accounting policy differences that have been identified and quantified to date are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Winnebago adopted the Financial Accounting Standards Board (“FASB”) issued Accounting Standard Update (“ASU”) 2014-09, Revenue from Contracts with Customers (Topic 606) on August 26, 2018, utilizing the modified retrospective transition method, whereas Newmar Acquired Companies, as a private company, had not adopted Topic 606 prior to the closing of the Transaction. For the purposes of the unaudited condensed combined pro forma financial statements, the Company did an assessment of Topic 606 and determined that no material adjustments were necessary.</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Winnebago will adopt ASU 2016-02, Leases (Topic 842) in the first quarter of Fiscal 2020 using the modified retrospective basis. Newmar Acquired Companies, as a private company, has not adopted Topic 842. As neither Winnebago nor Newmar Acquired Companies have adopted Topic 842, it has not been reflected in the unaudited pro forma condensed combined financial statements.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 Winnebago will perform a detailed review of Newmar Acquired Companies’ accounting policies. As a result of that review, Winnebago may identify differences between the accounting policies of the two companies that, when conformed, could have an impact on the consolidated financial statements of the combined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Estimated Transaction Consideration</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estimated consideration is calculated as follows (in thousands):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Closing Stock Consideration</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363,600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estimate of consideration expected to be transferred and reflected in this unaudited pro forma condensed combined financial information does not purport to represent what the actual consideration transferred will be when the Transaction is completed. For purposes of these unaudited pro forma condensed combined financial statements, the market price of Winnebago common stock based on the October 23, 2019 market close of $49.24 was used to calculate the estimate of consideration expected to be transferred. The fair value of the Closing Stock Consideration also includes an approximate 5% discount for lack of marketability to reflect the one-year lock-up period on the Closing Stock Consideration.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Purchase Accounting Adjustments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preliminary estimate of the assets to be acquired and the liabilities to be assumed by Winnebago in the Transaction, reconciled to estimated Transaction consideration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Amounts as of Acquisition Date</w:t>
            </w:r>
          </w:p>
        </w:tc>
      </w:tr>
      <w:tr>
        <w:trPr>
          <w:trHeight w:val="196"/>
        </w:trPr>
        <w:tc>
          <w:tcPr>
            <w:tcW w:w="8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Book value of net assets acquired at August 31, 2019: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Newmar Corporation and Subsidiaries</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76,756</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Newmar Related Entities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19,629</w:t>
            </w:r>
          </w:p>
        </w:tc>
        <w:tc>
          <w:tcPr>
            <w:tcW w:w="80" w:type="dxa"/>
            <w:vAlign w:val="bottom"/>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book value of net assets acquired</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 of cash not acquired(1)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(14,413)</w:t>
            </w:r>
          </w:p>
        </w:tc>
      </w:tr>
      <w:tr>
        <w:trPr>
          <w:trHeight w:val="216"/>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 of debt not assumed(1)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11,690</w:t>
            </w:r>
          </w:p>
        </w:tc>
        <w:tc>
          <w:tcPr>
            <w:tcW w:w="80" w:type="dxa"/>
            <w:vAlign w:val="bottom"/>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book value of net assets acquired</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7,197</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175,500</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83,387</w:t>
            </w:r>
          </w:p>
        </w:tc>
        <w:tc>
          <w:tcPr>
            <w:tcW w:w="80" w:type="dxa"/>
            <w:vAlign w:val="bottom"/>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 of consideration expected to be transferred</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363,600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600" w:hanging="652"/>
        <w:spacing w:after="0" w:line="282" w:lineRule="auto"/>
        <w:tabs>
          <w:tab w:leader="none" w:pos="6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provisions of the Purchase Agreement, Winnebago will not acquire the historical cash or assume the historical debt of Newmar Acquired Companies. As such, cash and debt were removed from the adjusted book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Note 6: Balance Sheet Adjustments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an explanation of the various adjustments to the unaudited pro forma condensed combined balance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 Newmar Related Entities</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Represents the adjustment to include the assets and liabilities of Newmar Related Entities, net of related entity eliminations, in the unaudited pro forma condensed combined balance sheet.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 Cash and cash equivalents (in thousands):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Borders>
              <w:top w:val="single" w:sz="8" w:color="auto"/>
            </w:tcBorders>
            <w:vMerge w:val="restart"/>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new Winnebago debt issuance(1)</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 for the convertible notes call spread overlay(1)</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debt issuance costs(1)</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impact of debt issuance</w:t>
            </w: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by Winnebago to Sellers</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acquisition expenses(2)</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impact of the Transaction</w:t>
            </w: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(280,869)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from Newmar Related Entities</w:t>
            </w:r>
          </w:p>
        </w:tc>
        <w:tc>
          <w:tcPr>
            <w:tcW w:w="5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Newmar Acquired Companies cash not acquired</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elimination of Newmar Acquired Companies cash</w:t>
            </w: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 forma adjustment to cash and cash equivalents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6G.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 — Inventories</w:t>
      </w:r>
    </w:p>
    <w:p>
      <w:pPr>
        <w:spacing w:after="0" w:line="225"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Represents an adjustment of $3.9 million to increase the carrying value of Newmar Acquired Companies’ inventories, for the preliminary estimated fair value, which is based on the expected selling price of inventory to customers and adjusted for related costs of disposal and a reasonable profit allowance for the post-acquisition selling effort. The fair value adjustment to inventories is expected to be recognized in the combined company’s statement of income within 90 days following the consummation of the Transaction.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 — Property, plant, and equipment, net</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Represents the adjustment in carrying value of Newmar Acquired Companies’ property, plant, and equipment, net from its recorded net book value to its preliminary estimated fair value. The estimated fair value is expected to be depreciated over the estimated useful lives, generally on a straight-line basis. The preliminary amounts assigned to property, plant, and equipment, net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Newmar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Years(1)</w:t>
            </w:r>
          </w:p>
        </w:tc>
        <w:tc>
          <w:tcPr>
            <w:tcW w:w="180" w:type="dxa"/>
            <w:vAlign w:val="bottom"/>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Entities(2)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15 - 19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8,444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3 - 9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Construction-in-process</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N/A</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4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87" w:name="page88"/>
    <w:bookmarkEnd w:id="87"/>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t>Represents preliminary estimated life of assets to be acquired.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assets acquired in the Transaction are owned by Newmar Related Entities and are included in the preliminary estimated fair value.</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final determination of fair value of property, plant, and equipment, as well as estimated useful lives, remains subject to change. The finalization may have a material impact on the valuation of property, plant, and equipment and the purchase price allocation, which is expected to be finalized subsequent to the closing of the Transaction.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preliminary estimate of fair value of Newmar Acquired Companies’ property, plant, and equipment was determined using either a direct cost approach analysis for the real property, or an indirect depreciated replacement cost method for the personal property, which is also a form of the “cost approach,” using currently available information, such as Newmar Acquired Companies’ balance sheet, fixed asset registers, or other physical characteristics information of the assets. This method applies asset class specific inflationary / deflationary factors to the original capitalized cost of the personal property assets or construction cost data for the real property assets being valued. The inflationary / deflationary factors and construction cost data used were derived from published sources. The estimated cost was then adjusted for physical depreciation calculated on a straight-line basis, considering the economic useful life and physical age of the assets being valued, for all asset classes.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estimated useful lives used to calculate the physical depreciation reflect the weighted average remaining utility of each asset group based upon the relationship of preliminary value to replacement cost while considering each asset group’s estimated total economic life. The estimate of fair value and estimated useful lives is preliminary and subject to change once Winnebago has sufficient information as to the specific types, nature, age, condition, and location of Newmar Acquired Companies’ property, plant, and equipment.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 — Goodwill</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preliminary fair value of the underlying net tangible and identifiable intangible assets net of liabilities. Goodwill acquired in the Transaction is estimated to be $83.4 million. The estimated goodwill to be recognized is attributable primarily to expected synergies, expanded market opportunities, and other benefits that Winnebago believes will result from combining its operations with the operations of Newmar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auto"/>
        </w:rPr>
        <w:t>F — Other intangible assets, net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Represents adjustments to record the preliminary estimated fair value of intangibles of approximately $175.5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Identified intangible assets expected to be acquired consist of the following (in thousands):</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7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240" w:type="dxa"/>
            <w:vAlign w:val="bottom"/>
          </w:tcPr>
          <w:p>
            <w:pPr>
              <w:spacing w:after="0"/>
              <w:rPr>
                <w:sz w:val="15"/>
                <w:szCs w:val="15"/>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Life in Years(1)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Dealer network</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fair value of identified other intangible assets, net</w:t>
            </w:r>
          </w:p>
        </w:tc>
        <w:tc>
          <w:tcPr>
            <w:tcW w:w="16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fair value estimate for all identifiable intangible assets is preliminary and is based on assumptions that market participants would use in pricing an asset, based on the most advantageous market for the asset (i.e., its highest and best use). This preliminary fair value estimate could include assets that are not intended to be used, may be sold, or are intended to be used in a manner other than their best use. The final determination of fair value of intangible assets, as well as estimated useful lives, remains subject to change. The finalization may have a material impact on the valuation of intangible assets and the purchase price allocation, which is expected to be finalized subsequent to the Transaction.</w:t>
      </w:r>
    </w:p>
    <w:p>
      <w:pPr>
        <w:spacing w:after="0" w:line="18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Management relied on methods under the income approach — specifically the relief-from-royalty method for trade names and multi-period excess earnings method for backlog. For the dealer network, management utilized a cost to recreate method.</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preliminary estimated fair value allocated to indefinite-lived intangible assets consists primarily of trademarks. The assumption that these intangibles will not be amortized and will have indefinite remaining useful lives is based on many factors and considerations, including brand awareness and the assumption of the continued use of the Newmar brand as part of the marketing strategy of the combined company. These assumptions and adjustments are preliminary. The actual adjustment may differ materially based on the final determination of fair value and is subject to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 — Long-term debt, less current maturities (in thousands)</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Estimated Amounts as</w:t>
            </w:r>
          </w:p>
        </w:tc>
      </w:tr>
      <w:tr>
        <w:trPr>
          <w:trHeight w:val="173"/>
        </w:trPr>
        <w:tc>
          <w:tcPr>
            <w:tcW w:w="5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of Acquisition Date</w:t>
            </w: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New Winnebago debt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convertible notes</w:t>
            </w:r>
          </w:p>
        </w:tc>
        <w:tc>
          <w:tcPr>
            <w:tcW w:w="5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debt discount on convertible notes(1)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(92,752)</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Estimated debt issuance costs on convertible notes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58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new Winnebago debt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existing Newmar Acquired Companies debt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(11,690)</w:t>
            </w: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 forma adjustments to long-term debt, less current maturities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60" w:hanging="652"/>
        <w:spacing w:after="0" w:line="256" w:lineRule="auto"/>
        <w:tabs>
          <w:tab w:leader="none" w:pos="6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accounting guidance, the convertible notes are expected to be subject to separate accounting for their liability and equity components, with the initial liability component determined by estimating the fair value of a similar liability instrument that does not have an associated equity component conversion feature, with the difference recognized as the equity component (see Note 6J). The equity component and the initial value of the debt discount have been approximated based on estimates, including the expected terms of the convertible notes, conversion premium of 30%, comparable non-convertible interest of 9% and market and other factors. Accordingly, the actual financial statement presentation of the convertible notes, if they are issued, may differ from that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auto"/>
        </w:rPr>
        <w:t>H — Deferred income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Represents an estimate of net deferred income tax liabilities of $5.1 million related to the issuance of the convertible notes and the call spread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overlay.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 — Redeemable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Represents the elimination of $123.7 million of Newmar Acquired Companies redeemable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 — Stockholders’ equity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Represents the elimination of Newmar Acquired Companies capital and retained earnings, as well as adjustments to reflect the capital structure of the combined company (in thousands):</w:t>
      </w:r>
    </w:p>
    <w:p>
      <w:pPr>
        <w:spacing w:after="0" w:line="143"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Estimated Amounts as</w:t>
            </w:r>
          </w:p>
        </w:tc>
      </w:tr>
      <w:tr>
        <w:trPr>
          <w:trHeight w:val="173"/>
        </w:trPr>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of Acquisition Date</w:t>
            </w:r>
          </w:p>
        </w:tc>
      </w:tr>
      <w:tr>
        <w:trPr>
          <w:trHeight w:val="178"/>
        </w:trPr>
        <w:tc>
          <w:tcPr>
            <w:tcW w:w="60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Issuance of Winnebago common stock at par value as Closing Stock</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4"/>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Consideration(1)</w:t>
            </w:r>
          </w:p>
        </w:tc>
        <w:tc>
          <w:tcPr>
            <w:tcW w:w="3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18"/>
                <w:szCs w:val="18"/>
                <w:color w:val="auto"/>
              </w:rPr>
            </w:pPr>
          </w:p>
        </w:tc>
      </w:tr>
      <w:tr>
        <w:trPr>
          <w:trHeight w:val="198"/>
        </w:trPr>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Winnebago common stock in excess of par value as Closing Stock</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92,600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historical Newmar Acquired Companies 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equity component of convertible notes, net of deferred tax liabilities of</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$22,724(3)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70,028</w:t>
            </w: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net cost of convertible notes call spread overlay, net of deferred tax</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of $17,640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(18,360)</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historical Newmar Acquired Companies retained earnings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46,992</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 of transaction expenses(4)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(10,869)</w:t>
            </w:r>
          </w:p>
        </w:tc>
      </w:tr>
      <w:tr>
        <w:trPr>
          <w:trHeight w:val="210"/>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36,123</w:t>
            </w:r>
          </w:p>
        </w:tc>
        <w:tc>
          <w:tcPr>
            <w:tcW w:w="120" w:type="dxa"/>
            <w:vAlign w:val="bottom"/>
            <w:tcBorders>
              <w:bottom w:val="single" w:sz="8" w:color="CCEEFF"/>
            </w:tcBorders>
          </w:tcPr>
          <w:p>
            <w:pPr>
              <w:spacing w:after="0"/>
              <w:rPr>
                <w:sz w:val="18"/>
                <w:szCs w:val="18"/>
                <w:color w:val="auto"/>
              </w:rPr>
            </w:pP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adjustments to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181,383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2,000,000 shares $0.50 par value per share, of common stock. (See Note 4.)</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Closing Stock Consideration in excess of par value. (See Note 4.)</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6G.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Transactions-related expenses, not yet incurred as of the pro forma balance sheet dated August 31, 2019. Refer to Note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Statement of Income Adjustments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an explanation of the various adjustments to the unaudited pro forma condensed combined statement of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 Newmar Related Entities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Represents the adjustment to include the income and expenses of Newmar Related Entities, net of related entity eliminations, in the unaudited pro forma condensed combined statement of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 Depreciation of property, plant, and equipment</w:t>
      </w:r>
    </w:p>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Represents estimated depreciation expense related to the pro forma adjustment to property, plant, and equipment (see Note 6D). Pro forma depreciation has been estimated on a preliminary basis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sectPr>
      </w:pPr>
    </w:p>
    <w:bookmarkStart w:id="90" w:name="page91"/>
    <w:bookmarkEnd w:id="90"/>
    <w:tbl>
      <w:tblPr>
        <w:tblLayout w:type="fixed"/>
        <w:tblInd w:w="130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depreciation for acquired property, plant, and equipment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Newmar Acquired Companies depreciation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 forma adjustment related to depreciation</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depreciation adjustment to cost of goods sold</w:t>
            </w: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252</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depreciation adjustment to selling, general, and administrative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 forma adjustment related to depreciation</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each 10% increase or decrease in the fair value of buildings and leasehold improvements, the annual depreciation expense would increase or decrease by $0.1 million. If the useful life for buildings and leasehold improvements were to increase or decrease by 1 year, the annual depreciation expense will decrease or increase by $0.1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10% increase or decrease in the fair value of machinery and equipment, the annual depreciation expense would increase or decrease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If the useful life for machinery and equipment increases or decreases by 1 year, the annual depreciation expense will decrease or increase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the fair value of all other assets combined increases or decreases by 10% in value, the annual depreciation expense would increase or decrease by $0.1 million. If the useful life for all other assets combined increases or decreases by 1 year, the annual depreciation expense will decrease or increase by $0.1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 — Transaction costs</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Represents the elimination of $0.7 million of non-recurring transaction-related costs directly attributable to the Transaction recorded within selling,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 — Amortization of intangible assets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Represents estimated amortization expense related to the pro forma adjustment to other intangible assets, net (see Note 6F). Pro forma amortization has been estimated on a preliminary basis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Dealer network</w:t>
            </w:r>
          </w:p>
        </w:tc>
        <w:tc>
          <w:tcPr>
            <w:tcW w:w="2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175,500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Backlog which does not have a continuing impact</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line="20" w:lineRule="exact"/>
              <w:rPr>
                <w:sz w:val="1"/>
                <w:szCs w:val="1"/>
                <w:color w:val="auto"/>
              </w:rPr>
            </w:pPr>
          </w:p>
        </w:tc>
      </w:tr>
      <w:tr>
        <w:trPr>
          <w:trHeight w:val="170"/>
        </w:trPr>
        <w:tc>
          <w:tcPr>
            <w:tcW w:w="5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to amortization of intangible assets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each $1 million increase or decrease in the fair value of dealer network, the amortization expense would increase or decrease by $0.1 million. If the useful life for dealer network increases or decreases by 1 year, the annual amortization expense will decrease or increase by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auto"/>
        </w:rPr>
        <w:t>E — Interest expense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increase in interest expense is comprised of the following (in thousands):</w:t>
      </w:r>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August 31, 2019</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 on convertible notes(1)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of convertible notes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Removal of interest expense related to Newmar Acquired Companies debt not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 adjustment</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40" w:hanging="652"/>
        <w:spacing w:after="0" w:line="266" w:lineRule="auto"/>
        <w:tabs>
          <w:tab w:leader="none" w:pos="6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pro forma financial information, the interest rate for the convertible notes is assumed to be 1.75% per annum for the year ended August 31, 2019. An increase or decrease in the interest rate assumed above of 0.125% would result in an aggregate increase or decrease to cash interest expense of approximately $0.4 million for the year ended August 31, 2019.</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convertible notes will recognize non-cash interest expense, through accretion of the debt discount and issuance costs over the life of the convertible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 — Income taxes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Reflects the income tax effect on pro forma adjustments and on Newmar Acquired Companies’ historical income of $4.7 million based on the estimated blended federal and state statutory rate of 24.5%. Newmar Acquired Companies, as an S-Corporation, was an entity that passed-through its taxable income to its owners and accordingly, recorded no tax expense on its statements of income. Therefore, this adjustment included the estimated tax that Newmar Acquired Companies would have incurred had it not been a pass-through entity. The tax rate does not reflect the expected effective tax rate, which will include other tax charges and benefits, and does not take into account any historical or possible future tax events that may impact the combined entity.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 — Earnings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statements reflect the increase in the weighted average shares in connection with the issuance of 2,000,000 common shares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convertible notes are convertible to cash, shares of our common stock or a combination of cash and shares, at our election.</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It is management’s intent, upon conversion of the notes, to settle the conversion value in cash up to their principal amount and in shares for any excess over their principal amount. The Company utilizes the treasury stock method to calculate the effects of the notes on diluted earnings per share. However, as the common stock of the Company has not traded above the conversion price of the notes, the application of the treasury stock method for the notes would prove anti-dilutive in calculating diluted earnings per share and should therefore be excluded from its calculation.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Reclassifications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Winnebago has completed a preliminary review of the financial statement presentation of Newmar Corporation and Subsidiaries for purposes of the unaudited pro forma condensed combined financial information. During this review, the following financial statement reclassifications were performed in order to align the presentation of Newmar Corporation and Subsidiaries’ financial information with that of Winnebago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Newmar Corporation and Subsidiaries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Winnebago Presentation</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0" w:type="dxa"/>
            <w:vAlign w:val="bottom"/>
          </w:tcPr>
          <w:p>
            <w:pPr>
              <w:spacing w:after="0"/>
              <w:rPr>
                <w:sz w:val="1"/>
                <w:szCs w:val="1"/>
                <w:color w:val="auto"/>
              </w:rPr>
            </w:pPr>
          </w:p>
        </w:tc>
      </w:tr>
      <w:tr>
        <w:trPr>
          <w:trHeight w:val="210"/>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5,753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4,210</w:t>
            </w:r>
          </w:p>
        </w:tc>
        <w:tc>
          <w:tcPr>
            <w:tcW w:w="7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a</w:t>
            </w: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9,963</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4,210</w:t>
            </w: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(4,210)</w:t>
            </w:r>
          </w:p>
        </w:tc>
        <w:tc>
          <w:tcPr>
            <w:tcW w:w="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(after allowance</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Receivables, less allowance for</w:t>
            </w: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 doubtful accounts)</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42,166</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42,166</w:t>
            </w:r>
          </w:p>
        </w:tc>
        <w:tc>
          <w:tcPr>
            <w:tcW w:w="14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doubtful accounts</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70,477</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70,477</w:t>
            </w: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show fees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(661)</w:t>
            </w:r>
          </w:p>
        </w:tc>
        <w:tc>
          <w:tcPr>
            <w:tcW w:w="7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88"/>
              </w:rPr>
              <w:t>b</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Prepaid insurance and other current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2,332</w:t>
            </w:r>
          </w:p>
        </w:tc>
        <w:tc>
          <w:tcPr>
            <w:tcW w:w="34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661</w:t>
            </w:r>
          </w:p>
        </w:tc>
        <w:tc>
          <w:tcPr>
            <w:tcW w:w="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88"/>
              </w:rPr>
              <w:t>b</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2,993</w:t>
            </w:r>
          </w:p>
        </w:tc>
        <w:tc>
          <w:tcPr>
            <w:tcW w:w="140" w:type="dxa"/>
            <w:vAlign w:val="bottom"/>
          </w:tcPr>
          <w:p>
            <w:pPr>
              <w:spacing w:after="0"/>
              <w:rPr>
                <w:sz w:val="20"/>
                <w:szCs w:val="20"/>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125,599</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in life insurance</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140,595</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140,595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12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17,424</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taxes payable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1,061</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and wages payable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7,148</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561</w:t>
            </w:r>
          </w:p>
        </w:tc>
        <w:tc>
          <w:tcPr>
            <w:tcW w:w="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7,709</w:t>
            </w: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profit sharing</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(561)</w:t>
            </w:r>
          </w:p>
        </w:tc>
        <w:tc>
          <w:tcPr>
            <w:tcW w:w="7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warranty claims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15,860</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15,860</w:t>
            </w: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warranties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group insurance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Self-insurance</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dealer incentive bonuses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1,583</w:t>
            </w: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(1,583)</w:t>
            </w:r>
          </w:p>
        </w:tc>
        <w:tc>
          <w:tcPr>
            <w:tcW w:w="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88"/>
              </w:rPr>
              <w:t>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dealer promotions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1,583</w:t>
            </w:r>
          </w:p>
        </w:tc>
        <w:tc>
          <w:tcPr>
            <w:tcW w:w="7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88"/>
              </w:rPr>
              <w:t>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Promotional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repurchase obligation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(305)</w:t>
            </w:r>
          </w:p>
        </w:tc>
        <w:tc>
          <w:tcPr>
            <w:tcW w:w="7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Lease payable — short term</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(511)</w:t>
            </w:r>
          </w:p>
        </w:tc>
        <w:tc>
          <w:tcPr>
            <w:tcW w:w="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816</w:t>
            </w:r>
          </w:p>
        </w:tc>
        <w:tc>
          <w:tcPr>
            <w:tcW w:w="7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rPr>
              <w:t>e, f</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1,232</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46,565</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Non-current liabilities: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3,690</w:t>
            </w:r>
          </w:p>
        </w:tc>
        <w:tc>
          <w:tcPr>
            <w:tcW w:w="7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88"/>
              </w:rPr>
              <w:t>g</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11,690</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Shareholder notes payable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3,690</w:t>
            </w: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(3,690)</w:t>
            </w:r>
          </w:p>
        </w:tc>
        <w:tc>
          <w:tcPr>
            <w:tcW w:w="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88"/>
              </w:rPr>
              <w:t>g</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payable — long term</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5,584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(5,584)</w:t>
            </w:r>
          </w:p>
        </w:tc>
        <w:tc>
          <w:tcPr>
            <w:tcW w:w="7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88"/>
              </w:rPr>
              <w:t>h</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Deferred compensation benefits, net of</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5,584</w:t>
            </w:r>
          </w:p>
        </w:tc>
        <w:tc>
          <w:tcPr>
            <w:tcW w:w="7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88"/>
              </w:rPr>
              <w:t>h</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5,584</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common stock</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Redeemable common stock</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Stockholders’ equity:</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no par value; voting</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par value $0.01:</w:t>
            </w: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Authorized-10,000 shares; Issued-none</w:t>
            </w:r>
          </w:p>
        </w:tc>
        <w:tc>
          <w:tcPr>
            <w:tcW w:w="0" w:type="dxa"/>
            <w:vAlign w:val="bottom"/>
          </w:tcPr>
          <w:p>
            <w:pPr>
              <w:spacing w:after="0"/>
              <w:rPr>
                <w:sz w:val="1"/>
                <w:szCs w:val="1"/>
                <w:color w:val="auto"/>
              </w:rPr>
            </w:pPr>
          </w:p>
        </w:tc>
      </w:tr>
      <w:tr>
        <w:trPr>
          <w:trHeight w:val="198"/>
        </w:trPr>
        <w:tc>
          <w:tcPr>
            <w:tcW w:w="3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no par value;</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par value $0.50:</w:t>
            </w:r>
          </w:p>
        </w:tc>
        <w:tc>
          <w:tcPr>
            <w:tcW w:w="0" w:type="dxa"/>
            <w:vAlign w:val="bottom"/>
          </w:tcPr>
          <w:p>
            <w:pPr>
              <w:spacing w:after="0"/>
              <w:rPr>
                <w:sz w:val="1"/>
                <w:szCs w:val="1"/>
                <w:color w:val="auto"/>
              </w:rPr>
            </w:pPr>
          </w:p>
        </w:tc>
      </w:tr>
      <w:tr>
        <w:trPr>
          <w:trHeight w:val="216"/>
        </w:trPr>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nonvoting</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Authorized-60,000 shares; Issued-</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51,776 shares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(46,992)</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(46,992)</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Treasury stock, at cost: 20,262 shares</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0" w:type="dxa"/>
            <w:vAlign w:val="bottom"/>
          </w:tcPr>
          <w:p>
            <w:pPr>
              <w:spacing w:after="0"/>
              <w:rPr>
                <w:sz w:val="1"/>
                <w:szCs w:val="1"/>
                <w:color w:val="auto"/>
              </w:rPr>
            </w:pPr>
          </w:p>
        </w:tc>
      </w:tr>
      <w:tr>
        <w:trPr>
          <w:trHeight w:val="178"/>
        </w:trPr>
        <w:tc>
          <w:tcPr>
            <w:tcW w:w="30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5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140,595</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gridSpan w:val="2"/>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140,595</w:t>
            </w:r>
          </w:p>
        </w:tc>
        <w:tc>
          <w:tcPr>
            <w:tcW w:w="140" w:type="dxa"/>
            <w:vAlign w:val="bottom"/>
          </w:tcPr>
          <w:p>
            <w:pPr>
              <w:spacing w:after="0"/>
              <w:rPr>
                <w:sz w:val="15"/>
                <w:szCs w:val="15"/>
                <w:color w:val="auto"/>
              </w:rPr>
            </w:pPr>
          </w:p>
        </w:tc>
        <w:tc>
          <w:tcPr>
            <w:tcW w:w="3080" w:type="dxa"/>
            <w:vAlign w:val="bottom"/>
            <w:gridSpan w:val="2"/>
          </w:tcPr>
          <w:p>
            <w:pPr>
              <w:ind w:left="120"/>
              <w:spacing w:after="0" w:line="178" w:lineRule="exact"/>
              <w:rPr>
                <w:sz w:val="20"/>
                <w:szCs w:val="20"/>
                <w:color w:val="auto"/>
              </w:rPr>
            </w:pPr>
            <w:r>
              <w:rPr>
                <w:rFonts w:ascii="Times New Roman" w:cs="Times New Roman" w:eastAsia="Times New Roman" w:hAnsi="Times New Roman"/>
                <w:sz w:val="18"/>
                <w:szCs w:val="18"/>
                <w:color w:val="auto"/>
              </w:rPr>
              <w:t>Total liabilities and stockholders’</w:t>
            </w:r>
          </w:p>
        </w:tc>
        <w:tc>
          <w:tcPr>
            <w:tcW w:w="0" w:type="dxa"/>
            <w:vAlign w:val="bottom"/>
          </w:tcPr>
          <w:p>
            <w:pPr>
              <w:spacing w:after="0"/>
              <w:rPr>
                <w:sz w:val="1"/>
                <w:szCs w:val="1"/>
                <w:color w:val="auto"/>
              </w:rPr>
            </w:pPr>
          </w:p>
        </w:tc>
      </w:tr>
      <w:tr>
        <w:trPr>
          <w:trHeight w:val="221"/>
        </w:trPr>
        <w:tc>
          <w:tcPr>
            <w:tcW w:w="30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 reclassification notes:</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$4.2 million of “Certificates of deposit” to “Cash and cash equivalents”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$0.7 million of “Prepaid show fees” to “Prepaid expenses and other assets”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$0.6 million of “Accrued profit sharing” to “Accrued compensation”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$1.6 million of “Accrued dealer incentive bonuses” to “Promotional”</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$0.3 million of “Accrued repurchase obligation” to “Other” (current liabilities)</w:t>
      </w:r>
    </w:p>
    <w:p>
      <w:pPr>
        <w:sectPr>
          <w:pgSz w:w="11900" w:h="16838" w:orient="portrait"/>
          <w:cols w:equalWidth="0" w:num="1">
            <w:col w:w="11420"/>
          </w:cols>
          <w:pgMar w:left="240" w:top="318" w:right="239" w:bottom="0" w:gutter="0" w:footer="0" w:header="0"/>
        </w:sectPr>
      </w:pPr>
    </w:p>
    <w:bookmarkStart w:id="93" w:name="page94"/>
    <w:bookmarkEnd w:id="93"/>
    <w:p>
      <w:pPr>
        <w:ind w:left="652" w:hanging="652"/>
        <w:spacing w:after="0"/>
        <w:tabs>
          <w:tab w:leader="none" w:pos="65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Reclassification of $0.5 million of “Lease payable — short term” to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121" w:right="1440" w:bottom="1440" w:gutter="0" w:footer="0" w:header="0"/>
        </w:sectPr>
      </w:pPr>
    </w:p>
    <w:bookmarkStart w:id="94" w:name="page95"/>
    <w:bookmarkEnd w:id="94"/>
    <w:p>
      <w:pPr>
        <w:ind w:left="672" w:hanging="672"/>
        <w:spacing w:after="0"/>
        <w:tabs>
          <w:tab w:leader="none" w:pos="67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Reclassification of $3.7 million of “Shareholder notes payable” to “Long-term debt, less current maturities”</w:t>
      </w:r>
    </w:p>
    <w:p>
      <w:pPr>
        <w:spacing w:after="0" w:line="236"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$5.6 million of “Lease payable — long term” to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337"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Newmar Corporation and Subsidiaries</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Winnebago Presentation</w:t>
            </w:r>
          </w:p>
        </w:tc>
      </w:tr>
      <w:tr>
        <w:trPr>
          <w:trHeight w:val="173"/>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August 31, 2019</w:t>
            </w: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70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661,110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661,110</w:t>
            </w:r>
          </w:p>
        </w:tc>
        <w:tc>
          <w:tcPr>
            <w:tcW w:w="31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579,774</w:t>
            </w:r>
          </w:p>
        </w:tc>
        <w:tc>
          <w:tcPr>
            <w:tcW w:w="34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579,774</w:t>
            </w:r>
          </w:p>
        </w:tc>
        <w:tc>
          <w:tcPr>
            <w:tcW w:w="3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Cost of goods sold</w:t>
            </w: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81,336</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81,336</w:t>
            </w:r>
          </w:p>
        </w:tc>
        <w:tc>
          <w:tcPr>
            <w:tcW w:w="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r>
      <w:tr>
        <w:trPr>
          <w:trHeight w:val="178"/>
        </w:trPr>
        <w:tc>
          <w:tcPr>
            <w:tcW w:w="28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gridSpan w:val="2"/>
          </w:tcPr>
          <w:p>
            <w:pPr>
              <w:ind w:left="260"/>
              <w:spacing w:after="0" w:line="178" w:lineRule="exact"/>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37,708</w:t>
            </w:r>
          </w:p>
        </w:tc>
        <w:tc>
          <w:tcPr>
            <w:tcW w:w="34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(740)</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36,968</w:t>
            </w:r>
          </w:p>
        </w:tc>
        <w:tc>
          <w:tcPr>
            <w:tcW w:w="3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expenses</w:t>
            </w:r>
          </w:p>
        </w:tc>
      </w:tr>
      <w:tr>
        <w:trPr>
          <w:trHeight w:val="216"/>
        </w:trPr>
        <w:tc>
          <w:tcPr>
            <w:tcW w:w="2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r>
      <w:tr>
        <w:trPr>
          <w:trHeight w:val="210"/>
        </w:trPr>
        <w:tc>
          <w:tcPr>
            <w:tcW w:w="2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37,708</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4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36,968</w:t>
            </w:r>
          </w:p>
        </w:tc>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44,368</w:t>
            </w:r>
          </w:p>
        </w:tc>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848</w:t>
            </w:r>
          </w:p>
        </w:tc>
        <w:tc>
          <w:tcPr>
            <w:tcW w:w="34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848</w:t>
            </w:r>
          </w:p>
        </w:tc>
        <w:tc>
          <w:tcPr>
            <w:tcW w:w="3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16"/>
        </w:trPr>
        <w:tc>
          <w:tcPr>
            <w:tcW w:w="2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Non-operating income</w:t>
            </w:r>
          </w:p>
        </w:tc>
      </w:tr>
      <w:tr>
        <w:trPr>
          <w:trHeight w:val="210"/>
        </w:trPr>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43,520</w:t>
            </w:r>
          </w:p>
        </w:tc>
        <w:tc>
          <w:tcPr>
            <w:tcW w:w="20" w:type="dxa"/>
            <w:vAlign w:val="bottom"/>
          </w:tcPr>
          <w:p>
            <w:pPr>
              <w:spacing w:after="0"/>
              <w:rPr>
                <w:sz w:val="18"/>
                <w:szCs w:val="18"/>
                <w:color w:val="auto"/>
              </w:rPr>
            </w:pPr>
          </w:p>
        </w:tc>
        <w:tc>
          <w:tcPr>
            <w:tcW w:w="3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r>
      <w:tr>
        <w:trPr>
          <w:trHeight w:val="216"/>
        </w:trPr>
        <w:tc>
          <w:tcPr>
            <w:tcW w:w="2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740</w:t>
            </w: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c>
          <w:tcPr>
            <w:tcW w:w="3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42,780</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42,780</w:t>
            </w:r>
          </w:p>
        </w:tc>
        <w:tc>
          <w:tcPr>
            <w:tcW w:w="20" w:type="dxa"/>
            <w:vAlign w:val="bottom"/>
            <w:tcBorders>
              <w:bottom w:val="single" w:sz="8" w:color="auto"/>
            </w:tcBorders>
          </w:tcPr>
          <w:p>
            <w:pPr>
              <w:spacing w:after="0"/>
              <w:rPr>
                <w:sz w:val="18"/>
                <w:szCs w:val="18"/>
                <w:color w:val="auto"/>
              </w:rPr>
            </w:pPr>
          </w:p>
        </w:tc>
        <w:tc>
          <w:tcPr>
            <w:tcW w:w="3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 reclassification notes:</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income tax expense from “Selling, general and administrative expenses” to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1."/>
      <w:numFmt w:val="decimal"/>
      <w:start w:val="1"/>
    </w:lvl>
    <w:lvl w:ilvl="1">
      <w:lvlJc w:val="left"/>
      <w:lvlText w:val="(%2)"/>
      <w:numFmt w:val="lowerLetter"/>
      <w:start w:val="1"/>
    </w:lvl>
  </w:abstractNum>
  <w:abstractNum w:abstractNumId="2">
    <w:nsid w:val="1BEFD79F"/>
    <w:multiLevelType w:val="hybridMultilevel"/>
    <w:lvl w:ilvl="0">
      <w:lvlJc w:val="left"/>
      <w:lvlText w:val="%1"/>
      <w:numFmt w:val="decimal"/>
      <w:start w:val="1"/>
    </w:lvl>
    <w:lvl w:ilvl="1">
      <w:lvlJc w:val="left"/>
      <w:lvlText w:val="(%2)"/>
      <w:numFmt w:val="lowerLetter"/>
      <w:start w:val="5"/>
    </w:lvl>
  </w:abstractNum>
  <w:abstractNum w:abstractNumId="3">
    <w:nsid w:val="41A7C4C9"/>
    <w:multiLevelType w:val="hybridMultilevel"/>
    <w:lvl w:ilvl="0">
      <w:lvlJc w:val="left"/>
      <w:lvlText w:val="%1."/>
      <w:numFmt w:val="decimal"/>
      <w:start w:val="2"/>
    </w:lvl>
    <w:lvl w:ilvl="1">
      <w:lvlJc w:val="left"/>
      <w:lvlText w:val="(%2)"/>
      <w:numFmt w:val="lowerLetter"/>
      <w:start w:val="1"/>
    </w:lvl>
  </w:abstractNum>
  <w:abstractNum w:abstractNumId="4">
    <w:nsid w:val="6B68079A"/>
    <w:multiLevelType w:val="hybridMultilevel"/>
    <w:lvl w:ilvl="0">
      <w:lvlJc w:val="left"/>
      <w:lvlText w:val="(%1)"/>
      <w:numFmt w:val="lowerLetter"/>
      <w:start w:val="6"/>
    </w:lvl>
  </w:abstractNum>
  <w:abstractNum w:abstractNumId="5">
    <w:nsid w:val="4E6AFB66"/>
    <w:multiLevelType w:val="hybridMultilevel"/>
    <w:lvl w:ilvl="0">
      <w:lvlJc w:val="left"/>
      <w:lvlText w:val="%1."/>
      <w:numFmt w:val="decimal"/>
      <w:start w:val="3"/>
    </w:lvl>
    <w:lvl w:ilvl="1">
      <w:lvlJc w:val="left"/>
      <w:lvlText w:val="(%2)"/>
      <w:numFmt w:val="lowerLetter"/>
      <w:start w:val="1"/>
    </w:lvl>
  </w:abstractNum>
  <w:abstractNum w:abstractNumId="6">
    <w:nsid w:val="25E45D32"/>
    <w:multiLevelType w:val="hybridMultilevel"/>
    <w:lvl w:ilvl="0">
      <w:lvlJc w:val="left"/>
      <w:lvlText w:val="%1"/>
      <w:numFmt w:val="decimal"/>
      <w:start w:val="1"/>
    </w:lvl>
    <w:lvl w:ilvl="1">
      <w:lvlJc w:val="left"/>
      <w:lvlText w:val="(%2)"/>
      <w:numFmt w:val="lowerLetter"/>
      <w:start w:val="2"/>
    </w:lvl>
  </w:abstractNum>
  <w:abstractNum w:abstractNumId="7">
    <w:nsid w:val="519B500D"/>
    <w:multiLevelType w:val="hybridMultilevel"/>
    <w:lvl w:ilvl="0">
      <w:lvlJc w:val="left"/>
      <w:lvlText w:val="%1."/>
      <w:numFmt w:val="decimal"/>
      <w:start w:val="4"/>
    </w:lvl>
    <w:lvl w:ilvl="1">
      <w:lvlJc w:val="left"/>
      <w:lvlText w:val="%2"/>
      <w:numFmt w:val="lowerLetter"/>
      <w:start w:val="1"/>
    </w:lvl>
  </w:abstractNum>
  <w:abstractNum w:abstractNumId="8">
    <w:nsid w:val="431BD7B7"/>
    <w:multiLevelType w:val="hybridMultilevel"/>
    <w:lvl w:ilvl="0">
      <w:lvlJc w:val="left"/>
      <w:lvlText w:val="%1."/>
      <w:numFmt w:val="decimal"/>
      <w:start w:val="8"/>
    </w:lvl>
  </w:abstractNum>
  <w:abstractNum w:abstractNumId="9">
    <w:nsid w:val="3F2DBA31"/>
    <w:multiLevelType w:val="hybridMultilevel"/>
    <w:lvl w:ilvl="0">
      <w:lvlJc w:val="left"/>
      <w:lvlText w:val="%1."/>
      <w:numFmt w:val="decimal"/>
      <w:start w:val="1"/>
    </w:lvl>
    <w:lvl w:ilvl="1">
      <w:lvlJc w:val="left"/>
      <w:lvlText w:val="%2."/>
      <w:numFmt w:val="lowerLetter"/>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1."/>
      <w:numFmt w:val="decimal"/>
      <w:start w:val="7"/>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Roman"/>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Roman"/>
      <w:start w:val="2"/>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6"/>
    </w:lvl>
  </w:abstractNum>
  <w:abstractNum w:abstractNumId="25">
    <w:nsid w:val="189A769B"/>
    <w:multiLevelType w:val="hybridMultilevel"/>
    <w:lvl w:ilvl="0">
      <w:lvlJc w:val="left"/>
      <w:lvlText w:val="(%1)"/>
      <w:numFmt w:val="lowerLetter"/>
      <w:start w:val="7"/>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jpe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7" Type="http://schemas.openxmlformats.org/officeDocument/2006/relationships/hyperlink" Target="http://www.sec.gov/Archives/edgar/data/107687/000010768719000017/ex2120198-k09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2019-12-28T01:58:59Z</dcterms:created>
  <dcterms:modified xsi:type="dcterms:W3CDTF">2019-12-28T01:58:59Z</dcterms:modified>
</cp:coreProperties>
</file>