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20320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168910</wp:posOffset>
            </wp:positionV>
            <wp:extent cx="2922905"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290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Iowa</w:t>
            </w:r>
          </w:p>
        </w:tc>
        <w:tc>
          <w:tcPr>
            <w:tcW w:w="29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001-06403</w:t>
            </w:r>
          </w:p>
        </w:tc>
        <w:tc>
          <w:tcPr>
            <w:tcW w:w="4280" w:type="dxa"/>
            <w:vAlign w:val="bottom"/>
            <w:tcBorders>
              <w:bottom w:val="single" w:sz="8" w:color="auto"/>
            </w:tcBorders>
            <w:gridSpan w:val="2"/>
          </w:tcPr>
          <w:p>
            <w:pPr>
              <w:jc w:val="right"/>
              <w:ind w:right="1270"/>
              <w:spacing w:after="0"/>
              <w:rPr>
                <w:sz w:val="20"/>
                <w:szCs w:val="20"/>
                <w:color w:val="auto"/>
              </w:rPr>
            </w:pPr>
            <w:r>
              <w:rPr>
                <w:rFonts w:ascii="Arial" w:cs="Arial" w:eastAsia="Arial" w:hAnsi="Arial"/>
                <w:sz w:val="18"/>
                <w:szCs w:val="18"/>
                <w:b w:val="1"/>
                <w:bCs w:val="1"/>
                <w:color w:val="auto"/>
              </w:rPr>
              <w:t>42-0802678</w:t>
            </w:r>
          </w:p>
        </w:tc>
      </w:tr>
      <w:tr>
        <w:trPr>
          <w:trHeight w:val="224"/>
        </w:trPr>
        <w:tc>
          <w:tcPr>
            <w:tcW w:w="4060" w:type="dxa"/>
            <w:vAlign w:val="bottom"/>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2900" w:type="dxa"/>
            <w:vAlign w:val="bottom"/>
          </w:tcPr>
          <w:p>
            <w:pPr>
              <w:jc w:val="center"/>
              <w:ind w:left="590"/>
              <w:spacing w:after="0"/>
              <w:rPr>
                <w:sz w:val="20"/>
                <w:szCs w:val="20"/>
                <w:color w:val="auto"/>
              </w:rPr>
            </w:pPr>
            <w:r>
              <w:rPr>
                <w:rFonts w:ascii="Arial" w:cs="Arial" w:eastAsia="Arial" w:hAnsi="Arial"/>
                <w:sz w:val="18"/>
                <w:szCs w:val="18"/>
                <w:color w:val="auto"/>
                <w:w w:val="92"/>
              </w:rPr>
              <w:t>(Commission File Number)</w:t>
            </w:r>
          </w:p>
        </w:tc>
        <w:tc>
          <w:tcPr>
            <w:tcW w:w="68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1"/>
        </w:trPr>
        <w:tc>
          <w:tcPr>
            <w:tcW w:w="406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P.O. Box 152, Forest City, Iowa</w:t>
            </w:r>
          </w:p>
        </w:tc>
        <w:tc>
          <w:tcPr>
            <w:tcW w:w="2900" w:type="dxa"/>
            <w:vAlign w:val="bottom"/>
          </w:tcPr>
          <w:p>
            <w:pPr>
              <w:spacing w:after="0"/>
              <w:rPr>
                <w:sz w:val="24"/>
                <w:szCs w:val="24"/>
                <w:color w:val="auto"/>
              </w:rPr>
            </w:pPr>
          </w:p>
        </w:tc>
        <w:tc>
          <w:tcPr>
            <w:tcW w:w="428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50436</w:t>
            </w:r>
          </w:p>
        </w:tc>
      </w:tr>
      <w:tr>
        <w:trPr>
          <w:trHeight w:val="224"/>
        </w:trPr>
        <w:tc>
          <w:tcPr>
            <w:tcW w:w="406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960" w:type="dxa"/>
            <w:vAlign w:val="bottom"/>
            <w:gridSpan w:val="2"/>
          </w:tcPr>
          <w:p>
            <w:pPr>
              <w:ind w:left="3220"/>
              <w:spacing w:after="0"/>
              <w:rPr>
                <w:sz w:val="20"/>
                <w:szCs w:val="20"/>
                <w:color w:val="auto"/>
              </w:rPr>
            </w:pPr>
            <w:r>
              <w:rPr>
                <w:rFonts w:ascii="Arial" w:cs="Arial" w:eastAsia="Arial" w:hAnsi="Arial"/>
                <w:sz w:val="18"/>
                <w:szCs w:val="18"/>
                <w:color w:val="auto"/>
                <w:w w:val="90"/>
              </w:rPr>
              <w:t>Registrant's telephone number, including area code</w:t>
            </w:r>
          </w:p>
        </w:tc>
        <w:tc>
          <w:tcPr>
            <w:tcW w:w="4280" w:type="dxa"/>
            <w:vAlign w:val="bottom"/>
            <w:gridSpan w:val="2"/>
          </w:tcPr>
          <w:p>
            <w:pPr>
              <w:jc w:val="right"/>
              <w:ind w:right="3110"/>
              <w:spacing w:after="0"/>
              <w:rPr>
                <w:sz w:val="20"/>
                <w:szCs w:val="20"/>
                <w:color w:val="auto"/>
              </w:rPr>
            </w:pPr>
            <w:r>
              <w:rPr>
                <w:rFonts w:ascii="Arial" w:cs="Arial" w:eastAsia="Arial" w:hAnsi="Arial"/>
                <w:sz w:val="18"/>
                <w:szCs w:val="18"/>
                <w:b w:val="1"/>
                <w:bCs w:val="1"/>
                <w:color w:val="auto"/>
                <w:w w:val="94"/>
              </w:rPr>
              <w:t>641-585-3535</w:t>
            </w:r>
          </w:p>
        </w:tc>
      </w:tr>
    </w:tbl>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-130175</wp:posOffset>
            </wp:positionV>
            <wp:extent cx="3985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3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540"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Trading</w:t>
            </w:r>
          </w:p>
        </w:tc>
        <w:tc>
          <w:tcPr>
            <w:tcW w:w="3700" w:type="dxa"/>
            <w:vAlign w:val="bottom"/>
            <w:tcBorders>
              <w:top w:val="single" w:sz="8" w:color="auto"/>
              <w:right w:val="single" w:sz="8" w:color="auto"/>
            </w:tcBorders>
          </w:tcPr>
          <w:p>
            <w:pPr>
              <w:spacing w:after="0"/>
              <w:rPr>
                <w:sz w:val="18"/>
                <w:szCs w:val="18"/>
                <w:color w:val="auto"/>
              </w:rPr>
            </w:pPr>
          </w:p>
        </w:tc>
      </w:tr>
      <w:tr>
        <w:trPr>
          <w:trHeight w:val="237"/>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$0.50 par value per share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WGO</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of Existing ABL Credit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8, 2020, Winnebago Industries, Inc. (the “Company”) entered into an Amendment No. 2 (the “ABL Amendment”) to the Amended and Restated Credit Agreement, dated as of October 22, 2019, among the Company, Winnebago of Indiana, LLC, Grand Design RV, LLC and Newmar Corporation, the other loan parties thereto from time to time, the lenders party thereto from time to time and JPMorgan Chase Bank, N.A. (the “ABL Agent”). Among other things, the ABL Amendment makes certain changes to the Company’s existing asset-based revolving credit agreement (the “Existing ABL Credit Agreement” and, as amended by the ABL Amendment, the “ABL Facility”) to reflect the Company’s Notes Offering, as described and defined below, and the repayment of the Company’s term loan facility with the proceeds thereof. It also revises the debt covenant in the Existing ABL Credit Agreement to increase the amount of secured notes and term loan debt that is permitted under the ABL Facility to be consistent with the terms of the Indenture governing the Notes, each as described and defined below.</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ABL Amendment does not purport to be complete and is qualified in its entirety by reference to such document, which is included as Exhibit 10.1 filed herewith.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Indenture and Notes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8, 2020, the Company closed its previously announced private offering (the “Notes Offering”) of $300.0 million aggregate principal amount of 6.250% Senior Secured Notes due 2028 (the “Notes”). The Notes were issued pursuant to an Indenture, dated as of July 8, 2020 (the “Indenture”), among the Company, the subsidiary guarantor parties thereto (the “Guarantors”) and U.S. Bank National Association, as Trustee and Collateral Trustee. The Notes will mature on July 15, 2028 unless earlier redeemed or repurchased. Interest on the Notes will accrue from July 8, 2020 and is payable semi-annually in arrears on January 15 and July 15 of each year, beginning January 15, 2021, at a rate of 6.250% per year. The Notes and the related guarantees will be secured by (i) a first-priority lien on substantially all of the Company’s and the Guarantors’ existing and future assets (other than certain collateral under the Company’s ABL Facility) and (ii) a second-priority lien on the Company’s and the Guarantors’ present and future accounts and credit card receivables, inventory and other related assets and proceeds thereof that secure the ABL Facility on a first-priority basis.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Indenture limits the ability of the Company and its subsidiaries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the Company’s restricted subsidiaries to pay dividends or make other inter-company distributions; engage in certain transactions with affiliates; designate subsidiaries as unrestricted subsidiaries; and consolidate, merge or transfer all or substantially all of the Company’s assets and the assets of its restricted subsidiaries.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Indenture provides for customary events of default that include (subject in certain cases to grace and cure periods), among others: nonpayment of principal or interest; breach of other covenants in the Indenture; payment or other related defaults by the Company or a restricted subsidiary under certain other indebtedness; the failure by the Company or any significant subsidiary to pay certain final judgments; and certain events of bankruptcy or insolvency. Generally, if an event of default occurs and is not cured within the time periods specified, the Trustee or the holders of at least 25% in principal amount of the then outstanding Notes may declare all the Notes to be due and payable immediately.</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any time prior to July 15, 2023, the Company may redeem all or part of the Notes at a redemption price equal to 100% of the principal amount of the Notes redeemed, plus accrued and unpaid interest, if any, to (but not including) the redemption date, plus an applicable “make-whole premium.” On or after July 15, 2023, the Company may redeem the Notes, in whole or in part, at any time and from time to time at certain fixed redemption prices expressed as percentages of the principal amount, plus accrued and unpaid interest, if any, to (but not including) the redemption date. In addition, the Company may redeem up to 40% of the aggregate principal amount of the Notes at any time and from time to time before July 15, 2023, with the net cash proceeds of certain equity offerings at a redemption price of 106.250% of the principal amount plus accrued and unpaid interest, if any, to, but excluding, the redemption date.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occurrence of certain events constituting a change of control, the Company may be required to make an offer to repurchase all of the Notes (unless otherwise redeemed) at a price equal to 101% of the principal amount thereof, plus accrued and unpaid interest, if any, to (but not including) the date of purchase.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being governed by the Indenture, the rights of the holders of the Notes are governed by the entry by the Company, the Collateral Trustee and the ABL Agent into an intercreditor agreement, as further described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were offered only to persons reasonably believed to be qualified institutional buyers in reliance on Rule 144A under the Securities Act of 1933, as amended (the “Securities Act”), or to non-U.S. investors in reliance on Regulation S under the Securities Act. The Notes were not, and will not be, registered under the Securities Act or any state securities laws and may not be offered or sold in the United States absent registration or an applicable exemption from the registration requirements of the Securities Act and applicable state laws.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foregoing description of the Indenture and the Notes does not purport to be complete and is qualified in its entirety by reference to such documents.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form of global note are included as Exhibits 4.1 and 4.2 filed herewith.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Intercreditor Agreement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8, 2020, the Company and certain of its subsidiaries entered into an Intercreditor Agreement with the ABL Agent and the Collateral Trustee (the “Intercreditor Agreement”), which governs the rights and priorities of the secured parties under the Indenture and the ABL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013" w:gutter="0" w:footer="0" w:header="0"/>
        </w:sectPr>
      </w:pPr>
    </w:p>
    <w:bookmarkStart w:id="2" w:name="page3"/>
    <w:bookmarkEnd w:id="2"/>
    <w:p>
      <w:pPr>
        <w:ind w:right="340"/>
        <w:spacing w:after="0" w:line="277" w:lineRule="auto"/>
        <w:rPr>
          <w:sz w:val="20"/>
          <w:szCs w:val="20"/>
          <w:color w:val="auto"/>
        </w:rPr>
      </w:pPr>
      <w:r>
        <w:rPr>
          <w:rFonts w:ascii="Arial" w:cs="Arial" w:eastAsia="Arial" w:hAnsi="Arial"/>
          <w:sz w:val="18"/>
          <w:szCs w:val="18"/>
          <w:color w:val="auto"/>
        </w:rPr>
        <w:t>The foregoing description of the Intercreditor Agreement does not purport to be complete and is qualified in its entirety by reference to such document, which is included as Exhibit 10.2 filed herewith.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2020, the Company used the proceeds of the Notes to repay all obligations under its term loan B evidenced by that certain Loan Agreement, dated as of November 8, 2016, among Octavius Corporation, the Company, the lenders party thereto from time to time and J.P. Morgan Chase Bank, N.A., as administrative agent (the “Term Loan Agent”). In connection with such repayment, that certain Intercreditor Agreement, dated as of November 8, 2016, among the ABL Agent and the Term Loan Agent was terminated.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is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6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54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6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966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560" w:type="dxa"/>
            <w:vAlign w:val="bottom"/>
            <w:gridSpan w:val="2"/>
          </w:tcPr>
          <w:p>
            <w:pPr>
              <w:ind w:left="5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4.1</w:t>
              </w:r>
            </w:hyperlink>
          </w:p>
        </w:tc>
        <w:tc>
          <w:tcPr>
            <w:tcW w:w="96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Indenture, dated as of July 8, 2020, by and among Winnebago Industries, Inc., the guarantors named therein and U.S. Bank National</w:t>
              </w:r>
            </w:hyperlink>
          </w:p>
        </w:tc>
        <w:tc>
          <w:tcPr>
            <w:tcW w:w="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Association, as trustee.</w:t>
              </w:r>
            </w:hyperlink>
          </w:p>
        </w:tc>
        <w:tc>
          <w:tcPr>
            <w:tcW w:w="8000" w:type="dxa"/>
            <w:vAlign w:val="bottom"/>
            <w:gridSpan w:val="6"/>
          </w:tcPr>
          <w:p>
            <w:pPr>
              <w:spacing w:after="0"/>
              <w:rPr>
                <w:sz w:val="17"/>
                <w:szCs w:val="17"/>
                <w:color w:val="auto"/>
              </w:rPr>
            </w:pPr>
          </w:p>
        </w:tc>
      </w:tr>
      <w:tr>
        <w:trPr>
          <w:trHeight w:val="222"/>
        </w:trPr>
        <w:tc>
          <w:tcPr>
            <w:tcW w:w="1560" w:type="dxa"/>
            <w:vAlign w:val="bottom"/>
            <w:gridSpan w:val="2"/>
          </w:tcPr>
          <w:p>
            <w:pPr>
              <w:ind w:left="5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4.2</w:t>
              </w:r>
            </w:hyperlink>
          </w:p>
        </w:tc>
        <w:tc>
          <w:tcPr>
            <w:tcW w:w="9660" w:type="dxa"/>
            <w:vAlign w:val="bottom"/>
            <w:gridSpan w:val="7"/>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Form of 6.250% Senior Secured Note due 2028 (included in Exhibit 4.1)</w:t>
              </w:r>
            </w:hyperlink>
          </w:p>
        </w:tc>
      </w:tr>
      <w:tr>
        <w:trPr>
          <w:trHeight w:val="190"/>
        </w:trPr>
        <w:tc>
          <w:tcPr>
            <w:tcW w:w="1560" w:type="dxa"/>
            <w:vAlign w:val="bottom"/>
            <w:gridSpan w:val="2"/>
          </w:tcPr>
          <w:p>
            <w:pPr>
              <w:ind w:left="580"/>
              <w:spacing w:after="0" w:line="190"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10.1</w:t>
              </w:r>
            </w:hyperlink>
          </w:p>
        </w:tc>
        <w:tc>
          <w:tcPr>
            <w:tcW w:w="9620" w:type="dxa"/>
            <w:vAlign w:val="bottom"/>
            <w:tcBorders>
              <w:bottom w:val="single" w:sz="8" w:color="0000EE"/>
            </w:tcBorders>
            <w:gridSpan w:val="6"/>
          </w:tcPr>
          <w:p>
            <w:pPr>
              <w:spacing w:after="0" w:line="190" w:lineRule="exact"/>
              <w:rPr>
                <w:rFonts w:ascii="Arial" w:cs="Arial" w:eastAsia="Arial" w:hAnsi="Arial"/>
                <w:sz w:val="18"/>
                <w:szCs w:val="18"/>
                <w:color w:val="0000EE"/>
                <w:w w:val="96"/>
              </w:rPr>
            </w:pPr>
            <w:hyperlink w:anchor="page194">
              <w:r>
                <w:rPr>
                  <w:rFonts w:ascii="Arial" w:cs="Arial" w:eastAsia="Arial" w:hAnsi="Arial"/>
                  <w:sz w:val="18"/>
                  <w:szCs w:val="18"/>
                  <w:color w:val="0000EE"/>
                  <w:w w:val="96"/>
                </w:rPr>
                <w:t>Amendment No. 2 to Amended and Restated Credit Agreement, dated as of July 8, 2020, among Winnebago Industries, Inc.,</w:t>
              </w:r>
            </w:hyperlink>
          </w:p>
        </w:tc>
        <w:tc>
          <w:tcPr>
            <w:tcW w:w="4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60" w:type="dxa"/>
            <w:vAlign w:val="bottom"/>
            <w:gridSpan w:val="7"/>
          </w:tcPr>
          <w:p>
            <w:pPr>
              <w:spacing w:after="0" w:line="196" w:lineRule="exact"/>
              <w:rPr>
                <w:rFonts w:ascii="Arial" w:cs="Arial" w:eastAsia="Arial" w:hAnsi="Arial"/>
                <w:sz w:val="18"/>
                <w:szCs w:val="18"/>
                <w:color w:val="0000EE"/>
                <w:w w:val="96"/>
              </w:rPr>
            </w:pPr>
            <w:hyperlink w:anchor="page194">
              <w:r>
                <w:rPr>
                  <w:rFonts w:ascii="Arial" w:cs="Arial" w:eastAsia="Arial" w:hAnsi="Arial"/>
                  <w:sz w:val="18"/>
                  <w:szCs w:val="18"/>
                  <w:color w:val="0000EE"/>
                  <w:w w:val="96"/>
                </w:rPr>
                <w:t>Winnebago of Indiana, LLC, Grand Design RV, LLC, Newmar Corporation, the other loan parties thereto from time to time, the</w:t>
              </w:r>
            </w:hyperlink>
          </w:p>
        </w:tc>
      </w:tr>
      <w:tr>
        <w:trPr>
          <w:trHeight w:val="196"/>
        </w:trPr>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lenders party thereto from time to time and JPMorgan Chase Bank, N.A., as administrative agent</w:t>
              </w:r>
            </w:hyperlink>
          </w:p>
        </w:tc>
        <w:tc>
          <w:tcPr>
            <w:tcW w:w="60" w:type="dxa"/>
            <w:vAlign w:val="bottom"/>
            <w:gridSpan w:val="3"/>
          </w:tcPr>
          <w:p>
            <w:pPr>
              <w:spacing w:after="0"/>
              <w:rPr>
                <w:sz w:val="17"/>
                <w:szCs w:val="17"/>
                <w:color w:val="auto"/>
              </w:rPr>
            </w:pPr>
          </w:p>
        </w:tc>
      </w:tr>
      <w:tr>
        <w:trPr>
          <w:trHeight w:val="20"/>
        </w:trPr>
        <w:tc>
          <w:tcPr>
            <w:tcW w:w="1560" w:type="dxa"/>
            <w:vAlign w:val="bottom"/>
            <w:gridSpan w:val="2"/>
          </w:tcPr>
          <w:p>
            <w:pPr>
              <w:spacing w:after="0" w:line="20" w:lineRule="exact"/>
              <w:rPr>
                <w:sz w:val="1"/>
                <w:szCs w:val="1"/>
                <w:color w:val="auto"/>
              </w:rPr>
            </w:pPr>
          </w:p>
        </w:tc>
        <w:tc>
          <w:tcPr>
            <w:tcW w:w="566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560" w:type="dxa"/>
            <w:vAlign w:val="bottom"/>
            <w:gridSpan w:val="2"/>
          </w:tcPr>
          <w:p>
            <w:pPr>
              <w:ind w:left="580"/>
              <w:spacing w:after="0" w:line="196" w:lineRule="exact"/>
              <w:rPr>
                <w:rFonts w:ascii="Arial" w:cs="Arial" w:eastAsia="Arial" w:hAnsi="Arial"/>
                <w:sz w:val="18"/>
                <w:szCs w:val="18"/>
                <w:u w:val="single" w:color="auto"/>
                <w:color w:val="0000EE"/>
              </w:rPr>
            </w:pPr>
            <w:hyperlink w:anchor="page419">
              <w:r>
                <w:rPr>
                  <w:rFonts w:ascii="Arial" w:cs="Arial" w:eastAsia="Arial" w:hAnsi="Arial"/>
                  <w:sz w:val="18"/>
                  <w:szCs w:val="18"/>
                  <w:u w:val="single" w:color="auto"/>
                  <w:color w:val="0000EE"/>
                </w:rPr>
                <w:t>10.2</w:t>
              </w:r>
            </w:hyperlink>
          </w:p>
        </w:tc>
        <w:tc>
          <w:tcPr>
            <w:tcW w:w="96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19">
              <w:r>
                <w:rPr>
                  <w:rFonts w:ascii="Arial" w:cs="Arial" w:eastAsia="Arial" w:hAnsi="Arial"/>
                  <w:sz w:val="18"/>
                  <w:szCs w:val="18"/>
                  <w:color w:val="0000EE"/>
                  <w:w w:val="90"/>
                </w:rPr>
                <w:t>Intercreditor Agreement, dated as of July 8, 2020, among JPMorgan Chase Bank, N.A., U.S. Bank National Association, as collateral</w:t>
              </w:r>
            </w:hyperlink>
          </w:p>
        </w:tc>
        <w:tc>
          <w:tcPr>
            <w:tcW w:w="40" w:type="dxa"/>
            <w:vAlign w:val="bottom"/>
            <w:gridSpan w:val="2"/>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19">
              <w:r>
                <w:rPr>
                  <w:rFonts w:ascii="Arial" w:cs="Arial" w:eastAsia="Arial" w:hAnsi="Arial"/>
                  <w:sz w:val="18"/>
                  <w:szCs w:val="18"/>
                  <w:color w:val="0000EE"/>
                  <w:w w:val="90"/>
                </w:rPr>
                <w:t>trustee, Winnebago Industries, Inc. and certain of its subsidiaries party thereto.</w:t>
              </w:r>
            </w:hyperlink>
          </w:p>
        </w:tc>
        <w:tc>
          <w:tcPr>
            <w:tcW w:w="4000" w:type="dxa"/>
            <w:vAlign w:val="bottom"/>
            <w:gridSpan w:val="5"/>
          </w:tcPr>
          <w:p>
            <w:pPr>
              <w:spacing w:after="0"/>
              <w:rPr>
                <w:sz w:val="17"/>
                <w:szCs w:val="17"/>
                <w:color w:val="auto"/>
              </w:rPr>
            </w:pPr>
          </w:p>
        </w:tc>
      </w:tr>
      <w:tr>
        <w:trPr>
          <w:trHeight w:val="237"/>
        </w:trPr>
        <w:tc>
          <w:tcPr>
            <w:tcW w:w="1560" w:type="dxa"/>
            <w:vAlign w:val="bottom"/>
            <w:gridSpan w:val="2"/>
          </w:tcPr>
          <w:p>
            <w:pPr>
              <w:ind w:left="580"/>
              <w:spacing w:after="0"/>
              <w:rPr>
                <w:sz w:val="20"/>
                <w:szCs w:val="20"/>
                <w:color w:val="auto"/>
              </w:rPr>
            </w:pPr>
            <w:r>
              <w:rPr>
                <w:rFonts w:ascii="Arial" w:cs="Arial" w:eastAsia="Arial" w:hAnsi="Arial"/>
                <w:sz w:val="18"/>
                <w:szCs w:val="18"/>
                <w:color w:val="auto"/>
              </w:rPr>
              <w:t>104</w:t>
            </w:r>
          </w:p>
        </w:tc>
        <w:tc>
          <w:tcPr>
            <w:tcW w:w="966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may contain forward-looking statements within the meaning of the U.S. Private Securities Litigation Reform Act of 1995. Investors are cautioned that forward-looking statements are inherently uncertain. A number of important factors could cause the Company’s actual results to differ materially from these statements, including, but not limited to, risks relating to the offering of the Notes and the related guarantees, increases in interest rates, availability of credit, low consumer confidence, availability of labor, significant increases in repurchase obligations, inadequate liquidity or capital resources, availability and price of fuel, a continued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 and acquisition activities, business interruptions, any unexpected expenses related to the Company’s enterprise resource planning system, the impact of potential information technology, cybersecurity or data security breaches, risks related to compliance with debt covenants and leverage ratios, impacts of public health crises, such as COVID-19, and other factors. Additional information concerning certain risks and uncertainties that could cause actual results to differ materially from that projected or suggested is contained in the Company's filings with the U.S. Securities and Exchange Commission (the “SEC”), including in the Company’s Annual Report on Form 10-K for the fiscal year ended August 31, 2019 and subsequent quarterly reports on Form 10-Q, copies of which are available from the SEC or from the Company upon request. You should not rely upon forward-looking statements as predictions of future events. The Company disclaims any obligation or undertaking to disseminate any updates or revisions to any forward-looking statements contained in this report or to reflect any changes in the Company's expectations after the date of this report or any change in events, conditions or circumstances on which any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100"/>
              <w:spacing w:after="0"/>
              <w:rPr>
                <w:sz w:val="20"/>
                <w:szCs w:val="20"/>
                <w:color w:val="auto"/>
              </w:rPr>
            </w:pPr>
            <w:r>
              <w:rPr>
                <w:rFonts w:ascii="Arial" w:cs="Arial" w:eastAsia="Arial" w:hAnsi="Arial"/>
                <w:sz w:val="18"/>
                <w:szCs w:val="18"/>
                <w:color w:val="auto"/>
              </w:rPr>
              <w:t>WINNEBAGO INDUSTRIES, INC.</w:t>
            </w:r>
          </w:p>
        </w:tc>
      </w:tr>
      <w:tr>
        <w:trPr>
          <w:trHeight w:val="432"/>
        </w:trPr>
        <w:tc>
          <w:tcPr>
            <w:tcW w:w="3580" w:type="dxa"/>
            <w:vAlign w:val="bottom"/>
          </w:tcPr>
          <w:p>
            <w:pPr>
              <w:ind w:left="40"/>
              <w:spacing w:after="0"/>
              <w:rPr>
                <w:sz w:val="20"/>
                <w:szCs w:val="20"/>
                <w:color w:val="auto"/>
              </w:rPr>
            </w:pPr>
            <w:r>
              <w:rPr>
                <w:rFonts w:ascii="Arial" w:cs="Arial" w:eastAsia="Arial" w:hAnsi="Arial"/>
                <w:sz w:val="18"/>
                <w:szCs w:val="18"/>
                <w:color w:val="auto"/>
              </w:rPr>
              <w:t>Date:  July 9, 2020</w:t>
            </w:r>
          </w:p>
        </w:tc>
        <w:tc>
          <w:tcPr>
            <w:tcW w:w="262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Stacy L. Bogart</w:t>
            </w:r>
          </w:p>
        </w:tc>
      </w:tr>
      <w:tr>
        <w:trPr>
          <w:trHeight w:val="195"/>
        </w:trPr>
        <w:tc>
          <w:tcPr>
            <w:tcW w:w="3580" w:type="dxa"/>
            <w:vAlign w:val="bottom"/>
          </w:tcPr>
          <w:p>
            <w:pPr>
              <w:spacing w:after="0"/>
              <w:rPr>
                <w:sz w:val="16"/>
                <w:szCs w:val="16"/>
                <w:color w:val="auto"/>
              </w:rPr>
            </w:pPr>
          </w:p>
        </w:tc>
        <w:tc>
          <w:tcPr>
            <w:tcW w:w="2620" w:type="dxa"/>
            <w:vAlign w:val="bottom"/>
          </w:tcPr>
          <w:p>
            <w:pPr>
              <w:ind w:left="2100"/>
              <w:spacing w:after="0" w:line="195" w:lineRule="exact"/>
              <w:rPr>
                <w:sz w:val="20"/>
                <w:szCs w:val="20"/>
                <w:color w:val="auto"/>
              </w:rPr>
            </w:pPr>
            <w:r>
              <w:rPr>
                <w:rFonts w:ascii="Arial" w:cs="Arial" w:eastAsia="Arial" w:hAnsi="Arial"/>
                <w:sz w:val="18"/>
                <w:szCs w:val="18"/>
                <w:color w:val="auto"/>
                <w:w w:val="94"/>
              </w:rPr>
              <w:t>Name:</w:t>
            </w:r>
          </w:p>
        </w:tc>
        <w:tc>
          <w:tcPr>
            <w:tcW w:w="5040" w:type="dxa"/>
            <w:vAlign w:val="bottom"/>
          </w:tcPr>
          <w:p>
            <w:pPr>
              <w:ind w:left="20"/>
              <w:spacing w:after="0" w:line="195" w:lineRule="exact"/>
              <w:rPr>
                <w:sz w:val="20"/>
                <w:szCs w:val="20"/>
                <w:color w:val="auto"/>
              </w:rPr>
            </w:pPr>
            <w:r>
              <w:rPr>
                <w:rFonts w:ascii="Arial" w:cs="Arial" w:eastAsia="Arial" w:hAnsi="Arial"/>
                <w:sz w:val="18"/>
                <w:szCs w:val="18"/>
                <w:color w:val="auto"/>
              </w:rPr>
              <w:t>Stacy L. Bogart</w:t>
            </w:r>
          </w:p>
        </w:tc>
      </w:tr>
      <w:tr>
        <w:trPr>
          <w:trHeight w:val="230"/>
        </w:trPr>
        <w:tc>
          <w:tcPr>
            <w:tcW w:w="3580" w:type="dxa"/>
            <w:vAlign w:val="bottom"/>
          </w:tcPr>
          <w:p>
            <w:pPr>
              <w:spacing w:after="0"/>
              <w:rPr>
                <w:sz w:val="20"/>
                <w:szCs w:val="20"/>
                <w:color w:val="auto"/>
              </w:rPr>
            </w:pPr>
          </w:p>
        </w:tc>
        <w:tc>
          <w:tcPr>
            <w:tcW w:w="2620" w:type="dxa"/>
            <w:vAlign w:val="bottom"/>
          </w:tcPr>
          <w:p>
            <w:pPr>
              <w:ind w:left="2100"/>
              <w:spacing w:after="0"/>
              <w:rPr>
                <w:sz w:val="20"/>
                <w:szCs w:val="20"/>
                <w:color w:val="auto"/>
              </w:rPr>
            </w:pPr>
            <w:r>
              <w:rPr>
                <w:rFonts w:ascii="Arial" w:cs="Arial" w:eastAsia="Arial" w:hAnsi="Arial"/>
                <w:sz w:val="18"/>
                <w:szCs w:val="18"/>
                <w:color w:val="auto"/>
              </w:rPr>
              <w:t>Title:</w:t>
            </w:r>
          </w:p>
        </w:tc>
        <w:tc>
          <w:tcPr>
            <w:tcW w:w="5040" w:type="dxa"/>
            <w:vAlign w:val="bottom"/>
          </w:tcPr>
          <w:p>
            <w:pPr>
              <w:ind w:left="20"/>
              <w:spacing w:after="0"/>
              <w:rPr>
                <w:sz w:val="20"/>
                <w:szCs w:val="20"/>
                <w:color w:val="auto"/>
              </w:rPr>
            </w:pPr>
            <w:r>
              <w:rPr>
                <w:rFonts w:ascii="Arial" w:cs="Arial" w:eastAsia="Arial" w:hAnsi="Arial"/>
                <w:sz w:val="18"/>
                <w:szCs w:val="18"/>
                <w:color w:val="auto"/>
              </w:rPr>
              <w:t>Vice President, General Counsel and Corporate Secretary</w:t>
            </w:r>
          </w:p>
        </w:tc>
      </w:tr>
      <w:tr>
        <w:trPr>
          <w:trHeight w:val="675"/>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4.1</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151515"/>
        </w:rPr>
        <w:t>and each Guarantor named herein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151515"/>
        </w:rPr>
        <w:t>$300,000,000</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131313"/>
        </w:rPr>
        <w:t>6.250% Senior Secured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1A1A1A"/>
        </w:rPr>
        <w:t>INDENTURE</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141414"/>
        </w:rPr>
        <w:t>Dated as of July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161616"/>
        </w:rPr>
        <w:t>U.S. BANK NATIONAL ASSOCIATION,</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161616"/>
        </w:rPr>
        <w:t>as Trustee and Collateral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588645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360" w:type="dxa"/>
            <w:vAlign w:val="bottom"/>
          </w:tcPr>
          <w:p>
            <w:pPr>
              <w:jc w:val="center"/>
              <w:ind w:left="750"/>
              <w:spacing w:after="0"/>
              <w:rPr>
                <w:sz w:val="20"/>
                <w:szCs w:val="20"/>
                <w:color w:val="auto"/>
              </w:rPr>
            </w:pPr>
            <w:r>
              <w:rPr>
                <w:rFonts w:ascii="Arial" w:cs="Arial" w:eastAsia="Arial" w:hAnsi="Arial"/>
                <w:sz w:val="18"/>
                <w:szCs w:val="18"/>
                <w:b w:val="1"/>
                <w:bCs w:val="1"/>
                <w:color w:val="auto"/>
                <w:w w:val="98"/>
              </w:rPr>
              <w:t>TABLE OF CONTENTS</w:t>
            </w:r>
          </w:p>
        </w:tc>
        <w:tc>
          <w:tcPr>
            <w:tcW w:w="186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8360" w:type="dxa"/>
            <w:vAlign w:val="bottom"/>
          </w:tcPr>
          <w:p>
            <w:pPr>
              <w:jc w:val="center"/>
              <w:ind w:left="750"/>
              <w:spacing w:after="0"/>
              <w:rPr>
                <w:sz w:val="20"/>
                <w:szCs w:val="20"/>
                <w:color w:val="auto"/>
              </w:rPr>
            </w:pPr>
            <w:r>
              <w:rPr>
                <w:rFonts w:ascii="Arial" w:cs="Arial" w:eastAsia="Arial" w:hAnsi="Arial"/>
                <w:sz w:val="18"/>
                <w:szCs w:val="18"/>
                <w:color w:val="202020"/>
                <w:w w:val="94"/>
              </w:rPr>
              <w:t>Article One</w:t>
            </w:r>
          </w:p>
        </w:tc>
        <w:tc>
          <w:tcPr>
            <w:tcW w:w="18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360" w:type="dxa"/>
            <w:vAlign w:val="bottom"/>
          </w:tcPr>
          <w:p>
            <w:pPr>
              <w:jc w:val="center"/>
              <w:ind w:left="750"/>
              <w:spacing w:after="0"/>
              <w:rPr>
                <w:sz w:val="20"/>
                <w:szCs w:val="20"/>
                <w:color w:val="auto"/>
              </w:rPr>
            </w:pPr>
            <w:r>
              <w:rPr>
                <w:rFonts w:ascii="Arial" w:cs="Arial" w:eastAsia="Arial" w:hAnsi="Arial"/>
                <w:sz w:val="18"/>
                <w:szCs w:val="18"/>
                <w:color w:val="202020"/>
                <w:w w:val="93"/>
              </w:rPr>
              <w:t>Definitions And Other Provisions Of General Application</w:t>
            </w:r>
          </w:p>
        </w:tc>
        <w:tc>
          <w:tcPr>
            <w:tcW w:w="1860" w:type="dxa"/>
            <w:vAlign w:val="bottom"/>
          </w:tcPr>
          <w:p>
            <w:pPr>
              <w:spacing w:after="0"/>
              <w:rPr>
                <w:sz w:val="24"/>
                <w:szCs w:val="24"/>
                <w:color w:val="auto"/>
              </w:rPr>
            </w:pPr>
          </w:p>
        </w:tc>
      </w:tr>
      <w:tr>
        <w:trPr>
          <w:trHeight w:val="418"/>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1.01   Rules of Construction and Incorporation by Reference of Trust Indenture Act</w:t>
            </w: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1.02</w:t>
            </w:r>
          </w:p>
        </w:tc>
        <w:tc>
          <w:tcPr>
            <w:tcW w:w="836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1.03   Compliance Certificates and Opinions</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1.04   Form of Documents Delivered to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1.05   Acts of 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1.06   Notices, Etc., to Trustee, Company, Any Guarantor and Agent</w:t>
            </w:r>
          </w:p>
        </w:tc>
        <w:tc>
          <w:tcPr>
            <w:tcW w:w="1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1.07   Notice to Holders; Waiver</w:t>
            </w:r>
          </w:p>
        </w:tc>
        <w:tc>
          <w:tcPr>
            <w:tcW w:w="1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1.08   Effect of Headings and Table of Contents</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1.09   Successors and Assigns</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1.10</w:t>
            </w:r>
          </w:p>
        </w:tc>
        <w:tc>
          <w:tcPr>
            <w:tcW w:w="8360" w:type="dxa"/>
            <w:vAlign w:val="bottom"/>
          </w:tcPr>
          <w:p>
            <w:pPr>
              <w:ind w:left="120"/>
              <w:spacing w:after="0"/>
              <w:rPr>
                <w:sz w:val="20"/>
                <w:szCs w:val="20"/>
                <w:color w:val="auto"/>
              </w:rPr>
            </w:pPr>
            <w:r>
              <w:rPr>
                <w:rFonts w:ascii="Arial" w:cs="Arial" w:eastAsia="Arial" w:hAnsi="Arial"/>
                <w:sz w:val="18"/>
                <w:szCs w:val="18"/>
                <w:color w:val="auto"/>
              </w:rPr>
              <w:t>Separability Clause</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1.11   Benefits of Indenture</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1.12</w:t>
            </w:r>
          </w:p>
        </w:tc>
        <w:tc>
          <w:tcPr>
            <w:tcW w:w="836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1.13</w:t>
            </w:r>
          </w:p>
        </w:tc>
        <w:tc>
          <w:tcPr>
            <w:tcW w:w="8360" w:type="dxa"/>
            <w:vAlign w:val="bottom"/>
          </w:tcPr>
          <w:p>
            <w:pPr>
              <w:ind w:left="120"/>
              <w:spacing w:after="0"/>
              <w:rPr>
                <w:sz w:val="20"/>
                <w:szCs w:val="20"/>
                <w:color w:val="auto"/>
              </w:rPr>
            </w:pPr>
            <w:r>
              <w:rPr>
                <w:rFonts w:ascii="Arial" w:cs="Arial" w:eastAsia="Arial" w:hAnsi="Arial"/>
                <w:sz w:val="18"/>
                <w:szCs w:val="18"/>
                <w:color w:val="auto"/>
              </w:rPr>
              <w:t>Legal Holidays</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1.14   No Personal Liability of Directors, Officers, Employees and Stockholders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1.15   Waiver of Jury Trial</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1.16</w:t>
            </w:r>
          </w:p>
        </w:tc>
        <w:tc>
          <w:tcPr>
            <w:tcW w:w="836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1.17</w:t>
            </w:r>
          </w:p>
        </w:tc>
        <w:tc>
          <w:tcPr>
            <w:tcW w:w="8360" w:type="dxa"/>
            <w:vAlign w:val="bottom"/>
          </w:tcPr>
          <w:p>
            <w:pPr>
              <w:ind w:left="120"/>
              <w:spacing w:after="0"/>
              <w:rPr>
                <w:sz w:val="20"/>
                <w:szCs w:val="20"/>
                <w:color w:val="auto"/>
              </w:rPr>
            </w:pPr>
            <w:r>
              <w:rPr>
                <w:rFonts w:ascii="Arial" w:cs="Arial" w:eastAsia="Arial" w:hAnsi="Arial"/>
                <w:sz w:val="18"/>
                <w:szCs w:val="18"/>
                <w:color w:val="auto"/>
              </w:rPr>
              <w:t>Force Majeure</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Section 1.18   USA PATRIOT Act</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1020" w:type="dxa"/>
            <w:vAlign w:val="bottom"/>
          </w:tcPr>
          <w:p>
            <w:pPr>
              <w:spacing w:after="0"/>
              <w:rPr>
                <w:sz w:val="24"/>
                <w:szCs w:val="24"/>
                <w:color w:val="auto"/>
              </w:rPr>
            </w:pPr>
          </w:p>
        </w:tc>
        <w:tc>
          <w:tcPr>
            <w:tcW w:w="8360" w:type="dxa"/>
            <w:vAlign w:val="bottom"/>
          </w:tcPr>
          <w:p>
            <w:pPr>
              <w:jc w:val="center"/>
              <w:ind w:left="770"/>
              <w:spacing w:after="0"/>
              <w:rPr>
                <w:sz w:val="20"/>
                <w:szCs w:val="20"/>
                <w:color w:val="auto"/>
              </w:rPr>
            </w:pPr>
            <w:r>
              <w:rPr>
                <w:rFonts w:ascii="Arial" w:cs="Arial" w:eastAsia="Arial" w:hAnsi="Arial"/>
                <w:sz w:val="18"/>
                <w:szCs w:val="18"/>
                <w:color w:val="202020"/>
                <w:w w:val="96"/>
              </w:rPr>
              <w:t>Article Two</w:t>
            </w:r>
          </w:p>
        </w:tc>
        <w:tc>
          <w:tcPr>
            <w:tcW w:w="18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360" w:type="dxa"/>
            <w:vAlign w:val="bottom"/>
          </w:tcPr>
          <w:p>
            <w:pPr>
              <w:jc w:val="center"/>
              <w:ind w:left="770"/>
              <w:spacing w:after="0"/>
              <w:rPr>
                <w:sz w:val="20"/>
                <w:szCs w:val="20"/>
                <w:color w:val="auto"/>
              </w:rPr>
            </w:pPr>
            <w:r>
              <w:rPr>
                <w:rFonts w:ascii="Arial" w:cs="Arial" w:eastAsia="Arial" w:hAnsi="Arial"/>
                <w:sz w:val="18"/>
                <w:szCs w:val="18"/>
                <w:color w:val="202020"/>
                <w:w w:val="91"/>
              </w:rPr>
              <w:t>Note Forms</w:t>
            </w:r>
          </w:p>
        </w:tc>
        <w:tc>
          <w:tcPr>
            <w:tcW w:w="1860" w:type="dxa"/>
            <w:vAlign w:val="bottom"/>
          </w:tcPr>
          <w:p>
            <w:pPr>
              <w:spacing w:after="0"/>
              <w:rPr>
                <w:sz w:val="24"/>
                <w:szCs w:val="24"/>
                <w:color w:val="auto"/>
              </w:rPr>
            </w:pPr>
          </w:p>
        </w:tc>
      </w:tr>
      <w:tr>
        <w:trPr>
          <w:trHeight w:val="418"/>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2.01   Form and Dating</w:t>
            </w:r>
          </w:p>
        </w:tc>
        <w:tc>
          <w:tcPr>
            <w:tcW w:w="1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2.02   Execution, Authentication, Delivery and Dating</w:t>
            </w:r>
          </w:p>
        </w:tc>
        <w:tc>
          <w:tcPr>
            <w:tcW w:w="1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020" w:type="dxa"/>
            <w:vAlign w:val="bottom"/>
          </w:tcPr>
          <w:p>
            <w:pPr>
              <w:spacing w:after="0"/>
              <w:rPr>
                <w:sz w:val="24"/>
                <w:szCs w:val="24"/>
                <w:color w:val="auto"/>
              </w:rPr>
            </w:pPr>
          </w:p>
        </w:tc>
        <w:tc>
          <w:tcPr>
            <w:tcW w:w="8360" w:type="dxa"/>
            <w:vAlign w:val="bottom"/>
          </w:tcPr>
          <w:p>
            <w:pPr>
              <w:jc w:val="center"/>
              <w:ind w:left="750"/>
              <w:spacing w:after="0"/>
              <w:rPr>
                <w:sz w:val="20"/>
                <w:szCs w:val="20"/>
                <w:color w:val="auto"/>
              </w:rPr>
            </w:pPr>
            <w:r>
              <w:rPr>
                <w:rFonts w:ascii="Arial" w:cs="Arial" w:eastAsia="Arial" w:hAnsi="Arial"/>
                <w:sz w:val="18"/>
                <w:szCs w:val="18"/>
                <w:color w:val="202020"/>
                <w:w w:val="94"/>
              </w:rPr>
              <w:t>Article Three</w:t>
            </w:r>
          </w:p>
        </w:tc>
        <w:tc>
          <w:tcPr>
            <w:tcW w:w="18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360" w:type="dxa"/>
            <w:vAlign w:val="bottom"/>
          </w:tcPr>
          <w:p>
            <w:pPr>
              <w:jc w:val="center"/>
              <w:ind w:left="770"/>
              <w:spacing w:after="0"/>
              <w:rPr>
                <w:sz w:val="20"/>
                <w:szCs w:val="20"/>
                <w:color w:val="auto"/>
              </w:rPr>
            </w:pPr>
            <w:r>
              <w:rPr>
                <w:rFonts w:ascii="Arial" w:cs="Arial" w:eastAsia="Arial" w:hAnsi="Arial"/>
                <w:sz w:val="18"/>
                <w:szCs w:val="18"/>
                <w:color w:val="202020"/>
                <w:w w:val="89"/>
              </w:rPr>
              <w:t>The Notes</w:t>
            </w:r>
          </w:p>
        </w:tc>
        <w:tc>
          <w:tcPr>
            <w:tcW w:w="186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w w:val="99"/>
              </w:rPr>
              <w:t>Section 3.01</w:t>
            </w:r>
          </w:p>
        </w:tc>
        <w:tc>
          <w:tcPr>
            <w:tcW w:w="8360" w:type="dxa"/>
            <w:vAlign w:val="bottom"/>
          </w:tcPr>
          <w:p>
            <w:pPr>
              <w:ind w:left="120"/>
              <w:spacing w:after="0"/>
              <w:rPr>
                <w:sz w:val="20"/>
                <w:szCs w:val="20"/>
                <w:color w:val="auto"/>
              </w:rPr>
            </w:pPr>
            <w:r>
              <w:rPr>
                <w:rFonts w:ascii="Arial" w:cs="Arial" w:eastAsia="Arial" w:hAnsi="Arial"/>
                <w:sz w:val="18"/>
                <w:szCs w:val="18"/>
                <w:color w:val="auto"/>
              </w:rPr>
              <w:t>Title and Terms</w:t>
            </w:r>
          </w:p>
        </w:tc>
        <w:tc>
          <w:tcPr>
            <w:tcW w:w="1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3.02</w:t>
            </w:r>
          </w:p>
        </w:tc>
        <w:tc>
          <w:tcPr>
            <w:tcW w:w="8360" w:type="dxa"/>
            <w:vAlign w:val="bottom"/>
          </w:tcPr>
          <w:p>
            <w:pPr>
              <w:ind w:left="120"/>
              <w:spacing w:after="0"/>
              <w:rPr>
                <w:sz w:val="20"/>
                <w:szCs w:val="20"/>
                <w:color w:val="auto"/>
              </w:rPr>
            </w:pPr>
            <w:r>
              <w:rPr>
                <w:rFonts w:ascii="Arial" w:cs="Arial" w:eastAsia="Arial" w:hAnsi="Arial"/>
                <w:sz w:val="18"/>
                <w:szCs w:val="18"/>
                <w:color w:val="auto"/>
              </w:rPr>
              <w:t>Denominations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3.03</w:t>
            </w:r>
          </w:p>
        </w:tc>
        <w:tc>
          <w:tcPr>
            <w:tcW w:w="8360" w:type="dxa"/>
            <w:vAlign w:val="bottom"/>
          </w:tcPr>
          <w:p>
            <w:pPr>
              <w:ind w:left="120"/>
              <w:spacing w:after="0"/>
              <w:rPr>
                <w:sz w:val="20"/>
                <w:szCs w:val="20"/>
                <w:color w:val="auto"/>
              </w:rPr>
            </w:pPr>
            <w:r>
              <w:rPr>
                <w:rFonts w:ascii="Arial" w:cs="Arial" w:eastAsia="Arial" w:hAnsi="Arial"/>
                <w:sz w:val="18"/>
                <w:szCs w:val="18"/>
                <w:color w:val="auto"/>
              </w:rPr>
              <w:t>Temporary Notes</w:t>
            </w:r>
          </w:p>
        </w:tc>
        <w:tc>
          <w:tcPr>
            <w:tcW w:w="1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3.04   Note Registrar; Paying Agent; Registration of Transfer and Exchange</w:t>
            </w:r>
          </w:p>
        </w:tc>
        <w:tc>
          <w:tcPr>
            <w:tcW w:w="1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3.05   Mutilated, Destroyed, Lost and Stolen Notes</w:t>
            </w: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3.06   Payment of Interest; Interest Rights Preserved</w:t>
            </w: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3.07   Persons Deemed Owners</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3.08</w:t>
            </w:r>
          </w:p>
        </w:tc>
        <w:tc>
          <w:tcPr>
            <w:tcW w:w="836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3.09   Computation of Interest</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3.10   Transfer and Exchange</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3.11</w:t>
            </w:r>
          </w:p>
        </w:tc>
        <w:tc>
          <w:tcPr>
            <w:tcW w:w="8360" w:type="dxa"/>
            <w:vAlign w:val="bottom"/>
          </w:tcPr>
          <w:p>
            <w:pPr>
              <w:ind w:left="120"/>
              <w:spacing w:after="0"/>
              <w:rPr>
                <w:sz w:val="20"/>
                <w:szCs w:val="20"/>
                <w:color w:val="auto"/>
              </w:rPr>
            </w:pPr>
            <w:r>
              <w:rPr>
                <w:rFonts w:ascii="Arial" w:cs="Arial" w:eastAsia="Arial" w:hAnsi="Arial"/>
                <w:sz w:val="18"/>
                <w:szCs w:val="18"/>
                <w:color w:val="auto"/>
              </w:rPr>
              <w:t>CUSIP Numbers</w:t>
            </w:r>
          </w:p>
        </w:tc>
        <w:tc>
          <w:tcPr>
            <w:tcW w:w="1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Section 3.12   Issuance of Additional Notes</w:t>
            </w:r>
          </w:p>
        </w:tc>
        <w:tc>
          <w:tcPr>
            <w:tcW w:w="1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702"/>
        </w:trPr>
        <w:tc>
          <w:tcPr>
            <w:tcW w:w="102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tcPr>
          <w:p>
            <w:pPr>
              <w:jc w:val="center"/>
              <w:ind w:left="2310"/>
              <w:spacing w:after="0"/>
              <w:rPr>
                <w:sz w:val="20"/>
                <w:szCs w:val="20"/>
                <w:color w:val="auto"/>
              </w:rPr>
            </w:pPr>
            <w:r>
              <w:rPr>
                <w:rFonts w:ascii="Arial" w:cs="Arial" w:eastAsia="Arial" w:hAnsi="Arial"/>
                <w:sz w:val="18"/>
                <w:szCs w:val="18"/>
                <w:color w:val="202020"/>
                <w:w w:val="95"/>
              </w:rPr>
              <w:t>Article Four</w:t>
            </w:r>
          </w:p>
        </w:tc>
        <w:tc>
          <w:tcPr>
            <w:tcW w:w="2400" w:type="dxa"/>
            <w:vAlign w:val="bottom"/>
          </w:tcPr>
          <w:p>
            <w:pPr>
              <w:spacing w:after="0"/>
              <w:rPr>
                <w:sz w:val="20"/>
                <w:szCs w:val="20"/>
                <w:color w:val="auto"/>
              </w:rPr>
            </w:pPr>
          </w:p>
        </w:tc>
      </w:tr>
      <w:tr>
        <w:trPr>
          <w:trHeight w:val="432"/>
        </w:trPr>
        <w:tc>
          <w:tcPr>
            <w:tcW w:w="8840" w:type="dxa"/>
            <w:vAlign w:val="bottom"/>
          </w:tcPr>
          <w:p>
            <w:pPr>
              <w:jc w:val="center"/>
              <w:ind w:left="2330"/>
              <w:spacing w:after="0"/>
              <w:rPr>
                <w:sz w:val="20"/>
                <w:szCs w:val="20"/>
                <w:color w:val="auto"/>
              </w:rPr>
            </w:pPr>
            <w:r>
              <w:rPr>
                <w:rFonts w:ascii="Arial" w:cs="Arial" w:eastAsia="Arial" w:hAnsi="Arial"/>
                <w:sz w:val="18"/>
                <w:szCs w:val="18"/>
                <w:color w:val="202020"/>
                <w:w w:val="91"/>
              </w:rPr>
              <w:t>Satisfaction And Discharge</w:t>
            </w:r>
          </w:p>
        </w:tc>
        <w:tc>
          <w:tcPr>
            <w:tcW w:w="2400" w:type="dxa"/>
            <w:vAlign w:val="bottom"/>
          </w:tcPr>
          <w:p>
            <w:pPr>
              <w:spacing w:after="0"/>
              <w:rPr>
                <w:sz w:val="24"/>
                <w:szCs w:val="24"/>
                <w:color w:val="auto"/>
              </w:rPr>
            </w:pPr>
          </w:p>
        </w:tc>
      </w:tr>
      <w:tr>
        <w:trPr>
          <w:trHeight w:val="418"/>
        </w:trPr>
        <w:tc>
          <w:tcPr>
            <w:tcW w:w="8840" w:type="dxa"/>
            <w:vAlign w:val="bottom"/>
          </w:tcPr>
          <w:p>
            <w:pPr>
              <w:spacing w:after="0"/>
              <w:rPr>
                <w:sz w:val="20"/>
                <w:szCs w:val="20"/>
                <w:color w:val="auto"/>
              </w:rPr>
            </w:pPr>
            <w:r>
              <w:rPr>
                <w:rFonts w:ascii="Arial" w:cs="Arial" w:eastAsia="Arial" w:hAnsi="Arial"/>
                <w:sz w:val="18"/>
                <w:szCs w:val="18"/>
                <w:color w:val="auto"/>
              </w:rPr>
              <w:t>Section 4.01   Satisfaction and Discharge of Indenture</w:t>
            </w:r>
          </w:p>
        </w:tc>
        <w:tc>
          <w:tcPr>
            <w:tcW w:w="2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4.02   Application of Trust Money</w:t>
            </w:r>
          </w:p>
        </w:tc>
        <w:tc>
          <w:tcPr>
            <w:tcW w:w="2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8840" w:type="dxa"/>
            <w:vAlign w:val="bottom"/>
          </w:tcPr>
          <w:p>
            <w:pPr>
              <w:jc w:val="center"/>
              <w:ind w:left="2330"/>
              <w:spacing w:after="0"/>
              <w:rPr>
                <w:sz w:val="20"/>
                <w:szCs w:val="20"/>
                <w:color w:val="auto"/>
              </w:rPr>
            </w:pPr>
            <w:r>
              <w:rPr>
                <w:rFonts w:ascii="Arial" w:cs="Arial" w:eastAsia="Arial" w:hAnsi="Arial"/>
                <w:sz w:val="18"/>
                <w:szCs w:val="18"/>
                <w:color w:val="202020"/>
                <w:w w:val="96"/>
              </w:rPr>
              <w:t>Article Five</w:t>
            </w:r>
          </w:p>
        </w:tc>
        <w:tc>
          <w:tcPr>
            <w:tcW w:w="2400" w:type="dxa"/>
            <w:vAlign w:val="bottom"/>
          </w:tcPr>
          <w:p>
            <w:pPr>
              <w:spacing w:after="0"/>
              <w:rPr>
                <w:sz w:val="24"/>
                <w:szCs w:val="24"/>
                <w:color w:val="auto"/>
              </w:rPr>
            </w:pPr>
          </w:p>
        </w:tc>
      </w:tr>
      <w:tr>
        <w:trPr>
          <w:trHeight w:val="432"/>
        </w:trPr>
        <w:tc>
          <w:tcPr>
            <w:tcW w:w="8840" w:type="dxa"/>
            <w:vAlign w:val="bottom"/>
          </w:tcPr>
          <w:p>
            <w:pPr>
              <w:jc w:val="center"/>
              <w:ind w:left="2310"/>
              <w:spacing w:after="0"/>
              <w:rPr>
                <w:sz w:val="20"/>
                <w:szCs w:val="20"/>
                <w:color w:val="auto"/>
              </w:rPr>
            </w:pPr>
            <w:r>
              <w:rPr>
                <w:rFonts w:ascii="Arial" w:cs="Arial" w:eastAsia="Arial" w:hAnsi="Arial"/>
                <w:sz w:val="18"/>
                <w:szCs w:val="18"/>
                <w:color w:val="202020"/>
                <w:w w:val="88"/>
              </w:rPr>
              <w:t>Remedies</w:t>
            </w:r>
          </w:p>
        </w:tc>
        <w:tc>
          <w:tcPr>
            <w:tcW w:w="2400" w:type="dxa"/>
            <w:vAlign w:val="bottom"/>
          </w:tcPr>
          <w:p>
            <w:pPr>
              <w:spacing w:after="0"/>
              <w:rPr>
                <w:sz w:val="24"/>
                <w:szCs w:val="24"/>
                <w:color w:val="auto"/>
              </w:rPr>
            </w:pPr>
          </w:p>
        </w:tc>
      </w:tr>
      <w:tr>
        <w:trPr>
          <w:trHeight w:val="418"/>
        </w:trPr>
        <w:tc>
          <w:tcPr>
            <w:tcW w:w="8840" w:type="dxa"/>
            <w:vAlign w:val="bottom"/>
          </w:tcPr>
          <w:p>
            <w:pPr>
              <w:spacing w:after="0"/>
              <w:rPr>
                <w:sz w:val="20"/>
                <w:szCs w:val="20"/>
                <w:color w:val="auto"/>
              </w:rPr>
            </w:pPr>
            <w:r>
              <w:rPr>
                <w:rFonts w:ascii="Arial" w:cs="Arial" w:eastAsia="Arial" w:hAnsi="Arial"/>
                <w:sz w:val="18"/>
                <w:szCs w:val="18"/>
                <w:color w:val="auto"/>
              </w:rPr>
              <w:t>Section 5.01   Events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5.02   Acceleration of Maturity; Rescission and Annulment</w:t>
            </w:r>
          </w:p>
        </w:tc>
        <w:tc>
          <w:tcPr>
            <w:tcW w:w="2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5.03   Collection of Indebtedness and Suits for Enforcement by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5.04   Trustee May File Proofs of Claim</w:t>
            </w:r>
          </w:p>
        </w:tc>
        <w:tc>
          <w:tcPr>
            <w:tcW w:w="24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5.05   Trustee May Enforce Claims Without Possession of Notes</w:t>
            </w:r>
          </w:p>
        </w:tc>
        <w:tc>
          <w:tcPr>
            <w:tcW w:w="2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5.06   Application of Money Collected</w:t>
            </w:r>
          </w:p>
        </w:tc>
        <w:tc>
          <w:tcPr>
            <w:tcW w:w="2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5.07   Limitation on Suits</w:t>
            </w:r>
          </w:p>
        </w:tc>
        <w:tc>
          <w:tcPr>
            <w:tcW w:w="24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5.08   Unconditional Right of Holders to Receive Principal Premium and 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5.09   Restoration of Rights and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5.10   Rights and Remedies Cumulative</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5.11   Delay or Omission Not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5.12   Control by 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5.13   Waiver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5.14   Waiver of Stay or Extension Laws</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5.15   Undertaking for Costs</w:t>
            </w:r>
          </w:p>
        </w:tc>
        <w:tc>
          <w:tcPr>
            <w:tcW w:w="2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8840" w:type="dxa"/>
            <w:vAlign w:val="bottom"/>
          </w:tcPr>
          <w:p>
            <w:pPr>
              <w:jc w:val="center"/>
              <w:ind w:left="2330"/>
              <w:spacing w:after="0"/>
              <w:rPr>
                <w:sz w:val="20"/>
                <w:szCs w:val="20"/>
                <w:color w:val="auto"/>
              </w:rPr>
            </w:pPr>
            <w:r>
              <w:rPr>
                <w:rFonts w:ascii="Arial" w:cs="Arial" w:eastAsia="Arial" w:hAnsi="Arial"/>
                <w:sz w:val="18"/>
                <w:szCs w:val="18"/>
                <w:color w:val="202020"/>
                <w:w w:val="97"/>
              </w:rPr>
              <w:t>Article Six</w:t>
            </w:r>
          </w:p>
        </w:tc>
        <w:tc>
          <w:tcPr>
            <w:tcW w:w="2400" w:type="dxa"/>
            <w:vAlign w:val="bottom"/>
          </w:tcPr>
          <w:p>
            <w:pPr>
              <w:spacing w:after="0"/>
              <w:rPr>
                <w:sz w:val="24"/>
                <w:szCs w:val="24"/>
                <w:color w:val="auto"/>
              </w:rPr>
            </w:pPr>
          </w:p>
        </w:tc>
      </w:tr>
      <w:tr>
        <w:trPr>
          <w:trHeight w:val="432"/>
        </w:trPr>
        <w:tc>
          <w:tcPr>
            <w:tcW w:w="8840" w:type="dxa"/>
            <w:vAlign w:val="bottom"/>
          </w:tcPr>
          <w:p>
            <w:pPr>
              <w:jc w:val="center"/>
              <w:ind w:left="2330"/>
              <w:spacing w:after="0"/>
              <w:rPr>
                <w:sz w:val="20"/>
                <w:szCs w:val="20"/>
                <w:color w:val="auto"/>
              </w:rPr>
            </w:pPr>
            <w:r>
              <w:rPr>
                <w:rFonts w:ascii="Arial" w:cs="Arial" w:eastAsia="Arial" w:hAnsi="Arial"/>
                <w:sz w:val="18"/>
                <w:szCs w:val="18"/>
                <w:color w:val="202020"/>
                <w:w w:val="88"/>
              </w:rPr>
              <w:t>The Trustee</w:t>
            </w:r>
          </w:p>
        </w:tc>
        <w:tc>
          <w:tcPr>
            <w:tcW w:w="2400" w:type="dxa"/>
            <w:vAlign w:val="bottom"/>
          </w:tcPr>
          <w:p>
            <w:pPr>
              <w:spacing w:after="0"/>
              <w:rPr>
                <w:sz w:val="24"/>
                <w:szCs w:val="24"/>
                <w:color w:val="auto"/>
              </w:rPr>
            </w:pPr>
          </w:p>
        </w:tc>
      </w:tr>
      <w:tr>
        <w:trPr>
          <w:trHeight w:val="418"/>
        </w:trPr>
        <w:tc>
          <w:tcPr>
            <w:tcW w:w="8840" w:type="dxa"/>
            <w:vAlign w:val="bottom"/>
          </w:tcPr>
          <w:p>
            <w:pPr>
              <w:spacing w:after="0"/>
              <w:rPr>
                <w:sz w:val="20"/>
                <w:szCs w:val="20"/>
                <w:color w:val="auto"/>
              </w:rPr>
            </w:pPr>
            <w:r>
              <w:rPr>
                <w:rFonts w:ascii="Arial" w:cs="Arial" w:eastAsia="Arial" w:hAnsi="Arial"/>
                <w:sz w:val="18"/>
                <w:szCs w:val="18"/>
                <w:color w:val="auto"/>
              </w:rPr>
              <w:t>Section 6.01   Duties of the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6.02   Notice of Defaults</w:t>
            </w:r>
          </w:p>
        </w:tc>
        <w:tc>
          <w:tcPr>
            <w:tcW w:w="2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6.03   Certain Rights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6.04   Trustee Not Responsible for Recitals or Issuance of Notes</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6.05   May Hold Notes</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6.06   Money Held in Trust</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6.07   Compensation and Reimbursement</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6.08   Corporate Trustee Required; Eligibility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6.09   Resignation and Removal; Appointment of Successor</w:t>
            </w:r>
          </w:p>
        </w:tc>
        <w:tc>
          <w:tcPr>
            <w:tcW w:w="2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6.10   Acceptance of Appointment by Successor</w:t>
            </w:r>
          </w:p>
        </w:tc>
        <w:tc>
          <w:tcPr>
            <w:tcW w:w="2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6.11   Merger, Conversion, Consolidation or Succession to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6.12   Appointment of Authenticating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702"/>
        </w:trPr>
        <w:tc>
          <w:tcPr>
            <w:tcW w:w="88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500" w:type="dxa"/>
            <w:vAlign w:val="bottom"/>
          </w:tcPr>
          <w:p>
            <w:pPr>
              <w:jc w:val="center"/>
              <w:ind w:left="550"/>
              <w:spacing w:after="0"/>
              <w:rPr>
                <w:sz w:val="20"/>
                <w:szCs w:val="20"/>
                <w:color w:val="auto"/>
              </w:rPr>
            </w:pPr>
            <w:r>
              <w:rPr>
                <w:rFonts w:ascii="Arial" w:cs="Arial" w:eastAsia="Arial" w:hAnsi="Arial"/>
                <w:sz w:val="18"/>
                <w:szCs w:val="18"/>
                <w:color w:val="202020"/>
                <w:w w:val="92"/>
              </w:rPr>
              <w:t>Article Seven</w:t>
            </w:r>
          </w:p>
        </w:tc>
        <w:tc>
          <w:tcPr>
            <w:tcW w:w="168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8500" w:type="dxa"/>
            <w:vAlign w:val="bottom"/>
          </w:tcPr>
          <w:p>
            <w:pPr>
              <w:jc w:val="center"/>
              <w:ind w:left="550"/>
              <w:spacing w:after="0"/>
              <w:rPr>
                <w:sz w:val="20"/>
                <w:szCs w:val="20"/>
                <w:color w:val="auto"/>
              </w:rPr>
            </w:pPr>
            <w:r>
              <w:rPr>
                <w:rFonts w:ascii="Arial" w:cs="Arial" w:eastAsia="Arial" w:hAnsi="Arial"/>
                <w:sz w:val="18"/>
                <w:szCs w:val="18"/>
                <w:color w:val="202020"/>
                <w:w w:val="91"/>
              </w:rPr>
              <w:t>Holders Lists And Reports By Trustee And Company</w:t>
            </w:r>
          </w:p>
        </w:tc>
        <w:tc>
          <w:tcPr>
            <w:tcW w:w="168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7.01</w:t>
            </w:r>
          </w:p>
        </w:tc>
        <w:tc>
          <w:tcPr>
            <w:tcW w:w="8500" w:type="dxa"/>
            <w:vAlign w:val="bottom"/>
          </w:tcPr>
          <w:p>
            <w:pPr>
              <w:ind w:left="80"/>
              <w:spacing w:after="0"/>
              <w:rPr>
                <w:sz w:val="20"/>
                <w:szCs w:val="20"/>
                <w:color w:val="auto"/>
              </w:rPr>
            </w:pPr>
            <w:r>
              <w:rPr>
                <w:rFonts w:ascii="Arial" w:cs="Arial" w:eastAsia="Arial" w:hAnsi="Arial"/>
                <w:sz w:val="18"/>
                <w:szCs w:val="18"/>
                <w:color w:val="auto"/>
              </w:rPr>
              <w:t>Holder Lists</w:t>
            </w:r>
          </w:p>
        </w:tc>
        <w:tc>
          <w:tcPr>
            <w:tcW w:w="1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7.02</w:t>
            </w:r>
          </w:p>
        </w:tc>
        <w:tc>
          <w:tcPr>
            <w:tcW w:w="8500" w:type="dxa"/>
            <w:vAlign w:val="bottom"/>
          </w:tcPr>
          <w:p>
            <w:pPr>
              <w:ind w:left="80"/>
              <w:spacing w:after="0"/>
              <w:rPr>
                <w:sz w:val="20"/>
                <w:szCs w:val="20"/>
                <w:color w:val="auto"/>
              </w:rPr>
            </w:pPr>
            <w:r>
              <w:rPr>
                <w:rFonts w:ascii="Arial" w:cs="Arial" w:eastAsia="Arial" w:hAnsi="Arial"/>
                <w:sz w:val="18"/>
                <w:szCs w:val="18"/>
                <w:color w:val="auto"/>
              </w:rPr>
              <w:t>Disclosure of Names and Addresses of 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1060" w:type="dxa"/>
            <w:vAlign w:val="bottom"/>
          </w:tcPr>
          <w:p>
            <w:pPr>
              <w:spacing w:after="0"/>
              <w:rPr>
                <w:sz w:val="24"/>
                <w:szCs w:val="24"/>
                <w:color w:val="auto"/>
              </w:rPr>
            </w:pPr>
          </w:p>
        </w:tc>
        <w:tc>
          <w:tcPr>
            <w:tcW w:w="8500" w:type="dxa"/>
            <w:vAlign w:val="bottom"/>
          </w:tcPr>
          <w:p>
            <w:pPr>
              <w:jc w:val="center"/>
              <w:ind w:left="550"/>
              <w:spacing w:after="0"/>
              <w:rPr>
                <w:sz w:val="20"/>
                <w:szCs w:val="20"/>
                <w:color w:val="auto"/>
              </w:rPr>
            </w:pPr>
            <w:r>
              <w:rPr>
                <w:rFonts w:ascii="Arial" w:cs="Arial" w:eastAsia="Arial" w:hAnsi="Arial"/>
                <w:sz w:val="18"/>
                <w:szCs w:val="18"/>
                <w:color w:val="202020"/>
                <w:w w:val="97"/>
              </w:rPr>
              <w:t>Article Eight</w:t>
            </w:r>
          </w:p>
        </w:tc>
        <w:tc>
          <w:tcPr>
            <w:tcW w:w="1680" w:type="dxa"/>
            <w:vAlign w:val="bottom"/>
          </w:tcPr>
          <w:p>
            <w:pPr>
              <w:spacing w:after="0"/>
              <w:rPr>
                <w:sz w:val="24"/>
                <w:szCs w:val="24"/>
                <w:color w:val="auto"/>
              </w:rPr>
            </w:pPr>
          </w:p>
        </w:tc>
      </w:tr>
      <w:tr>
        <w:trPr>
          <w:trHeight w:val="418"/>
        </w:trPr>
        <w:tc>
          <w:tcPr>
            <w:tcW w:w="1060" w:type="dxa"/>
            <w:vAlign w:val="bottom"/>
          </w:tcPr>
          <w:p>
            <w:pPr>
              <w:spacing w:after="0"/>
              <w:rPr>
                <w:sz w:val="24"/>
                <w:szCs w:val="24"/>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202020"/>
                <w:w w:val="93"/>
              </w:rPr>
              <w:t>Merger, Consolidation Or Sale Of All</w:t>
            </w:r>
          </w:p>
        </w:tc>
        <w:tc>
          <w:tcPr>
            <w:tcW w:w="168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202020"/>
                <w:w w:val="92"/>
              </w:rPr>
              <w:t>Or Substantially All Assets</w:t>
            </w:r>
          </w:p>
        </w:tc>
        <w:tc>
          <w:tcPr>
            <w:tcW w:w="168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8.01</w:t>
            </w:r>
          </w:p>
        </w:tc>
        <w:tc>
          <w:tcPr>
            <w:tcW w:w="8500" w:type="dxa"/>
            <w:vAlign w:val="bottom"/>
          </w:tcPr>
          <w:p>
            <w:pPr>
              <w:ind w:left="80"/>
              <w:spacing w:after="0"/>
              <w:rPr>
                <w:sz w:val="20"/>
                <w:szCs w:val="20"/>
                <w:color w:val="auto"/>
              </w:rPr>
            </w:pPr>
            <w:r>
              <w:rPr>
                <w:rFonts w:ascii="Arial" w:cs="Arial" w:eastAsia="Arial" w:hAnsi="Arial"/>
                <w:sz w:val="18"/>
                <w:szCs w:val="18"/>
                <w:color w:val="auto"/>
              </w:rPr>
              <w:t>Company May Consolidate, Etc., Only on Certain Terms</w:t>
            </w:r>
          </w:p>
        </w:tc>
        <w:tc>
          <w:tcPr>
            <w:tcW w:w="1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8.02</w:t>
            </w:r>
          </w:p>
        </w:tc>
        <w:tc>
          <w:tcPr>
            <w:tcW w:w="8500" w:type="dxa"/>
            <w:vAlign w:val="bottom"/>
          </w:tcPr>
          <w:p>
            <w:pPr>
              <w:ind w:left="80"/>
              <w:spacing w:after="0"/>
              <w:rPr>
                <w:sz w:val="20"/>
                <w:szCs w:val="20"/>
                <w:color w:val="auto"/>
              </w:rPr>
            </w:pPr>
            <w:r>
              <w:rPr>
                <w:rFonts w:ascii="Arial" w:cs="Arial" w:eastAsia="Arial" w:hAnsi="Arial"/>
                <w:sz w:val="18"/>
                <w:szCs w:val="18"/>
                <w:color w:val="auto"/>
              </w:rPr>
              <w:t>Guarantors May Consolidate, Etc., Only on Certain Terms</w:t>
            </w:r>
          </w:p>
        </w:tc>
        <w:tc>
          <w:tcPr>
            <w:tcW w:w="16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8.03</w:t>
            </w:r>
          </w:p>
        </w:tc>
        <w:tc>
          <w:tcPr>
            <w:tcW w:w="8500" w:type="dxa"/>
            <w:vAlign w:val="bottom"/>
          </w:tcPr>
          <w:p>
            <w:pPr>
              <w:ind w:left="80"/>
              <w:spacing w:after="0"/>
              <w:rPr>
                <w:sz w:val="20"/>
                <w:szCs w:val="20"/>
                <w:color w:val="auto"/>
              </w:rPr>
            </w:pPr>
            <w:r>
              <w:rPr>
                <w:rFonts w:ascii="Arial" w:cs="Arial" w:eastAsia="Arial" w:hAnsi="Arial"/>
                <w:sz w:val="18"/>
                <w:szCs w:val="18"/>
                <w:color w:val="auto"/>
              </w:rPr>
              <w:t>Successor Substituted</w:t>
            </w:r>
          </w:p>
        </w:tc>
        <w:tc>
          <w:tcPr>
            <w:tcW w:w="1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32"/>
        </w:trPr>
        <w:tc>
          <w:tcPr>
            <w:tcW w:w="1060" w:type="dxa"/>
            <w:vAlign w:val="bottom"/>
          </w:tcPr>
          <w:p>
            <w:pPr>
              <w:spacing w:after="0"/>
              <w:rPr>
                <w:sz w:val="24"/>
                <w:szCs w:val="24"/>
                <w:color w:val="auto"/>
              </w:rPr>
            </w:pPr>
          </w:p>
        </w:tc>
        <w:tc>
          <w:tcPr>
            <w:tcW w:w="8500" w:type="dxa"/>
            <w:vAlign w:val="bottom"/>
          </w:tcPr>
          <w:p>
            <w:pPr>
              <w:jc w:val="center"/>
              <w:ind w:left="550"/>
              <w:spacing w:after="0"/>
              <w:rPr>
                <w:sz w:val="20"/>
                <w:szCs w:val="20"/>
                <w:color w:val="auto"/>
              </w:rPr>
            </w:pPr>
            <w:r>
              <w:rPr>
                <w:rFonts w:ascii="Arial" w:cs="Arial" w:eastAsia="Arial" w:hAnsi="Arial"/>
                <w:sz w:val="18"/>
                <w:szCs w:val="18"/>
                <w:color w:val="202020"/>
                <w:w w:val="97"/>
              </w:rPr>
              <w:t>Article Nine</w:t>
            </w:r>
          </w:p>
        </w:tc>
        <w:tc>
          <w:tcPr>
            <w:tcW w:w="16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202020"/>
                <w:w w:val="91"/>
              </w:rPr>
              <w:t>Amendment, Supplement And Waiver</w:t>
            </w:r>
          </w:p>
        </w:tc>
        <w:tc>
          <w:tcPr>
            <w:tcW w:w="168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9.01</w:t>
            </w:r>
          </w:p>
        </w:tc>
        <w:tc>
          <w:tcPr>
            <w:tcW w:w="8500" w:type="dxa"/>
            <w:vAlign w:val="bottom"/>
          </w:tcPr>
          <w:p>
            <w:pPr>
              <w:ind w:left="80"/>
              <w:spacing w:after="0"/>
              <w:rPr>
                <w:sz w:val="20"/>
                <w:szCs w:val="20"/>
                <w:color w:val="auto"/>
              </w:rPr>
            </w:pPr>
            <w:r>
              <w:rPr>
                <w:rFonts w:ascii="Arial" w:cs="Arial" w:eastAsia="Arial" w:hAnsi="Arial"/>
                <w:sz w:val="18"/>
                <w:szCs w:val="18"/>
                <w:color w:val="auto"/>
              </w:rPr>
              <w:t>Amendments or Supplements Without Consent of 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9.02</w:t>
            </w:r>
          </w:p>
        </w:tc>
        <w:tc>
          <w:tcPr>
            <w:tcW w:w="8500" w:type="dxa"/>
            <w:vAlign w:val="bottom"/>
          </w:tcPr>
          <w:p>
            <w:pPr>
              <w:ind w:left="80"/>
              <w:spacing w:after="0"/>
              <w:rPr>
                <w:sz w:val="20"/>
                <w:szCs w:val="20"/>
                <w:color w:val="auto"/>
              </w:rPr>
            </w:pPr>
            <w:r>
              <w:rPr>
                <w:rFonts w:ascii="Arial" w:cs="Arial" w:eastAsia="Arial" w:hAnsi="Arial"/>
                <w:sz w:val="18"/>
                <w:szCs w:val="18"/>
                <w:color w:val="auto"/>
              </w:rPr>
              <w:t>Amendments or Supplements with Consent of 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9.03</w:t>
            </w:r>
          </w:p>
        </w:tc>
        <w:tc>
          <w:tcPr>
            <w:tcW w:w="8500" w:type="dxa"/>
            <w:vAlign w:val="bottom"/>
          </w:tcPr>
          <w:p>
            <w:pPr>
              <w:ind w:left="80"/>
              <w:spacing w:after="0"/>
              <w:rPr>
                <w:sz w:val="20"/>
                <w:szCs w:val="20"/>
                <w:color w:val="auto"/>
              </w:rPr>
            </w:pPr>
            <w:r>
              <w:rPr>
                <w:rFonts w:ascii="Arial" w:cs="Arial" w:eastAsia="Arial" w:hAnsi="Arial"/>
                <w:sz w:val="18"/>
                <w:szCs w:val="18"/>
                <w:color w:val="auto"/>
              </w:rPr>
              <w:t>Execution of Amendments Supplements or Waivers</w:t>
            </w:r>
          </w:p>
        </w:tc>
        <w:tc>
          <w:tcPr>
            <w:tcW w:w="1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9.04</w:t>
            </w:r>
          </w:p>
        </w:tc>
        <w:tc>
          <w:tcPr>
            <w:tcW w:w="8500" w:type="dxa"/>
            <w:vAlign w:val="bottom"/>
          </w:tcPr>
          <w:p>
            <w:pPr>
              <w:ind w:left="80"/>
              <w:spacing w:after="0"/>
              <w:rPr>
                <w:sz w:val="20"/>
                <w:szCs w:val="20"/>
                <w:color w:val="auto"/>
              </w:rPr>
            </w:pPr>
            <w:r>
              <w:rPr>
                <w:rFonts w:ascii="Arial" w:cs="Arial" w:eastAsia="Arial" w:hAnsi="Arial"/>
                <w:sz w:val="18"/>
                <w:szCs w:val="18"/>
                <w:color w:val="auto"/>
              </w:rPr>
              <w:t>Effect of Amendments, Supplements or Waivers</w:t>
            </w:r>
          </w:p>
        </w:tc>
        <w:tc>
          <w:tcPr>
            <w:tcW w:w="1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9.05</w:t>
            </w:r>
          </w:p>
        </w:tc>
        <w:tc>
          <w:tcPr>
            <w:tcW w:w="8500" w:type="dxa"/>
            <w:vAlign w:val="bottom"/>
          </w:tcPr>
          <w:p>
            <w:pPr>
              <w:ind w:left="80"/>
              <w:spacing w:after="0"/>
              <w:rPr>
                <w:sz w:val="20"/>
                <w:szCs w:val="20"/>
                <w:color w:val="auto"/>
              </w:rPr>
            </w:pPr>
            <w:r>
              <w:rPr>
                <w:rFonts w:ascii="Arial" w:cs="Arial" w:eastAsia="Arial" w:hAnsi="Arial"/>
                <w:sz w:val="18"/>
                <w:szCs w:val="18"/>
                <w:color w:val="auto"/>
              </w:rPr>
              <w:t>[Reserved]</w:t>
            </w:r>
          </w:p>
        </w:tc>
        <w:tc>
          <w:tcPr>
            <w:tcW w:w="1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9.06</w:t>
            </w:r>
          </w:p>
        </w:tc>
        <w:tc>
          <w:tcPr>
            <w:tcW w:w="8500" w:type="dxa"/>
            <w:vAlign w:val="bottom"/>
          </w:tcPr>
          <w:p>
            <w:pPr>
              <w:ind w:left="80"/>
              <w:spacing w:after="0"/>
              <w:rPr>
                <w:sz w:val="20"/>
                <w:szCs w:val="20"/>
                <w:color w:val="auto"/>
              </w:rPr>
            </w:pPr>
            <w:r>
              <w:rPr>
                <w:rFonts w:ascii="Arial" w:cs="Arial" w:eastAsia="Arial" w:hAnsi="Arial"/>
                <w:sz w:val="18"/>
                <w:szCs w:val="18"/>
                <w:color w:val="auto"/>
              </w:rPr>
              <w:t>Reference in Notes to Supplemental Indentures</w:t>
            </w:r>
          </w:p>
        </w:tc>
        <w:tc>
          <w:tcPr>
            <w:tcW w:w="1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9.07</w:t>
            </w:r>
          </w:p>
        </w:tc>
        <w:tc>
          <w:tcPr>
            <w:tcW w:w="8500" w:type="dxa"/>
            <w:vAlign w:val="bottom"/>
          </w:tcPr>
          <w:p>
            <w:pPr>
              <w:ind w:left="80"/>
              <w:spacing w:after="0"/>
              <w:rPr>
                <w:sz w:val="20"/>
                <w:szCs w:val="20"/>
                <w:color w:val="auto"/>
              </w:rPr>
            </w:pPr>
            <w:r>
              <w:rPr>
                <w:rFonts w:ascii="Arial" w:cs="Arial" w:eastAsia="Arial" w:hAnsi="Arial"/>
                <w:sz w:val="18"/>
                <w:szCs w:val="18"/>
                <w:color w:val="auto"/>
              </w:rPr>
              <w:t>Notice of Supplemental Indentures</w:t>
            </w:r>
          </w:p>
        </w:tc>
        <w:tc>
          <w:tcPr>
            <w:tcW w:w="1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1060" w:type="dxa"/>
            <w:vAlign w:val="bottom"/>
          </w:tcPr>
          <w:p>
            <w:pPr>
              <w:spacing w:after="0"/>
              <w:rPr>
                <w:sz w:val="24"/>
                <w:szCs w:val="24"/>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202020"/>
                <w:w w:val="92"/>
              </w:rPr>
              <w:t>Article Ten</w:t>
            </w:r>
          </w:p>
        </w:tc>
        <w:tc>
          <w:tcPr>
            <w:tcW w:w="16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202020"/>
                <w:w w:val="88"/>
              </w:rPr>
              <w:t>Covenants</w:t>
            </w:r>
          </w:p>
        </w:tc>
        <w:tc>
          <w:tcPr>
            <w:tcW w:w="168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w w:val="94"/>
              </w:rPr>
              <w:t>Section 10.01</w:t>
            </w:r>
          </w:p>
        </w:tc>
        <w:tc>
          <w:tcPr>
            <w:tcW w:w="8500" w:type="dxa"/>
            <w:vAlign w:val="bottom"/>
          </w:tcPr>
          <w:p>
            <w:pPr>
              <w:ind w:left="80"/>
              <w:spacing w:after="0"/>
              <w:rPr>
                <w:sz w:val="20"/>
                <w:szCs w:val="20"/>
                <w:color w:val="auto"/>
              </w:rPr>
            </w:pPr>
            <w:r>
              <w:rPr>
                <w:rFonts w:ascii="Arial" w:cs="Arial" w:eastAsia="Arial" w:hAnsi="Arial"/>
                <w:sz w:val="18"/>
                <w:szCs w:val="18"/>
                <w:color w:val="auto"/>
              </w:rPr>
              <w:t>Payment of Principal, Premium, if Any, and Interest</w:t>
            </w:r>
          </w:p>
        </w:tc>
        <w:tc>
          <w:tcPr>
            <w:tcW w:w="1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10.02</w:t>
            </w:r>
          </w:p>
        </w:tc>
        <w:tc>
          <w:tcPr>
            <w:tcW w:w="8500" w:type="dxa"/>
            <w:vAlign w:val="bottom"/>
          </w:tcPr>
          <w:p>
            <w:pPr>
              <w:ind w:left="80"/>
              <w:spacing w:after="0"/>
              <w:rPr>
                <w:sz w:val="20"/>
                <w:szCs w:val="20"/>
                <w:color w:val="auto"/>
              </w:rPr>
            </w:pPr>
            <w:r>
              <w:rPr>
                <w:rFonts w:ascii="Arial" w:cs="Arial" w:eastAsia="Arial" w:hAnsi="Arial"/>
                <w:sz w:val="18"/>
                <w:szCs w:val="18"/>
                <w:color w:val="auto"/>
              </w:rPr>
              <w:t>Maintenance of Office or Agency</w:t>
            </w:r>
          </w:p>
        </w:tc>
        <w:tc>
          <w:tcPr>
            <w:tcW w:w="1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10.03</w:t>
            </w:r>
          </w:p>
        </w:tc>
        <w:tc>
          <w:tcPr>
            <w:tcW w:w="8500" w:type="dxa"/>
            <w:vAlign w:val="bottom"/>
          </w:tcPr>
          <w:p>
            <w:pPr>
              <w:ind w:left="80"/>
              <w:spacing w:after="0"/>
              <w:rPr>
                <w:sz w:val="20"/>
                <w:szCs w:val="20"/>
                <w:color w:val="auto"/>
              </w:rPr>
            </w:pPr>
            <w:r>
              <w:rPr>
                <w:rFonts w:ascii="Arial" w:cs="Arial" w:eastAsia="Arial" w:hAnsi="Arial"/>
                <w:sz w:val="18"/>
                <w:szCs w:val="18"/>
                <w:color w:val="auto"/>
              </w:rPr>
              <w:t>Paying Agent to Hold Money in Trust</w:t>
            </w:r>
          </w:p>
        </w:tc>
        <w:tc>
          <w:tcPr>
            <w:tcW w:w="1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10.04</w:t>
            </w:r>
          </w:p>
        </w:tc>
        <w:tc>
          <w:tcPr>
            <w:tcW w:w="8500" w:type="dxa"/>
            <w:vAlign w:val="bottom"/>
          </w:tcPr>
          <w:p>
            <w:pPr>
              <w:ind w:left="80"/>
              <w:spacing w:after="0"/>
              <w:rPr>
                <w:sz w:val="20"/>
                <w:szCs w:val="20"/>
                <w:color w:val="auto"/>
              </w:rPr>
            </w:pPr>
            <w:r>
              <w:rPr>
                <w:rFonts w:ascii="Arial" w:cs="Arial" w:eastAsia="Arial" w:hAnsi="Arial"/>
                <w:sz w:val="18"/>
                <w:szCs w:val="18"/>
                <w:color w:val="auto"/>
              </w:rPr>
              <w:t>Corporate Existence</w:t>
            </w:r>
          </w:p>
        </w:tc>
        <w:tc>
          <w:tcPr>
            <w:tcW w:w="1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10.05</w:t>
            </w:r>
          </w:p>
        </w:tc>
        <w:tc>
          <w:tcPr>
            <w:tcW w:w="8500" w:type="dxa"/>
            <w:vAlign w:val="bottom"/>
          </w:tcPr>
          <w:p>
            <w:pPr>
              <w:ind w:left="80"/>
              <w:spacing w:after="0"/>
              <w:rPr>
                <w:sz w:val="20"/>
                <w:szCs w:val="20"/>
                <w:color w:val="auto"/>
              </w:rPr>
            </w:pPr>
            <w:r>
              <w:rPr>
                <w:rFonts w:ascii="Arial" w:cs="Arial" w:eastAsia="Arial" w:hAnsi="Arial"/>
                <w:sz w:val="18"/>
                <w:szCs w:val="18"/>
                <w:color w:val="auto"/>
              </w:rPr>
              <w:t>Payment of Taxes and Other Claims</w:t>
            </w:r>
          </w:p>
        </w:tc>
        <w:tc>
          <w:tcPr>
            <w:tcW w:w="1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10.06</w:t>
            </w:r>
          </w:p>
        </w:tc>
        <w:tc>
          <w:tcPr>
            <w:tcW w:w="8500" w:type="dxa"/>
            <w:vAlign w:val="bottom"/>
          </w:tcPr>
          <w:p>
            <w:pPr>
              <w:ind w:left="80"/>
              <w:spacing w:after="0"/>
              <w:rPr>
                <w:sz w:val="20"/>
                <w:szCs w:val="20"/>
                <w:color w:val="auto"/>
              </w:rPr>
            </w:pPr>
            <w:r>
              <w:rPr>
                <w:rFonts w:ascii="Arial" w:cs="Arial" w:eastAsia="Arial" w:hAnsi="Arial"/>
                <w:sz w:val="18"/>
                <w:szCs w:val="18"/>
                <w:color w:val="auto"/>
              </w:rPr>
              <w:t>Statement by Officers as to Default</w:t>
            </w:r>
          </w:p>
        </w:tc>
        <w:tc>
          <w:tcPr>
            <w:tcW w:w="1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10.07</w:t>
            </w:r>
          </w:p>
        </w:tc>
        <w:tc>
          <w:tcPr>
            <w:tcW w:w="8500" w:type="dxa"/>
            <w:vAlign w:val="bottom"/>
          </w:tcPr>
          <w:p>
            <w:pPr>
              <w:ind w:left="80"/>
              <w:spacing w:after="0"/>
              <w:rPr>
                <w:sz w:val="20"/>
                <w:szCs w:val="20"/>
                <w:color w:val="auto"/>
              </w:rPr>
            </w:pPr>
            <w:r>
              <w:rPr>
                <w:rFonts w:ascii="Arial" w:cs="Arial" w:eastAsia="Arial" w:hAnsi="Arial"/>
                <w:sz w:val="18"/>
                <w:szCs w:val="18"/>
                <w:color w:val="auto"/>
              </w:rPr>
              <w:t>Reports and Other Information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10.08</w:t>
            </w:r>
          </w:p>
        </w:tc>
        <w:tc>
          <w:tcPr>
            <w:tcW w:w="8500" w:type="dxa"/>
            <w:vAlign w:val="bottom"/>
          </w:tcPr>
          <w:p>
            <w:pPr>
              <w:ind w:left="80"/>
              <w:spacing w:after="0"/>
              <w:rPr>
                <w:sz w:val="20"/>
                <w:szCs w:val="20"/>
                <w:color w:val="auto"/>
              </w:rPr>
            </w:pPr>
            <w:r>
              <w:rPr>
                <w:rFonts w:ascii="Arial" w:cs="Arial" w:eastAsia="Arial" w:hAnsi="Arial"/>
                <w:sz w:val="18"/>
                <w:szCs w:val="18"/>
                <w:color w:val="auto"/>
              </w:rPr>
              <w:t>Limitation on Restricted Payments</w:t>
            </w:r>
          </w:p>
        </w:tc>
        <w:tc>
          <w:tcPr>
            <w:tcW w:w="16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10.09</w:t>
            </w:r>
          </w:p>
        </w:tc>
        <w:tc>
          <w:tcPr>
            <w:tcW w:w="8500" w:type="dxa"/>
            <w:vAlign w:val="bottom"/>
          </w:tcPr>
          <w:p>
            <w:pPr>
              <w:ind w:left="80"/>
              <w:spacing w:after="0"/>
              <w:rPr>
                <w:sz w:val="20"/>
                <w:szCs w:val="20"/>
                <w:color w:val="auto"/>
              </w:rPr>
            </w:pPr>
            <w:r>
              <w:rPr>
                <w:rFonts w:ascii="Arial" w:cs="Arial" w:eastAsia="Arial" w:hAnsi="Arial"/>
                <w:sz w:val="18"/>
                <w:szCs w:val="18"/>
                <w:color w:val="auto"/>
              </w:rPr>
              <w:t>Limitation on Incurrence of Indebtedness and Issuance of Disqualified Stock and Preferred Stock</w:t>
            </w:r>
          </w:p>
        </w:tc>
        <w:tc>
          <w:tcPr>
            <w:tcW w:w="1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10.10</w:t>
            </w:r>
          </w:p>
        </w:tc>
        <w:tc>
          <w:tcPr>
            <w:tcW w:w="8500" w:type="dxa"/>
            <w:vAlign w:val="bottom"/>
          </w:tcPr>
          <w:p>
            <w:pPr>
              <w:ind w:left="80"/>
              <w:spacing w:after="0"/>
              <w:rPr>
                <w:sz w:val="20"/>
                <w:szCs w:val="20"/>
                <w:color w:val="auto"/>
              </w:rPr>
            </w:pPr>
            <w:r>
              <w:rPr>
                <w:rFonts w:ascii="Arial" w:cs="Arial" w:eastAsia="Arial" w:hAnsi="Arial"/>
                <w:sz w:val="18"/>
                <w:szCs w:val="18"/>
                <w:color w:val="auto"/>
              </w:rPr>
              <w:t>Liens</w:t>
            </w:r>
          </w:p>
        </w:tc>
        <w:tc>
          <w:tcPr>
            <w:tcW w:w="1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10.11</w:t>
            </w:r>
          </w:p>
        </w:tc>
        <w:tc>
          <w:tcPr>
            <w:tcW w:w="8500" w:type="dxa"/>
            <w:vAlign w:val="bottom"/>
          </w:tcPr>
          <w:p>
            <w:pPr>
              <w:ind w:left="80"/>
              <w:spacing w:after="0"/>
              <w:rPr>
                <w:sz w:val="20"/>
                <w:szCs w:val="20"/>
                <w:color w:val="auto"/>
              </w:rPr>
            </w:pPr>
            <w:r>
              <w:rPr>
                <w:rFonts w:ascii="Arial" w:cs="Arial" w:eastAsia="Arial" w:hAnsi="Arial"/>
                <w:sz w:val="18"/>
                <w:szCs w:val="18"/>
                <w:color w:val="auto"/>
              </w:rPr>
              <w:t>Limitations on Transactions with Affiliates</w:t>
            </w:r>
          </w:p>
        </w:tc>
        <w:tc>
          <w:tcPr>
            <w:tcW w:w="1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10.12</w:t>
            </w:r>
          </w:p>
        </w:tc>
        <w:tc>
          <w:tcPr>
            <w:tcW w:w="8500" w:type="dxa"/>
            <w:vAlign w:val="bottom"/>
          </w:tcPr>
          <w:p>
            <w:pPr>
              <w:ind w:left="80"/>
              <w:spacing w:after="0"/>
              <w:rPr>
                <w:sz w:val="20"/>
                <w:szCs w:val="20"/>
                <w:color w:val="auto"/>
              </w:rPr>
            </w:pPr>
            <w:r>
              <w:rPr>
                <w:rFonts w:ascii="Arial" w:cs="Arial" w:eastAsia="Arial" w:hAnsi="Arial"/>
                <w:sz w:val="18"/>
                <w:szCs w:val="18"/>
                <w:color w:val="auto"/>
              </w:rPr>
              <w:t>Limitations on Dividend and Other Payment Restrictions Affecting Restricted Subsidiaries</w:t>
            </w:r>
          </w:p>
        </w:tc>
        <w:tc>
          <w:tcPr>
            <w:tcW w:w="1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10.13</w:t>
            </w:r>
          </w:p>
        </w:tc>
        <w:tc>
          <w:tcPr>
            <w:tcW w:w="8500" w:type="dxa"/>
            <w:vAlign w:val="bottom"/>
          </w:tcPr>
          <w:p>
            <w:pPr>
              <w:ind w:left="80"/>
              <w:spacing w:after="0"/>
              <w:rPr>
                <w:sz w:val="20"/>
                <w:szCs w:val="20"/>
                <w:color w:val="auto"/>
              </w:rPr>
            </w:pPr>
            <w:r>
              <w:rPr>
                <w:rFonts w:ascii="Arial" w:cs="Arial" w:eastAsia="Arial" w:hAnsi="Arial"/>
                <w:sz w:val="18"/>
                <w:szCs w:val="18"/>
                <w:color w:val="auto"/>
              </w:rPr>
              <w:t>Limitation on Guarantees of Indebtedness by Restricted Subsidiaries</w:t>
            </w:r>
          </w:p>
        </w:tc>
        <w:tc>
          <w:tcPr>
            <w:tcW w:w="16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10.14</w:t>
            </w:r>
          </w:p>
        </w:tc>
        <w:tc>
          <w:tcPr>
            <w:tcW w:w="8500" w:type="dxa"/>
            <w:vAlign w:val="bottom"/>
          </w:tcPr>
          <w:p>
            <w:pPr>
              <w:ind w:left="80"/>
              <w:spacing w:after="0"/>
              <w:rPr>
                <w:sz w:val="20"/>
                <w:szCs w:val="20"/>
                <w:color w:val="auto"/>
              </w:rPr>
            </w:pPr>
            <w:r>
              <w:rPr>
                <w:rFonts w:ascii="Arial" w:cs="Arial" w:eastAsia="Arial" w:hAnsi="Arial"/>
                <w:sz w:val="18"/>
                <w:szCs w:val="18"/>
                <w:color w:val="auto"/>
              </w:rPr>
              <w:t>[Reserved]</w:t>
            </w:r>
          </w:p>
        </w:tc>
        <w:tc>
          <w:tcPr>
            <w:tcW w:w="16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10.15</w:t>
            </w:r>
          </w:p>
        </w:tc>
        <w:tc>
          <w:tcPr>
            <w:tcW w:w="8500" w:type="dxa"/>
            <w:vAlign w:val="bottom"/>
          </w:tcPr>
          <w:p>
            <w:pPr>
              <w:ind w:left="80"/>
              <w:spacing w:after="0"/>
              <w:rPr>
                <w:sz w:val="20"/>
                <w:szCs w:val="20"/>
                <w:color w:val="auto"/>
              </w:rPr>
            </w:pPr>
            <w:r>
              <w:rPr>
                <w:rFonts w:ascii="Arial" w:cs="Arial" w:eastAsia="Arial" w:hAnsi="Arial"/>
                <w:sz w:val="18"/>
                <w:szCs w:val="18"/>
                <w:color w:val="auto"/>
              </w:rPr>
              <w:t>Change of Control</w:t>
            </w:r>
          </w:p>
        </w:tc>
        <w:tc>
          <w:tcPr>
            <w:tcW w:w="16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10.16</w:t>
            </w:r>
          </w:p>
        </w:tc>
        <w:tc>
          <w:tcPr>
            <w:tcW w:w="8500" w:type="dxa"/>
            <w:vAlign w:val="bottom"/>
          </w:tcPr>
          <w:p>
            <w:pPr>
              <w:ind w:left="80"/>
              <w:spacing w:after="0"/>
              <w:rPr>
                <w:sz w:val="20"/>
                <w:szCs w:val="20"/>
                <w:color w:val="auto"/>
              </w:rPr>
            </w:pPr>
            <w:r>
              <w:rPr>
                <w:rFonts w:ascii="Arial" w:cs="Arial" w:eastAsia="Arial" w:hAnsi="Arial"/>
                <w:sz w:val="18"/>
                <w:szCs w:val="18"/>
                <w:color w:val="auto"/>
              </w:rPr>
              <w:t>Asset Sales</w:t>
            </w:r>
          </w:p>
        </w:tc>
        <w:tc>
          <w:tcPr>
            <w:tcW w:w="16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10.17</w:t>
            </w:r>
          </w:p>
        </w:tc>
        <w:tc>
          <w:tcPr>
            <w:tcW w:w="8500" w:type="dxa"/>
            <w:vAlign w:val="bottom"/>
          </w:tcPr>
          <w:p>
            <w:pPr>
              <w:ind w:left="80"/>
              <w:spacing w:after="0"/>
              <w:rPr>
                <w:sz w:val="20"/>
                <w:szCs w:val="20"/>
                <w:color w:val="auto"/>
              </w:rPr>
            </w:pPr>
            <w:r>
              <w:rPr>
                <w:rFonts w:ascii="Arial" w:cs="Arial" w:eastAsia="Arial" w:hAnsi="Arial"/>
                <w:sz w:val="18"/>
                <w:szCs w:val="18"/>
                <w:color w:val="auto"/>
              </w:rPr>
              <w:t>After-Acquired Property</w:t>
            </w:r>
          </w:p>
        </w:tc>
        <w:tc>
          <w:tcPr>
            <w:tcW w:w="16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10.18</w:t>
            </w:r>
          </w:p>
        </w:tc>
        <w:tc>
          <w:tcPr>
            <w:tcW w:w="8500" w:type="dxa"/>
            <w:vAlign w:val="bottom"/>
          </w:tcPr>
          <w:p>
            <w:pPr>
              <w:ind w:left="80"/>
              <w:spacing w:after="0"/>
              <w:rPr>
                <w:sz w:val="20"/>
                <w:szCs w:val="20"/>
                <w:color w:val="auto"/>
              </w:rPr>
            </w:pPr>
            <w:r>
              <w:rPr>
                <w:rFonts w:ascii="Arial" w:cs="Arial" w:eastAsia="Arial" w:hAnsi="Arial"/>
                <w:sz w:val="18"/>
                <w:szCs w:val="18"/>
                <w:color w:val="auto"/>
              </w:rPr>
              <w:t>[Reserved]</w:t>
            </w:r>
          </w:p>
        </w:tc>
        <w:tc>
          <w:tcPr>
            <w:tcW w:w="1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10.19</w:t>
            </w:r>
          </w:p>
        </w:tc>
        <w:tc>
          <w:tcPr>
            <w:tcW w:w="8500" w:type="dxa"/>
            <w:vAlign w:val="bottom"/>
          </w:tcPr>
          <w:p>
            <w:pPr>
              <w:ind w:left="80"/>
              <w:spacing w:after="0"/>
              <w:rPr>
                <w:sz w:val="20"/>
                <w:szCs w:val="20"/>
                <w:color w:val="auto"/>
              </w:rPr>
            </w:pPr>
            <w:r>
              <w:rPr>
                <w:rFonts w:ascii="Arial" w:cs="Arial" w:eastAsia="Arial" w:hAnsi="Arial"/>
                <w:sz w:val="18"/>
                <w:szCs w:val="18"/>
                <w:color w:val="auto"/>
              </w:rPr>
              <w:t>Suspension of Covenants</w:t>
            </w:r>
          </w:p>
        </w:tc>
        <w:tc>
          <w:tcPr>
            <w:tcW w:w="1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10.20</w:t>
            </w:r>
          </w:p>
        </w:tc>
        <w:tc>
          <w:tcPr>
            <w:tcW w:w="8500" w:type="dxa"/>
            <w:vAlign w:val="bottom"/>
          </w:tcPr>
          <w:p>
            <w:pPr>
              <w:ind w:left="80"/>
              <w:spacing w:after="0"/>
              <w:rPr>
                <w:sz w:val="20"/>
                <w:szCs w:val="20"/>
                <w:color w:val="auto"/>
              </w:rPr>
            </w:pPr>
            <w:r>
              <w:rPr>
                <w:rFonts w:ascii="Arial" w:cs="Arial" w:eastAsia="Arial" w:hAnsi="Arial"/>
                <w:sz w:val="18"/>
                <w:szCs w:val="18"/>
                <w:color w:val="auto"/>
              </w:rPr>
              <w:t>Maintenance of Property</w:t>
            </w:r>
          </w:p>
        </w:tc>
        <w:tc>
          <w:tcPr>
            <w:tcW w:w="16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4"/>
              </w:rPr>
              <w:t>Section 10.21</w:t>
            </w:r>
          </w:p>
        </w:tc>
        <w:tc>
          <w:tcPr>
            <w:tcW w:w="8500" w:type="dxa"/>
            <w:vAlign w:val="bottom"/>
          </w:tcPr>
          <w:p>
            <w:pPr>
              <w:ind w:left="80"/>
              <w:spacing w:after="0"/>
              <w:rPr>
                <w:sz w:val="20"/>
                <w:szCs w:val="20"/>
                <w:color w:val="auto"/>
              </w:rPr>
            </w:pPr>
            <w:r>
              <w:rPr>
                <w:rFonts w:ascii="Arial" w:cs="Arial" w:eastAsia="Arial" w:hAnsi="Arial"/>
                <w:sz w:val="18"/>
                <w:szCs w:val="18"/>
                <w:color w:val="auto"/>
              </w:rPr>
              <w:t>Further Assurances</w:t>
            </w:r>
          </w:p>
        </w:tc>
        <w:tc>
          <w:tcPr>
            <w:tcW w:w="16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702"/>
        </w:trPr>
        <w:tc>
          <w:tcPr>
            <w:tcW w:w="106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560" w:type="dxa"/>
            <w:vAlign w:val="bottom"/>
          </w:tcPr>
          <w:p>
            <w:pPr>
              <w:jc w:val="center"/>
              <w:ind w:left="470"/>
              <w:spacing w:after="0"/>
              <w:rPr>
                <w:sz w:val="20"/>
                <w:szCs w:val="20"/>
                <w:color w:val="auto"/>
              </w:rPr>
            </w:pPr>
            <w:r>
              <w:rPr>
                <w:rFonts w:ascii="Arial" w:cs="Arial" w:eastAsia="Arial" w:hAnsi="Arial"/>
                <w:sz w:val="18"/>
                <w:szCs w:val="18"/>
                <w:color w:val="202020"/>
                <w:w w:val="94"/>
              </w:rPr>
              <w:t>Article Eleven</w:t>
            </w:r>
          </w:p>
        </w:tc>
        <w:tc>
          <w:tcPr>
            <w:tcW w:w="162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8560" w:type="dxa"/>
            <w:vAlign w:val="bottom"/>
          </w:tcPr>
          <w:p>
            <w:pPr>
              <w:jc w:val="center"/>
              <w:ind w:left="490"/>
              <w:spacing w:after="0"/>
              <w:rPr>
                <w:sz w:val="20"/>
                <w:szCs w:val="20"/>
                <w:color w:val="auto"/>
              </w:rPr>
            </w:pPr>
            <w:r>
              <w:rPr>
                <w:rFonts w:ascii="Arial" w:cs="Arial" w:eastAsia="Arial" w:hAnsi="Arial"/>
                <w:sz w:val="18"/>
                <w:szCs w:val="18"/>
                <w:color w:val="202020"/>
                <w:w w:val="91"/>
              </w:rPr>
              <w:t>Redemption Of Notes</w:t>
            </w:r>
          </w:p>
        </w:tc>
        <w:tc>
          <w:tcPr>
            <w:tcW w:w="1620" w:type="dxa"/>
            <w:vAlign w:val="bottom"/>
          </w:tcPr>
          <w:p>
            <w:pPr>
              <w:spacing w:after="0"/>
              <w:rPr>
                <w:sz w:val="24"/>
                <w:szCs w:val="24"/>
                <w:color w:val="auto"/>
              </w:rPr>
            </w:pPr>
          </w:p>
        </w:tc>
      </w:tr>
      <w:tr>
        <w:trPr>
          <w:trHeight w:val="418"/>
        </w:trPr>
        <w:tc>
          <w:tcPr>
            <w:tcW w:w="9620" w:type="dxa"/>
            <w:vAlign w:val="bottom"/>
            <w:gridSpan w:val="2"/>
          </w:tcPr>
          <w:p>
            <w:pPr>
              <w:spacing w:after="0"/>
              <w:rPr>
                <w:sz w:val="20"/>
                <w:szCs w:val="20"/>
                <w:color w:val="auto"/>
              </w:rPr>
            </w:pPr>
            <w:r>
              <w:rPr>
                <w:rFonts w:ascii="Arial" w:cs="Arial" w:eastAsia="Arial" w:hAnsi="Arial"/>
                <w:sz w:val="18"/>
                <w:szCs w:val="18"/>
                <w:color w:val="auto"/>
              </w:rPr>
              <w:t>Section 11.01  Right of Redemption</w:t>
            </w:r>
          </w:p>
        </w:tc>
        <w:tc>
          <w:tcPr>
            <w:tcW w:w="16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11.02</w:t>
            </w:r>
          </w:p>
        </w:tc>
        <w:tc>
          <w:tcPr>
            <w:tcW w:w="8560" w:type="dxa"/>
            <w:vAlign w:val="bottom"/>
          </w:tcPr>
          <w:p>
            <w:pPr>
              <w:ind w:left="80"/>
              <w:spacing w:after="0"/>
              <w:rPr>
                <w:sz w:val="20"/>
                <w:szCs w:val="20"/>
                <w:color w:val="auto"/>
              </w:rPr>
            </w:pPr>
            <w:r>
              <w:rPr>
                <w:rFonts w:ascii="Arial" w:cs="Arial" w:eastAsia="Arial" w:hAnsi="Arial"/>
                <w:sz w:val="18"/>
                <w:szCs w:val="18"/>
                <w:color w:val="auto"/>
              </w:rPr>
              <w:t>Mandatory Redemption</w:t>
            </w:r>
          </w:p>
        </w:tc>
        <w:tc>
          <w:tcPr>
            <w:tcW w:w="16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11.03  Applicability of Article</w:t>
            </w:r>
          </w:p>
        </w:tc>
        <w:tc>
          <w:tcPr>
            <w:tcW w:w="16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11.04  Election to Redeem; Notice to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11.05  Selection of Notes to Be Redeemed</w:t>
            </w:r>
          </w:p>
        </w:tc>
        <w:tc>
          <w:tcPr>
            <w:tcW w:w="16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11.06  Notice of Redemption</w:t>
            </w:r>
          </w:p>
        </w:tc>
        <w:tc>
          <w:tcPr>
            <w:tcW w:w="16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11.07  Effect of Notice of Redemption</w:t>
            </w:r>
          </w:p>
        </w:tc>
        <w:tc>
          <w:tcPr>
            <w:tcW w:w="16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11.08  Deposit of Redemption Price</w:t>
            </w:r>
          </w:p>
        </w:tc>
        <w:tc>
          <w:tcPr>
            <w:tcW w:w="16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11.09  Notes Payable on Redemption Date</w:t>
            </w:r>
          </w:p>
        </w:tc>
        <w:tc>
          <w:tcPr>
            <w:tcW w:w="16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9620" w:type="dxa"/>
            <w:vAlign w:val="bottom"/>
            <w:gridSpan w:val="2"/>
          </w:tcPr>
          <w:p>
            <w:pPr>
              <w:spacing w:after="0"/>
              <w:rPr>
                <w:sz w:val="20"/>
                <w:szCs w:val="20"/>
                <w:color w:val="auto"/>
              </w:rPr>
            </w:pPr>
            <w:r>
              <w:rPr>
                <w:rFonts w:ascii="Arial" w:cs="Arial" w:eastAsia="Arial" w:hAnsi="Arial"/>
                <w:sz w:val="18"/>
                <w:szCs w:val="18"/>
                <w:color w:val="auto"/>
              </w:rPr>
              <w:t>Section 11.10  Notes Redeemed in Part</w:t>
            </w:r>
          </w:p>
        </w:tc>
        <w:tc>
          <w:tcPr>
            <w:tcW w:w="16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2"/>
        </w:trPr>
        <w:tc>
          <w:tcPr>
            <w:tcW w:w="1060" w:type="dxa"/>
            <w:vAlign w:val="bottom"/>
          </w:tcPr>
          <w:p>
            <w:pPr>
              <w:spacing w:after="0"/>
              <w:rPr>
                <w:sz w:val="24"/>
                <w:szCs w:val="24"/>
                <w:color w:val="auto"/>
              </w:rPr>
            </w:pPr>
          </w:p>
        </w:tc>
        <w:tc>
          <w:tcPr>
            <w:tcW w:w="8560" w:type="dxa"/>
            <w:vAlign w:val="bottom"/>
          </w:tcPr>
          <w:p>
            <w:pPr>
              <w:jc w:val="center"/>
              <w:ind w:left="490"/>
              <w:spacing w:after="0"/>
              <w:rPr>
                <w:sz w:val="20"/>
                <w:szCs w:val="20"/>
                <w:color w:val="auto"/>
              </w:rPr>
            </w:pPr>
            <w:r>
              <w:rPr>
                <w:rFonts w:ascii="Arial" w:cs="Arial" w:eastAsia="Arial" w:hAnsi="Arial"/>
                <w:sz w:val="18"/>
                <w:szCs w:val="18"/>
                <w:color w:val="202020"/>
                <w:w w:val="94"/>
              </w:rPr>
              <w:t>Article Twelve</w:t>
            </w:r>
          </w:p>
        </w:tc>
        <w:tc>
          <w:tcPr>
            <w:tcW w:w="16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560" w:type="dxa"/>
            <w:vAlign w:val="bottom"/>
          </w:tcPr>
          <w:p>
            <w:pPr>
              <w:jc w:val="center"/>
              <w:ind w:left="470"/>
              <w:spacing w:after="0"/>
              <w:rPr>
                <w:sz w:val="20"/>
                <w:szCs w:val="20"/>
                <w:color w:val="auto"/>
              </w:rPr>
            </w:pPr>
            <w:r>
              <w:rPr>
                <w:rFonts w:ascii="Arial" w:cs="Arial" w:eastAsia="Arial" w:hAnsi="Arial"/>
                <w:sz w:val="18"/>
                <w:szCs w:val="18"/>
                <w:color w:val="202020"/>
                <w:w w:val="85"/>
              </w:rPr>
              <w:t>Guarantees</w:t>
            </w:r>
          </w:p>
        </w:tc>
        <w:tc>
          <w:tcPr>
            <w:tcW w:w="162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w w:val="94"/>
              </w:rPr>
              <w:t>Section 12.01</w:t>
            </w:r>
          </w:p>
        </w:tc>
        <w:tc>
          <w:tcPr>
            <w:tcW w:w="8560" w:type="dxa"/>
            <w:vAlign w:val="bottom"/>
          </w:tcPr>
          <w:p>
            <w:pPr>
              <w:ind w:left="80"/>
              <w:spacing w:after="0"/>
              <w:rPr>
                <w:sz w:val="20"/>
                <w:szCs w:val="20"/>
                <w:color w:val="auto"/>
              </w:rPr>
            </w:pPr>
            <w:r>
              <w:rPr>
                <w:rFonts w:ascii="Arial" w:cs="Arial" w:eastAsia="Arial" w:hAnsi="Arial"/>
                <w:sz w:val="18"/>
                <w:szCs w:val="18"/>
                <w:color w:val="auto"/>
              </w:rPr>
              <w:t>Guarantees</w:t>
            </w:r>
          </w:p>
        </w:tc>
        <w:tc>
          <w:tcPr>
            <w:tcW w:w="16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12.02</w:t>
            </w:r>
          </w:p>
        </w:tc>
        <w:tc>
          <w:tcPr>
            <w:tcW w:w="856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12.03</w:t>
            </w:r>
          </w:p>
        </w:tc>
        <w:tc>
          <w:tcPr>
            <w:tcW w:w="8560" w:type="dxa"/>
            <w:vAlign w:val="bottom"/>
          </w:tcPr>
          <w:p>
            <w:pPr>
              <w:ind w:left="80"/>
              <w:spacing w:after="0"/>
              <w:rPr>
                <w:sz w:val="20"/>
                <w:szCs w:val="20"/>
                <w:color w:val="auto"/>
              </w:rPr>
            </w:pPr>
            <w:r>
              <w:rPr>
                <w:rFonts w:ascii="Arial" w:cs="Arial" w:eastAsia="Arial" w:hAnsi="Arial"/>
                <w:sz w:val="18"/>
                <w:szCs w:val="18"/>
                <w:color w:val="auto"/>
              </w:rPr>
              <w:t>[Reserved]</w:t>
            </w:r>
          </w:p>
        </w:tc>
        <w:tc>
          <w:tcPr>
            <w:tcW w:w="16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12.04  Limitation of Guarantors’ Liability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12.05</w:t>
            </w:r>
          </w:p>
        </w:tc>
        <w:tc>
          <w:tcPr>
            <w:tcW w:w="8560" w:type="dxa"/>
            <w:vAlign w:val="bottom"/>
          </w:tcPr>
          <w:p>
            <w:pPr>
              <w:ind w:left="80"/>
              <w:spacing w:after="0"/>
              <w:rPr>
                <w:sz w:val="20"/>
                <w:szCs w:val="20"/>
                <w:color w:val="auto"/>
              </w:rPr>
            </w:pPr>
            <w:r>
              <w:rPr>
                <w:rFonts w:ascii="Arial" w:cs="Arial" w:eastAsia="Arial" w:hAnsi="Arial"/>
                <w:sz w:val="18"/>
                <w:szCs w:val="18"/>
                <w:color w:val="auto"/>
              </w:rPr>
              <w:t>Contribution</w:t>
            </w:r>
          </w:p>
        </w:tc>
        <w:tc>
          <w:tcPr>
            <w:tcW w:w="16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12.06</w:t>
            </w:r>
          </w:p>
        </w:tc>
        <w:tc>
          <w:tcPr>
            <w:tcW w:w="8560" w:type="dxa"/>
            <w:vAlign w:val="bottom"/>
          </w:tcPr>
          <w:p>
            <w:pPr>
              <w:ind w:left="80"/>
              <w:spacing w:after="0"/>
              <w:rPr>
                <w:sz w:val="20"/>
                <w:szCs w:val="20"/>
                <w:color w:val="auto"/>
              </w:rPr>
            </w:pPr>
            <w:r>
              <w:rPr>
                <w:rFonts w:ascii="Arial" w:cs="Arial" w:eastAsia="Arial" w:hAnsi="Arial"/>
                <w:sz w:val="18"/>
                <w:szCs w:val="18"/>
                <w:color w:val="auto"/>
              </w:rPr>
              <w:t>Subrogation</w:t>
            </w:r>
          </w:p>
        </w:tc>
        <w:tc>
          <w:tcPr>
            <w:tcW w:w="16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12.07</w:t>
            </w:r>
          </w:p>
        </w:tc>
        <w:tc>
          <w:tcPr>
            <w:tcW w:w="8560" w:type="dxa"/>
            <w:vAlign w:val="bottom"/>
          </w:tcPr>
          <w:p>
            <w:pPr>
              <w:ind w:left="80"/>
              <w:spacing w:after="0"/>
              <w:rPr>
                <w:sz w:val="20"/>
                <w:szCs w:val="20"/>
                <w:color w:val="auto"/>
              </w:rPr>
            </w:pPr>
            <w:r>
              <w:rPr>
                <w:rFonts w:ascii="Arial" w:cs="Arial" w:eastAsia="Arial" w:hAnsi="Arial"/>
                <w:sz w:val="18"/>
                <w:szCs w:val="18"/>
                <w:color w:val="auto"/>
              </w:rPr>
              <w:t>Reinstatement</w:t>
            </w:r>
          </w:p>
        </w:tc>
        <w:tc>
          <w:tcPr>
            <w:tcW w:w="16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12.08  Release of a Guarantor</w:t>
            </w:r>
          </w:p>
        </w:tc>
        <w:tc>
          <w:tcPr>
            <w:tcW w:w="16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4"/>
              </w:rPr>
              <w:t>Section 12.09</w:t>
            </w:r>
          </w:p>
        </w:tc>
        <w:tc>
          <w:tcPr>
            <w:tcW w:w="8560" w:type="dxa"/>
            <w:vAlign w:val="bottom"/>
          </w:tcPr>
          <w:p>
            <w:pPr>
              <w:ind w:left="80"/>
              <w:spacing w:after="0"/>
              <w:rPr>
                <w:sz w:val="20"/>
                <w:szCs w:val="20"/>
                <w:color w:val="auto"/>
              </w:rPr>
            </w:pPr>
            <w:r>
              <w:rPr>
                <w:rFonts w:ascii="Arial" w:cs="Arial" w:eastAsia="Arial" w:hAnsi="Arial"/>
                <w:sz w:val="18"/>
                <w:szCs w:val="18"/>
                <w:color w:val="auto"/>
              </w:rPr>
              <w:t>Benefits Acknowledged</w:t>
            </w:r>
          </w:p>
        </w:tc>
        <w:tc>
          <w:tcPr>
            <w:tcW w:w="16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32"/>
        </w:trPr>
        <w:tc>
          <w:tcPr>
            <w:tcW w:w="1060" w:type="dxa"/>
            <w:vAlign w:val="bottom"/>
          </w:tcPr>
          <w:p>
            <w:pPr>
              <w:spacing w:after="0"/>
              <w:rPr>
                <w:sz w:val="24"/>
                <w:szCs w:val="24"/>
                <w:color w:val="auto"/>
              </w:rPr>
            </w:pPr>
          </w:p>
        </w:tc>
        <w:tc>
          <w:tcPr>
            <w:tcW w:w="8560" w:type="dxa"/>
            <w:vAlign w:val="bottom"/>
          </w:tcPr>
          <w:p>
            <w:pPr>
              <w:jc w:val="center"/>
              <w:ind w:left="470"/>
              <w:spacing w:after="0"/>
              <w:rPr>
                <w:sz w:val="20"/>
                <w:szCs w:val="20"/>
                <w:color w:val="auto"/>
              </w:rPr>
            </w:pPr>
            <w:r>
              <w:rPr>
                <w:rFonts w:ascii="Arial" w:cs="Arial" w:eastAsia="Arial" w:hAnsi="Arial"/>
                <w:sz w:val="18"/>
                <w:szCs w:val="18"/>
                <w:color w:val="202020"/>
                <w:w w:val="95"/>
              </w:rPr>
              <w:t>Article Thirteen</w:t>
            </w:r>
          </w:p>
        </w:tc>
        <w:tc>
          <w:tcPr>
            <w:tcW w:w="16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560" w:type="dxa"/>
            <w:vAlign w:val="bottom"/>
          </w:tcPr>
          <w:p>
            <w:pPr>
              <w:jc w:val="center"/>
              <w:ind w:left="470"/>
              <w:spacing w:after="0"/>
              <w:rPr>
                <w:sz w:val="20"/>
                <w:szCs w:val="20"/>
                <w:color w:val="auto"/>
              </w:rPr>
            </w:pPr>
            <w:r>
              <w:rPr>
                <w:rFonts w:ascii="Arial" w:cs="Arial" w:eastAsia="Arial" w:hAnsi="Arial"/>
                <w:sz w:val="18"/>
                <w:szCs w:val="18"/>
                <w:color w:val="202020"/>
                <w:w w:val="88"/>
              </w:rPr>
              <w:t>Legal Defeasance And Covenant Defeasance</w:t>
            </w:r>
          </w:p>
        </w:tc>
        <w:tc>
          <w:tcPr>
            <w:tcW w:w="1620" w:type="dxa"/>
            <w:vAlign w:val="bottom"/>
          </w:tcPr>
          <w:p>
            <w:pPr>
              <w:spacing w:after="0"/>
              <w:rPr>
                <w:sz w:val="24"/>
                <w:szCs w:val="24"/>
                <w:color w:val="auto"/>
              </w:rPr>
            </w:pPr>
          </w:p>
        </w:tc>
      </w:tr>
      <w:tr>
        <w:trPr>
          <w:trHeight w:val="418"/>
        </w:trPr>
        <w:tc>
          <w:tcPr>
            <w:tcW w:w="9620" w:type="dxa"/>
            <w:vAlign w:val="bottom"/>
            <w:gridSpan w:val="2"/>
          </w:tcPr>
          <w:p>
            <w:pPr>
              <w:spacing w:after="0"/>
              <w:rPr>
                <w:sz w:val="20"/>
                <w:szCs w:val="20"/>
                <w:color w:val="auto"/>
              </w:rPr>
            </w:pPr>
            <w:r>
              <w:rPr>
                <w:rFonts w:ascii="Arial" w:cs="Arial" w:eastAsia="Arial" w:hAnsi="Arial"/>
                <w:sz w:val="18"/>
                <w:szCs w:val="18"/>
                <w:color w:val="auto"/>
              </w:rPr>
              <w:t>Section 13.01  Company’s Option to Effect Legal Defeasance or Covenant Defeasance</w:t>
            </w:r>
          </w:p>
        </w:tc>
        <w:tc>
          <w:tcPr>
            <w:tcW w:w="16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13.02  Legal Defeasance and Discharge</w:t>
            </w:r>
          </w:p>
        </w:tc>
        <w:tc>
          <w:tcPr>
            <w:tcW w:w="16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13.03</w:t>
            </w:r>
          </w:p>
        </w:tc>
        <w:tc>
          <w:tcPr>
            <w:tcW w:w="8560" w:type="dxa"/>
            <w:vAlign w:val="bottom"/>
          </w:tcPr>
          <w:p>
            <w:pPr>
              <w:ind w:left="80"/>
              <w:spacing w:after="0"/>
              <w:rPr>
                <w:sz w:val="20"/>
                <w:szCs w:val="20"/>
                <w:color w:val="auto"/>
              </w:rPr>
            </w:pPr>
            <w:r>
              <w:rPr>
                <w:rFonts w:ascii="Arial" w:cs="Arial" w:eastAsia="Arial" w:hAnsi="Arial"/>
                <w:sz w:val="18"/>
                <w:szCs w:val="18"/>
                <w:color w:val="auto"/>
              </w:rPr>
              <w:t>Covenant Defeasance</w:t>
            </w:r>
          </w:p>
        </w:tc>
        <w:tc>
          <w:tcPr>
            <w:tcW w:w="16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13.04  Conditions to Legal Defeasance or Covenant Defeasance</w:t>
            </w:r>
          </w:p>
        </w:tc>
        <w:tc>
          <w:tcPr>
            <w:tcW w:w="16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Section 13.05  Deposited Money and Government Securities to Be Held in Trust; Other Miscellaneous Provisions</w:t>
            </w:r>
          </w:p>
        </w:tc>
        <w:tc>
          <w:tcPr>
            <w:tcW w:w="16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13.06</w:t>
            </w:r>
          </w:p>
        </w:tc>
        <w:tc>
          <w:tcPr>
            <w:tcW w:w="8560" w:type="dxa"/>
            <w:vAlign w:val="bottom"/>
          </w:tcPr>
          <w:p>
            <w:pPr>
              <w:ind w:left="80"/>
              <w:spacing w:after="0"/>
              <w:rPr>
                <w:sz w:val="20"/>
                <w:szCs w:val="20"/>
                <w:color w:val="auto"/>
              </w:rPr>
            </w:pPr>
            <w:r>
              <w:rPr>
                <w:rFonts w:ascii="Arial" w:cs="Arial" w:eastAsia="Arial" w:hAnsi="Arial"/>
                <w:sz w:val="18"/>
                <w:szCs w:val="18"/>
                <w:color w:val="auto"/>
              </w:rPr>
              <w:t>Reinstatement</w:t>
            </w:r>
          </w:p>
        </w:tc>
        <w:tc>
          <w:tcPr>
            <w:tcW w:w="16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9620" w:type="dxa"/>
            <w:vAlign w:val="bottom"/>
            <w:gridSpan w:val="2"/>
          </w:tcPr>
          <w:p>
            <w:pPr>
              <w:spacing w:after="0"/>
              <w:rPr>
                <w:sz w:val="20"/>
                <w:szCs w:val="20"/>
                <w:color w:val="auto"/>
              </w:rPr>
            </w:pPr>
            <w:r>
              <w:rPr>
                <w:rFonts w:ascii="Arial" w:cs="Arial" w:eastAsia="Arial" w:hAnsi="Arial"/>
                <w:sz w:val="18"/>
                <w:szCs w:val="18"/>
                <w:color w:val="auto"/>
              </w:rPr>
              <w:t>Section 13.07  Repayment to Company</w:t>
            </w:r>
          </w:p>
        </w:tc>
        <w:tc>
          <w:tcPr>
            <w:tcW w:w="16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702"/>
        </w:trPr>
        <w:tc>
          <w:tcPr>
            <w:tcW w:w="106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260" w:type="dxa"/>
            <w:vAlign w:val="bottom"/>
          </w:tcPr>
          <w:p>
            <w:pPr>
              <w:jc w:val="center"/>
              <w:ind w:left="790"/>
              <w:spacing w:after="0"/>
              <w:rPr>
                <w:sz w:val="20"/>
                <w:szCs w:val="20"/>
                <w:color w:val="auto"/>
              </w:rPr>
            </w:pPr>
            <w:r>
              <w:rPr>
                <w:rFonts w:ascii="Arial" w:cs="Arial" w:eastAsia="Arial" w:hAnsi="Arial"/>
                <w:sz w:val="18"/>
                <w:szCs w:val="18"/>
                <w:color w:val="202020"/>
                <w:w w:val="92"/>
              </w:rPr>
              <w:t>Article Fourteen</w:t>
            </w:r>
          </w:p>
        </w:tc>
        <w:tc>
          <w:tcPr>
            <w:tcW w:w="192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8260" w:type="dxa"/>
            <w:vAlign w:val="bottom"/>
          </w:tcPr>
          <w:p>
            <w:pPr>
              <w:jc w:val="center"/>
              <w:ind w:left="790"/>
              <w:spacing w:after="0"/>
              <w:rPr>
                <w:sz w:val="20"/>
                <w:szCs w:val="20"/>
                <w:color w:val="auto"/>
              </w:rPr>
            </w:pPr>
            <w:r>
              <w:rPr>
                <w:rFonts w:ascii="Arial" w:cs="Arial" w:eastAsia="Arial" w:hAnsi="Arial"/>
                <w:sz w:val="18"/>
                <w:szCs w:val="18"/>
                <w:color w:val="202020"/>
                <w:w w:val="91"/>
              </w:rPr>
              <w:t>Intercreditor Agreement and Collateral Trust Agreement</w:t>
            </w:r>
          </w:p>
        </w:tc>
        <w:tc>
          <w:tcPr>
            <w:tcW w:w="192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w w:val="94"/>
              </w:rPr>
              <w:t>Section 14.01</w:t>
            </w:r>
          </w:p>
        </w:tc>
        <w:tc>
          <w:tcPr>
            <w:tcW w:w="8260" w:type="dxa"/>
            <w:vAlign w:val="bottom"/>
          </w:tcPr>
          <w:p>
            <w:pPr>
              <w:ind w:left="80"/>
              <w:spacing w:after="0"/>
              <w:rPr>
                <w:sz w:val="20"/>
                <w:szCs w:val="20"/>
                <w:color w:val="auto"/>
              </w:rPr>
            </w:pPr>
            <w:r>
              <w:rPr>
                <w:rFonts w:ascii="Arial" w:cs="Arial" w:eastAsia="Arial" w:hAnsi="Arial"/>
                <w:sz w:val="18"/>
                <w:szCs w:val="18"/>
                <w:color w:val="auto"/>
              </w:rPr>
              <w:t>Intercreditor Agreement</w:t>
            </w:r>
          </w:p>
        </w:tc>
        <w:tc>
          <w:tcPr>
            <w:tcW w:w="19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9320" w:type="dxa"/>
            <w:vAlign w:val="bottom"/>
            <w:gridSpan w:val="2"/>
          </w:tcPr>
          <w:p>
            <w:pPr>
              <w:spacing w:after="0"/>
              <w:rPr>
                <w:sz w:val="20"/>
                <w:szCs w:val="20"/>
                <w:color w:val="auto"/>
              </w:rPr>
            </w:pPr>
            <w:r>
              <w:rPr>
                <w:rFonts w:ascii="Arial" w:cs="Arial" w:eastAsia="Arial" w:hAnsi="Arial"/>
                <w:sz w:val="18"/>
                <w:szCs w:val="18"/>
                <w:color w:val="auto"/>
              </w:rPr>
              <w:t>Section 14.02  Collateral Trust Agreement</w:t>
            </w:r>
          </w:p>
        </w:tc>
        <w:tc>
          <w:tcPr>
            <w:tcW w:w="19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432"/>
        </w:trPr>
        <w:tc>
          <w:tcPr>
            <w:tcW w:w="1060" w:type="dxa"/>
            <w:vAlign w:val="bottom"/>
          </w:tcPr>
          <w:p>
            <w:pPr>
              <w:spacing w:after="0"/>
              <w:rPr>
                <w:sz w:val="24"/>
                <w:szCs w:val="24"/>
                <w:color w:val="auto"/>
              </w:rPr>
            </w:pPr>
          </w:p>
        </w:tc>
        <w:tc>
          <w:tcPr>
            <w:tcW w:w="8260" w:type="dxa"/>
            <w:vAlign w:val="bottom"/>
          </w:tcPr>
          <w:p>
            <w:pPr>
              <w:jc w:val="center"/>
              <w:ind w:left="790"/>
              <w:spacing w:after="0"/>
              <w:rPr>
                <w:sz w:val="20"/>
                <w:szCs w:val="20"/>
                <w:color w:val="auto"/>
              </w:rPr>
            </w:pPr>
            <w:r>
              <w:rPr>
                <w:rFonts w:ascii="Arial" w:cs="Arial" w:eastAsia="Arial" w:hAnsi="Arial"/>
                <w:sz w:val="18"/>
                <w:szCs w:val="18"/>
                <w:color w:val="202020"/>
                <w:w w:val="96"/>
              </w:rPr>
              <w:t>Article Fifteen</w:t>
            </w:r>
          </w:p>
        </w:tc>
        <w:tc>
          <w:tcPr>
            <w:tcW w:w="19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260" w:type="dxa"/>
            <w:vAlign w:val="bottom"/>
          </w:tcPr>
          <w:p>
            <w:pPr>
              <w:jc w:val="center"/>
              <w:ind w:left="770"/>
              <w:spacing w:after="0"/>
              <w:rPr>
                <w:sz w:val="20"/>
                <w:szCs w:val="20"/>
                <w:color w:val="auto"/>
              </w:rPr>
            </w:pPr>
            <w:r>
              <w:rPr>
                <w:rFonts w:ascii="Arial" w:cs="Arial" w:eastAsia="Arial" w:hAnsi="Arial"/>
                <w:sz w:val="18"/>
                <w:szCs w:val="18"/>
                <w:color w:val="202020"/>
                <w:w w:val="94"/>
              </w:rPr>
              <w:t>Collateral</w:t>
            </w:r>
          </w:p>
        </w:tc>
        <w:tc>
          <w:tcPr>
            <w:tcW w:w="192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w w:val="94"/>
              </w:rPr>
              <w:t>Section 15.01</w:t>
            </w:r>
          </w:p>
        </w:tc>
        <w:tc>
          <w:tcPr>
            <w:tcW w:w="8260" w:type="dxa"/>
            <w:vAlign w:val="bottom"/>
          </w:tcPr>
          <w:p>
            <w:pPr>
              <w:ind w:left="80"/>
              <w:spacing w:after="0"/>
              <w:rPr>
                <w:sz w:val="20"/>
                <w:szCs w:val="20"/>
                <w:color w:val="auto"/>
              </w:rPr>
            </w:pPr>
            <w:r>
              <w:rPr>
                <w:rFonts w:ascii="Arial" w:cs="Arial" w:eastAsia="Arial" w:hAnsi="Arial"/>
                <w:sz w:val="18"/>
                <w:szCs w:val="18"/>
                <w:color w:val="auto"/>
              </w:rPr>
              <w:t>Security Documents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15.02</w:t>
            </w:r>
          </w:p>
        </w:tc>
        <w:tc>
          <w:tcPr>
            <w:tcW w:w="8260" w:type="dxa"/>
            <w:vAlign w:val="bottom"/>
          </w:tcPr>
          <w:p>
            <w:pPr>
              <w:ind w:left="80"/>
              <w:spacing w:after="0"/>
              <w:rPr>
                <w:sz w:val="20"/>
                <w:szCs w:val="20"/>
                <w:color w:val="auto"/>
              </w:rPr>
            </w:pPr>
            <w:r>
              <w:rPr>
                <w:rFonts w:ascii="Arial" w:cs="Arial" w:eastAsia="Arial" w:hAnsi="Arial"/>
                <w:sz w:val="18"/>
                <w:szCs w:val="18"/>
                <w:color w:val="auto"/>
              </w:rPr>
              <w:t>Collateral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Section 15.03  Authorization of Actions to Be Taken</w:t>
            </w:r>
          </w:p>
        </w:tc>
        <w:tc>
          <w:tcPr>
            <w:tcW w:w="19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Section 15.04  Release of Collateral</w:t>
            </w:r>
          </w:p>
        </w:tc>
        <w:tc>
          <w:tcPr>
            <w:tcW w:w="19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15.05</w:t>
            </w:r>
          </w:p>
        </w:tc>
        <w:tc>
          <w:tcPr>
            <w:tcW w:w="8260" w:type="dxa"/>
            <w:vAlign w:val="bottom"/>
          </w:tcPr>
          <w:p>
            <w:pPr>
              <w:ind w:left="80"/>
              <w:spacing w:after="0"/>
              <w:rPr>
                <w:sz w:val="20"/>
                <w:szCs w:val="20"/>
                <w:color w:val="auto"/>
              </w:rPr>
            </w:pPr>
            <w:r>
              <w:rPr>
                <w:rFonts w:ascii="Arial" w:cs="Arial" w:eastAsia="Arial" w:hAnsi="Arial"/>
                <w:sz w:val="18"/>
                <w:szCs w:val="18"/>
                <w:color w:val="auto"/>
              </w:rPr>
              <w:t>[Reserved]</w:t>
            </w:r>
          </w:p>
        </w:tc>
        <w:tc>
          <w:tcPr>
            <w:tcW w:w="19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Section 15.06  Powers Exercisable by Receiver or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15.07</w:t>
            </w:r>
          </w:p>
        </w:tc>
        <w:tc>
          <w:tcPr>
            <w:tcW w:w="8260" w:type="dxa"/>
            <w:vAlign w:val="bottom"/>
          </w:tcPr>
          <w:p>
            <w:pPr>
              <w:ind w:left="80"/>
              <w:spacing w:after="0"/>
              <w:rPr>
                <w:sz w:val="20"/>
                <w:szCs w:val="20"/>
                <w:color w:val="auto"/>
              </w:rPr>
            </w:pPr>
            <w:r>
              <w:rPr>
                <w:rFonts w:ascii="Arial" w:cs="Arial" w:eastAsia="Arial" w:hAnsi="Arial"/>
                <w:sz w:val="18"/>
                <w:szCs w:val="18"/>
                <w:color w:val="auto"/>
              </w:rPr>
              <w:t>Voting</w:t>
            </w:r>
          </w:p>
        </w:tc>
        <w:tc>
          <w:tcPr>
            <w:tcW w:w="19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4"/>
              </w:rPr>
              <w:t>Section 15.08</w:t>
            </w:r>
          </w:p>
        </w:tc>
        <w:tc>
          <w:tcPr>
            <w:tcW w:w="8260" w:type="dxa"/>
            <w:vAlign w:val="bottom"/>
          </w:tcPr>
          <w:p>
            <w:pPr>
              <w:ind w:left="80"/>
              <w:spacing w:after="0"/>
              <w:rPr>
                <w:sz w:val="20"/>
                <w:szCs w:val="20"/>
                <w:color w:val="auto"/>
              </w:rPr>
            </w:pPr>
            <w:r>
              <w:rPr>
                <w:rFonts w:ascii="Arial" w:cs="Arial" w:eastAsia="Arial" w:hAnsi="Arial"/>
                <w:sz w:val="18"/>
                <w:szCs w:val="18"/>
                <w:color w:val="auto"/>
              </w:rPr>
              <w:t>Post-Closing Collateral</w:t>
            </w:r>
          </w:p>
        </w:tc>
        <w:tc>
          <w:tcPr>
            <w:tcW w:w="192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APPENDIX &amp;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C1C1C"/>
        </w:rPr>
        <w:t>Rule 144A / Regulation S Appendix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D1D1D"/>
        </w:rPr>
        <w:t>EXHIBIT 1 to Rule 144A / Regulation S Appendix—Form of Initial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1D1D"/>
        </w:rPr>
        <w:t xml:space="preserve">EXHIBIT 2 to Rule 144A / Regulation S Appendix—Form of Transferee Letter of </w:t>
      </w:r>
      <w:r>
        <w:rPr>
          <w:rFonts w:ascii="Arial" w:cs="Arial" w:eastAsia="Arial" w:hAnsi="Arial"/>
          <w:sz w:val="18"/>
          <w:szCs w:val="18"/>
          <w:color w:val="191919"/>
        </w:rPr>
        <w:t>Representation</w:t>
      </w:r>
    </w:p>
    <w:p>
      <w:pPr>
        <w:spacing w:after="0" w:line="9"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1D1D1D"/>
        </w:rPr>
        <w:t xml:space="preserve">EXHIBIT 3 to Rule 144A/Regulation S Appendix—Form of Non-U.S. Beneficial Ownership Certification by Euroclear or Clearstream Luxembourg </w:t>
      </w:r>
      <w:r>
        <w:rPr>
          <w:rFonts w:ascii="Arial" w:cs="Arial" w:eastAsia="Arial" w:hAnsi="Arial"/>
          <w:sz w:val="18"/>
          <w:szCs w:val="18"/>
          <w:color w:val="1F1F1F"/>
        </w:rPr>
        <w:t>EXHIBIT A—Form of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p>
      <w:pPr>
        <w:jc w:val="both"/>
        <w:ind w:right="20" w:firstLine="648"/>
        <w:spacing w:after="0" w:line="263" w:lineRule="auto"/>
        <w:rPr>
          <w:sz w:val="20"/>
          <w:szCs w:val="20"/>
          <w:color w:val="auto"/>
        </w:rPr>
      </w:pPr>
      <w:r>
        <w:rPr>
          <w:rFonts w:ascii="Arial" w:cs="Arial" w:eastAsia="Arial" w:hAnsi="Arial"/>
          <w:sz w:val="18"/>
          <w:szCs w:val="18"/>
          <w:color w:val="auto"/>
        </w:rPr>
        <w:t>INDENTURE dated as of July 8, 2020 (this “</w:t>
      </w:r>
      <w:r>
        <w:rPr>
          <w:rFonts w:ascii="Arial" w:cs="Arial" w:eastAsia="Arial" w:hAnsi="Arial"/>
          <w:sz w:val="18"/>
          <w:szCs w:val="18"/>
          <w:i w:val="1"/>
          <w:iCs w:val="1"/>
          <w:color w:val="auto"/>
        </w:rPr>
        <w:t>Indenture</w:t>
      </w:r>
      <w:r>
        <w:rPr>
          <w:rFonts w:ascii="Arial" w:cs="Arial" w:eastAsia="Arial" w:hAnsi="Arial"/>
          <w:sz w:val="18"/>
          <w:szCs w:val="18"/>
          <w:color w:val="auto"/>
        </w:rPr>
        <w:t>”), among WINNEBAGO INDUSTRIES, INC., an Iowa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named in Schedule I hereto (the “</w:t>
      </w:r>
      <w:r>
        <w:rPr>
          <w:rFonts w:ascii="Arial" w:cs="Arial" w:eastAsia="Arial" w:hAnsi="Arial"/>
          <w:sz w:val="18"/>
          <w:szCs w:val="18"/>
          <w:i w:val="1"/>
          <w:iCs w:val="1"/>
          <w:color w:val="auto"/>
        </w:rPr>
        <w:t>Guarantors</w:t>
      </w:r>
      <w:r>
        <w:rPr>
          <w:rFonts w:ascii="Arial" w:cs="Arial" w:eastAsia="Arial" w:hAnsi="Arial"/>
          <w:sz w:val="18"/>
          <w:szCs w:val="18"/>
          <w:color w:val="auto"/>
        </w:rPr>
        <w:t>”), and U.S. BANK NATIONAL ASSOCIATION, as Trustee (in such capacity, the “</w:t>
      </w:r>
      <w:r>
        <w:rPr>
          <w:rFonts w:ascii="Arial" w:cs="Arial" w:eastAsia="Arial" w:hAnsi="Arial"/>
          <w:sz w:val="18"/>
          <w:szCs w:val="18"/>
          <w:i w:val="1"/>
          <w:iCs w:val="1"/>
          <w:color w:val="auto"/>
        </w:rPr>
        <w:t>Trustee</w:t>
      </w:r>
      <w:r>
        <w:rPr>
          <w:rFonts w:ascii="Arial" w:cs="Arial" w:eastAsia="Arial" w:hAnsi="Arial"/>
          <w:sz w:val="18"/>
          <w:szCs w:val="18"/>
          <w:color w:val="auto"/>
        </w:rPr>
        <w:t>”) and as Collateral Trustee (in such capacity, the “</w:t>
      </w:r>
      <w:r>
        <w:rPr>
          <w:rFonts w:ascii="Arial" w:cs="Arial" w:eastAsia="Arial" w:hAnsi="Arial"/>
          <w:sz w:val="18"/>
          <w:szCs w:val="18"/>
          <w:i w:val="1"/>
          <w:iCs w:val="1"/>
          <w:color w:val="auto"/>
        </w:rPr>
        <w:t>Collateral Trustee</w:t>
      </w:r>
      <w:r>
        <w:rPr>
          <w:rFonts w:ascii="Arial" w:cs="Arial" w:eastAsia="Arial" w:hAnsi="Arial"/>
          <w:sz w:val="18"/>
          <w:szCs w:val="18"/>
          <w:color w:val="auto"/>
        </w:rPr>
        <w: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Company has duly authorized the creation of an issue of 6.250% Senior Secured Notes Due 2028 issued on the date hereof (the “</w:t>
      </w:r>
      <w:r>
        <w:rPr>
          <w:rFonts w:ascii="Arial" w:cs="Arial" w:eastAsia="Arial" w:hAnsi="Arial"/>
          <w:sz w:val="17"/>
          <w:szCs w:val="17"/>
          <w:i w:val="1"/>
          <w:iCs w:val="1"/>
          <w:color w:val="auto"/>
        </w:rPr>
        <w:t>Initial</w:t>
      </w:r>
      <w:r>
        <w:rPr>
          <w:rFonts w:ascii="Arial" w:cs="Arial" w:eastAsia="Arial" w:hAnsi="Arial"/>
          <w:sz w:val="17"/>
          <w:szCs w:val="17"/>
          <w:color w:val="auto"/>
        </w:rPr>
        <w:t xml:space="preserve"> </w:t>
      </w:r>
      <w:r>
        <w:rPr>
          <w:rFonts w:ascii="Arial" w:cs="Arial" w:eastAsia="Arial" w:hAnsi="Arial"/>
          <w:sz w:val="17"/>
          <w:szCs w:val="17"/>
          <w:i w:val="1"/>
          <w:iCs w:val="1"/>
          <w:color w:val="auto"/>
        </w:rPr>
        <w:t>Notes</w:t>
      </w:r>
      <w:r>
        <w:rPr>
          <w:rFonts w:ascii="Arial" w:cs="Arial" w:eastAsia="Arial" w:hAnsi="Arial"/>
          <w:sz w:val="17"/>
          <w:szCs w:val="17"/>
          <w:color w:val="auto"/>
        </w:rPr>
        <w:t>”), and to provide therefor the Company and each Guarantor have duly authorized the execution and delivery of this Indenture.</w:t>
      </w:r>
    </w:p>
    <w:p>
      <w:pPr>
        <w:spacing w:after="0" w:line="14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Each Guarantor has duly authorized its Guarantee of the Initial Notes and to provide therefor each Guarantor has duly authorized the execution and delivery of this Indenture.</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All things necessary have been done to make the Notes, when executed by the Company and authenticated and delivered hereunder and duly issued by the Company, the valid and legally binding obligations of the Company and to make this Indenture a valid and legally binding agreement of the Company, in accordance with their and its terms.</w:t>
      </w:r>
    </w:p>
    <w:p>
      <w:pPr>
        <w:spacing w:after="0" w:line="184"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All things necessary have been done to make each Guarantee, upon execution and delivery of this Indenture, the valid obligations of each Guarantor and to make this Indenture a valid and legally binding agreement of each Guarantor, in accordance with their and its terms.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covenanted and agreed, for the equal and ratable benefit of all Holders, as follows: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Rules of Construction and Incorporation by Reference of Trust Indenture Act</w:t>
      </w:r>
      <w:r>
        <w:rPr>
          <w:rFonts w:ascii="Arial" w:cs="Arial" w:eastAsia="Arial" w:hAnsi="Arial"/>
          <w:sz w:val="18"/>
          <w:szCs w:val="18"/>
          <w:color w:val="auto"/>
        </w:rPr>
        <w:t>. For all purposes of this Indenture, except as otherwise expressly provided or unless the context otherwise requires:</w:t>
      </w:r>
    </w:p>
    <w:p>
      <w:pPr>
        <w:spacing w:after="0" w:line="170" w:lineRule="exact"/>
        <w:rPr>
          <w:sz w:val="20"/>
          <w:szCs w:val="20"/>
          <w:color w:val="auto"/>
        </w:rPr>
      </w:pPr>
    </w:p>
    <w:p>
      <w:pPr>
        <w:ind w:firstLine="656"/>
        <w:spacing w:after="0" w:line="277" w:lineRule="auto"/>
        <w:tabs>
          <w:tab w:leader="none" w:pos="130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terms defined in this Article One have the meanings assigned to them in this Article One, and words in the singular include the plural and words in the plural include the singular;</w:t>
      </w:r>
    </w:p>
    <w:p>
      <w:pPr>
        <w:spacing w:after="0" w:line="170" w:lineRule="exact"/>
        <w:rPr>
          <w:rFonts w:ascii="Arial" w:cs="Arial" w:eastAsia="Arial" w:hAnsi="Arial"/>
          <w:sz w:val="18"/>
          <w:szCs w:val="18"/>
          <w:color w:val="auto"/>
        </w:rPr>
      </w:pPr>
    </w:p>
    <w:p>
      <w:pPr>
        <w:ind w:right="280" w:firstLine="656"/>
        <w:spacing w:after="0" w:line="308" w:lineRule="auto"/>
        <w:tabs>
          <w:tab w:leader="none" w:pos="1307"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all accounting terms not otherwise defined herein have the meanings assigned to them in accordance with GAAP (as herein defined);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for clarity purposes, determination of whether an action is for speculative purposes is not an accounting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1" w:name="page12"/>
    <w:bookmarkEnd w:id="11"/>
    <w:p>
      <w:pPr>
        <w:ind w:right="20" w:firstLine="656"/>
        <w:spacing w:after="0" w:line="277" w:lineRule="auto"/>
        <w:tabs>
          <w:tab w:leader="none" w:pos="1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rFonts w:ascii="Arial" w:cs="Arial" w:eastAsia="Arial" w:hAnsi="Arial"/>
          <w:sz w:val="18"/>
          <w:szCs w:val="18"/>
          <w:color w:val="auto"/>
        </w:rPr>
      </w:pPr>
    </w:p>
    <w:p>
      <w:pPr>
        <w:ind w:right="400" w:firstLine="656"/>
        <w:spacing w:after="0" w:line="277" w:lineRule="auto"/>
        <w:tabs>
          <w:tab w:leader="none" w:pos="1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references to Articles, Sections, Exhibits and Appendices shall be construed to refer to Articles and Sections of, and Exhibits and Appendices to, this Indenture;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references to the date the Notes were originally issued shall refer to the Issue Date;</w:t>
      </w:r>
    </w:p>
    <w:p>
      <w:pPr>
        <w:spacing w:after="0" w:line="225" w:lineRule="exact"/>
        <w:rPr>
          <w:rFonts w:ascii="Arial" w:cs="Arial" w:eastAsia="Arial" w:hAnsi="Arial"/>
          <w:sz w:val="18"/>
          <w:szCs w:val="18"/>
          <w:color w:val="auto"/>
        </w:rPr>
      </w:pPr>
    </w:p>
    <w:p>
      <w:pPr>
        <w:ind w:right="360" w:firstLine="656"/>
        <w:spacing w:after="0" w:line="277" w:lineRule="auto"/>
        <w:tabs>
          <w:tab w:leader="none" w:pos="1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phrase “in writing” as used herein shall be deemed to include .pdf attachments and other electronic means of transmission, unless otherwise indicated; and</w:t>
      </w:r>
    </w:p>
    <w:p>
      <w:pPr>
        <w:spacing w:after="0" w:line="170" w:lineRule="exact"/>
        <w:rPr>
          <w:rFonts w:ascii="Arial" w:cs="Arial" w:eastAsia="Arial" w:hAnsi="Arial"/>
          <w:sz w:val="18"/>
          <w:szCs w:val="18"/>
          <w:color w:val="auto"/>
        </w:rPr>
      </w:pPr>
    </w:p>
    <w:p>
      <w:pPr>
        <w:ind w:right="440" w:firstLine="656"/>
        <w:spacing w:after="0" w:line="277" w:lineRule="auto"/>
        <w:tabs>
          <w:tab w:leader="none" w:pos="1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 “all or substantially all” of the assets of the Company and its Subsidiaries, taken as a whole, shall not be deemed to refer to “any” assets of the Company as a result of the Company or a Subsidiary being in the “zone of insolvency.”</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Indenture is not subject to the mandatory provisions of the TIA (as herein defined) which are not incorporated by reference in or made a part of this Indenture unless specifically provided herein.</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Administrative Agent</w:t>
      </w:r>
      <w:r>
        <w:rPr>
          <w:rFonts w:ascii="Arial" w:cs="Arial" w:eastAsia="Arial" w:hAnsi="Arial"/>
          <w:sz w:val="18"/>
          <w:szCs w:val="18"/>
          <w:color w:val="auto"/>
        </w:rPr>
        <w:t>” means JPMorgan Chase Bank, N.A., as administrative agent under the ABL Facility, or if there is no ABL Facility, the “ABL Administrative Agent” designated pursuant to the terms of the Permitted ABL Debt.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Collateral Agent</w:t>
      </w:r>
      <w:r>
        <w:rPr>
          <w:rFonts w:ascii="Arial" w:cs="Arial" w:eastAsia="Arial" w:hAnsi="Arial"/>
          <w:sz w:val="18"/>
          <w:szCs w:val="18"/>
          <w:color w:val="auto"/>
        </w:rPr>
        <w:t>” means JPMorgan Chase Bank, N.A., as collateral agent under the ABL Collateral Documents, or any successor collateral agent under any Permitted ABL Debt.</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Collateral Documents</w:t>
      </w:r>
      <w:r>
        <w:rPr>
          <w:rFonts w:ascii="Arial" w:cs="Arial" w:eastAsia="Arial" w:hAnsi="Arial"/>
          <w:sz w:val="18"/>
          <w:szCs w:val="18"/>
          <w:color w:val="auto"/>
        </w:rPr>
        <w:t>” means, collectively, the Intercreditor Agreement, the security agreements, pledge agreements, mortgages, collateral assignments, deeds of trust and all other pledges, agreements, financing statements, patent, trademark or copyright filings, mortgages or other filings or documents that create or purport to create a Lien on the Collateral in favor of the ABL Administrative Agent for the benefit of ABL Secured Parties, in each case as they may be amended from time to time, and any instruments of assignment, control agreements, lockbox letters or other instruments or agreements executed pursuant to the foregoing.</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Facility</w:t>
      </w:r>
      <w:r>
        <w:rPr>
          <w:rFonts w:ascii="Arial" w:cs="Arial" w:eastAsia="Arial" w:hAnsi="Arial"/>
          <w:sz w:val="18"/>
          <w:szCs w:val="18"/>
          <w:color w:val="auto"/>
        </w:rPr>
        <w:t>” means the Amended and Restated Credit Agreement, dated as of October 22, 2019, by and among the Company, Winnebago of Indiana, LLC, Grand Design RV, LLC, Newmar Corporation, the other loan parties thereto, the lenders party thereto in their capacities as lenders thereunder and the ABL Administrative Agent, including any guarantees, collateral documents, instruments and agreements executed in connection therewith, and any amendments, supplements, modifications, extensions, renewals, restatements, replacements, refundings or refinancings 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 provided that such increase in borrowings is permitted under the terms of the Intercreditor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Secured Parties</w:t>
      </w:r>
      <w:r>
        <w:rPr>
          <w:rFonts w:ascii="Arial" w:cs="Arial" w:eastAsia="Arial" w:hAnsi="Arial"/>
          <w:sz w:val="18"/>
          <w:szCs w:val="18"/>
          <w:color w:val="auto"/>
        </w:rPr>
        <w:t>” means, collectively, (a) the ABL Administrative Agent, (b) each Permitted ABL Representative, and (c) the holders of Permitted ABL Obligations, including all of the other Secured Parties (as defined in the ABL Facility).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Account(s)</w:t>
      </w:r>
      <w:r>
        <w:rPr>
          <w:rFonts w:ascii="Arial" w:cs="Arial" w:eastAsia="Arial" w:hAnsi="Arial"/>
          <w:sz w:val="16"/>
          <w:szCs w:val="16"/>
          <w:color w:val="auto"/>
        </w:rPr>
        <w:t>” has the meaning specified in the UCC, and if defined in more than one Article of the UCC, the meaning given in Article 9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right="80" w:firstLine="656"/>
        <w:spacing w:after="0" w:line="263" w:lineRule="auto"/>
        <w:tabs>
          <w:tab w:leader="none" w:pos="1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Restricted Subsidiary of such specified Person, including Indebtedness incurred in connection with, or in contemplation of, such other Person merging with or into, or becoming a Restricted Subsidiary of such specified Person; and</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jc w:val="both"/>
        <w:ind w:right="680" w:firstLine="648"/>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Indebtedness of such other Person that is extinguished, redeemed, defeased, retired or otherwise repaid at the time of or</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upon consummation of the transaction pursuant to which such other Person becomes a Subsidiary of the specified Person shall not be Acquired Indebtedness.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 of Required Debtholders”</w:t>
      </w:r>
      <w:r>
        <w:rPr>
          <w:rFonts w:ascii="Arial" w:cs="Arial" w:eastAsia="Arial" w:hAnsi="Arial"/>
          <w:sz w:val="18"/>
          <w:szCs w:val="18"/>
          <w:color w:val="auto"/>
        </w:rPr>
        <w:t xml:space="preserve"> means, as to any matter at any time,</w:t>
      </w:r>
    </w:p>
    <w:p>
      <w:pPr>
        <w:spacing w:after="0" w:line="225" w:lineRule="exact"/>
        <w:rPr>
          <w:sz w:val="20"/>
          <w:szCs w:val="20"/>
          <w:color w:val="auto"/>
        </w:rPr>
      </w:pPr>
    </w:p>
    <w:p>
      <w:pPr>
        <w:ind w:firstLine="656"/>
        <w:spacing w:after="0" w:line="263"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to the Discharge of Priority Lien Notes Obligations, a direction in writing delivered to the Collateral Trustee by or with the written consent of, the holders of (or the Priority Lien Representatives representing the holders of) Priority Lien Notes Debt representing the Required Priority Lien Debtholders; and</w:t>
      </w:r>
    </w:p>
    <w:p>
      <w:pPr>
        <w:spacing w:after="0" w:line="183" w:lineRule="exact"/>
        <w:rPr>
          <w:rFonts w:ascii="Arial" w:cs="Arial" w:eastAsia="Arial" w:hAnsi="Arial"/>
          <w:sz w:val="18"/>
          <w:szCs w:val="18"/>
          <w:color w:val="auto"/>
        </w:rPr>
      </w:pPr>
    </w:p>
    <w:p>
      <w:pPr>
        <w:ind w:right="220" w:firstLine="656"/>
        <w:spacing w:after="0" w:line="263"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any time after the Discharge of Priority Lien Notes Obligations, a direction in writing delivered to the Collateral Trustee by or with the written consent of the holders of (or the Parity Lien Representatives representing the holders of) Parity Lien Notes Debt representing the Required Parity Lien Debtholders.</w:t>
      </w:r>
    </w:p>
    <w:p>
      <w:pPr>
        <w:spacing w:after="0" w:line="184"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For purposes of this definition, (a) Priority Lien Notes Debt or Parity Lien Notes Debt registered in the name of, or beneficially owned by, the Company or any Subsidiaries of the Company will be deemed not to be outstanding and (b) votes will be determined in accordance with the Collateral Trust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when used with respect to any Holder, has the meaning specified in Section 1.05.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means any Notes issued by the Company pursuant to Section 3.12.</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 has the meaning specified in Section 10.11(a).</w:t>
      </w:r>
    </w:p>
    <w:p>
      <w:pPr>
        <w:spacing w:after="0" w:line="225"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After-Acquired Property</w:t>
      </w:r>
      <w:r>
        <w:rPr>
          <w:rFonts w:ascii="Arial" w:cs="Arial" w:eastAsia="Arial" w:hAnsi="Arial"/>
          <w:sz w:val="16"/>
          <w:szCs w:val="16"/>
          <w:color w:val="auto"/>
        </w:rPr>
        <w:t>” means any and all assets or property (other than Excluded Assets) acquired after the Issue Date, including any property or assets acquired by the Company or a Guarantor from another Guarantor or, in the case of a Guarantor, from the Company, which in each case constitutes Collateral or would have constituted Collateral had such assets or property been owned by the Company or Guarantor on the Issue Date.</w:t>
      </w:r>
    </w:p>
    <w:p>
      <w:pPr>
        <w:spacing w:after="0" w:line="14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Pledge Percentage</w:t>
      </w:r>
      <w:r>
        <w:rPr>
          <w:rFonts w:ascii="Arial" w:cs="Arial" w:eastAsia="Arial" w:hAnsi="Arial"/>
          <w:sz w:val="18"/>
          <w:szCs w:val="18"/>
          <w:color w:val="auto"/>
        </w:rPr>
        <w:t>” means (a) in the case of a pledge by the Company or any Subsidiary of its voting Equity Interests in an Excluded Domestic Subsidiary or an Excluded Foreign Subsidiary, 65%, and (b) in all other cases, 100%.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Payments</w:t>
      </w:r>
      <w:r>
        <w:rPr>
          <w:rFonts w:ascii="Arial" w:cs="Arial" w:eastAsia="Arial" w:hAnsi="Arial"/>
          <w:sz w:val="18"/>
          <w:szCs w:val="18"/>
          <w:color w:val="auto"/>
        </w:rPr>
        <w:t>” has the meaning specified in Section 12.05.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Appendix</w:t>
      </w:r>
      <w:r>
        <w:rPr>
          <w:rFonts w:ascii="Arial" w:cs="Arial" w:eastAsia="Arial" w:hAnsi="Arial"/>
          <w:sz w:val="18"/>
          <w:szCs w:val="18"/>
          <w:color w:val="auto"/>
        </w:rPr>
        <w:t>” has the meaning specified in Section 2.01.</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Premium</w:t>
      </w:r>
      <w:r>
        <w:rPr>
          <w:rFonts w:ascii="Arial" w:cs="Arial" w:eastAsia="Arial" w:hAnsi="Arial"/>
          <w:sz w:val="17"/>
          <w:szCs w:val="17"/>
          <w:color w:val="auto"/>
        </w:rPr>
        <w:t xml:space="preserve">” means, with respect to a Note at any Redemption Date (or date of deposit), the greater of (i) 1.0% of the principal amount of such Note and (ii) the excess of (A) the present value at such Redemption Date (or date of deposit) of (1) the Redemption Price of such Note on July 15, 2023 (such Redemption Price being that set forth in the table set forth in Section 11.01(b)), plus (2) all required remaining scheduled interest payments (calculated based on the cash interest rate payable on the Notes) due on such Note through such date (excluding accrued but unpaid interest to the Redemption Date), computed using a discount rate equal to the Treasury Rate plus 50 basis points, over (B) the principal amount of such Note on such Redemption Date (or date of deposit), as calculated by the Company or on behalf of the Company by such Person as the Company shall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calculation shall not be a duty or obligation of the Trustee.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ind w:right="100" w:firstLine="656"/>
        <w:spacing w:after="0" w:line="342" w:lineRule="auto"/>
        <w:tabs>
          <w:tab w:leader="none" w:pos="130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sale, conveyance, transfer or other disposition, whether in a single transaction or a series of related transactions, of property or assets outside the ordinary course of business of the Company or any Restricted Subsidiary (each referred to in this definition as a “disposition”); and</w:t>
      </w:r>
    </w:p>
    <w:p>
      <w:pPr>
        <w:spacing w:after="0" w:line="123" w:lineRule="exact"/>
        <w:rPr>
          <w:rFonts w:ascii="Arial" w:cs="Arial" w:eastAsia="Arial" w:hAnsi="Arial"/>
          <w:sz w:val="16"/>
          <w:szCs w:val="16"/>
          <w:color w:val="auto"/>
        </w:rPr>
      </w:pPr>
    </w:p>
    <w:p>
      <w:pPr>
        <w:ind w:left="660" w:right="340" w:hanging="4"/>
        <w:spacing w:after="0" w:line="500" w:lineRule="auto"/>
        <w:tabs>
          <w:tab w:leader="none" w:pos="1319" w:val="left"/>
        </w:tabs>
        <w:numPr>
          <w:ilvl w:val="0"/>
          <w:numId w:val="6"/>
        </w:numPr>
        <w:rPr>
          <w:rFonts w:ascii="Arial" w:cs="Arial" w:eastAsia="Arial" w:hAnsi="Arial"/>
          <w:sz w:val="18"/>
          <w:szCs w:val="18"/>
          <w:color w:val="121212"/>
        </w:rPr>
      </w:pPr>
      <w:r>
        <w:rPr>
          <w:rFonts w:ascii="Arial" w:cs="Arial" w:eastAsia="Arial" w:hAnsi="Arial"/>
          <w:sz w:val="18"/>
          <w:szCs w:val="18"/>
          <w:color w:val="121212"/>
        </w:rPr>
        <w:t xml:space="preserve">the issuance or sale of Equity Interests of any Restricted Subsidiary, whether in a single transaction or a series of related transactions. </w:t>
      </w:r>
      <w:r>
        <w:rPr>
          <w:rFonts w:ascii="Arial" w:cs="Arial" w:eastAsia="Arial" w:hAnsi="Arial"/>
          <w:sz w:val="18"/>
          <w:szCs w:val="18"/>
          <w:color w:val="000000"/>
        </w:rPr>
        <w:t>Notwithstanding the preceding, none of the following items will be deemed to be an Asset Sale:</w:t>
      </w:r>
    </w:p>
    <w:p>
      <w:pPr>
        <w:spacing w:after="0" w:line="2" w:lineRule="exact"/>
        <w:rPr>
          <w:sz w:val="20"/>
          <w:szCs w:val="20"/>
          <w:color w:val="auto"/>
        </w:rPr>
      </w:pPr>
    </w:p>
    <w:p>
      <w:pPr>
        <w:ind w:right="180" w:firstLine="656"/>
        <w:spacing w:after="0" w:line="311" w:lineRule="auto"/>
        <w:tabs>
          <w:tab w:leader="none" w:pos="1297" w:val="left"/>
        </w:tabs>
        <w:numPr>
          <w:ilvl w:val="0"/>
          <w:numId w:val="7"/>
        </w:numPr>
        <w:rPr>
          <w:rFonts w:ascii="Arial" w:cs="Arial" w:eastAsia="Arial" w:hAnsi="Arial"/>
          <w:sz w:val="16"/>
          <w:szCs w:val="16"/>
          <w:color w:val="121212"/>
        </w:rPr>
      </w:pPr>
      <w:r>
        <w:rPr>
          <w:rFonts w:ascii="Arial" w:cs="Arial" w:eastAsia="Arial" w:hAnsi="Arial"/>
          <w:sz w:val="16"/>
          <w:szCs w:val="16"/>
          <w:color w:val="auto"/>
        </w:rPr>
        <w:t>a disposition of cash, Cash Equivalents or Investment Grade Securities or excess, damaged, obsolete, used, surplus, fully depreciated or worn out property or assets in the ordinary course of business or any sale or disposition of property or assets in connection with scheduled turnarounds, maintenance and equipment and facility updates or any disposition of inventory or goods held for sale in the ordinary course of business;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40" w:right="120" w:firstLine="656"/>
        <w:spacing w:after="0" w:line="277" w:lineRule="auto"/>
        <w:tabs>
          <w:tab w:leader="none" w:pos="1267" w:val="left"/>
        </w:tabs>
        <w:numPr>
          <w:ilvl w:val="0"/>
          <w:numId w:val="8"/>
        </w:numPr>
        <w:rPr>
          <w:rFonts w:ascii="Arial" w:cs="Arial" w:eastAsia="Arial" w:hAnsi="Arial"/>
          <w:sz w:val="18"/>
          <w:szCs w:val="18"/>
          <w:color w:val="121212"/>
        </w:rPr>
      </w:pPr>
      <w:r>
        <w:rPr>
          <w:rFonts w:ascii="Arial" w:cs="Arial" w:eastAsia="Arial" w:hAnsi="Arial"/>
          <w:sz w:val="18"/>
          <w:szCs w:val="18"/>
          <w:color w:val="131313"/>
        </w:rPr>
        <w:t>the disposition of all or substantially all of the assets of the Company or any Guarantor in a manner permitted pursuant to the provisions set forth in Section 8.01 or any disposition that constitutes a Change of Control pursuant to this Indenture;</w:t>
      </w:r>
    </w:p>
    <w:p>
      <w:pPr>
        <w:spacing w:after="0" w:line="170" w:lineRule="exact"/>
        <w:rPr>
          <w:rFonts w:ascii="Arial" w:cs="Arial" w:eastAsia="Arial" w:hAnsi="Arial"/>
          <w:sz w:val="18"/>
          <w:szCs w:val="18"/>
          <w:color w:val="121212"/>
        </w:rPr>
      </w:pPr>
    </w:p>
    <w:p>
      <w:pPr>
        <w:ind w:left="1260" w:hanging="644"/>
        <w:spacing w:after="0"/>
        <w:tabs>
          <w:tab w:leader="none" w:pos="1260" w:val="left"/>
        </w:tabs>
        <w:numPr>
          <w:ilvl w:val="0"/>
          <w:numId w:val="8"/>
        </w:numPr>
        <w:rPr>
          <w:rFonts w:ascii="Arial" w:cs="Arial" w:eastAsia="Arial" w:hAnsi="Arial"/>
          <w:sz w:val="18"/>
          <w:szCs w:val="18"/>
          <w:color w:val="121212"/>
        </w:rPr>
      </w:pPr>
      <w:r>
        <w:rPr>
          <w:rFonts w:ascii="Arial" w:cs="Arial" w:eastAsia="Arial" w:hAnsi="Arial"/>
          <w:sz w:val="18"/>
          <w:szCs w:val="18"/>
          <w:color w:val="121212"/>
        </w:rPr>
        <w:t>the making of any Permitted Investment or the making of any Restricted Payment that is not prohibited by Section 10.08;</w:t>
      </w:r>
    </w:p>
    <w:p>
      <w:pPr>
        <w:spacing w:after="0" w:line="225" w:lineRule="exact"/>
        <w:rPr>
          <w:rFonts w:ascii="Arial" w:cs="Arial" w:eastAsia="Arial" w:hAnsi="Arial"/>
          <w:sz w:val="18"/>
          <w:szCs w:val="18"/>
          <w:color w:val="121212"/>
        </w:rPr>
      </w:pPr>
    </w:p>
    <w:p>
      <w:pPr>
        <w:ind w:left="-40" w:right="80" w:firstLine="656"/>
        <w:spacing w:after="0" w:line="342" w:lineRule="auto"/>
        <w:tabs>
          <w:tab w:leader="none" w:pos="1267" w:val="left"/>
        </w:tabs>
        <w:numPr>
          <w:ilvl w:val="0"/>
          <w:numId w:val="8"/>
        </w:numPr>
        <w:rPr>
          <w:rFonts w:ascii="Arial" w:cs="Arial" w:eastAsia="Arial" w:hAnsi="Arial"/>
          <w:sz w:val="16"/>
          <w:szCs w:val="16"/>
          <w:color w:val="121212"/>
        </w:rPr>
      </w:pPr>
      <w:r>
        <w:rPr>
          <w:rFonts w:ascii="Arial" w:cs="Arial" w:eastAsia="Arial" w:hAnsi="Arial"/>
          <w:sz w:val="16"/>
          <w:szCs w:val="16"/>
          <w:color w:val="121212"/>
        </w:rPr>
        <w:t>any disposition of property or other assets or issuance or sale of Equity Interests of any Restricted Subsidiary in any transaction or series of transactions with an aggregate fair market value of less than the greater of (x) $10.0 million and (y) 0.75% of the Consolidated Total Assets;</w:t>
      </w:r>
    </w:p>
    <w:p>
      <w:pPr>
        <w:spacing w:after="0" w:line="123" w:lineRule="exact"/>
        <w:rPr>
          <w:rFonts w:ascii="Arial" w:cs="Arial" w:eastAsia="Arial" w:hAnsi="Arial"/>
          <w:sz w:val="16"/>
          <w:szCs w:val="16"/>
          <w:color w:val="121212"/>
        </w:rPr>
      </w:pPr>
    </w:p>
    <w:p>
      <w:pPr>
        <w:ind w:left="-40" w:right="660" w:firstLine="656"/>
        <w:spacing w:after="0" w:line="277" w:lineRule="auto"/>
        <w:tabs>
          <w:tab w:leader="none" w:pos="1257" w:val="left"/>
        </w:tabs>
        <w:numPr>
          <w:ilvl w:val="0"/>
          <w:numId w:val="8"/>
        </w:numPr>
        <w:rPr>
          <w:rFonts w:ascii="Arial" w:cs="Arial" w:eastAsia="Arial" w:hAnsi="Arial"/>
          <w:sz w:val="18"/>
          <w:szCs w:val="18"/>
          <w:color w:val="121212"/>
        </w:rPr>
      </w:pPr>
      <w:r>
        <w:rPr>
          <w:rFonts w:ascii="Arial" w:cs="Arial" w:eastAsia="Arial" w:hAnsi="Arial"/>
          <w:sz w:val="18"/>
          <w:szCs w:val="18"/>
          <w:color w:val="121212"/>
        </w:rPr>
        <w:t xml:space="preserve">any disposition of property or assets or issuance of securities by a Restricted Subsidiary to the Company or by the Company or </w:t>
      </w:r>
      <w:r>
        <w:rPr>
          <w:rFonts w:ascii="Arial" w:cs="Arial" w:eastAsia="Arial" w:hAnsi="Arial"/>
          <w:sz w:val="18"/>
          <w:szCs w:val="18"/>
          <w:color w:val="000000"/>
        </w:rPr>
        <w:t>a</w:t>
      </w:r>
      <w:r>
        <w:rPr>
          <w:rFonts w:ascii="Arial" w:cs="Arial" w:eastAsia="Arial" w:hAnsi="Arial"/>
          <w:sz w:val="18"/>
          <w:szCs w:val="18"/>
          <w:color w:val="121212"/>
        </w:rPr>
        <w:t xml:space="preserve"> Restricted Subsidiary to a Restricted Subsidiary;</w:t>
      </w:r>
    </w:p>
    <w:p>
      <w:pPr>
        <w:spacing w:after="0" w:line="170" w:lineRule="exact"/>
        <w:rPr>
          <w:rFonts w:ascii="Arial" w:cs="Arial" w:eastAsia="Arial" w:hAnsi="Arial"/>
          <w:sz w:val="18"/>
          <w:szCs w:val="18"/>
          <w:color w:val="121212"/>
        </w:rPr>
      </w:pPr>
    </w:p>
    <w:p>
      <w:pPr>
        <w:ind w:left="-40" w:firstLine="656"/>
        <w:spacing w:after="0" w:line="259" w:lineRule="auto"/>
        <w:tabs>
          <w:tab w:leader="none" w:pos="1282" w:val="left"/>
        </w:tabs>
        <w:numPr>
          <w:ilvl w:val="0"/>
          <w:numId w:val="8"/>
        </w:numPr>
        <w:rPr>
          <w:rFonts w:ascii="Arial" w:cs="Arial" w:eastAsia="Arial" w:hAnsi="Arial"/>
          <w:sz w:val="18"/>
          <w:szCs w:val="18"/>
          <w:color w:val="121212"/>
        </w:rPr>
      </w:pPr>
      <w:r>
        <w:rPr>
          <w:rFonts w:ascii="Arial" w:cs="Arial" w:eastAsia="Arial" w:hAnsi="Arial"/>
          <w:sz w:val="18"/>
          <w:szCs w:val="18"/>
          <w:color w:val="121212"/>
        </w:rPr>
        <w:t xml:space="preserve">to the extent allowable under Section 1031 of the Code, any exchange of like property (excluding any boot thereon) for use in a Similar Business; </w:t>
      </w:r>
      <w:r>
        <w:rPr>
          <w:rFonts w:ascii="Arial" w:cs="Arial" w:eastAsia="Arial" w:hAnsi="Arial"/>
          <w:sz w:val="18"/>
          <w:szCs w:val="18"/>
          <w:i w:val="1"/>
          <w:iCs w:val="1"/>
          <w:color w:val="121212"/>
        </w:rPr>
        <w:t>provided</w:t>
      </w:r>
      <w:r>
        <w:rPr>
          <w:rFonts w:ascii="Arial" w:cs="Arial" w:eastAsia="Arial" w:hAnsi="Arial"/>
          <w:sz w:val="18"/>
          <w:szCs w:val="18"/>
          <w:color w:val="121212"/>
        </w:rPr>
        <w:t xml:space="preserve"> </w:t>
      </w:r>
      <w:r>
        <w:rPr>
          <w:rFonts w:ascii="Arial" w:cs="Arial" w:eastAsia="Arial" w:hAnsi="Arial"/>
          <w:sz w:val="18"/>
          <w:szCs w:val="18"/>
          <w:color w:val="000000"/>
        </w:rPr>
        <w:t>that</w:t>
      </w:r>
      <w:r>
        <w:rPr>
          <w:rFonts w:ascii="Arial" w:cs="Arial" w:eastAsia="Arial" w:hAnsi="Arial"/>
          <w:sz w:val="18"/>
          <w:szCs w:val="18"/>
          <w:color w:val="121212"/>
        </w:rPr>
        <w:t xml:space="preserve"> to the extent the property exchanged by the Company or any Restricted Subsidiary constituted Collateral, then </w:t>
      </w:r>
      <w:r>
        <w:rPr>
          <w:rFonts w:ascii="Arial" w:cs="Arial" w:eastAsia="Arial" w:hAnsi="Arial"/>
          <w:sz w:val="18"/>
          <w:szCs w:val="18"/>
          <w:color w:val="000000"/>
        </w:rPr>
        <w:t>all</w:t>
      </w:r>
      <w:r>
        <w:rPr>
          <w:rFonts w:ascii="Arial" w:cs="Arial" w:eastAsia="Arial" w:hAnsi="Arial"/>
          <w:sz w:val="18"/>
          <w:szCs w:val="18"/>
          <w:color w:val="121212"/>
        </w:rPr>
        <w:t xml:space="preserve"> property acquired by the Company or such Restricted Subsidiary in such exchange shall be pledged as Collateral (and with the same priority) as that of the exchanged property as required and provided under the Security Documents;</w:t>
      </w:r>
    </w:p>
    <w:p>
      <w:pPr>
        <w:spacing w:after="0" w:line="186" w:lineRule="exact"/>
        <w:rPr>
          <w:rFonts w:ascii="Arial" w:cs="Arial" w:eastAsia="Arial" w:hAnsi="Arial"/>
          <w:sz w:val="18"/>
          <w:szCs w:val="18"/>
          <w:color w:val="121212"/>
        </w:rPr>
      </w:pPr>
    </w:p>
    <w:p>
      <w:pPr>
        <w:ind w:left="-40" w:right="340" w:firstLine="656"/>
        <w:spacing w:after="0" w:line="277" w:lineRule="auto"/>
        <w:tabs>
          <w:tab w:leader="none" w:pos="1267" w:val="left"/>
        </w:tabs>
        <w:numPr>
          <w:ilvl w:val="0"/>
          <w:numId w:val="8"/>
        </w:numPr>
        <w:rPr>
          <w:rFonts w:ascii="Arial" w:cs="Arial" w:eastAsia="Arial" w:hAnsi="Arial"/>
          <w:sz w:val="18"/>
          <w:szCs w:val="18"/>
          <w:color w:val="121212"/>
        </w:rPr>
      </w:pPr>
      <w:r>
        <w:rPr>
          <w:rFonts w:ascii="Arial" w:cs="Arial" w:eastAsia="Arial" w:hAnsi="Arial"/>
          <w:sz w:val="18"/>
          <w:szCs w:val="18"/>
          <w:color w:val="121212"/>
        </w:rPr>
        <w:t>the lease, assignment, license, sub-license or sub-lease of any real or personal property in the ordinary course of business or property constituting closed or unused facilities (including any fixtures or equipment therein);</w:t>
      </w:r>
    </w:p>
    <w:p>
      <w:pPr>
        <w:spacing w:after="0" w:line="170" w:lineRule="exact"/>
        <w:rPr>
          <w:rFonts w:ascii="Arial" w:cs="Arial" w:eastAsia="Arial" w:hAnsi="Arial"/>
          <w:sz w:val="18"/>
          <w:szCs w:val="18"/>
          <w:color w:val="121212"/>
        </w:rPr>
      </w:pPr>
    </w:p>
    <w:p>
      <w:pPr>
        <w:ind w:left="1280" w:hanging="664"/>
        <w:spacing w:after="0"/>
        <w:tabs>
          <w:tab w:leader="none" w:pos="1280" w:val="left"/>
        </w:tabs>
        <w:numPr>
          <w:ilvl w:val="0"/>
          <w:numId w:val="8"/>
        </w:numPr>
        <w:rPr>
          <w:rFonts w:ascii="Arial" w:cs="Arial" w:eastAsia="Arial" w:hAnsi="Arial"/>
          <w:sz w:val="18"/>
          <w:szCs w:val="18"/>
          <w:color w:val="121212"/>
        </w:rPr>
      </w:pPr>
      <w:r>
        <w:rPr>
          <w:rFonts w:ascii="Arial" w:cs="Arial" w:eastAsia="Arial" w:hAnsi="Arial"/>
          <w:sz w:val="18"/>
          <w:szCs w:val="18"/>
          <w:color w:val="121212"/>
        </w:rPr>
        <w:t>any issuance or sale of Equity Interests in, or Indebtedness or other securities of, an Unrestricted Subsidiary;</w:t>
      </w:r>
    </w:p>
    <w:p>
      <w:pPr>
        <w:spacing w:after="0" w:line="225" w:lineRule="exact"/>
        <w:rPr>
          <w:rFonts w:ascii="Arial" w:cs="Arial" w:eastAsia="Arial" w:hAnsi="Arial"/>
          <w:sz w:val="18"/>
          <w:szCs w:val="18"/>
          <w:color w:val="121212"/>
        </w:rPr>
      </w:pPr>
    </w:p>
    <w:p>
      <w:pPr>
        <w:ind w:left="1280" w:hanging="664"/>
        <w:spacing w:after="0"/>
        <w:tabs>
          <w:tab w:leader="none" w:pos="1280" w:val="left"/>
        </w:tabs>
        <w:numPr>
          <w:ilvl w:val="0"/>
          <w:numId w:val="8"/>
        </w:numPr>
        <w:rPr>
          <w:rFonts w:ascii="Arial" w:cs="Arial" w:eastAsia="Arial" w:hAnsi="Arial"/>
          <w:sz w:val="18"/>
          <w:szCs w:val="18"/>
          <w:color w:val="121212"/>
        </w:rPr>
      </w:pPr>
      <w:r>
        <w:rPr>
          <w:rFonts w:ascii="Arial" w:cs="Arial" w:eastAsia="Arial" w:hAnsi="Arial"/>
          <w:sz w:val="18"/>
          <w:szCs w:val="18"/>
          <w:color w:val="121212"/>
        </w:rPr>
        <w:t>foreclosures or governmental Condemnations on assets;</w:t>
      </w:r>
    </w:p>
    <w:p>
      <w:pPr>
        <w:spacing w:after="0" w:line="225" w:lineRule="exact"/>
        <w:rPr>
          <w:rFonts w:ascii="Arial" w:cs="Arial" w:eastAsia="Arial" w:hAnsi="Arial"/>
          <w:sz w:val="18"/>
          <w:szCs w:val="18"/>
          <w:color w:val="121212"/>
        </w:rPr>
      </w:pPr>
    </w:p>
    <w:p>
      <w:pPr>
        <w:ind w:left="-40" w:right="840" w:firstLine="656"/>
        <w:spacing w:after="0" w:line="277" w:lineRule="auto"/>
        <w:tabs>
          <w:tab w:leader="none" w:pos="1272" w:val="left"/>
        </w:tabs>
        <w:numPr>
          <w:ilvl w:val="0"/>
          <w:numId w:val="8"/>
        </w:numPr>
        <w:rPr>
          <w:rFonts w:ascii="Arial" w:cs="Arial" w:eastAsia="Arial" w:hAnsi="Arial"/>
          <w:sz w:val="18"/>
          <w:szCs w:val="18"/>
          <w:color w:val="121212"/>
        </w:rPr>
      </w:pPr>
      <w:r>
        <w:rPr>
          <w:rFonts w:ascii="Arial" w:cs="Arial" w:eastAsia="Arial" w:hAnsi="Arial"/>
          <w:sz w:val="18"/>
          <w:szCs w:val="18"/>
          <w:color w:val="121212"/>
        </w:rPr>
        <w:t>sales or factoring of accounts receivable, or participations therein in the ordinary course of business or in connection with any Receivables Facility;</w:t>
      </w:r>
    </w:p>
    <w:p>
      <w:pPr>
        <w:spacing w:after="0" w:line="170" w:lineRule="exact"/>
        <w:rPr>
          <w:rFonts w:ascii="Arial" w:cs="Arial" w:eastAsia="Arial" w:hAnsi="Arial"/>
          <w:sz w:val="18"/>
          <w:szCs w:val="18"/>
          <w:color w:val="121212"/>
        </w:rPr>
      </w:pPr>
    </w:p>
    <w:p>
      <w:pPr>
        <w:ind w:left="1280" w:hanging="664"/>
        <w:spacing w:after="0"/>
        <w:tabs>
          <w:tab w:leader="none" w:pos="1280" w:val="left"/>
        </w:tabs>
        <w:numPr>
          <w:ilvl w:val="0"/>
          <w:numId w:val="8"/>
        </w:numPr>
        <w:rPr>
          <w:rFonts w:ascii="Arial" w:cs="Arial" w:eastAsia="Arial" w:hAnsi="Arial"/>
          <w:sz w:val="18"/>
          <w:szCs w:val="18"/>
          <w:color w:val="121212"/>
        </w:rPr>
      </w:pPr>
      <w:r>
        <w:rPr>
          <w:rFonts w:ascii="Arial" w:cs="Arial" w:eastAsia="Arial" w:hAnsi="Arial"/>
          <w:sz w:val="18"/>
          <w:szCs w:val="18"/>
          <w:color w:val="121212"/>
        </w:rPr>
        <w:t>the unwinding of any Hedging Obligations;</w:t>
      </w:r>
    </w:p>
    <w:p>
      <w:pPr>
        <w:spacing w:after="0" w:line="225" w:lineRule="exact"/>
        <w:rPr>
          <w:rFonts w:ascii="Arial" w:cs="Arial" w:eastAsia="Arial" w:hAnsi="Arial"/>
          <w:sz w:val="18"/>
          <w:szCs w:val="18"/>
          <w:color w:val="121212"/>
        </w:rPr>
      </w:pPr>
    </w:p>
    <w:p>
      <w:pPr>
        <w:ind w:left="-40" w:right="160" w:firstLine="656"/>
        <w:spacing w:after="0" w:line="277" w:lineRule="auto"/>
        <w:tabs>
          <w:tab w:leader="none" w:pos="1272" w:val="left"/>
        </w:tabs>
        <w:numPr>
          <w:ilvl w:val="0"/>
          <w:numId w:val="8"/>
        </w:numPr>
        <w:rPr>
          <w:rFonts w:ascii="Arial" w:cs="Arial" w:eastAsia="Arial" w:hAnsi="Arial"/>
          <w:sz w:val="18"/>
          <w:szCs w:val="18"/>
          <w:color w:val="121212"/>
        </w:rPr>
      </w:pPr>
      <w:r>
        <w:rPr>
          <w:rFonts w:ascii="Arial" w:cs="Arial" w:eastAsia="Arial" w:hAnsi="Arial"/>
          <w:sz w:val="18"/>
          <w:szCs w:val="18"/>
          <w:color w:val="121212"/>
        </w:rPr>
        <w:t xml:space="preserve">the sale, lease, assignment, license, sub-license or sub-lease of equipment, inventory, accounts receivable or other assets </w:t>
      </w:r>
      <w:r>
        <w:rPr>
          <w:rFonts w:ascii="Arial" w:cs="Arial" w:eastAsia="Arial" w:hAnsi="Arial"/>
          <w:sz w:val="18"/>
          <w:szCs w:val="18"/>
          <w:color w:val="000000"/>
        </w:rPr>
        <w:t>in</w:t>
      </w:r>
      <w:r>
        <w:rPr>
          <w:rFonts w:ascii="Arial" w:cs="Arial" w:eastAsia="Arial" w:hAnsi="Arial"/>
          <w:sz w:val="18"/>
          <w:szCs w:val="18"/>
          <w:color w:val="121212"/>
        </w:rPr>
        <w:t xml:space="preserve"> the ordinary course of business;</w:t>
      </w:r>
    </w:p>
    <w:p>
      <w:pPr>
        <w:spacing w:after="0" w:line="170" w:lineRule="exact"/>
        <w:rPr>
          <w:rFonts w:ascii="Arial" w:cs="Arial" w:eastAsia="Arial" w:hAnsi="Arial"/>
          <w:sz w:val="18"/>
          <w:szCs w:val="18"/>
          <w:color w:val="121212"/>
        </w:rPr>
      </w:pPr>
    </w:p>
    <w:p>
      <w:pPr>
        <w:ind w:left="-40" w:right="180" w:firstLine="656"/>
        <w:spacing w:after="0" w:line="311" w:lineRule="auto"/>
        <w:tabs>
          <w:tab w:leader="none" w:pos="1272" w:val="left"/>
        </w:tabs>
        <w:numPr>
          <w:ilvl w:val="0"/>
          <w:numId w:val="8"/>
        </w:numPr>
        <w:rPr>
          <w:rFonts w:ascii="Arial" w:cs="Arial" w:eastAsia="Arial" w:hAnsi="Arial"/>
          <w:sz w:val="16"/>
          <w:szCs w:val="16"/>
          <w:color w:val="121212"/>
        </w:rPr>
      </w:pPr>
      <w:r>
        <w:rPr>
          <w:rFonts w:ascii="Arial" w:cs="Arial" w:eastAsia="Arial" w:hAnsi="Arial"/>
          <w:sz w:val="16"/>
          <w:szCs w:val="16"/>
          <w:color w:val="121212"/>
        </w:rPr>
        <w:t>the licensing or sub-licensing of intellectual property in the ordinary course of business or consistent with past practice or the lapse or abandonment in the ordinary course of business of any registrations or applications for registration of any patents, trademarks, servicemarks, tradenames, copyrights and other intellectual property rights not necessary in the conduct of the business of the Company and its Restricted Subsidiaries;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15" w:name="page16"/>
    <w:bookmarkEnd w:id="15"/>
    <w:p>
      <w:pPr>
        <w:ind w:left="1320" w:hanging="664"/>
        <w:spacing w:after="0"/>
        <w:tabs>
          <w:tab w:leader="none" w:pos="1320" w:val="left"/>
        </w:tabs>
        <w:numPr>
          <w:ilvl w:val="0"/>
          <w:numId w:val="9"/>
        </w:numPr>
        <w:rPr>
          <w:rFonts w:ascii="Arial" w:cs="Arial" w:eastAsia="Arial" w:hAnsi="Arial"/>
          <w:sz w:val="17"/>
          <w:szCs w:val="17"/>
          <w:color w:val="121212"/>
        </w:rPr>
      </w:pPr>
      <w:r>
        <w:rPr>
          <w:rFonts w:ascii="Arial" w:cs="Arial" w:eastAsia="Arial" w:hAnsi="Arial"/>
          <w:sz w:val="17"/>
          <w:szCs w:val="17"/>
          <w:color w:val="121212"/>
        </w:rPr>
        <w:t>any sale or other disposition deemed to occur with creating, granting or perfecting a Lien not otherwise prohibited by this Indenture;</w:t>
      </w:r>
    </w:p>
    <w:p>
      <w:pPr>
        <w:spacing w:after="0" w:line="236" w:lineRule="exact"/>
        <w:rPr>
          <w:rFonts w:ascii="Arial" w:cs="Arial" w:eastAsia="Arial" w:hAnsi="Arial"/>
          <w:sz w:val="17"/>
          <w:szCs w:val="17"/>
          <w:color w:val="121212"/>
        </w:rPr>
      </w:pPr>
    </w:p>
    <w:p>
      <w:pPr>
        <w:ind w:right="340" w:firstLine="656"/>
        <w:spacing w:after="0" w:line="277" w:lineRule="auto"/>
        <w:tabs>
          <w:tab w:leader="none" w:pos="1307" w:val="left"/>
        </w:tabs>
        <w:numPr>
          <w:ilvl w:val="0"/>
          <w:numId w:val="9"/>
        </w:numPr>
        <w:rPr>
          <w:rFonts w:ascii="Arial" w:cs="Arial" w:eastAsia="Arial" w:hAnsi="Arial"/>
          <w:sz w:val="18"/>
          <w:szCs w:val="18"/>
          <w:color w:val="121212"/>
        </w:rPr>
      </w:pPr>
      <w:r>
        <w:rPr>
          <w:rFonts w:ascii="Arial" w:cs="Arial" w:eastAsia="Arial" w:hAnsi="Arial"/>
          <w:sz w:val="18"/>
          <w:szCs w:val="18"/>
          <w:color w:val="121212"/>
        </w:rPr>
        <w:t>the surrender or waiver of contract rights or settlement, release or surrender of a contract, tort or other litigation claim in the ordinary course of business;</w:t>
      </w:r>
    </w:p>
    <w:p>
      <w:pPr>
        <w:spacing w:after="0" w:line="170" w:lineRule="exact"/>
        <w:rPr>
          <w:rFonts w:ascii="Arial" w:cs="Arial" w:eastAsia="Arial" w:hAnsi="Arial"/>
          <w:sz w:val="18"/>
          <w:szCs w:val="18"/>
          <w:color w:val="121212"/>
        </w:rPr>
      </w:pPr>
    </w:p>
    <w:p>
      <w:pPr>
        <w:ind w:right="140" w:firstLine="656"/>
        <w:spacing w:after="0" w:line="277" w:lineRule="auto"/>
        <w:tabs>
          <w:tab w:leader="none" w:pos="1307" w:val="left"/>
        </w:tabs>
        <w:numPr>
          <w:ilvl w:val="0"/>
          <w:numId w:val="9"/>
        </w:numPr>
        <w:rPr>
          <w:rFonts w:ascii="Arial" w:cs="Arial" w:eastAsia="Arial" w:hAnsi="Arial"/>
          <w:sz w:val="18"/>
          <w:szCs w:val="18"/>
          <w:color w:val="121212"/>
        </w:rPr>
      </w:pPr>
      <w:r>
        <w:rPr>
          <w:rFonts w:ascii="Arial" w:cs="Arial" w:eastAsia="Arial" w:hAnsi="Arial"/>
          <w:sz w:val="18"/>
          <w:szCs w:val="18"/>
          <w:color w:val="121212"/>
        </w:rPr>
        <w:t>the issuance and sale of equity interests of the Company and the issuance of employee stock options or stock awards pursuant to benefit plans of the Company or any of its Restricted Subsidiaries;</w:t>
      </w:r>
    </w:p>
    <w:p>
      <w:pPr>
        <w:spacing w:after="0" w:line="170" w:lineRule="exact"/>
        <w:rPr>
          <w:rFonts w:ascii="Arial" w:cs="Arial" w:eastAsia="Arial" w:hAnsi="Arial"/>
          <w:sz w:val="18"/>
          <w:szCs w:val="18"/>
          <w:color w:val="121212"/>
        </w:rPr>
      </w:pPr>
    </w:p>
    <w:p>
      <w:pPr>
        <w:ind w:right="100" w:firstLine="656"/>
        <w:spacing w:after="0" w:line="277" w:lineRule="auto"/>
        <w:tabs>
          <w:tab w:leader="none" w:pos="1307" w:val="left"/>
        </w:tabs>
        <w:numPr>
          <w:ilvl w:val="0"/>
          <w:numId w:val="9"/>
        </w:numPr>
        <w:rPr>
          <w:rFonts w:ascii="Arial" w:cs="Arial" w:eastAsia="Arial" w:hAnsi="Arial"/>
          <w:sz w:val="18"/>
          <w:szCs w:val="18"/>
          <w:color w:val="121212"/>
        </w:rPr>
      </w:pPr>
      <w:r>
        <w:rPr>
          <w:rFonts w:ascii="Arial" w:cs="Arial" w:eastAsia="Arial" w:hAnsi="Arial"/>
          <w:sz w:val="18"/>
          <w:szCs w:val="18"/>
          <w:color w:val="121212"/>
        </w:rPr>
        <w:t>any sale, lease, transfer or other disposition in connection with any industrial revenue bond or similar program that does not result in the recognition of the sale or the asset transfer in accordance with GAAP, or any similar transaction;</w:t>
      </w:r>
    </w:p>
    <w:p>
      <w:pPr>
        <w:spacing w:after="0" w:line="170" w:lineRule="exact"/>
        <w:rPr>
          <w:rFonts w:ascii="Arial" w:cs="Arial" w:eastAsia="Arial" w:hAnsi="Arial"/>
          <w:sz w:val="18"/>
          <w:szCs w:val="18"/>
          <w:color w:val="121212"/>
        </w:rPr>
      </w:pPr>
    </w:p>
    <w:p>
      <w:pPr>
        <w:ind w:right="500" w:firstLine="656"/>
        <w:spacing w:after="0" w:line="277" w:lineRule="auto"/>
        <w:tabs>
          <w:tab w:leader="none" w:pos="1322" w:val="left"/>
        </w:tabs>
        <w:numPr>
          <w:ilvl w:val="0"/>
          <w:numId w:val="9"/>
        </w:numPr>
        <w:rPr>
          <w:rFonts w:ascii="Arial" w:cs="Arial" w:eastAsia="Arial" w:hAnsi="Arial"/>
          <w:sz w:val="18"/>
          <w:szCs w:val="18"/>
          <w:color w:val="121212"/>
        </w:rPr>
      </w:pPr>
      <w:r>
        <w:rPr>
          <w:rFonts w:ascii="Arial" w:cs="Arial" w:eastAsia="Arial" w:hAnsi="Arial"/>
          <w:sz w:val="18"/>
          <w:szCs w:val="18"/>
          <w:color w:val="121212"/>
        </w:rPr>
        <w:t xml:space="preserve">the sale of interests in a joint venture pursuant to customary put-call or buy-sell arrangements, </w:t>
      </w:r>
      <w:r>
        <w:rPr>
          <w:rFonts w:ascii="Arial" w:cs="Arial" w:eastAsia="Arial" w:hAnsi="Arial"/>
          <w:sz w:val="18"/>
          <w:szCs w:val="18"/>
          <w:i w:val="1"/>
          <w:iCs w:val="1"/>
          <w:color w:val="121212"/>
        </w:rPr>
        <w:t>provided</w:t>
      </w:r>
      <w:r>
        <w:rPr>
          <w:rFonts w:ascii="Arial" w:cs="Arial" w:eastAsia="Arial" w:hAnsi="Arial"/>
          <w:sz w:val="18"/>
          <w:szCs w:val="18"/>
          <w:color w:val="121212"/>
        </w:rPr>
        <w:t xml:space="preserve"> that any net cash proceeds therefrom are applied as Net Proceeds of an Asset Sale pursuant to Section 10.16; and</w:t>
      </w:r>
    </w:p>
    <w:p>
      <w:pPr>
        <w:spacing w:after="0" w:line="170" w:lineRule="exact"/>
        <w:rPr>
          <w:rFonts w:ascii="Arial" w:cs="Arial" w:eastAsia="Arial" w:hAnsi="Arial"/>
          <w:sz w:val="18"/>
          <w:szCs w:val="18"/>
          <w:color w:val="121212"/>
        </w:rPr>
      </w:pPr>
    </w:p>
    <w:p>
      <w:pPr>
        <w:ind w:right="500" w:firstLine="656"/>
        <w:spacing w:after="0" w:line="277" w:lineRule="auto"/>
        <w:tabs>
          <w:tab w:leader="none" w:pos="1288" w:val="left"/>
        </w:tabs>
        <w:numPr>
          <w:ilvl w:val="0"/>
          <w:numId w:val="9"/>
        </w:numPr>
        <w:rPr>
          <w:rFonts w:ascii="Arial" w:cs="Arial" w:eastAsia="Arial" w:hAnsi="Arial"/>
          <w:sz w:val="18"/>
          <w:szCs w:val="18"/>
          <w:color w:val="121212"/>
        </w:rPr>
      </w:pPr>
      <w:r>
        <w:rPr>
          <w:rFonts w:ascii="Arial" w:cs="Arial" w:eastAsia="Arial" w:hAnsi="Arial"/>
          <w:sz w:val="18"/>
          <w:szCs w:val="18"/>
          <w:color w:val="121212"/>
        </w:rPr>
        <w:t>the settlement or early termination of any Permitted Bond Hedge Transaction and the settlement or early termination of any related Permitted Warrant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specified in Section 10.16(d).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Payment Date</w:t>
      </w:r>
      <w:r>
        <w:rPr>
          <w:rFonts w:ascii="Arial" w:cs="Arial" w:eastAsia="Arial" w:hAnsi="Arial"/>
          <w:sz w:val="18"/>
          <w:szCs w:val="18"/>
          <w:color w:val="auto"/>
        </w:rPr>
        <w:t>” has the meaning specified in Section 10.16(j)(2).</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xml:space="preserve">” in respect of a Sale and Lease-Back Transaction means, as at the time of determination, the present value (discounted at the cash interest rate borne by the Notes, compounded annually) of the total obligations of the lessee for rental payments during the remaining term of the lease included in such Sale and Lease-Back Transaction (including any period for which such lease has been extended);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Sale and Lease-Back Transaction results in a Capitalized Lease Obligation, the amount of Indebtedness represented thereby shall be determined in accordance with the definition of “Capitalized Lease Obligation.”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Authenticating Agent</w:t>
      </w:r>
      <w:r>
        <w:rPr>
          <w:rFonts w:ascii="Arial" w:cs="Arial" w:eastAsia="Arial" w:hAnsi="Arial"/>
          <w:sz w:val="18"/>
          <w:szCs w:val="18"/>
          <w:color w:val="auto"/>
        </w:rPr>
        <w:t>” has the meaning specified in Section 6.12.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Title 11, U.S.C., as now or hereafter in effect, or any successor thereto.</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United States Bankruptcy Code of 1978, as amended, or any similar United States federal or state or foreign law relating to bankruptcy, insolvency, receivership, winding-up, liquidation, reorganization or relief of debtors or any amendment to succession to or change in any such law.</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225"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0"/>
        </w:numPr>
        <w:rPr>
          <w:rFonts w:ascii="Arial" w:cs="Arial" w:eastAsia="Arial" w:hAnsi="Arial"/>
          <w:sz w:val="18"/>
          <w:szCs w:val="18"/>
          <w:color w:val="121212"/>
        </w:rPr>
      </w:pPr>
      <w:r>
        <w:rPr>
          <w:rFonts w:ascii="Arial" w:cs="Arial" w:eastAsia="Arial" w:hAnsi="Arial"/>
          <w:sz w:val="18"/>
          <w:szCs w:val="18"/>
          <w:color w:val="121212"/>
        </w:rPr>
        <w:t>with respect to a partnership, the board of directors of the general partner of the partnership; and</w:t>
      </w:r>
    </w:p>
    <w:p>
      <w:pPr>
        <w:spacing w:after="0" w:line="225" w:lineRule="exact"/>
        <w:rPr>
          <w:rFonts w:ascii="Arial" w:cs="Arial" w:eastAsia="Arial" w:hAnsi="Arial"/>
          <w:sz w:val="18"/>
          <w:szCs w:val="18"/>
          <w:color w:val="121212"/>
        </w:rPr>
      </w:pPr>
    </w:p>
    <w:p>
      <w:pPr>
        <w:ind w:left="1320" w:hanging="664"/>
        <w:spacing w:after="0"/>
        <w:tabs>
          <w:tab w:leader="none" w:pos="1320" w:val="left"/>
        </w:tabs>
        <w:numPr>
          <w:ilvl w:val="0"/>
          <w:numId w:val="10"/>
        </w:numPr>
        <w:rPr>
          <w:rFonts w:ascii="Arial" w:cs="Arial" w:eastAsia="Arial" w:hAnsi="Arial"/>
          <w:sz w:val="18"/>
          <w:szCs w:val="18"/>
          <w:color w:val="121212"/>
        </w:rPr>
      </w:pPr>
      <w:r>
        <w:rPr>
          <w:rFonts w:ascii="Arial" w:cs="Arial" w:eastAsia="Arial" w:hAnsi="Arial"/>
          <w:sz w:val="18"/>
          <w:szCs w:val="18"/>
          <w:color w:val="121212"/>
        </w:rPr>
        <w:t>with respect to any other Person, the board or committee of such Person serving a similar function.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 Resolution</w:t>
      </w:r>
      <w:r>
        <w:rPr>
          <w:rFonts w:ascii="Arial" w:cs="Arial" w:eastAsia="Arial" w:hAnsi="Arial"/>
          <w:sz w:val="16"/>
          <w:szCs w:val="16"/>
          <w:color w:val="auto"/>
        </w:rPr>
        <w:t>” means, with respect to the Company, a duly adopted resolution of the Board of Directors of the Company or any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Borrowing Base</w:t>
      </w:r>
      <w:r>
        <w:rPr>
          <w:rFonts w:ascii="Arial" w:cs="Arial" w:eastAsia="Arial" w:hAnsi="Arial"/>
          <w:sz w:val="16"/>
          <w:szCs w:val="16"/>
          <w:color w:val="auto"/>
        </w:rPr>
        <w:t>” means the sum of (A) 90% of the net book value of accounts receivable of the Company and its Restricted Subsidiaries and</w:t>
      </w:r>
    </w:p>
    <w:p>
      <w:pPr>
        <w:spacing w:after="0" w:line="46" w:lineRule="exact"/>
        <w:rPr>
          <w:sz w:val="20"/>
          <w:szCs w:val="20"/>
          <w:color w:val="auto"/>
        </w:rPr>
      </w:pPr>
    </w:p>
    <w:p>
      <w:pPr>
        <w:ind w:right="80" w:firstLine="8"/>
        <w:spacing w:after="0" w:line="273" w:lineRule="auto"/>
        <w:tabs>
          <w:tab w:leader="none" w:pos="2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75% of the net book value of inventory of the Company and its Restricted Subsidiaries (with accounts receivable and inventory calculated on the basis that all Investments, acquisitions, dispositions, mergers, consolidations and disposed operations that have been made by the Company and its Restricted Subsidiaries prior to or substantially contemporaneous with the date of any calculation shall be included or excluded, as the case may be, on a pro forma basis with such calculations made in good faith by a responsible financial or accounting officer of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day that is not a Legal Holiday.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1320" w:hanging="66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 corporation, capital stock,</w:t>
      </w:r>
    </w:p>
    <w:p>
      <w:pPr>
        <w:spacing w:after="0" w:line="225" w:lineRule="exact"/>
        <w:rPr>
          <w:rFonts w:ascii="Arial" w:cs="Arial" w:eastAsia="Arial" w:hAnsi="Arial"/>
          <w:sz w:val="18"/>
          <w:szCs w:val="18"/>
          <w:color w:val="auto"/>
        </w:rPr>
      </w:pPr>
    </w:p>
    <w:p>
      <w:pPr>
        <w:ind w:right="360" w:firstLine="656"/>
        <w:spacing w:after="0" w:line="277" w:lineRule="auto"/>
        <w:tabs>
          <w:tab w:leader="none" w:pos="1307" w:val="left"/>
        </w:tabs>
        <w:numPr>
          <w:ilvl w:val="0"/>
          <w:numId w:val="12"/>
        </w:numPr>
        <w:rPr>
          <w:rFonts w:ascii="Arial" w:cs="Arial" w:eastAsia="Arial" w:hAnsi="Arial"/>
          <w:sz w:val="18"/>
          <w:szCs w:val="18"/>
          <w:color w:val="131313"/>
        </w:rPr>
      </w:pPr>
      <w:r>
        <w:rPr>
          <w:rFonts w:ascii="Arial" w:cs="Arial" w:eastAsia="Arial" w:hAnsi="Arial"/>
          <w:sz w:val="18"/>
          <w:szCs w:val="18"/>
          <w:color w:val="131313"/>
        </w:rPr>
        <w:t xml:space="preserve">in the case of an association or other business entity, any and all shares, interests, participations, rights or other equivalents (however designated) of </w:t>
      </w:r>
      <w:r>
        <w:rPr>
          <w:rFonts w:ascii="Arial" w:cs="Arial" w:eastAsia="Arial" w:hAnsi="Arial"/>
          <w:sz w:val="18"/>
          <w:szCs w:val="18"/>
          <w:color w:val="000000"/>
        </w:rPr>
        <w:t>capital</w:t>
      </w:r>
      <w:r>
        <w:rPr>
          <w:rFonts w:ascii="Arial" w:cs="Arial" w:eastAsia="Arial" w:hAnsi="Arial"/>
          <w:sz w:val="18"/>
          <w:szCs w:val="18"/>
          <w:color w:val="131313"/>
        </w:rPr>
        <w:t xml:space="preserve"> stock,</w:t>
      </w:r>
    </w:p>
    <w:p>
      <w:pPr>
        <w:spacing w:after="0" w:line="170" w:lineRule="exact"/>
        <w:rPr>
          <w:rFonts w:ascii="Arial" w:cs="Arial" w:eastAsia="Arial" w:hAnsi="Arial"/>
          <w:sz w:val="18"/>
          <w:szCs w:val="18"/>
          <w:color w:val="131313"/>
        </w:rPr>
      </w:pPr>
    </w:p>
    <w:p>
      <w:pPr>
        <w:ind w:left="1320" w:hanging="664"/>
        <w:spacing w:after="0"/>
        <w:tabs>
          <w:tab w:leader="none" w:pos="1320" w:val="left"/>
        </w:tabs>
        <w:numPr>
          <w:ilvl w:val="0"/>
          <w:numId w:val="12"/>
        </w:numPr>
        <w:rPr>
          <w:rFonts w:ascii="Arial" w:cs="Arial" w:eastAsia="Arial" w:hAnsi="Arial"/>
          <w:sz w:val="18"/>
          <w:szCs w:val="18"/>
          <w:color w:val="131313"/>
        </w:rPr>
      </w:pPr>
      <w:r>
        <w:rPr>
          <w:rFonts w:ascii="Arial" w:cs="Arial" w:eastAsia="Arial" w:hAnsi="Arial"/>
          <w:sz w:val="18"/>
          <w:szCs w:val="18"/>
          <w:color w:val="131313"/>
        </w:rPr>
        <w:t>in the case of a partnership, partnership interests (whether general or limited),</w:t>
      </w:r>
    </w:p>
    <w:p>
      <w:pPr>
        <w:spacing w:after="0" w:line="225" w:lineRule="exact"/>
        <w:rPr>
          <w:rFonts w:ascii="Arial" w:cs="Arial" w:eastAsia="Arial" w:hAnsi="Arial"/>
          <w:sz w:val="18"/>
          <w:szCs w:val="18"/>
          <w:color w:val="131313"/>
        </w:rPr>
      </w:pPr>
    </w:p>
    <w:p>
      <w:pPr>
        <w:ind w:left="1320" w:hanging="664"/>
        <w:spacing w:after="0"/>
        <w:tabs>
          <w:tab w:leader="none" w:pos="1320" w:val="left"/>
        </w:tabs>
        <w:numPr>
          <w:ilvl w:val="0"/>
          <w:numId w:val="12"/>
        </w:numPr>
        <w:rPr>
          <w:rFonts w:ascii="Arial" w:cs="Arial" w:eastAsia="Arial" w:hAnsi="Arial"/>
          <w:sz w:val="18"/>
          <w:szCs w:val="18"/>
          <w:color w:val="131313"/>
        </w:rPr>
      </w:pPr>
      <w:r>
        <w:rPr>
          <w:rFonts w:ascii="Arial" w:cs="Arial" w:eastAsia="Arial" w:hAnsi="Arial"/>
          <w:sz w:val="18"/>
          <w:szCs w:val="18"/>
          <w:color w:val="131313"/>
        </w:rPr>
        <w:t>in the case of a limited liability company, membership interests,</w:t>
      </w:r>
    </w:p>
    <w:p>
      <w:pPr>
        <w:spacing w:after="0" w:line="225" w:lineRule="exact"/>
        <w:rPr>
          <w:rFonts w:ascii="Arial" w:cs="Arial" w:eastAsia="Arial" w:hAnsi="Arial"/>
          <w:sz w:val="18"/>
          <w:szCs w:val="18"/>
          <w:color w:val="131313"/>
        </w:rPr>
      </w:pPr>
    </w:p>
    <w:p>
      <w:pPr>
        <w:ind w:firstLine="656"/>
        <w:spacing w:after="0" w:line="277" w:lineRule="auto"/>
        <w:tabs>
          <w:tab w:leader="none" w:pos="1307" w:val="left"/>
        </w:tabs>
        <w:numPr>
          <w:ilvl w:val="0"/>
          <w:numId w:val="12"/>
        </w:numPr>
        <w:rPr>
          <w:rFonts w:ascii="Arial" w:cs="Arial" w:eastAsia="Arial" w:hAnsi="Arial"/>
          <w:sz w:val="18"/>
          <w:szCs w:val="18"/>
          <w:color w:val="131313"/>
        </w:rPr>
      </w:pPr>
      <w:r>
        <w:rPr>
          <w:rFonts w:ascii="Arial" w:cs="Arial" w:eastAsia="Arial" w:hAnsi="Arial"/>
          <w:sz w:val="18"/>
          <w:szCs w:val="18"/>
          <w:color w:val="131313"/>
        </w:rPr>
        <w:t>any other interest or participation that confers on a Person the right to receive a share of the profits and losses of, or distributions of assets of the issuing Person, and</w:t>
      </w:r>
    </w:p>
    <w:p>
      <w:pPr>
        <w:spacing w:after="0" w:line="170" w:lineRule="exact"/>
        <w:rPr>
          <w:rFonts w:ascii="Arial" w:cs="Arial" w:eastAsia="Arial" w:hAnsi="Arial"/>
          <w:sz w:val="18"/>
          <w:szCs w:val="18"/>
          <w:color w:val="131313"/>
        </w:rPr>
      </w:pPr>
    </w:p>
    <w:p>
      <w:pPr>
        <w:ind w:left="1320" w:hanging="664"/>
        <w:spacing w:after="0"/>
        <w:tabs>
          <w:tab w:leader="none" w:pos="1320" w:val="left"/>
        </w:tabs>
        <w:numPr>
          <w:ilvl w:val="0"/>
          <w:numId w:val="12"/>
        </w:numPr>
        <w:rPr>
          <w:rFonts w:ascii="Arial" w:cs="Arial" w:eastAsia="Arial" w:hAnsi="Arial"/>
          <w:sz w:val="17"/>
          <w:szCs w:val="17"/>
          <w:color w:val="131313"/>
        </w:rPr>
      </w:pPr>
      <w:r>
        <w:rPr>
          <w:rFonts w:ascii="Arial" w:cs="Arial" w:eastAsia="Arial" w:hAnsi="Arial"/>
          <w:sz w:val="17"/>
          <w:szCs w:val="17"/>
          <w:color w:val="131313"/>
        </w:rPr>
        <w:t>all rights, warrants or options exchangeable for or convertible into any of the items described in clauses (1) through (5) above;</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131313"/>
        </w:rPr>
        <w:t xml:space="preserve">provided </w:t>
      </w:r>
      <w:r>
        <w:rPr>
          <w:rFonts w:ascii="Arial" w:cs="Arial" w:eastAsia="Arial" w:hAnsi="Arial"/>
          <w:sz w:val="18"/>
          <w:szCs w:val="18"/>
          <w:color w:val="131313"/>
        </w:rPr>
        <w:t>that with respect to the foregoing, Capital Stock shall exclude any debt securities convertible into Capital Stock, whether or not such debt</w:t>
      </w:r>
      <w:r>
        <w:rPr>
          <w:rFonts w:ascii="Arial" w:cs="Arial" w:eastAsia="Arial" w:hAnsi="Arial"/>
          <w:sz w:val="18"/>
          <w:szCs w:val="18"/>
          <w:i w:val="1"/>
          <w:iCs w:val="1"/>
          <w:color w:val="131313"/>
        </w:rPr>
        <w:t xml:space="preserve"> </w:t>
      </w:r>
      <w:r>
        <w:rPr>
          <w:rFonts w:ascii="Arial" w:cs="Arial" w:eastAsia="Arial" w:hAnsi="Arial"/>
          <w:sz w:val="18"/>
          <w:szCs w:val="18"/>
          <w:color w:val="131313"/>
        </w:rPr>
        <w:t>securities include any right to vote or participation with Capital Stock.</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 Obligation</w:t>
      </w:r>
      <w:r>
        <w:rPr>
          <w:rFonts w:ascii="Arial" w:cs="Arial" w:eastAsia="Arial" w:hAnsi="Arial"/>
          <w:sz w:val="18"/>
          <w:szCs w:val="18"/>
          <w:color w:val="auto"/>
        </w:rPr>
        <w:t>” means, at the time any determination thereof is to be made, the amount of the liability in respect of a capital lease that would at such time be required to be capitalized and reflected as a liability on a balance sheet (excluding the footnotes thereto) in accordance with GAAP.</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ind w:left="652"/>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Cash Equivalents</w:t>
      </w:r>
      <w:r>
        <w:rPr>
          <w:rFonts w:ascii="Arial" w:cs="Arial" w:eastAsia="Arial" w:hAnsi="Arial"/>
          <w:sz w:val="18"/>
          <w:szCs w:val="18"/>
          <w:color w:val="131313"/>
        </w:rPr>
        <w:t>” means, as to any Person,</w:t>
      </w:r>
    </w:p>
    <w:p>
      <w:pPr>
        <w:spacing w:after="0" w:line="225" w:lineRule="exact"/>
        <w:rPr>
          <w:sz w:val="20"/>
          <w:szCs w:val="20"/>
          <w:color w:val="auto"/>
        </w:rPr>
      </w:pPr>
    </w:p>
    <w:p>
      <w:pPr>
        <w:jc w:val="both"/>
        <w:ind w:left="-8" w:right="260" w:firstLine="656"/>
        <w:spacing w:after="0" w:line="286" w:lineRule="auto"/>
        <w:tabs>
          <w:tab w:leader="none" w:pos="1299"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securities issued or directly and fully guaranteed or insured by the United </w:t>
      </w:r>
      <w:r>
        <w:rPr>
          <w:rFonts w:ascii="Arial" w:cs="Arial" w:eastAsia="Arial" w:hAnsi="Arial"/>
          <w:sz w:val="17"/>
          <w:szCs w:val="17"/>
          <w:color w:val="131313"/>
        </w:rPr>
        <w:t>States, the United Kingdom, Canada, Switzerland, and any</w:t>
      </w:r>
      <w:r>
        <w:rPr>
          <w:rFonts w:ascii="Arial" w:cs="Arial" w:eastAsia="Arial" w:hAnsi="Arial"/>
          <w:sz w:val="17"/>
          <w:szCs w:val="17"/>
          <w:color w:val="auto"/>
        </w:rPr>
        <w:t xml:space="preserve"> </w:t>
      </w:r>
      <w:r>
        <w:rPr>
          <w:rFonts w:ascii="Arial" w:cs="Arial" w:eastAsia="Arial" w:hAnsi="Arial"/>
          <w:sz w:val="17"/>
          <w:szCs w:val="17"/>
          <w:color w:val="131313"/>
        </w:rPr>
        <w:t xml:space="preserve">other member state of the European Union or any agency, instrumentality or sponsored corporation thereof and backed by the full faith </w:t>
      </w:r>
      <w:r>
        <w:rPr>
          <w:rFonts w:ascii="Arial" w:cs="Arial" w:eastAsia="Arial" w:hAnsi="Arial"/>
          <w:sz w:val="17"/>
          <w:szCs w:val="17"/>
          <w:color w:val="000000"/>
        </w:rPr>
        <w:t>and</w:t>
      </w:r>
      <w:r>
        <w:rPr>
          <w:rFonts w:ascii="Arial" w:cs="Arial" w:eastAsia="Arial" w:hAnsi="Arial"/>
          <w:sz w:val="17"/>
          <w:szCs w:val="17"/>
          <w:color w:val="131313"/>
        </w:rPr>
        <w:t xml:space="preserve"> credit of the applicable government, and </w:t>
      </w:r>
      <w:r>
        <w:rPr>
          <w:rFonts w:ascii="Arial" w:cs="Arial" w:eastAsia="Arial" w:hAnsi="Arial"/>
          <w:sz w:val="17"/>
          <w:szCs w:val="17"/>
          <w:color w:val="000000"/>
        </w:rPr>
        <w:t>in</w:t>
      </w:r>
      <w:r>
        <w:rPr>
          <w:rFonts w:ascii="Arial" w:cs="Arial" w:eastAsia="Arial" w:hAnsi="Arial"/>
          <w:sz w:val="17"/>
          <w:szCs w:val="17"/>
          <w:color w:val="131313"/>
        </w:rPr>
        <w:t xml:space="preserve"> each case having maturities of not more than 24 months from the date of acquisition;</w:t>
      </w:r>
    </w:p>
    <w:p>
      <w:pPr>
        <w:spacing w:after="0" w:line="165" w:lineRule="exact"/>
        <w:rPr>
          <w:rFonts w:ascii="Arial" w:cs="Arial" w:eastAsia="Arial" w:hAnsi="Arial"/>
          <w:sz w:val="17"/>
          <w:szCs w:val="17"/>
          <w:color w:val="auto"/>
        </w:rPr>
      </w:pPr>
    </w:p>
    <w:p>
      <w:pPr>
        <w:ind w:left="-8" w:firstLine="656"/>
        <w:spacing w:after="0" w:line="263" w:lineRule="auto"/>
        <w:tabs>
          <w:tab w:leader="none" w:pos="1299" w:val="left"/>
        </w:tabs>
        <w:numPr>
          <w:ilvl w:val="1"/>
          <w:numId w:val="13"/>
        </w:numPr>
        <w:rPr>
          <w:rFonts w:ascii="Arial" w:cs="Arial" w:eastAsia="Arial" w:hAnsi="Arial"/>
          <w:sz w:val="18"/>
          <w:szCs w:val="18"/>
          <w:color w:val="131313"/>
        </w:rPr>
      </w:pPr>
      <w:r>
        <w:rPr>
          <w:rFonts w:ascii="Arial" w:cs="Arial" w:eastAsia="Arial" w:hAnsi="Arial"/>
          <w:sz w:val="18"/>
          <w:szCs w:val="18"/>
          <w:color w:val="131313"/>
        </w:rPr>
        <w:t xml:space="preserve">U.S. dollar denominated time deposits, certificates of deposit, overnight bank deposits and bankers’ acceptances having maturities within one year from the date of acquisition thereof issued by any lender under the ABL Facility or any commercial bank of recognized standing, having capital </w:t>
      </w:r>
      <w:r>
        <w:rPr>
          <w:rFonts w:ascii="Arial" w:cs="Arial" w:eastAsia="Arial" w:hAnsi="Arial"/>
          <w:sz w:val="18"/>
          <w:szCs w:val="18"/>
          <w:color w:val="000000"/>
        </w:rPr>
        <w:t xml:space="preserve">and </w:t>
      </w:r>
      <w:r>
        <w:rPr>
          <w:rFonts w:ascii="Arial" w:cs="Arial" w:eastAsia="Arial" w:hAnsi="Arial"/>
          <w:sz w:val="18"/>
          <w:szCs w:val="18"/>
          <w:color w:val="131313"/>
        </w:rPr>
        <w:t>surplus in excess of $500,000,000;</w:t>
      </w:r>
    </w:p>
    <w:p>
      <w:pPr>
        <w:spacing w:after="0" w:line="183" w:lineRule="exact"/>
        <w:rPr>
          <w:rFonts w:ascii="Arial" w:cs="Arial" w:eastAsia="Arial" w:hAnsi="Arial"/>
          <w:sz w:val="18"/>
          <w:szCs w:val="18"/>
          <w:color w:val="131313"/>
        </w:rPr>
      </w:pPr>
    </w:p>
    <w:p>
      <w:pPr>
        <w:ind w:left="-8" w:right="120" w:firstLine="656"/>
        <w:spacing w:after="0" w:line="277" w:lineRule="auto"/>
        <w:tabs>
          <w:tab w:leader="none" w:pos="1299" w:val="left"/>
        </w:tabs>
        <w:numPr>
          <w:ilvl w:val="1"/>
          <w:numId w:val="13"/>
        </w:numPr>
        <w:rPr>
          <w:rFonts w:ascii="Arial" w:cs="Arial" w:eastAsia="Arial" w:hAnsi="Arial"/>
          <w:sz w:val="18"/>
          <w:szCs w:val="18"/>
          <w:color w:val="131313"/>
        </w:rPr>
      </w:pPr>
      <w:r>
        <w:rPr>
          <w:rFonts w:ascii="Arial" w:cs="Arial" w:eastAsia="Arial" w:hAnsi="Arial"/>
          <w:sz w:val="18"/>
          <w:szCs w:val="18"/>
          <w:color w:val="131313"/>
        </w:rPr>
        <w:t>repurchase obligations for underlying securities of the types set forth in clauses (1) and (2) above and entered into with any commercial bank meeting the qualifications specified in clause (2) above;</w:t>
      </w:r>
    </w:p>
    <w:p>
      <w:pPr>
        <w:spacing w:after="0" w:line="170" w:lineRule="exact"/>
        <w:rPr>
          <w:rFonts w:ascii="Arial" w:cs="Arial" w:eastAsia="Arial" w:hAnsi="Arial"/>
          <w:sz w:val="18"/>
          <w:szCs w:val="18"/>
          <w:color w:val="131313"/>
        </w:rPr>
      </w:pPr>
    </w:p>
    <w:p>
      <w:pPr>
        <w:ind w:left="-8" w:right="280" w:firstLine="656"/>
        <w:spacing w:after="0" w:line="277" w:lineRule="auto"/>
        <w:tabs>
          <w:tab w:leader="none" w:pos="1299" w:val="left"/>
        </w:tabs>
        <w:numPr>
          <w:ilvl w:val="1"/>
          <w:numId w:val="13"/>
        </w:numPr>
        <w:rPr>
          <w:rFonts w:ascii="Arial" w:cs="Arial" w:eastAsia="Arial" w:hAnsi="Arial"/>
          <w:sz w:val="18"/>
          <w:szCs w:val="18"/>
          <w:color w:val="131313"/>
        </w:rPr>
      </w:pPr>
      <w:r>
        <w:rPr>
          <w:rFonts w:ascii="Arial" w:cs="Arial" w:eastAsia="Arial" w:hAnsi="Arial"/>
          <w:sz w:val="18"/>
          <w:szCs w:val="18"/>
          <w:color w:val="131313"/>
        </w:rPr>
        <w:t>other investment instruments having maturities within 180 days from the date of acquisition thereof offered or sponsored by financial institutions having capital and surplus in excess of $500,000,000;</w:t>
      </w:r>
    </w:p>
    <w:p>
      <w:pPr>
        <w:spacing w:after="0" w:line="170" w:lineRule="exact"/>
        <w:rPr>
          <w:rFonts w:ascii="Arial" w:cs="Arial" w:eastAsia="Arial" w:hAnsi="Arial"/>
          <w:sz w:val="18"/>
          <w:szCs w:val="18"/>
          <w:color w:val="131313"/>
        </w:rPr>
      </w:pPr>
    </w:p>
    <w:p>
      <w:pPr>
        <w:ind w:left="-8" w:firstLine="656"/>
        <w:spacing w:after="0" w:line="286" w:lineRule="auto"/>
        <w:tabs>
          <w:tab w:leader="none" w:pos="1299" w:val="left"/>
        </w:tabs>
        <w:numPr>
          <w:ilvl w:val="1"/>
          <w:numId w:val="13"/>
        </w:numPr>
        <w:rPr>
          <w:rFonts w:ascii="Arial" w:cs="Arial" w:eastAsia="Arial" w:hAnsi="Arial"/>
          <w:sz w:val="17"/>
          <w:szCs w:val="17"/>
          <w:color w:val="131313"/>
        </w:rPr>
      </w:pPr>
      <w:r>
        <w:rPr>
          <w:rFonts w:ascii="Arial" w:cs="Arial" w:eastAsia="Arial" w:hAnsi="Arial"/>
          <w:sz w:val="17"/>
          <w:szCs w:val="17"/>
          <w:color w:val="131313"/>
        </w:rPr>
        <w:t xml:space="preserve">readily marketable direct obligations issued by any state of the United States or any political subdivision thereof having maturities within 180 days from the date of acquisition thereof and having, at the time of acquisition thereof, one of the two highest rating categories obtainable from either Moody’s or S&amp;P (or if at such time </w:t>
      </w:r>
      <w:r>
        <w:rPr>
          <w:rFonts w:ascii="Arial" w:cs="Arial" w:eastAsia="Arial" w:hAnsi="Arial"/>
          <w:sz w:val="17"/>
          <w:szCs w:val="17"/>
          <w:color w:val="121212"/>
        </w:rPr>
        <w:t>neither is issuing ratings, then a comparable rating of another nationally recognized rating agency);</w:t>
      </w:r>
    </w:p>
    <w:p>
      <w:pPr>
        <w:spacing w:after="0" w:line="165" w:lineRule="exact"/>
        <w:rPr>
          <w:rFonts w:ascii="Arial" w:cs="Arial" w:eastAsia="Arial" w:hAnsi="Arial"/>
          <w:sz w:val="17"/>
          <w:szCs w:val="17"/>
          <w:color w:val="131313"/>
        </w:rPr>
      </w:pPr>
    </w:p>
    <w:p>
      <w:pPr>
        <w:ind w:left="-8" w:right="120" w:firstLine="656"/>
        <w:spacing w:after="0" w:line="263" w:lineRule="auto"/>
        <w:tabs>
          <w:tab w:leader="none" w:pos="1299" w:val="left"/>
        </w:tabs>
        <w:numPr>
          <w:ilvl w:val="1"/>
          <w:numId w:val="13"/>
        </w:numPr>
        <w:rPr>
          <w:rFonts w:ascii="Arial" w:cs="Arial" w:eastAsia="Arial" w:hAnsi="Arial"/>
          <w:sz w:val="18"/>
          <w:szCs w:val="18"/>
          <w:color w:val="121212"/>
        </w:rPr>
      </w:pPr>
      <w:r>
        <w:rPr>
          <w:rFonts w:ascii="Arial" w:cs="Arial" w:eastAsia="Arial" w:hAnsi="Arial"/>
          <w:sz w:val="18"/>
          <w:szCs w:val="18"/>
          <w:color w:val="121212"/>
        </w:rPr>
        <w:t xml:space="preserve">commercial paper rated, at the time of acquisition thereof, at least A-2 or the equivalent thereof by S&amp;P or at least P-2 or the equivalent thereof by Moody’s (or </w:t>
      </w:r>
      <w:r>
        <w:rPr>
          <w:rFonts w:ascii="Arial" w:cs="Arial" w:eastAsia="Arial" w:hAnsi="Arial"/>
          <w:sz w:val="18"/>
          <w:szCs w:val="18"/>
          <w:color w:val="000000"/>
        </w:rPr>
        <w:t>if</w:t>
      </w:r>
      <w:r>
        <w:rPr>
          <w:rFonts w:ascii="Arial" w:cs="Arial" w:eastAsia="Arial" w:hAnsi="Arial"/>
          <w:sz w:val="18"/>
          <w:szCs w:val="18"/>
          <w:color w:val="121212"/>
        </w:rPr>
        <w:t xml:space="preserve"> at such time neither is issuing ratings, then a comparable rating of another nationally recognized rating agency), in each case maturing within one year after the date of acquisition;</w:t>
      </w:r>
    </w:p>
    <w:p>
      <w:pPr>
        <w:spacing w:after="0" w:line="183" w:lineRule="exact"/>
        <w:rPr>
          <w:rFonts w:ascii="Arial" w:cs="Arial" w:eastAsia="Arial" w:hAnsi="Arial"/>
          <w:sz w:val="18"/>
          <w:szCs w:val="18"/>
          <w:color w:val="121212"/>
        </w:rPr>
      </w:pPr>
    </w:p>
    <w:p>
      <w:pPr>
        <w:ind w:left="1312" w:hanging="664"/>
        <w:spacing w:after="0"/>
        <w:tabs>
          <w:tab w:leader="none" w:pos="1312" w:val="left"/>
        </w:tabs>
        <w:numPr>
          <w:ilvl w:val="1"/>
          <w:numId w:val="13"/>
        </w:numPr>
        <w:rPr>
          <w:rFonts w:ascii="Arial" w:cs="Arial" w:eastAsia="Arial" w:hAnsi="Arial"/>
          <w:sz w:val="16"/>
          <w:szCs w:val="16"/>
          <w:color w:val="121212"/>
        </w:rPr>
      </w:pPr>
      <w:r>
        <w:rPr>
          <w:rFonts w:ascii="Arial" w:cs="Arial" w:eastAsia="Arial" w:hAnsi="Arial"/>
          <w:sz w:val="16"/>
          <w:szCs w:val="16"/>
          <w:color w:val="121212"/>
        </w:rPr>
        <w:t>investments in money market funds which invest substantially all their assets in securities of the types described in clauses (1) through</w:t>
      </w:r>
    </w:p>
    <w:p>
      <w:pPr>
        <w:spacing w:after="0" w:line="46" w:lineRule="exact"/>
        <w:rPr>
          <w:rFonts w:ascii="Arial" w:cs="Arial" w:eastAsia="Arial" w:hAnsi="Arial"/>
          <w:sz w:val="16"/>
          <w:szCs w:val="16"/>
          <w:color w:val="121212"/>
        </w:rPr>
      </w:pPr>
    </w:p>
    <w:p>
      <w:pPr>
        <w:ind w:left="252" w:hanging="252"/>
        <w:spacing w:after="0"/>
        <w:tabs>
          <w:tab w:leader="none" w:pos="252" w:val="left"/>
        </w:tabs>
        <w:numPr>
          <w:ilvl w:val="0"/>
          <w:numId w:val="14"/>
        </w:numPr>
        <w:rPr>
          <w:rFonts w:ascii="Arial" w:cs="Arial" w:eastAsia="Arial" w:hAnsi="Arial"/>
          <w:sz w:val="18"/>
          <w:szCs w:val="18"/>
          <w:color w:val="121212"/>
        </w:rPr>
      </w:pPr>
      <w:r>
        <w:rPr>
          <w:rFonts w:ascii="Arial" w:cs="Arial" w:eastAsia="Arial" w:hAnsi="Arial"/>
          <w:sz w:val="18"/>
          <w:szCs w:val="18"/>
          <w:color w:val="121212"/>
        </w:rPr>
        <w:t>above;</w:t>
      </w:r>
    </w:p>
    <w:p>
      <w:pPr>
        <w:spacing w:after="0" w:line="210" w:lineRule="exact"/>
        <w:rPr>
          <w:rFonts w:ascii="Arial" w:cs="Arial" w:eastAsia="Arial" w:hAnsi="Arial"/>
          <w:sz w:val="18"/>
          <w:szCs w:val="18"/>
          <w:color w:val="121212"/>
        </w:rPr>
      </w:pPr>
    </w:p>
    <w:p>
      <w:pPr>
        <w:ind w:left="-8" w:firstLine="656"/>
        <w:spacing w:after="0" w:line="269" w:lineRule="auto"/>
        <w:tabs>
          <w:tab w:leader="none" w:pos="1299" w:val="left"/>
        </w:tabs>
        <w:numPr>
          <w:ilvl w:val="1"/>
          <w:numId w:val="14"/>
        </w:numPr>
        <w:rPr>
          <w:rFonts w:ascii="Arial" w:cs="Arial" w:eastAsia="Arial" w:hAnsi="Arial"/>
          <w:sz w:val="17"/>
          <w:szCs w:val="17"/>
          <w:color w:val="121212"/>
        </w:rPr>
      </w:pPr>
      <w:r>
        <w:rPr>
          <w:rFonts w:ascii="Arial" w:cs="Arial" w:eastAsia="Arial" w:hAnsi="Arial"/>
          <w:sz w:val="17"/>
          <w:szCs w:val="17"/>
          <w:color w:val="auto"/>
        </w:rPr>
        <w:t xml:space="preserve">in </w:t>
      </w:r>
      <w:r>
        <w:rPr>
          <w:rFonts w:ascii="Arial" w:cs="Arial" w:eastAsia="Arial" w:hAnsi="Arial"/>
          <w:sz w:val="17"/>
          <w:szCs w:val="17"/>
          <w:color w:val="121212"/>
        </w:rPr>
        <w:t>the case of any Foreign Subsidiary of the Company, (x) certificates of deposit or bankers’ acceptances of any bank organized under the</w:t>
      </w:r>
      <w:r>
        <w:rPr>
          <w:rFonts w:ascii="Arial" w:cs="Arial" w:eastAsia="Arial" w:hAnsi="Arial"/>
          <w:sz w:val="17"/>
          <w:szCs w:val="17"/>
          <w:color w:val="auto"/>
        </w:rPr>
        <w:t xml:space="preserve"> </w:t>
      </w:r>
      <w:r>
        <w:rPr>
          <w:rFonts w:ascii="Arial" w:cs="Arial" w:eastAsia="Arial" w:hAnsi="Arial"/>
          <w:sz w:val="17"/>
          <w:szCs w:val="17"/>
          <w:color w:val="121212"/>
        </w:rPr>
        <w:t xml:space="preserve">laws of Canada, Japan or any country that is a member of the European economic and monetary union pursuant to the Treaty whose short-term commercial paper, at the time of acquisition thereof, is rated at least A-2 or the equivalent thereof by S&amp;P or at least P-2 or the equivalent thereof by Moody’s (or if at such time neither is issuing ratings, then a comparable rating of another nationally recognized rating agency), or, </w:t>
      </w:r>
      <w:r>
        <w:rPr>
          <w:rFonts w:ascii="Arial" w:cs="Arial" w:eastAsia="Arial" w:hAnsi="Arial"/>
          <w:sz w:val="17"/>
          <w:szCs w:val="17"/>
          <w:color w:val="000000"/>
        </w:rPr>
        <w:t>if</w:t>
      </w:r>
      <w:r>
        <w:rPr>
          <w:rFonts w:ascii="Arial" w:cs="Arial" w:eastAsia="Arial" w:hAnsi="Arial"/>
          <w:sz w:val="17"/>
          <w:szCs w:val="17"/>
          <w:color w:val="121212"/>
        </w:rPr>
        <w:t xml:space="preserve"> no such commercial paper rating is available, a long-term debt rating, at the time of acquisition thereof, of at least A or the equivalent thereof by S&amp;P or at least A-2 or the equivalent thereof by Moody’s (or </w:t>
      </w:r>
      <w:r>
        <w:rPr>
          <w:rFonts w:ascii="Arial" w:cs="Arial" w:eastAsia="Arial" w:hAnsi="Arial"/>
          <w:sz w:val="17"/>
          <w:szCs w:val="17"/>
          <w:color w:val="000000"/>
        </w:rPr>
        <w:t>if</w:t>
      </w:r>
      <w:r>
        <w:rPr>
          <w:rFonts w:ascii="Arial" w:cs="Arial" w:eastAsia="Arial" w:hAnsi="Arial"/>
          <w:sz w:val="17"/>
          <w:szCs w:val="17"/>
          <w:color w:val="121212"/>
        </w:rPr>
        <w:t xml:space="preserve"> at such </w:t>
      </w:r>
      <w:r>
        <w:rPr>
          <w:rFonts w:ascii="Arial" w:cs="Arial" w:eastAsia="Arial" w:hAnsi="Arial"/>
          <w:sz w:val="17"/>
          <w:szCs w:val="17"/>
          <w:color w:val="000000"/>
        </w:rPr>
        <w:t>time</w:t>
      </w:r>
      <w:r>
        <w:rPr>
          <w:rFonts w:ascii="Arial" w:cs="Arial" w:eastAsia="Arial" w:hAnsi="Arial"/>
          <w:sz w:val="17"/>
          <w:szCs w:val="17"/>
          <w:color w:val="121212"/>
        </w:rPr>
        <w:t xml:space="preserve"> neither is issuing ratings, then a comparable rating of another nationally recognized rating agency), in each case maturing not more than one year from the date of acquisition by such Foreign Subsidiary, (y) overnight deposits and demand Deposit Accounts maintained with any bank that such Foreign Subsidiary regularly transacts business and (z) securities of the type </w:t>
      </w:r>
      <w:r>
        <w:rPr>
          <w:rFonts w:ascii="Arial" w:cs="Arial" w:eastAsia="Arial" w:hAnsi="Arial"/>
          <w:sz w:val="17"/>
          <w:szCs w:val="17"/>
          <w:color w:val="000000"/>
        </w:rPr>
        <w:t>and</w:t>
      </w:r>
      <w:r>
        <w:rPr>
          <w:rFonts w:ascii="Arial" w:cs="Arial" w:eastAsia="Arial" w:hAnsi="Arial"/>
          <w:sz w:val="17"/>
          <w:szCs w:val="17"/>
          <w:color w:val="121212"/>
        </w:rPr>
        <w:t xml:space="preserve"> maturity described in clause (1) above but issued by the principal governmental authority </w:t>
      </w:r>
      <w:r>
        <w:rPr>
          <w:rFonts w:ascii="Arial" w:cs="Arial" w:eastAsia="Arial" w:hAnsi="Arial"/>
          <w:sz w:val="17"/>
          <w:szCs w:val="17"/>
          <w:color w:val="000000"/>
        </w:rPr>
        <w:t>in</w:t>
      </w:r>
      <w:r>
        <w:rPr>
          <w:rFonts w:ascii="Arial" w:cs="Arial" w:eastAsia="Arial" w:hAnsi="Arial"/>
          <w:sz w:val="17"/>
          <w:szCs w:val="17"/>
          <w:color w:val="121212"/>
        </w:rPr>
        <w:t xml:space="preserve"> the jurisdiction in which such Foreign Subsidiary is organized so long as such security has the highest rating available from either S&amp;P or Moody’s;</w:t>
      </w:r>
    </w:p>
    <w:p>
      <w:pPr>
        <w:spacing w:after="0" w:line="200" w:lineRule="exact"/>
        <w:rPr>
          <w:sz w:val="20"/>
          <w:szCs w:val="20"/>
          <w:color w:val="auto"/>
        </w:rPr>
      </w:pPr>
    </w:p>
    <w:p>
      <w:pPr>
        <w:spacing w:after="0" w:line="20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8" w:name="page19"/>
    <w:bookmarkEnd w:id="18"/>
    <w:p>
      <w:pPr>
        <w:ind w:right="560" w:firstLine="656"/>
        <w:spacing w:after="0" w:line="277" w:lineRule="auto"/>
        <w:tabs>
          <w:tab w:leader="none" w:pos="1307" w:val="left"/>
        </w:tabs>
        <w:numPr>
          <w:ilvl w:val="0"/>
          <w:numId w:val="15"/>
        </w:numPr>
        <w:rPr>
          <w:rFonts w:ascii="Arial" w:cs="Arial" w:eastAsia="Arial" w:hAnsi="Arial"/>
          <w:sz w:val="18"/>
          <w:szCs w:val="18"/>
          <w:color w:val="121212"/>
        </w:rPr>
      </w:pPr>
      <w:r>
        <w:rPr>
          <w:rFonts w:ascii="Arial" w:cs="Arial" w:eastAsia="Arial" w:hAnsi="Arial"/>
          <w:sz w:val="18"/>
          <w:szCs w:val="18"/>
          <w:color w:val="121212"/>
        </w:rPr>
        <w:t>Indebtedness or Preferred Stock issued by Persons with a rating of “A” or higher from S&amp;P or “A2” or higher from Moody’s with maturities of one year or less from the date of acquisition;</w:t>
      </w:r>
    </w:p>
    <w:p>
      <w:pPr>
        <w:spacing w:after="0" w:line="170" w:lineRule="exact"/>
        <w:rPr>
          <w:rFonts w:ascii="Arial" w:cs="Arial" w:eastAsia="Arial" w:hAnsi="Arial"/>
          <w:sz w:val="18"/>
          <w:szCs w:val="18"/>
          <w:color w:val="121212"/>
        </w:rPr>
      </w:pPr>
    </w:p>
    <w:p>
      <w:pPr>
        <w:ind w:left="1320" w:hanging="664"/>
        <w:spacing w:after="0"/>
        <w:tabs>
          <w:tab w:leader="none" w:pos="1320" w:val="left"/>
        </w:tabs>
        <w:numPr>
          <w:ilvl w:val="0"/>
          <w:numId w:val="15"/>
        </w:numPr>
        <w:rPr>
          <w:rFonts w:ascii="Arial" w:cs="Arial" w:eastAsia="Arial" w:hAnsi="Arial"/>
          <w:sz w:val="18"/>
          <w:szCs w:val="18"/>
          <w:color w:val="121212"/>
        </w:rPr>
      </w:pPr>
      <w:r>
        <w:rPr>
          <w:rFonts w:ascii="Arial" w:cs="Arial" w:eastAsia="Arial" w:hAnsi="Arial"/>
          <w:sz w:val="18"/>
          <w:szCs w:val="18"/>
          <w:color w:val="121212"/>
        </w:rPr>
        <w:t>U.S. dollars; and</w:t>
      </w:r>
    </w:p>
    <w:p>
      <w:pPr>
        <w:spacing w:after="0" w:line="225" w:lineRule="exact"/>
        <w:rPr>
          <w:rFonts w:ascii="Arial" w:cs="Arial" w:eastAsia="Arial" w:hAnsi="Arial"/>
          <w:sz w:val="18"/>
          <w:szCs w:val="18"/>
          <w:color w:val="121212"/>
        </w:rPr>
      </w:pPr>
    </w:p>
    <w:p>
      <w:pPr>
        <w:ind w:right="20" w:firstLine="656"/>
        <w:spacing w:after="0" w:line="277" w:lineRule="auto"/>
        <w:tabs>
          <w:tab w:leader="none" w:pos="1301" w:val="left"/>
        </w:tabs>
        <w:numPr>
          <w:ilvl w:val="0"/>
          <w:numId w:val="15"/>
        </w:numPr>
        <w:rPr>
          <w:rFonts w:ascii="Arial" w:cs="Arial" w:eastAsia="Arial" w:hAnsi="Arial"/>
          <w:sz w:val="18"/>
          <w:szCs w:val="18"/>
          <w:color w:val="121212"/>
        </w:rPr>
      </w:pPr>
      <w:r>
        <w:rPr>
          <w:rFonts w:ascii="Arial" w:cs="Arial" w:eastAsia="Arial" w:hAnsi="Arial"/>
          <w:sz w:val="18"/>
          <w:szCs w:val="18"/>
          <w:color w:val="121212"/>
        </w:rPr>
        <w:t xml:space="preserve">Canadian dollars, Japanese yen, pounds sterling, Euros or, </w:t>
      </w:r>
      <w:r>
        <w:rPr>
          <w:rFonts w:ascii="Arial" w:cs="Arial" w:eastAsia="Arial" w:hAnsi="Arial"/>
          <w:sz w:val="18"/>
          <w:szCs w:val="18"/>
          <w:color w:val="000000"/>
        </w:rPr>
        <w:t>in</w:t>
      </w:r>
      <w:r>
        <w:rPr>
          <w:rFonts w:ascii="Arial" w:cs="Arial" w:eastAsia="Arial" w:hAnsi="Arial"/>
          <w:sz w:val="18"/>
          <w:szCs w:val="18"/>
          <w:color w:val="121212"/>
        </w:rPr>
        <w:t xml:space="preserve"> the case of any Foreign Subsidiary that is a Restricted Subsidiary, such local currencies held by it from time to time in </w:t>
      </w:r>
      <w:r>
        <w:rPr>
          <w:rFonts w:ascii="Arial" w:cs="Arial" w:eastAsia="Arial" w:hAnsi="Arial"/>
          <w:sz w:val="18"/>
          <w:szCs w:val="18"/>
          <w:color w:val="000000"/>
        </w:rPr>
        <w:t>the</w:t>
      </w:r>
      <w:r>
        <w:rPr>
          <w:rFonts w:ascii="Arial" w:cs="Arial" w:eastAsia="Arial" w:hAnsi="Arial"/>
          <w:sz w:val="18"/>
          <w:szCs w:val="18"/>
          <w:color w:val="121212"/>
        </w:rPr>
        <w:t xml:space="preserve"> ordinary course of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w:t>
      </w:r>
      <w:r>
        <w:rPr>
          <w:rFonts w:ascii="Arial" w:cs="Arial" w:eastAsia="Arial" w:hAnsi="Arial"/>
          <w:sz w:val="18"/>
          <w:szCs w:val="18"/>
          <w:color w:val="auto"/>
        </w:rPr>
        <w:t>” means any casualty, loss or damage with respect to real or personal property or improvements.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means any Subsidiary organized under the laws of any jurisdiction other than the United States of America, any state thereof or the District of Columbia, that is a “controlled foreign corporation” for purposes of Section 957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right="120" w:firstLine="656"/>
        <w:spacing w:after="0" w:line="263" w:lineRule="auto"/>
        <w:tabs>
          <w:tab w:leader="none" w:pos="1307"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the sale, lease or transfer, in one or a series of related transactions, of all or substantially all of the assets of the Company and its Subsidiaries, taken as a whole, to </w:t>
      </w:r>
      <w:r>
        <w:rPr>
          <w:rFonts w:ascii="Arial" w:cs="Arial" w:eastAsia="Arial" w:hAnsi="Arial"/>
          <w:sz w:val="18"/>
          <w:szCs w:val="18"/>
          <w:color w:val="121212"/>
        </w:rPr>
        <w:t>any Person other than a Permitted Holder or a group (as defined in clause (2) below) of which Permitted Holders control</w:t>
      </w:r>
      <w:r>
        <w:rPr>
          <w:rFonts w:ascii="Arial" w:cs="Arial" w:eastAsia="Arial" w:hAnsi="Arial"/>
          <w:sz w:val="18"/>
          <w:szCs w:val="18"/>
          <w:color w:val="auto"/>
        </w:rPr>
        <w:t xml:space="preserve"> </w:t>
      </w:r>
      <w:r>
        <w:rPr>
          <w:rFonts w:ascii="Arial" w:cs="Arial" w:eastAsia="Arial" w:hAnsi="Arial"/>
          <w:sz w:val="18"/>
          <w:szCs w:val="18"/>
          <w:color w:val="121212"/>
        </w:rPr>
        <w:t xml:space="preserve">more </w:t>
      </w:r>
      <w:r>
        <w:rPr>
          <w:rFonts w:ascii="Arial" w:cs="Arial" w:eastAsia="Arial" w:hAnsi="Arial"/>
          <w:sz w:val="18"/>
          <w:szCs w:val="18"/>
          <w:color w:val="000000"/>
        </w:rPr>
        <w:t>than</w:t>
      </w:r>
      <w:r>
        <w:rPr>
          <w:rFonts w:ascii="Arial" w:cs="Arial" w:eastAsia="Arial" w:hAnsi="Arial"/>
          <w:sz w:val="18"/>
          <w:szCs w:val="18"/>
          <w:color w:val="121212"/>
        </w:rPr>
        <w:t xml:space="preserve"> 50% of the total voting power of the Voting Stock of the Company owned by such group, or</w:t>
      </w:r>
    </w:p>
    <w:p>
      <w:pPr>
        <w:spacing w:after="0" w:line="183" w:lineRule="exact"/>
        <w:rPr>
          <w:rFonts w:ascii="Arial" w:cs="Arial" w:eastAsia="Arial" w:hAnsi="Arial"/>
          <w:sz w:val="18"/>
          <w:szCs w:val="18"/>
          <w:color w:val="auto"/>
        </w:rPr>
      </w:pPr>
    </w:p>
    <w:p>
      <w:pPr>
        <w:ind w:firstLine="656"/>
        <w:spacing w:after="0" w:line="287" w:lineRule="auto"/>
        <w:tabs>
          <w:tab w:leader="none" w:pos="1307" w:val="left"/>
        </w:tabs>
        <w:numPr>
          <w:ilvl w:val="1"/>
          <w:numId w:val="16"/>
        </w:numPr>
        <w:rPr>
          <w:rFonts w:ascii="Arial" w:cs="Arial" w:eastAsia="Arial" w:hAnsi="Arial"/>
          <w:sz w:val="16"/>
          <w:szCs w:val="16"/>
          <w:color w:val="121212"/>
        </w:rPr>
      </w:pPr>
      <w:r>
        <w:rPr>
          <w:rFonts w:ascii="Arial" w:cs="Arial" w:eastAsia="Arial" w:hAnsi="Arial"/>
          <w:sz w:val="16"/>
          <w:szCs w:val="16"/>
          <w:color w:val="121212"/>
        </w:rPr>
        <w:t>the Company becomes aware of (by way of a report or any other filing pursuant to Section 13(d) of the Exchange Act, proxy, vote, written notice or otherwise) the acquisition by any Person or group (within the meaning of Section 13(d)(3) or Section 14(d)(2) of the Exchange Act, or any successor provision), including any group acting for the purpose of acquiring, holding or disposing of securities (within the meaning of Rule 13d-5(b)</w:t>
      </w:r>
    </w:p>
    <w:p>
      <w:pPr>
        <w:spacing w:after="0" w:line="2" w:lineRule="exact"/>
        <w:rPr>
          <w:rFonts w:ascii="Arial" w:cs="Arial" w:eastAsia="Arial" w:hAnsi="Arial"/>
          <w:sz w:val="16"/>
          <w:szCs w:val="16"/>
          <w:color w:val="121212"/>
        </w:rPr>
      </w:pPr>
    </w:p>
    <w:p>
      <w:pPr>
        <w:ind w:right="20" w:firstLine="8"/>
        <w:spacing w:after="0" w:line="295" w:lineRule="auto"/>
        <w:tabs>
          <w:tab w:leader="none" w:pos="215" w:val="left"/>
        </w:tabs>
        <w:numPr>
          <w:ilvl w:val="0"/>
          <w:numId w:val="17"/>
        </w:numPr>
        <w:rPr>
          <w:rFonts w:ascii="Arial" w:cs="Arial" w:eastAsia="Arial" w:hAnsi="Arial"/>
          <w:sz w:val="16"/>
          <w:szCs w:val="16"/>
          <w:color w:val="121212"/>
        </w:rPr>
      </w:pPr>
      <w:r>
        <w:rPr>
          <w:rFonts w:ascii="Arial" w:cs="Arial" w:eastAsia="Arial" w:hAnsi="Arial"/>
          <w:sz w:val="16"/>
          <w:szCs w:val="16"/>
          <w:color w:val="121212"/>
        </w:rPr>
        <w:t>under the Exchange Act, or any successor provision), other than the Permitted Holders, or a group of which Permitted Holders control more than 50% of the total voting power of the Voting Stock of the Company owned by such group, in a single transaction or in a series of related transactions, by way of merger, consolidation or other business combination or purchase of beneficial ownership (within the meaning of Rule 13d-3 under the Exchange Act, or any successor provision) of 50% or more of the total voting power of the Voting Stock of the Company or any of its direct or indirect parent companies.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20" w:firstLine="648"/>
        <w:spacing w:after="0" w:line="291" w:lineRule="auto"/>
        <w:rPr>
          <w:sz w:val="20"/>
          <w:szCs w:val="20"/>
          <w:color w:val="auto"/>
        </w:rPr>
      </w:pPr>
      <w:r>
        <w:rPr>
          <w:rFonts w:ascii="Arial" w:cs="Arial" w:eastAsia="Arial" w:hAnsi="Arial"/>
          <w:sz w:val="16"/>
          <w:szCs w:val="16"/>
          <w:color w:val="121212"/>
        </w:rPr>
        <w:t xml:space="preserve">Notwithstanding the foregoing, (i) a transaction in which the Company or any direct or indirect parent of the Company becomes </w:t>
      </w:r>
      <w:r>
        <w:rPr>
          <w:rFonts w:ascii="Arial" w:cs="Arial" w:eastAsia="Arial" w:hAnsi="Arial"/>
          <w:sz w:val="16"/>
          <w:szCs w:val="16"/>
          <w:color w:val="000000"/>
        </w:rPr>
        <w:t>a</w:t>
      </w:r>
      <w:r>
        <w:rPr>
          <w:rFonts w:ascii="Arial" w:cs="Arial" w:eastAsia="Arial" w:hAnsi="Arial"/>
          <w:sz w:val="16"/>
          <w:szCs w:val="16"/>
          <w:color w:val="121212"/>
        </w:rPr>
        <w:t xml:space="preserve"> Subsidiary of another Person (other than </w:t>
      </w:r>
      <w:r>
        <w:rPr>
          <w:rFonts w:ascii="Arial" w:cs="Arial" w:eastAsia="Arial" w:hAnsi="Arial"/>
          <w:sz w:val="16"/>
          <w:szCs w:val="16"/>
          <w:color w:val="000000"/>
        </w:rPr>
        <w:t>a</w:t>
      </w:r>
      <w:r>
        <w:rPr>
          <w:rFonts w:ascii="Arial" w:cs="Arial" w:eastAsia="Arial" w:hAnsi="Arial"/>
          <w:sz w:val="16"/>
          <w:szCs w:val="16"/>
          <w:color w:val="121212"/>
        </w:rPr>
        <w:t xml:space="preserve"> Person that is an individual, such Person that is not an individual, the “</w:t>
      </w:r>
      <w:r>
        <w:rPr>
          <w:rFonts w:ascii="Arial" w:cs="Arial" w:eastAsia="Arial" w:hAnsi="Arial"/>
          <w:sz w:val="16"/>
          <w:szCs w:val="16"/>
          <w:i w:val="1"/>
          <w:iCs w:val="1"/>
          <w:color w:val="121212"/>
        </w:rPr>
        <w:t>New Parent</w:t>
      </w:r>
      <w:r>
        <w:rPr>
          <w:rFonts w:ascii="Arial" w:cs="Arial" w:eastAsia="Arial" w:hAnsi="Arial"/>
          <w:sz w:val="16"/>
          <w:szCs w:val="16"/>
          <w:color w:val="121212"/>
        </w:rPr>
        <w:t>”) shall not constitute a Change of Control if</w:t>
      </w:r>
    </w:p>
    <w:p>
      <w:pPr>
        <w:ind w:right="20" w:firstLine="8"/>
        <w:spacing w:after="0" w:line="267" w:lineRule="auto"/>
        <w:tabs>
          <w:tab w:leader="none" w:pos="245" w:val="left"/>
        </w:tabs>
        <w:numPr>
          <w:ilvl w:val="0"/>
          <w:numId w:val="18"/>
        </w:numPr>
        <w:rPr>
          <w:rFonts w:ascii="Arial" w:cs="Arial" w:eastAsia="Arial" w:hAnsi="Arial"/>
          <w:sz w:val="17"/>
          <w:szCs w:val="17"/>
          <w:color w:val="121212"/>
        </w:rPr>
      </w:pPr>
      <w:r>
        <w:rPr>
          <w:rFonts w:ascii="Arial" w:cs="Arial" w:eastAsia="Arial" w:hAnsi="Arial"/>
          <w:sz w:val="17"/>
          <w:szCs w:val="17"/>
          <w:color w:val="121212"/>
        </w:rPr>
        <w:t xml:space="preserve">the shareholders of the Company or such parent immediately prior to such transaction “beneficially own” (as </w:t>
      </w:r>
      <w:r>
        <w:rPr>
          <w:rFonts w:ascii="Arial" w:cs="Arial" w:eastAsia="Arial" w:hAnsi="Arial"/>
          <w:sz w:val="17"/>
          <w:szCs w:val="17"/>
          <w:color w:val="000000"/>
        </w:rPr>
        <w:t>such</w:t>
      </w:r>
      <w:r>
        <w:rPr>
          <w:rFonts w:ascii="Arial" w:cs="Arial" w:eastAsia="Arial" w:hAnsi="Arial"/>
          <w:sz w:val="17"/>
          <w:szCs w:val="17"/>
          <w:color w:val="121212"/>
        </w:rPr>
        <w:t xml:space="preserve"> term is defined in Rule </w:t>
      </w:r>
      <w:r>
        <w:rPr>
          <w:rFonts w:ascii="Arial" w:cs="Arial" w:eastAsia="Arial" w:hAnsi="Arial"/>
          <w:sz w:val="17"/>
          <w:szCs w:val="17"/>
          <w:color w:val="000000"/>
        </w:rPr>
        <w:t>1</w:t>
      </w:r>
      <w:r>
        <w:rPr>
          <w:rFonts w:ascii="Arial" w:cs="Arial" w:eastAsia="Arial" w:hAnsi="Arial"/>
          <w:sz w:val="17"/>
          <w:szCs w:val="17"/>
          <w:color w:val="121212"/>
        </w:rPr>
        <w:t xml:space="preserve">3d-3 and Rule </w:t>
      </w:r>
      <w:r>
        <w:rPr>
          <w:rFonts w:ascii="Arial" w:cs="Arial" w:eastAsia="Arial" w:hAnsi="Arial"/>
          <w:sz w:val="17"/>
          <w:szCs w:val="17"/>
          <w:color w:val="000000"/>
        </w:rPr>
        <w:t>1</w:t>
      </w:r>
      <w:r>
        <w:rPr>
          <w:rFonts w:ascii="Arial" w:cs="Arial" w:eastAsia="Arial" w:hAnsi="Arial"/>
          <w:sz w:val="17"/>
          <w:szCs w:val="17"/>
          <w:color w:val="121212"/>
        </w:rPr>
        <w:t xml:space="preserve">3d-5 under the Exchange Act), directly or indirectly through one or more intermediaries, at least a majority of the voting power of the outstanding voting stock of such parent immediately following the consummation of such transaction or (b) immediately following the consummation of such transaction, no Person, other than a Permitted Holder or a group (as defined in clause (2) above) of Permitted Holders which control more than 50% of the total voting power of the Voting Stock of the Company and the New Parent, “beneficially owns” (as such term is defined above), directly or indirectly through one or more intermediaries, more than 50% of the voting power of the outstanding Voting Stock of </w:t>
      </w:r>
      <w:r>
        <w:rPr>
          <w:rFonts w:ascii="Arial" w:cs="Arial" w:eastAsia="Arial" w:hAnsi="Arial"/>
          <w:sz w:val="17"/>
          <w:szCs w:val="17"/>
          <w:color w:val="000000"/>
        </w:rPr>
        <w:t>the</w:t>
      </w:r>
      <w:r>
        <w:rPr>
          <w:rFonts w:ascii="Arial" w:cs="Arial" w:eastAsia="Arial" w:hAnsi="Arial"/>
          <w:sz w:val="17"/>
          <w:szCs w:val="17"/>
          <w:color w:val="121212"/>
        </w:rPr>
        <w:t xml:space="preserve"> Company or the New Parent; (ii) any holding company whose only significant asset is Capital Stock of the Company or any other direct or indirect parent of the Company shall not itself be considered a Person or “group” for purposes of this definition; (iii) the transfer of assets between or among the Restricted Subsidiaries and the Company in accordance with the terms of this Indenture shall not itself constitute a Change of Control; (iv) a Person or “group” shall not be deemed to have beneficial ownership of securities (or “beneficially own” (as such term is defined in Rule 13d-3 and Rule 13d-5 under the Exchange Act)) subject to a stock purchase agreement, merger agreement or similar agreement (or voting or option agreement related thereto) until the consummation of the transactions contemplated by such agreement; (v) any of the events described above in clauses (1) and (2) shall not constitute a “Change of Control” during a Fall-Away Period unless in connection therewith the ratings assigned to the Notes are withdrawn or downgraded so that the Notes no longer have an Investment Grade Rating; and (vi) any change in the relative beneficial ownership of the Permitted Holders that does not alter the overall beneficial ownership of the Permitted </w:t>
      </w:r>
      <w:r>
        <w:rPr>
          <w:rFonts w:ascii="Arial" w:cs="Arial" w:eastAsia="Arial" w:hAnsi="Arial"/>
          <w:sz w:val="17"/>
          <w:szCs w:val="17"/>
          <w:color w:val="000000"/>
        </w:rPr>
        <w:t>Holders</w:t>
      </w:r>
      <w:r>
        <w:rPr>
          <w:rFonts w:ascii="Arial" w:cs="Arial" w:eastAsia="Arial" w:hAnsi="Arial"/>
          <w:sz w:val="17"/>
          <w:szCs w:val="17"/>
          <w:color w:val="121212"/>
        </w:rPr>
        <w:t xml:space="preserve"> shall not constitute a Change of Control.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specified in Section 10.15.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Change of Control Payment</w:t>
      </w:r>
      <w:r>
        <w:rPr>
          <w:rFonts w:ascii="Arial" w:cs="Arial" w:eastAsia="Arial" w:hAnsi="Arial"/>
          <w:sz w:val="18"/>
          <w:szCs w:val="18"/>
          <w:color w:val="131313"/>
        </w:rPr>
        <w:t xml:space="preserve">” has the meaning specified </w:t>
      </w:r>
      <w:r>
        <w:rPr>
          <w:rFonts w:ascii="Arial" w:cs="Arial" w:eastAsia="Arial" w:hAnsi="Arial"/>
          <w:sz w:val="18"/>
          <w:szCs w:val="18"/>
          <w:color w:val="000000"/>
        </w:rPr>
        <w:t>in</w:t>
      </w:r>
      <w:r>
        <w:rPr>
          <w:rFonts w:ascii="Arial" w:cs="Arial" w:eastAsia="Arial" w:hAnsi="Arial"/>
          <w:sz w:val="18"/>
          <w:szCs w:val="18"/>
          <w:color w:val="131313"/>
        </w:rPr>
        <w:t xml:space="preserve"> Section 10.15.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Change of Control Payment Date</w:t>
      </w:r>
      <w:r>
        <w:rPr>
          <w:rFonts w:ascii="Arial" w:cs="Arial" w:eastAsia="Arial" w:hAnsi="Arial"/>
          <w:sz w:val="18"/>
          <w:szCs w:val="18"/>
          <w:color w:val="131313"/>
        </w:rPr>
        <w:t>” has the meaning specified in Section 10.15.</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Chattel Paper</w:t>
      </w:r>
      <w:r>
        <w:rPr>
          <w:rFonts w:ascii="Arial" w:cs="Arial" w:eastAsia="Arial" w:hAnsi="Arial"/>
          <w:sz w:val="18"/>
          <w:szCs w:val="18"/>
          <w:color w:val="121212"/>
        </w:rPr>
        <w:t>” has the meaning specified in the UCC, and if defined in more than one Article of the UCC, the meaning given in Article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21212"/>
        </w:rPr>
        <w:t>thereof.</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Class</w:t>
      </w:r>
      <w:r>
        <w:rPr>
          <w:rFonts w:ascii="Arial" w:cs="Arial" w:eastAsia="Arial" w:hAnsi="Arial"/>
          <w:sz w:val="18"/>
          <w:szCs w:val="18"/>
          <w:color w:val="121212"/>
        </w:rPr>
        <w:t>” means (1) in the case of Parity Lien Notes Obligations, every Series of Parity Lien Notes Debt and all other Parity Lien Notes Obligations, taken together, and (2) in the case of Priority Lien Notes Obligations, every Series of Priority Lien Notes Debt and all other Priority Lien Notes Obligations, taken together.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131313"/>
        </w:rPr>
        <w:t>“</w:t>
      </w:r>
      <w:r>
        <w:rPr>
          <w:rFonts w:ascii="Arial" w:cs="Arial" w:eastAsia="Arial" w:hAnsi="Arial"/>
          <w:sz w:val="16"/>
          <w:szCs w:val="16"/>
          <w:i w:val="1"/>
          <w:iCs w:val="1"/>
          <w:color w:val="131313"/>
        </w:rPr>
        <w:t>Code</w:t>
      </w:r>
      <w:r>
        <w:rPr>
          <w:rFonts w:ascii="Arial" w:cs="Arial" w:eastAsia="Arial" w:hAnsi="Arial"/>
          <w:sz w:val="16"/>
          <w:szCs w:val="16"/>
          <w:color w:val="131313"/>
        </w:rPr>
        <w:t>” means the Internal Revenue Code of 1986, as amended from time to time, and the regulations promulgated and rulings issued thereunder.</w:t>
      </w:r>
    </w:p>
    <w:p>
      <w:pPr>
        <w:spacing w:after="0" w:line="2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Collateral</w:t>
      </w:r>
      <w:r>
        <w:rPr>
          <w:rFonts w:ascii="Arial" w:cs="Arial" w:eastAsia="Arial" w:hAnsi="Arial"/>
          <w:sz w:val="18"/>
          <w:szCs w:val="18"/>
          <w:color w:val="131313"/>
        </w:rPr>
        <w:t>” means all of the assets and properties at any time owned or acquired by any Grantor that constitute Priority Fixed Assets Collateral or the Priority ABL Collateral.</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000000"/>
        </w:rPr>
        <w:t>Collateral Documents</w:t>
      </w:r>
      <w:r>
        <w:rPr>
          <w:rFonts w:ascii="Arial" w:cs="Arial" w:eastAsia="Arial" w:hAnsi="Arial"/>
          <w:sz w:val="18"/>
          <w:szCs w:val="18"/>
          <w:color w:val="121212"/>
        </w:rPr>
        <w:t>” means the ABL Collateral Documents and the Permitted Notes Collateral Documents; provided, however, that for purposes of the Collateral Trust Agreement, in no event shall the term “</w:t>
      </w:r>
      <w:r>
        <w:rPr>
          <w:rFonts w:ascii="Arial" w:cs="Arial" w:eastAsia="Arial" w:hAnsi="Arial"/>
          <w:sz w:val="18"/>
          <w:szCs w:val="18"/>
          <w:color w:val="000000"/>
        </w:rPr>
        <w:t>Collateral Documents” include or refer to any documents to which the Collateral</w:t>
      </w:r>
      <w:r>
        <w:rPr>
          <w:rFonts w:ascii="Arial" w:cs="Arial" w:eastAsia="Arial" w:hAnsi="Arial"/>
          <w:sz w:val="18"/>
          <w:szCs w:val="18"/>
          <w:color w:val="121212"/>
        </w:rPr>
        <w:t xml:space="preserve"> </w:t>
      </w:r>
      <w:r>
        <w:rPr>
          <w:rFonts w:ascii="Arial" w:cs="Arial" w:eastAsia="Arial" w:hAnsi="Arial"/>
          <w:sz w:val="18"/>
          <w:szCs w:val="18"/>
          <w:color w:val="000000"/>
        </w:rPr>
        <w:t>Trustee is not a party as collateral trustee, collateral agent or similar title, or, with the knowledge of the Collateral Trustee, a named beneficiary of a document or instrument which the Company or any other Grantor is required to deliver or cause to be delivered pursuant to a Collateral Document or this Indenture.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Trust Agreement</w:t>
      </w:r>
      <w:r>
        <w:rPr>
          <w:rFonts w:ascii="Arial" w:cs="Arial" w:eastAsia="Arial" w:hAnsi="Arial"/>
          <w:sz w:val="18"/>
          <w:szCs w:val="18"/>
          <w:color w:val="auto"/>
        </w:rPr>
        <w:t xml:space="preserve">” means that certain Collateral Trust Agreement, dated as of the Issue Date, by and among the Company, the Guarantors, the Collateral Trustee and the Trustee, </w:t>
      </w:r>
      <w:r>
        <w:rPr>
          <w:rFonts w:ascii="Arial" w:cs="Arial" w:eastAsia="Arial" w:hAnsi="Arial"/>
          <w:sz w:val="18"/>
          <w:szCs w:val="18"/>
          <w:color w:val="121212"/>
        </w:rPr>
        <w:t>as it may be amended from time to time</w:t>
      </w:r>
      <w:r>
        <w:rPr>
          <w:rFonts w:ascii="Arial" w:cs="Arial" w:eastAsia="Arial" w:hAnsi="Arial"/>
          <w:sz w:val="18"/>
          <w:szCs w:val="18"/>
          <w:color w:val="auto"/>
        </w:rPr>
        <w:t>.</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Trustee</w:t>
      </w:r>
      <w:r>
        <w:rPr>
          <w:rFonts w:ascii="Arial" w:cs="Arial" w:eastAsia="Arial" w:hAnsi="Arial"/>
          <w:sz w:val="18"/>
          <w:szCs w:val="18"/>
          <w:color w:val="auto"/>
        </w:rPr>
        <w:t xml:space="preserve">” means </w:t>
      </w:r>
      <w:r>
        <w:rPr>
          <w:rFonts w:ascii="Arial" w:cs="Arial" w:eastAsia="Arial" w:hAnsi="Arial"/>
          <w:sz w:val="18"/>
          <w:szCs w:val="18"/>
          <w:color w:val="121212"/>
        </w:rPr>
        <w:t>U.S. Bank National Association</w:t>
      </w:r>
      <w:r>
        <w:rPr>
          <w:rFonts w:ascii="Arial" w:cs="Arial" w:eastAsia="Arial" w:hAnsi="Arial"/>
          <w:sz w:val="18"/>
          <w:szCs w:val="18"/>
          <w:color w:val="auto"/>
        </w:rPr>
        <w:t>, in its capacity as Collateral Trustee for the Holders of Notes and holders of Parity Lien Notes Debt under the Collateral Trust Agreement, the Intercreditor Agreement and the other Security Documents, together with its successors in such capacity.</w:t>
      </w:r>
    </w:p>
    <w:p>
      <w:pPr>
        <w:spacing w:after="0" w:line="18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000000"/>
        </w:rPr>
        <w:t>Commercial Tort Claim</w:t>
      </w:r>
      <w:r>
        <w:rPr>
          <w:rFonts w:ascii="Arial" w:cs="Arial" w:eastAsia="Arial" w:hAnsi="Arial"/>
          <w:sz w:val="18"/>
          <w:szCs w:val="18"/>
          <w:color w:val="121212"/>
        </w:rPr>
        <w:t>” has the meaning specified in the UCC, and if defined in more than one Article of the UCC, the meaning given in Article 9 thereof.</w:t>
      </w:r>
    </w:p>
    <w:p>
      <w:pPr>
        <w:spacing w:after="0" w:line="17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131313"/>
        </w:rPr>
        <w:t>“</w:t>
      </w:r>
      <w:r>
        <w:rPr>
          <w:rFonts w:ascii="Arial" w:cs="Arial" w:eastAsia="Arial" w:hAnsi="Arial"/>
          <w:sz w:val="16"/>
          <w:szCs w:val="16"/>
          <w:i w:val="1"/>
          <w:iCs w:val="1"/>
          <w:color w:val="131313"/>
        </w:rPr>
        <w:t>Company</w:t>
      </w:r>
      <w:r>
        <w:rPr>
          <w:rFonts w:ascii="Arial" w:cs="Arial" w:eastAsia="Arial" w:hAnsi="Arial"/>
          <w:sz w:val="16"/>
          <w:szCs w:val="16"/>
          <w:color w:val="131313"/>
        </w:rPr>
        <w:t xml:space="preserve">” means the Person named as </w:t>
      </w:r>
      <w:r>
        <w:rPr>
          <w:rFonts w:ascii="Arial" w:cs="Arial" w:eastAsia="Arial" w:hAnsi="Arial"/>
          <w:sz w:val="16"/>
          <w:szCs w:val="16"/>
          <w:color w:val="000000"/>
        </w:rPr>
        <w:t>the</w:t>
      </w:r>
      <w:r>
        <w:rPr>
          <w:rFonts w:ascii="Arial" w:cs="Arial" w:eastAsia="Arial" w:hAnsi="Arial"/>
          <w:sz w:val="16"/>
          <w:szCs w:val="16"/>
          <w:color w:val="131313"/>
        </w:rPr>
        <w:t xml:space="preserve"> “Company” in the first paragraph of this Indenture, until a successor Person shall have become such pursuant to the applicable provisions of this Indenture, and thereafter, “Company” shall </w:t>
      </w:r>
      <w:r>
        <w:rPr>
          <w:rFonts w:ascii="Arial" w:cs="Arial" w:eastAsia="Arial" w:hAnsi="Arial"/>
          <w:sz w:val="16"/>
          <w:szCs w:val="16"/>
          <w:color w:val="000000"/>
        </w:rPr>
        <w:t>mean</w:t>
      </w:r>
      <w:r>
        <w:rPr>
          <w:rFonts w:ascii="Arial" w:cs="Arial" w:eastAsia="Arial" w:hAnsi="Arial"/>
          <w:sz w:val="16"/>
          <w:szCs w:val="16"/>
          <w:color w:val="131313"/>
        </w:rPr>
        <w:t xml:space="preserve"> such successor Person; </w:t>
      </w:r>
      <w:r>
        <w:rPr>
          <w:rFonts w:ascii="Arial" w:cs="Arial" w:eastAsia="Arial" w:hAnsi="Arial"/>
          <w:sz w:val="16"/>
          <w:szCs w:val="16"/>
          <w:i w:val="1"/>
          <w:iCs w:val="1"/>
          <w:color w:val="131313"/>
        </w:rPr>
        <w:t>provided</w:t>
      </w:r>
      <w:r>
        <w:rPr>
          <w:rFonts w:ascii="Arial" w:cs="Arial" w:eastAsia="Arial" w:hAnsi="Arial"/>
          <w:sz w:val="16"/>
          <w:szCs w:val="16"/>
          <w:color w:val="131313"/>
        </w:rPr>
        <w:t xml:space="preserve"> that when used in the context of determining </w:t>
      </w:r>
      <w:r>
        <w:rPr>
          <w:rFonts w:ascii="Arial" w:cs="Arial" w:eastAsia="Arial" w:hAnsi="Arial"/>
          <w:sz w:val="16"/>
          <w:szCs w:val="16"/>
          <w:color w:val="000000"/>
        </w:rPr>
        <w:t>the</w:t>
      </w:r>
      <w:r>
        <w:rPr>
          <w:rFonts w:ascii="Arial" w:cs="Arial" w:eastAsia="Arial" w:hAnsi="Arial"/>
          <w:sz w:val="16"/>
          <w:szCs w:val="16"/>
          <w:color w:val="131313"/>
        </w:rPr>
        <w:t xml:space="preserve"> fair market value of an asset or liability under this Indenture, “Company” shall, unless otherwise expressly stated, be deemed to mean the Board of Directors of the Company when the fair market </w:t>
      </w:r>
      <w:r>
        <w:rPr>
          <w:rFonts w:ascii="Arial" w:cs="Arial" w:eastAsia="Arial" w:hAnsi="Arial"/>
          <w:sz w:val="16"/>
          <w:szCs w:val="16"/>
          <w:color w:val="000000"/>
        </w:rPr>
        <w:t>value</w:t>
      </w:r>
      <w:r>
        <w:rPr>
          <w:rFonts w:ascii="Arial" w:cs="Arial" w:eastAsia="Arial" w:hAnsi="Arial"/>
          <w:sz w:val="16"/>
          <w:szCs w:val="16"/>
          <w:color w:val="131313"/>
        </w:rPr>
        <w:t xml:space="preserve"> of such asset or liability is equal to or in excess of $5.0 million.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131313"/>
        </w:rPr>
        <w:t>“</w:t>
      </w:r>
      <w:r>
        <w:rPr>
          <w:rFonts w:ascii="Arial" w:cs="Arial" w:eastAsia="Arial" w:hAnsi="Arial"/>
          <w:sz w:val="16"/>
          <w:szCs w:val="16"/>
          <w:i w:val="1"/>
          <w:iCs w:val="1"/>
          <w:color w:val="131313"/>
        </w:rPr>
        <w:t>Company Request</w:t>
      </w:r>
      <w:r>
        <w:rPr>
          <w:rFonts w:ascii="Arial" w:cs="Arial" w:eastAsia="Arial" w:hAnsi="Arial"/>
          <w:sz w:val="16"/>
          <w:szCs w:val="16"/>
          <w:color w:val="131313"/>
        </w:rPr>
        <w:t>” or “</w:t>
      </w:r>
      <w:r>
        <w:rPr>
          <w:rFonts w:ascii="Arial" w:cs="Arial" w:eastAsia="Arial" w:hAnsi="Arial"/>
          <w:sz w:val="16"/>
          <w:szCs w:val="16"/>
          <w:i w:val="1"/>
          <w:iCs w:val="1"/>
          <w:color w:val="131313"/>
        </w:rPr>
        <w:t>Company Order</w:t>
      </w:r>
      <w:r>
        <w:rPr>
          <w:rFonts w:ascii="Arial" w:cs="Arial" w:eastAsia="Arial" w:hAnsi="Arial"/>
          <w:sz w:val="16"/>
          <w:szCs w:val="16"/>
          <w:color w:val="131313"/>
        </w:rPr>
        <w:t>” means a written request or order signed in the name of the Company by one Officer and delivered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131313"/>
        </w:rPr>
        <w:t>Trustee.</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Condemnation</w:t>
      </w:r>
      <w:r>
        <w:rPr>
          <w:rFonts w:ascii="Arial" w:cs="Arial" w:eastAsia="Arial" w:hAnsi="Arial"/>
          <w:sz w:val="18"/>
          <w:szCs w:val="18"/>
          <w:color w:val="131313"/>
        </w:rPr>
        <w:t xml:space="preserve">” means any taking by a government of </w:t>
      </w:r>
      <w:r>
        <w:rPr>
          <w:rFonts w:ascii="Arial" w:cs="Arial" w:eastAsia="Arial" w:hAnsi="Arial"/>
          <w:sz w:val="18"/>
          <w:szCs w:val="18"/>
          <w:color w:val="000000"/>
        </w:rPr>
        <w:t>the</w:t>
      </w:r>
      <w:r>
        <w:rPr>
          <w:rFonts w:ascii="Arial" w:cs="Arial" w:eastAsia="Arial" w:hAnsi="Arial"/>
          <w:sz w:val="18"/>
          <w:szCs w:val="18"/>
          <w:color w:val="131313"/>
        </w:rPr>
        <w:t xml:space="preserv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of property or assets, or any part thereof or interest therein, for public or quasi-public use under the power of eminent domain, by reason of any public improvement or condemnation or in any other manner.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Condemnation Award</w:t>
      </w:r>
      <w:r>
        <w:rPr>
          <w:rFonts w:ascii="Arial" w:cs="Arial" w:eastAsia="Arial" w:hAnsi="Arial"/>
          <w:sz w:val="18"/>
          <w:szCs w:val="18"/>
          <w:color w:val="131313"/>
        </w:rPr>
        <w:t xml:space="preserve">” means </w:t>
      </w:r>
      <w:r>
        <w:rPr>
          <w:rFonts w:ascii="Arial" w:cs="Arial" w:eastAsia="Arial" w:hAnsi="Arial"/>
          <w:sz w:val="18"/>
          <w:szCs w:val="18"/>
          <w:color w:val="000000"/>
        </w:rPr>
        <w:t>all</w:t>
      </w:r>
      <w:r>
        <w:rPr>
          <w:rFonts w:ascii="Arial" w:cs="Arial" w:eastAsia="Arial" w:hAnsi="Arial"/>
          <w:sz w:val="18"/>
          <w:szCs w:val="18"/>
          <w:color w:val="131313"/>
        </w:rPr>
        <w:t xml:space="preserve"> proceeds of any Condemnation or transfer </w:t>
      </w:r>
      <w:r>
        <w:rPr>
          <w:rFonts w:ascii="Arial" w:cs="Arial" w:eastAsia="Arial" w:hAnsi="Arial"/>
          <w:sz w:val="18"/>
          <w:szCs w:val="18"/>
          <w:color w:val="000000"/>
        </w:rPr>
        <w:t>in</w:t>
      </w:r>
      <w:r>
        <w:rPr>
          <w:rFonts w:ascii="Arial" w:cs="Arial" w:eastAsia="Arial" w:hAnsi="Arial"/>
          <w:sz w:val="18"/>
          <w:szCs w:val="18"/>
          <w:color w:val="131313"/>
        </w:rPr>
        <w:t xml:space="preserve"> lieu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121212"/>
        </w:rPr>
        <w:t>“</w:t>
      </w:r>
      <w:r>
        <w:rPr>
          <w:rFonts w:ascii="Arial" w:cs="Arial" w:eastAsia="Arial" w:hAnsi="Arial"/>
          <w:sz w:val="17"/>
          <w:szCs w:val="17"/>
          <w:i w:val="1"/>
          <w:iCs w:val="1"/>
          <w:color w:val="121212"/>
        </w:rPr>
        <w:t>Convertible Indebtedness</w:t>
      </w:r>
      <w:r>
        <w:rPr>
          <w:rFonts w:ascii="Arial" w:cs="Arial" w:eastAsia="Arial" w:hAnsi="Arial"/>
          <w:sz w:val="17"/>
          <w:szCs w:val="17"/>
          <w:color w:val="121212"/>
        </w:rPr>
        <w:t>” means Indebtedness of the Company permitted to be incurred under the terms of this Indenture that is either</w:t>
      </w:r>
    </w:p>
    <w:p>
      <w:pPr>
        <w:spacing w:after="0" w:line="35" w:lineRule="exact"/>
        <w:rPr>
          <w:sz w:val="20"/>
          <w:szCs w:val="20"/>
          <w:color w:val="auto"/>
        </w:rPr>
      </w:pPr>
    </w:p>
    <w:p>
      <w:pPr>
        <w:ind w:right="60" w:firstLine="8"/>
        <w:spacing w:after="0" w:line="277" w:lineRule="auto"/>
        <w:tabs>
          <w:tab w:leader="none" w:pos="245" w:val="left"/>
        </w:tabs>
        <w:numPr>
          <w:ilvl w:val="0"/>
          <w:numId w:val="19"/>
        </w:numPr>
        <w:rPr>
          <w:rFonts w:ascii="Arial" w:cs="Arial" w:eastAsia="Arial" w:hAnsi="Arial"/>
          <w:sz w:val="17"/>
          <w:szCs w:val="17"/>
          <w:color w:val="121212"/>
        </w:rPr>
      </w:pPr>
      <w:r>
        <w:rPr>
          <w:rFonts w:ascii="Arial" w:cs="Arial" w:eastAsia="Arial" w:hAnsi="Arial"/>
          <w:sz w:val="17"/>
          <w:szCs w:val="17"/>
          <w:color w:val="121212"/>
        </w:rPr>
        <w:t>convertible into common stock of the Company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the Company and/or cash (in an amount determined by reference to the price of such common stock).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151515"/>
        </w:rPr>
        <w:t>“</w:t>
      </w:r>
      <w:r>
        <w:rPr>
          <w:rFonts w:ascii="Arial" w:cs="Arial" w:eastAsia="Arial" w:hAnsi="Arial"/>
          <w:sz w:val="18"/>
          <w:szCs w:val="18"/>
          <w:i w:val="1"/>
          <w:iCs w:val="1"/>
          <w:color w:val="151515"/>
        </w:rPr>
        <w:t>Contributing Guarantors</w:t>
      </w:r>
      <w:r>
        <w:rPr>
          <w:rFonts w:ascii="Arial" w:cs="Arial" w:eastAsia="Arial" w:hAnsi="Arial"/>
          <w:sz w:val="18"/>
          <w:szCs w:val="18"/>
          <w:color w:val="151515"/>
        </w:rPr>
        <w:t>” has the meaning specified in Section 12.05.</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151515"/>
        </w:rPr>
        <w:t>“</w:t>
      </w:r>
      <w:r>
        <w:rPr>
          <w:rFonts w:ascii="Arial" w:cs="Arial" w:eastAsia="Arial" w:hAnsi="Arial"/>
          <w:sz w:val="18"/>
          <w:szCs w:val="18"/>
          <w:i w:val="1"/>
          <w:iCs w:val="1"/>
          <w:color w:val="151515"/>
        </w:rPr>
        <w:t>consolidated</w:t>
      </w:r>
      <w:r>
        <w:rPr>
          <w:rFonts w:ascii="Arial" w:cs="Arial" w:eastAsia="Arial" w:hAnsi="Arial"/>
          <w:sz w:val="18"/>
          <w:szCs w:val="18"/>
          <w:color w:val="151515"/>
        </w:rPr>
        <w:t>” means, with respect to any Person, such Person consolidated with its Restricted Subsidiaries, and excludes from such consolidation any Unrestricted Subsidiary as if such Unrestricted Subsidiary were not an Affiliate of such Person.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 w:name="page22"/>
    <w:bookmarkEnd w:id="21"/>
    <w:p>
      <w:pPr>
        <w:ind w:firstLine="648"/>
        <w:spacing w:after="0" w:line="263" w:lineRule="auto"/>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Consolidated Depreciation and Amortization</w:t>
      </w:r>
      <w:r>
        <w:rPr>
          <w:rFonts w:ascii="Arial" w:cs="Arial" w:eastAsia="Arial" w:hAnsi="Arial"/>
          <w:sz w:val="18"/>
          <w:szCs w:val="18"/>
          <w:color w:val="131313"/>
        </w:rPr>
        <w:t xml:space="preserve"> </w:t>
      </w:r>
      <w:r>
        <w:rPr>
          <w:rFonts w:ascii="Arial" w:cs="Arial" w:eastAsia="Arial" w:hAnsi="Arial"/>
          <w:sz w:val="18"/>
          <w:szCs w:val="18"/>
          <w:i w:val="1"/>
          <w:iCs w:val="1"/>
          <w:color w:val="373737"/>
        </w:rPr>
        <w:t>Expense</w:t>
      </w:r>
      <w:r>
        <w:rPr>
          <w:rFonts w:ascii="Arial" w:cs="Arial" w:eastAsia="Arial" w:hAnsi="Arial"/>
          <w:sz w:val="18"/>
          <w:szCs w:val="18"/>
          <w:color w:val="373737"/>
        </w:rPr>
        <w:t>”</w:t>
      </w:r>
      <w:r>
        <w:rPr>
          <w:rFonts w:ascii="Arial" w:cs="Arial" w:eastAsia="Arial" w:hAnsi="Arial"/>
          <w:sz w:val="18"/>
          <w:szCs w:val="18"/>
          <w:color w:val="131313"/>
        </w:rPr>
        <w:t xml:space="preserve"> means with respect to any Person for any period, the total amount of depreciation and amortization expense, including the amortization of deferred financing fees and other related noncash charges of such Person and its Restricted Subsidiaries for such period on a consolidated basis and otherwise determined in accordance with GAAP.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Consolidated Interest Expense</w:t>
      </w:r>
      <w:r>
        <w:rPr>
          <w:rFonts w:ascii="Arial" w:cs="Arial" w:eastAsia="Arial" w:hAnsi="Arial"/>
          <w:sz w:val="18"/>
          <w:szCs w:val="18"/>
          <w:color w:val="131313"/>
        </w:rPr>
        <w:t>” means, with respect to any Person for any period, the sum, without duplication, of:</w:t>
      </w:r>
    </w:p>
    <w:p>
      <w:pPr>
        <w:spacing w:after="0" w:line="225" w:lineRule="exact"/>
        <w:rPr>
          <w:sz w:val="20"/>
          <w:szCs w:val="20"/>
          <w:color w:val="auto"/>
        </w:rPr>
      </w:pPr>
    </w:p>
    <w:p>
      <w:pPr>
        <w:ind w:right="180" w:firstLine="656"/>
        <w:spacing w:after="0" w:line="277" w:lineRule="auto"/>
        <w:tabs>
          <w:tab w:leader="none" w:pos="1297" w:val="left"/>
        </w:tabs>
        <w:numPr>
          <w:ilvl w:val="0"/>
          <w:numId w:val="20"/>
        </w:numPr>
        <w:rPr>
          <w:rFonts w:ascii="Arial" w:cs="Arial" w:eastAsia="Arial" w:hAnsi="Arial"/>
          <w:sz w:val="18"/>
          <w:szCs w:val="18"/>
          <w:color w:val="121212"/>
        </w:rPr>
      </w:pPr>
      <w:r>
        <w:rPr>
          <w:rFonts w:ascii="Arial" w:cs="Arial" w:eastAsia="Arial" w:hAnsi="Arial"/>
          <w:sz w:val="18"/>
          <w:szCs w:val="18"/>
          <w:color w:val="auto"/>
        </w:rPr>
        <w:t xml:space="preserve">consolidated interest expense of such Person and its Restricted </w:t>
      </w:r>
      <w:r>
        <w:rPr>
          <w:rFonts w:ascii="Arial" w:cs="Arial" w:eastAsia="Arial" w:hAnsi="Arial"/>
          <w:sz w:val="18"/>
          <w:szCs w:val="18"/>
          <w:color w:val="131313"/>
        </w:rPr>
        <w:t>Subsidiaries for such period, to the extent such expense was deducted in</w:t>
      </w:r>
      <w:r>
        <w:rPr>
          <w:rFonts w:ascii="Arial" w:cs="Arial" w:eastAsia="Arial" w:hAnsi="Arial"/>
          <w:sz w:val="18"/>
          <w:szCs w:val="18"/>
          <w:color w:val="auto"/>
        </w:rPr>
        <w:t xml:space="preserve"> </w:t>
      </w:r>
      <w:r>
        <w:rPr>
          <w:rFonts w:ascii="Arial" w:cs="Arial" w:eastAsia="Arial" w:hAnsi="Arial"/>
          <w:sz w:val="18"/>
          <w:szCs w:val="18"/>
          <w:color w:val="131313"/>
        </w:rPr>
        <w:t>computing Consolidated Net Income, including</w:t>
      </w:r>
    </w:p>
    <w:p>
      <w:pPr>
        <w:spacing w:after="0" w:line="170" w:lineRule="exact"/>
        <w:rPr>
          <w:rFonts w:ascii="Arial" w:cs="Arial" w:eastAsia="Arial" w:hAnsi="Arial"/>
          <w:sz w:val="18"/>
          <w:szCs w:val="18"/>
          <w:color w:val="121212"/>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amortization of original issue discount resulting from the issuance of Indebtedness at less than par,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7"/>
          <w:szCs w:val="17"/>
          <w:color w:val="131313"/>
        </w:rPr>
      </w:pPr>
      <w:r>
        <w:rPr>
          <w:rFonts w:ascii="Arial" w:cs="Arial" w:eastAsia="Arial" w:hAnsi="Arial"/>
          <w:sz w:val="17"/>
          <w:szCs w:val="17"/>
          <w:color w:val="131313"/>
        </w:rPr>
        <w:t>all commissions, discounts and other fees and charges owed with respect to letters of credit or bankers’ acceptances,</w:t>
      </w:r>
    </w:p>
    <w:p>
      <w:pPr>
        <w:spacing w:after="0" w:line="236" w:lineRule="exact"/>
        <w:rPr>
          <w:rFonts w:ascii="Arial" w:cs="Arial" w:eastAsia="Arial" w:hAnsi="Arial"/>
          <w:sz w:val="17"/>
          <w:szCs w:val="17"/>
          <w:color w:val="131313"/>
        </w:rPr>
      </w:pPr>
    </w:p>
    <w:p>
      <w:pPr>
        <w:ind w:left="660" w:right="400" w:firstLine="644"/>
        <w:spacing w:after="0" w:line="277" w:lineRule="auto"/>
        <w:tabs>
          <w:tab w:leader="none" w:pos="1967" w:val="left"/>
        </w:tabs>
        <w:numPr>
          <w:ilvl w:val="1"/>
          <w:numId w:val="20"/>
        </w:numPr>
        <w:rPr>
          <w:rFonts w:ascii="Arial" w:cs="Arial" w:eastAsia="Arial" w:hAnsi="Arial"/>
          <w:sz w:val="18"/>
          <w:szCs w:val="18"/>
          <w:color w:val="131313"/>
        </w:rPr>
      </w:pPr>
      <w:r>
        <w:rPr>
          <w:rFonts w:ascii="Arial" w:cs="Arial" w:eastAsia="Arial" w:hAnsi="Arial"/>
          <w:sz w:val="18"/>
          <w:szCs w:val="18"/>
          <w:color w:val="131313"/>
        </w:rPr>
        <w:t xml:space="preserve">noncash interest payments (but excluding any noncash interest expense attributable to the movement </w:t>
      </w:r>
      <w:r>
        <w:rPr>
          <w:rFonts w:ascii="Arial" w:cs="Arial" w:eastAsia="Arial" w:hAnsi="Arial"/>
          <w:sz w:val="18"/>
          <w:szCs w:val="18"/>
          <w:color w:val="000000"/>
        </w:rPr>
        <w:t>in</w:t>
      </w:r>
      <w:r>
        <w:rPr>
          <w:rFonts w:ascii="Arial" w:cs="Arial" w:eastAsia="Arial" w:hAnsi="Arial"/>
          <w:sz w:val="18"/>
          <w:szCs w:val="18"/>
          <w:color w:val="131313"/>
        </w:rPr>
        <w:t xml:space="preserve"> the mark-to-market valuation of Hedging Obligations or other derivative instruments pursuant to GAAP),</w:t>
      </w:r>
    </w:p>
    <w:p>
      <w:pPr>
        <w:spacing w:after="0" w:line="170" w:lineRule="exact"/>
        <w:rPr>
          <w:rFonts w:ascii="Arial" w:cs="Arial" w:eastAsia="Arial" w:hAnsi="Arial"/>
          <w:sz w:val="18"/>
          <w:szCs w:val="18"/>
          <w:color w:val="131313"/>
        </w:rPr>
      </w:pPr>
    </w:p>
    <w:p>
      <w:pPr>
        <w:ind w:left="1960" w:hanging="656"/>
        <w:spacing w:after="0"/>
        <w:tabs>
          <w:tab w:leader="none" w:pos="1960" w:val="left"/>
        </w:tabs>
        <w:numPr>
          <w:ilvl w:val="1"/>
          <w:numId w:val="20"/>
        </w:numPr>
        <w:rPr>
          <w:rFonts w:ascii="Arial" w:cs="Arial" w:eastAsia="Arial" w:hAnsi="Arial"/>
          <w:sz w:val="18"/>
          <w:szCs w:val="18"/>
          <w:color w:val="131313"/>
        </w:rPr>
      </w:pPr>
      <w:r>
        <w:rPr>
          <w:rFonts w:ascii="Arial" w:cs="Arial" w:eastAsia="Arial" w:hAnsi="Arial"/>
          <w:sz w:val="18"/>
          <w:szCs w:val="18"/>
          <w:color w:val="131313"/>
        </w:rPr>
        <w:t>the interest component of Capitalized Lease Obligations, and</w:t>
      </w:r>
    </w:p>
    <w:p>
      <w:pPr>
        <w:spacing w:after="0" w:line="225" w:lineRule="exact"/>
        <w:rPr>
          <w:rFonts w:ascii="Arial" w:cs="Arial" w:eastAsia="Arial" w:hAnsi="Arial"/>
          <w:sz w:val="18"/>
          <w:szCs w:val="18"/>
          <w:color w:val="131313"/>
        </w:rPr>
      </w:pPr>
    </w:p>
    <w:p>
      <w:pPr>
        <w:ind w:left="1960" w:hanging="656"/>
        <w:spacing w:after="0"/>
        <w:tabs>
          <w:tab w:leader="none" w:pos="1960" w:val="left"/>
        </w:tabs>
        <w:numPr>
          <w:ilvl w:val="1"/>
          <w:numId w:val="20"/>
        </w:numPr>
        <w:rPr>
          <w:rFonts w:ascii="Arial" w:cs="Arial" w:eastAsia="Arial" w:hAnsi="Arial"/>
          <w:sz w:val="18"/>
          <w:szCs w:val="18"/>
          <w:color w:val="131313"/>
        </w:rPr>
      </w:pPr>
      <w:r>
        <w:rPr>
          <w:rFonts w:ascii="Arial" w:cs="Arial" w:eastAsia="Arial" w:hAnsi="Arial"/>
          <w:sz w:val="18"/>
          <w:szCs w:val="18"/>
          <w:color w:val="131313"/>
        </w:rPr>
        <w:t>net payments, if any, pursuant to interest rate Hedging Obligations with respect to Indebtedness,</w:t>
      </w:r>
    </w:p>
    <w:p>
      <w:pPr>
        <w:spacing w:after="0" w:line="225"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 xml:space="preserve">and excluding: (i) amortization of deferred financing fees, debt issuance costs, commissions, fees and expenses, (ii) any expensing of bridge, commitment and other financing fees and (iii) commissions, discounts, yield and other fees and charges (including any interest expense) related to any Receivables Facility; </w:t>
      </w:r>
      <w:r>
        <w:rPr>
          <w:rFonts w:ascii="Arial" w:cs="Arial" w:eastAsia="Arial" w:hAnsi="Arial"/>
          <w:sz w:val="18"/>
          <w:szCs w:val="18"/>
          <w:i w:val="1"/>
          <w:iCs w:val="1"/>
          <w:color w:val="auto"/>
        </w:rPr>
        <w:t>plus</w:t>
      </w:r>
    </w:p>
    <w:p>
      <w:pPr>
        <w:spacing w:after="0" w:line="18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7"/>
          <w:szCs w:val="17"/>
          <w:color w:val="121212"/>
        </w:rPr>
      </w:pPr>
      <w:r>
        <w:rPr>
          <w:rFonts w:ascii="Arial" w:cs="Arial" w:eastAsia="Arial" w:hAnsi="Arial"/>
          <w:sz w:val="17"/>
          <w:szCs w:val="17"/>
          <w:color w:val="auto"/>
        </w:rPr>
        <w:t xml:space="preserve">consolidated capitalized interest of such Person and its Restricted Subsidiaries for such period, whether paid or accrued; </w:t>
      </w:r>
      <w:r>
        <w:rPr>
          <w:rFonts w:ascii="Arial" w:cs="Arial" w:eastAsia="Arial" w:hAnsi="Arial"/>
          <w:sz w:val="17"/>
          <w:szCs w:val="17"/>
          <w:i w:val="1"/>
          <w:iCs w:val="1"/>
          <w:color w:val="auto"/>
        </w:rPr>
        <w:t>less</w:t>
      </w:r>
    </w:p>
    <w:p>
      <w:pPr>
        <w:spacing w:after="0" w:line="236" w:lineRule="exact"/>
        <w:rPr>
          <w:rFonts w:ascii="Arial" w:cs="Arial" w:eastAsia="Arial" w:hAnsi="Arial"/>
          <w:sz w:val="17"/>
          <w:szCs w:val="17"/>
          <w:color w:val="121212"/>
        </w:rPr>
      </w:pPr>
    </w:p>
    <w:p>
      <w:pPr>
        <w:ind w:left="1320" w:hanging="664"/>
        <w:spacing w:after="0"/>
        <w:tabs>
          <w:tab w:leader="none" w:pos="1320" w:val="left"/>
        </w:tabs>
        <w:numPr>
          <w:ilvl w:val="0"/>
          <w:numId w:val="21"/>
        </w:numPr>
        <w:rPr>
          <w:rFonts w:ascii="Arial" w:cs="Arial" w:eastAsia="Arial" w:hAnsi="Arial"/>
          <w:sz w:val="18"/>
          <w:szCs w:val="18"/>
          <w:color w:val="121212"/>
        </w:rPr>
      </w:pPr>
      <w:r>
        <w:rPr>
          <w:rFonts w:ascii="Arial" w:cs="Arial" w:eastAsia="Arial" w:hAnsi="Arial"/>
          <w:sz w:val="18"/>
          <w:szCs w:val="18"/>
          <w:color w:val="131313"/>
        </w:rPr>
        <w:t>interest income for such period.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Notwithstanding the foregoing, any additional charges arising from (i) the application of Accounting Standards Codification Topic 480-10-25-4 “Distinguishing Liabilities from Equity</w:t>
      </w:r>
      <w:r>
        <w:rPr>
          <w:rFonts w:ascii="Arial" w:cs="Arial" w:eastAsia="Arial" w:hAnsi="Arial"/>
          <w:sz w:val="18"/>
          <w:szCs w:val="18"/>
          <w:color w:val="373737"/>
        </w:rPr>
        <w:t>—</w:t>
      </w:r>
      <w:r>
        <w:rPr>
          <w:rFonts w:ascii="Arial" w:cs="Arial" w:eastAsia="Arial" w:hAnsi="Arial"/>
          <w:sz w:val="18"/>
          <w:szCs w:val="18"/>
          <w:color w:val="auto"/>
        </w:rPr>
        <w:t>Overall—Recognition” to any series of preferred stock other than Disqualified Stock or (ii) the application of Accounting Standards Codification Topic 470-20 “Debt</w:t>
      </w:r>
      <w:r>
        <w:rPr>
          <w:rFonts w:ascii="Arial" w:cs="Arial" w:eastAsia="Arial" w:hAnsi="Arial"/>
          <w:sz w:val="18"/>
          <w:szCs w:val="18"/>
          <w:color w:val="373737"/>
        </w:rPr>
        <w:t>—</w:t>
      </w:r>
      <w:r>
        <w:rPr>
          <w:rFonts w:ascii="Arial" w:cs="Arial" w:eastAsia="Arial" w:hAnsi="Arial"/>
          <w:sz w:val="18"/>
          <w:szCs w:val="18"/>
          <w:color w:val="auto"/>
        </w:rPr>
        <w:t>Debt with Conversion Options</w:t>
      </w:r>
      <w:r>
        <w:rPr>
          <w:rFonts w:ascii="Arial" w:cs="Arial" w:eastAsia="Arial" w:hAnsi="Arial"/>
          <w:sz w:val="18"/>
          <w:szCs w:val="18"/>
          <w:color w:val="373737"/>
        </w:rPr>
        <w:t>—</w:t>
      </w:r>
      <w:r>
        <w:rPr>
          <w:rFonts w:ascii="Arial" w:cs="Arial" w:eastAsia="Arial" w:hAnsi="Arial"/>
          <w:sz w:val="18"/>
          <w:szCs w:val="18"/>
          <w:color w:val="auto"/>
        </w:rPr>
        <w:t>Recognition,” in each case, shall be disregarded in the calculation of Fixed Charges.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right="180" w:firstLine="648"/>
        <w:spacing w:after="0" w:line="342" w:lineRule="auto"/>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121212"/>
        </w:rPr>
        <w:t>Consolidated Net Income</w:t>
      </w:r>
      <w:r>
        <w:rPr>
          <w:rFonts w:ascii="Arial" w:cs="Arial" w:eastAsia="Arial" w:hAnsi="Arial"/>
          <w:sz w:val="16"/>
          <w:szCs w:val="16"/>
          <w:color w:val="121212"/>
        </w:rPr>
        <w:t xml:space="preserve">” means, with respect to any Person for any period, the aggregate of the Net Income of such Person and its Restricted Subsidiaries for such period, on a consolidated basis, and otherwise determined in accordance with GAAP; </w:t>
      </w:r>
      <w:r>
        <w:rPr>
          <w:rFonts w:ascii="Arial" w:cs="Arial" w:eastAsia="Arial" w:hAnsi="Arial"/>
          <w:sz w:val="16"/>
          <w:szCs w:val="16"/>
          <w:i w:val="1"/>
          <w:iCs w:val="1"/>
          <w:color w:val="121212"/>
        </w:rPr>
        <w:t>provided</w:t>
      </w:r>
      <w:r>
        <w:rPr>
          <w:rFonts w:ascii="Arial" w:cs="Arial" w:eastAsia="Arial" w:hAnsi="Arial"/>
          <w:sz w:val="16"/>
          <w:szCs w:val="16"/>
          <w:color w:val="121212"/>
        </w:rPr>
        <w:t xml:space="preserve"> that, without duplication:</w:t>
      </w:r>
    </w:p>
    <w:p>
      <w:pPr>
        <w:spacing w:after="0" w:line="124" w:lineRule="exact"/>
        <w:rPr>
          <w:sz w:val="20"/>
          <w:szCs w:val="20"/>
          <w:color w:val="auto"/>
        </w:rPr>
      </w:pPr>
    </w:p>
    <w:p>
      <w:pPr>
        <w:ind w:firstLine="656"/>
        <w:spacing w:after="0" w:line="271" w:lineRule="auto"/>
        <w:tabs>
          <w:tab w:leader="none" w:pos="1307"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any net after-tax extraordinary, non-recurring or unusual gains or losses (less all fees and expenses relating thereto) and any restructuring expenses, including any severance expenses, relocation expenses, one-time compensation charges, curtailments or modifications to pension and post-retirement employee benefit plans, any expenses related to any reconstruction, decommissioning, recommissioning or reconfiguration of fixed assets for alternate uses and fees, expenses or charges relating to facilities closing costs, acquisition integration costs, facilities opening costs, business optimization costs, signing, retention or completion bonuses or expenses (including relating to severance, relocation, one-time compensation charges, the acquisition transaction and </w:t>
      </w:r>
      <w:r>
        <w:rPr>
          <w:rFonts w:ascii="Arial" w:cs="Arial" w:eastAsia="Arial" w:hAnsi="Arial"/>
          <w:sz w:val="17"/>
          <w:szCs w:val="17"/>
          <w:color w:val="121212"/>
        </w:rPr>
        <w:t>reconstruction, decommissioning, recommissioning or reconfiguration of fixed assets for alternate uses, facilities closing costs, acquisition</w:t>
      </w:r>
      <w:r>
        <w:rPr>
          <w:rFonts w:ascii="Arial" w:cs="Arial" w:eastAsia="Arial" w:hAnsi="Arial"/>
          <w:sz w:val="17"/>
          <w:szCs w:val="17"/>
          <w:color w:val="auto"/>
        </w:rPr>
        <w:t xml:space="preserve"> </w:t>
      </w:r>
      <w:r>
        <w:rPr>
          <w:rFonts w:ascii="Arial" w:cs="Arial" w:eastAsia="Arial" w:hAnsi="Arial"/>
          <w:sz w:val="17"/>
          <w:szCs w:val="17"/>
          <w:color w:val="121212"/>
        </w:rPr>
        <w:t>integration costs, facilities opening costs, business optimization costs, costs or charges associated with reductions in force and signing, retention or completion bonuses) shall be excluded;</w:t>
      </w:r>
    </w:p>
    <w:p>
      <w:pPr>
        <w:spacing w:after="0" w:line="178" w:lineRule="exact"/>
        <w:rPr>
          <w:rFonts w:ascii="Arial" w:cs="Arial" w:eastAsia="Arial" w:hAnsi="Arial"/>
          <w:sz w:val="17"/>
          <w:szCs w:val="17"/>
          <w:color w:val="auto"/>
        </w:rPr>
      </w:pPr>
    </w:p>
    <w:p>
      <w:pPr>
        <w:ind w:right="120" w:firstLine="656"/>
        <w:spacing w:after="0" w:line="277" w:lineRule="auto"/>
        <w:tabs>
          <w:tab w:leader="none" w:pos="1307" w:val="left"/>
        </w:tabs>
        <w:numPr>
          <w:ilvl w:val="0"/>
          <w:numId w:val="22"/>
        </w:numPr>
        <w:rPr>
          <w:rFonts w:ascii="Arial" w:cs="Arial" w:eastAsia="Arial" w:hAnsi="Arial"/>
          <w:sz w:val="18"/>
          <w:szCs w:val="18"/>
          <w:color w:val="121212"/>
        </w:rPr>
      </w:pPr>
      <w:r>
        <w:rPr>
          <w:rFonts w:ascii="Arial" w:cs="Arial" w:eastAsia="Arial" w:hAnsi="Arial"/>
          <w:sz w:val="18"/>
          <w:szCs w:val="18"/>
          <w:color w:val="121212"/>
        </w:rPr>
        <w:t xml:space="preserve">the Net Income for such period shall not include the cumulative effect of a change in accounting principles during such period, whether effected through a cumulative effect adjustment or a retroactive application </w:t>
      </w:r>
      <w:r>
        <w:rPr>
          <w:rFonts w:ascii="Arial" w:cs="Arial" w:eastAsia="Arial" w:hAnsi="Arial"/>
          <w:sz w:val="18"/>
          <w:szCs w:val="18"/>
          <w:color w:val="000000"/>
        </w:rPr>
        <w:t>in each</w:t>
      </w:r>
      <w:r>
        <w:rPr>
          <w:rFonts w:ascii="Arial" w:cs="Arial" w:eastAsia="Arial" w:hAnsi="Arial"/>
          <w:sz w:val="18"/>
          <w:szCs w:val="18"/>
          <w:color w:val="121212"/>
        </w:rPr>
        <w:t xml:space="preserve"> case in accordance </w:t>
      </w:r>
      <w:r>
        <w:rPr>
          <w:rFonts w:ascii="Arial" w:cs="Arial" w:eastAsia="Arial" w:hAnsi="Arial"/>
          <w:sz w:val="18"/>
          <w:szCs w:val="18"/>
          <w:color w:val="000000"/>
        </w:rPr>
        <w:t>with</w:t>
      </w:r>
      <w:r>
        <w:rPr>
          <w:rFonts w:ascii="Arial" w:cs="Arial" w:eastAsia="Arial" w:hAnsi="Arial"/>
          <w:sz w:val="18"/>
          <w:szCs w:val="18"/>
          <w:color w:val="121212"/>
        </w:rPr>
        <w:t xml:space="preserve"> GAAP;</w:t>
      </w:r>
    </w:p>
    <w:p>
      <w:pPr>
        <w:spacing w:after="0" w:line="170" w:lineRule="exact"/>
        <w:rPr>
          <w:rFonts w:ascii="Arial" w:cs="Arial" w:eastAsia="Arial" w:hAnsi="Arial"/>
          <w:sz w:val="18"/>
          <w:szCs w:val="18"/>
          <w:color w:val="121212"/>
        </w:rPr>
      </w:pPr>
    </w:p>
    <w:p>
      <w:pPr>
        <w:ind w:right="100" w:firstLine="656"/>
        <w:spacing w:after="0" w:line="277" w:lineRule="auto"/>
        <w:tabs>
          <w:tab w:leader="none" w:pos="1307" w:val="left"/>
        </w:tabs>
        <w:numPr>
          <w:ilvl w:val="0"/>
          <w:numId w:val="22"/>
        </w:numPr>
        <w:rPr>
          <w:rFonts w:ascii="Arial" w:cs="Arial" w:eastAsia="Arial" w:hAnsi="Arial"/>
          <w:sz w:val="18"/>
          <w:szCs w:val="18"/>
          <w:color w:val="121212"/>
        </w:rPr>
      </w:pPr>
      <w:r>
        <w:rPr>
          <w:rFonts w:ascii="Arial" w:cs="Arial" w:eastAsia="Arial" w:hAnsi="Arial"/>
          <w:sz w:val="18"/>
          <w:szCs w:val="18"/>
          <w:color w:val="121212"/>
        </w:rPr>
        <w:t xml:space="preserve">any net after-tax income (loss) from disposed or discontinued operations and any net after-tax gains or losses on disposal of disposed or discontinued operations shall </w:t>
      </w:r>
      <w:r>
        <w:rPr>
          <w:rFonts w:ascii="Arial" w:cs="Arial" w:eastAsia="Arial" w:hAnsi="Arial"/>
          <w:sz w:val="18"/>
          <w:szCs w:val="18"/>
          <w:color w:val="000000"/>
        </w:rPr>
        <w:t>be</w:t>
      </w:r>
      <w:r>
        <w:rPr>
          <w:rFonts w:ascii="Arial" w:cs="Arial" w:eastAsia="Arial" w:hAnsi="Arial"/>
          <w:sz w:val="18"/>
          <w:szCs w:val="18"/>
          <w:color w:val="121212"/>
        </w:rPr>
        <w:t xml:space="preserve"> excluded;</w:t>
      </w:r>
    </w:p>
    <w:p>
      <w:pPr>
        <w:spacing w:after="0" w:line="170" w:lineRule="exact"/>
        <w:rPr>
          <w:rFonts w:ascii="Arial" w:cs="Arial" w:eastAsia="Arial" w:hAnsi="Arial"/>
          <w:sz w:val="18"/>
          <w:szCs w:val="18"/>
          <w:color w:val="121212"/>
        </w:rPr>
      </w:pPr>
    </w:p>
    <w:p>
      <w:pPr>
        <w:jc w:val="both"/>
        <w:ind w:right="660" w:firstLine="656"/>
        <w:spacing w:after="0" w:line="263" w:lineRule="auto"/>
        <w:tabs>
          <w:tab w:leader="none" w:pos="1307" w:val="left"/>
        </w:tabs>
        <w:numPr>
          <w:ilvl w:val="0"/>
          <w:numId w:val="22"/>
        </w:numPr>
        <w:rPr>
          <w:rFonts w:ascii="Arial" w:cs="Arial" w:eastAsia="Arial" w:hAnsi="Arial"/>
          <w:sz w:val="18"/>
          <w:szCs w:val="18"/>
          <w:color w:val="121212"/>
        </w:rPr>
      </w:pPr>
      <w:r>
        <w:rPr>
          <w:rFonts w:ascii="Arial" w:cs="Arial" w:eastAsia="Arial" w:hAnsi="Arial"/>
          <w:sz w:val="18"/>
          <w:szCs w:val="18"/>
          <w:color w:val="121212"/>
        </w:rPr>
        <w:t>any net after-tax gains or losses (less all fees and expenses relating thereto) attributable to asset dispositions or the sale or other disposition of any Capital Stock of any Person other than in the ordinary course of business, as determined in good faith by the Company, shall be excluded;</w:t>
      </w:r>
    </w:p>
    <w:p>
      <w:pPr>
        <w:spacing w:after="0" w:line="183" w:lineRule="exact"/>
        <w:rPr>
          <w:rFonts w:ascii="Arial" w:cs="Arial" w:eastAsia="Arial" w:hAnsi="Arial"/>
          <w:sz w:val="18"/>
          <w:szCs w:val="18"/>
          <w:color w:val="121212"/>
        </w:rPr>
      </w:pPr>
    </w:p>
    <w:p>
      <w:pPr>
        <w:ind w:right="80" w:firstLine="656"/>
        <w:spacing w:after="0" w:line="257" w:lineRule="auto"/>
        <w:tabs>
          <w:tab w:leader="none" w:pos="1307" w:val="left"/>
        </w:tabs>
        <w:numPr>
          <w:ilvl w:val="0"/>
          <w:numId w:val="22"/>
        </w:numPr>
        <w:rPr>
          <w:rFonts w:ascii="Arial" w:cs="Arial" w:eastAsia="Arial" w:hAnsi="Arial"/>
          <w:sz w:val="18"/>
          <w:szCs w:val="18"/>
          <w:color w:val="121212"/>
        </w:rPr>
      </w:pPr>
      <w:r>
        <w:rPr>
          <w:rFonts w:ascii="Arial" w:cs="Arial" w:eastAsia="Arial" w:hAnsi="Arial"/>
          <w:sz w:val="18"/>
          <w:szCs w:val="18"/>
          <w:color w:val="121212"/>
        </w:rPr>
        <w:t xml:space="preserve">the Net Income for such period of any Person that is not a Subsidiary, or is an Unrestricted Subsidiary, or </w:t>
      </w:r>
      <w:r>
        <w:rPr>
          <w:rFonts w:ascii="Arial" w:cs="Arial" w:eastAsia="Arial" w:hAnsi="Arial"/>
          <w:sz w:val="18"/>
          <w:szCs w:val="18"/>
          <w:color w:val="000000"/>
        </w:rPr>
        <w:t>that</w:t>
      </w:r>
      <w:r>
        <w:rPr>
          <w:rFonts w:ascii="Arial" w:cs="Arial" w:eastAsia="Arial" w:hAnsi="Arial"/>
          <w:sz w:val="18"/>
          <w:szCs w:val="18"/>
          <w:color w:val="121212"/>
        </w:rPr>
        <w:t xml:space="preserve"> is accounted for by </w:t>
      </w:r>
      <w:r>
        <w:rPr>
          <w:rFonts w:ascii="Arial" w:cs="Arial" w:eastAsia="Arial" w:hAnsi="Arial"/>
          <w:sz w:val="18"/>
          <w:szCs w:val="18"/>
          <w:color w:val="000000"/>
        </w:rPr>
        <w:t>the</w:t>
      </w:r>
      <w:r>
        <w:rPr>
          <w:rFonts w:ascii="Arial" w:cs="Arial" w:eastAsia="Arial" w:hAnsi="Arial"/>
          <w:sz w:val="18"/>
          <w:szCs w:val="18"/>
          <w:color w:val="121212"/>
        </w:rPr>
        <w:t xml:space="preserve"> equity method </w:t>
      </w:r>
      <w:r>
        <w:rPr>
          <w:rFonts w:ascii="Arial" w:cs="Arial" w:eastAsia="Arial" w:hAnsi="Arial"/>
          <w:sz w:val="18"/>
          <w:szCs w:val="18"/>
          <w:color w:val="000000"/>
        </w:rPr>
        <w:t>of</w:t>
      </w:r>
      <w:r>
        <w:rPr>
          <w:rFonts w:ascii="Arial" w:cs="Arial" w:eastAsia="Arial" w:hAnsi="Arial"/>
          <w:sz w:val="18"/>
          <w:szCs w:val="18"/>
          <w:color w:val="121212"/>
        </w:rPr>
        <w:t xml:space="preserve"> accounting, shall be excluded; </w:t>
      </w:r>
      <w:r>
        <w:rPr>
          <w:rFonts w:ascii="Arial" w:cs="Arial" w:eastAsia="Arial" w:hAnsi="Arial"/>
          <w:sz w:val="18"/>
          <w:szCs w:val="18"/>
          <w:i w:val="1"/>
          <w:iCs w:val="1"/>
          <w:color w:val="121212"/>
        </w:rPr>
        <w:t>provided</w:t>
      </w:r>
      <w:r>
        <w:rPr>
          <w:rFonts w:ascii="Arial" w:cs="Arial" w:eastAsia="Arial" w:hAnsi="Arial"/>
          <w:sz w:val="18"/>
          <w:szCs w:val="18"/>
          <w:color w:val="121212"/>
        </w:rPr>
        <w:t xml:space="preserve"> that Consolidated Net Income of such Person shall be increased by the amount of dividends or distributions or other payments that are actually paid in cash (or to the extent converted into cash) to the referent Person or a Restricted Subsidiary thereof in respect of such period (subject in the case of dividends, distributions or other payments made to a Restricted Subsidiary to the limitations contained in clause (6) below);</w:t>
      </w:r>
    </w:p>
    <w:p>
      <w:pPr>
        <w:spacing w:after="0" w:line="187" w:lineRule="exact"/>
        <w:rPr>
          <w:rFonts w:ascii="Arial" w:cs="Arial" w:eastAsia="Arial" w:hAnsi="Arial"/>
          <w:sz w:val="18"/>
          <w:szCs w:val="18"/>
          <w:color w:val="121212"/>
        </w:rPr>
      </w:pPr>
    </w:p>
    <w:p>
      <w:pPr>
        <w:ind w:right="100" w:firstLine="656"/>
        <w:spacing w:after="0" w:line="271" w:lineRule="auto"/>
        <w:tabs>
          <w:tab w:leader="none" w:pos="1307" w:val="left"/>
        </w:tabs>
        <w:numPr>
          <w:ilvl w:val="0"/>
          <w:numId w:val="22"/>
        </w:numPr>
        <w:rPr>
          <w:rFonts w:ascii="Arial" w:cs="Arial" w:eastAsia="Arial" w:hAnsi="Arial"/>
          <w:sz w:val="17"/>
          <w:szCs w:val="17"/>
          <w:color w:val="121212"/>
        </w:rPr>
      </w:pPr>
      <w:r>
        <w:rPr>
          <w:rFonts w:ascii="Arial" w:cs="Arial" w:eastAsia="Arial" w:hAnsi="Arial"/>
          <w:sz w:val="17"/>
          <w:szCs w:val="17"/>
          <w:color w:val="121212"/>
        </w:rPr>
        <w:t xml:space="preserve">solely for the purpose of determining the amount available for Restricted Payments under clause (4)(C)(1) of Section 10.08(a), the Net Income for such period of any Restricted Subsidiary (other </w:t>
      </w:r>
      <w:r>
        <w:rPr>
          <w:rFonts w:ascii="Arial" w:cs="Arial" w:eastAsia="Arial" w:hAnsi="Arial"/>
          <w:sz w:val="17"/>
          <w:szCs w:val="17"/>
          <w:color w:val="000000"/>
        </w:rPr>
        <w:t>than</w:t>
      </w:r>
      <w:r>
        <w:rPr>
          <w:rFonts w:ascii="Arial" w:cs="Arial" w:eastAsia="Arial" w:hAnsi="Arial"/>
          <w:sz w:val="17"/>
          <w:szCs w:val="17"/>
          <w:color w:val="121212"/>
        </w:rPr>
        <w:t xml:space="preserve"> any Guarantor) shall </w:t>
      </w:r>
      <w:r>
        <w:rPr>
          <w:rFonts w:ascii="Arial" w:cs="Arial" w:eastAsia="Arial" w:hAnsi="Arial"/>
          <w:sz w:val="17"/>
          <w:szCs w:val="17"/>
          <w:color w:val="000000"/>
        </w:rPr>
        <w:t>be</w:t>
      </w:r>
      <w:r>
        <w:rPr>
          <w:rFonts w:ascii="Arial" w:cs="Arial" w:eastAsia="Arial" w:hAnsi="Arial"/>
          <w:sz w:val="17"/>
          <w:szCs w:val="17"/>
          <w:color w:val="121212"/>
        </w:rPr>
        <w:t xml:space="preserve"> excluded if the declaration or payment of dividends or similar distributions by that Restricted Subsidiary of its Net Income is not at the date of determination wholly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Arial" w:cs="Arial" w:eastAsia="Arial" w:hAnsi="Arial"/>
          <w:sz w:val="17"/>
          <w:szCs w:val="17"/>
          <w:i w:val="1"/>
          <w:iCs w:val="1"/>
          <w:color w:val="121212"/>
        </w:rPr>
        <w:t>provided</w:t>
      </w:r>
      <w:r>
        <w:rPr>
          <w:rFonts w:ascii="Arial" w:cs="Arial" w:eastAsia="Arial" w:hAnsi="Arial"/>
          <w:sz w:val="17"/>
          <w:szCs w:val="17"/>
          <w:color w:val="121212"/>
        </w:rPr>
        <w:t xml:space="preserve"> that Consolidated Net Income of the Company shall be increased by the amount of dividends or other distributions or other payments actually paid in cash (or to the extent converted into cash) to the Company or a Restricted Subsidiary thereof in respect of such period, to the extent not already included therein;</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3" w:name="page24"/>
    <w:bookmarkEnd w:id="23"/>
    <w:p>
      <w:pPr>
        <w:ind w:right="20" w:firstLine="656"/>
        <w:spacing w:after="0" w:line="277" w:lineRule="auto"/>
        <w:tabs>
          <w:tab w:leader="none" w:pos="1307" w:val="left"/>
        </w:tabs>
        <w:numPr>
          <w:ilvl w:val="0"/>
          <w:numId w:val="23"/>
        </w:numPr>
        <w:rPr>
          <w:rFonts w:ascii="Arial" w:cs="Arial" w:eastAsia="Arial" w:hAnsi="Arial"/>
          <w:sz w:val="18"/>
          <w:szCs w:val="18"/>
          <w:color w:val="131313"/>
        </w:rPr>
      </w:pPr>
      <w:r>
        <w:rPr>
          <w:rFonts w:ascii="Arial" w:cs="Arial" w:eastAsia="Arial" w:hAnsi="Arial"/>
          <w:sz w:val="18"/>
          <w:szCs w:val="18"/>
          <w:color w:val="131313"/>
        </w:rPr>
        <w:t xml:space="preserve">any increase in amortization or depreciation or other noncash charges resulting from the application of purchase accounting in relation to any acquisition that </w:t>
      </w:r>
      <w:r>
        <w:rPr>
          <w:rFonts w:ascii="Arial" w:cs="Arial" w:eastAsia="Arial" w:hAnsi="Arial"/>
          <w:sz w:val="18"/>
          <w:szCs w:val="18"/>
          <w:color w:val="272727"/>
        </w:rPr>
        <w:t>is</w:t>
      </w:r>
      <w:r>
        <w:rPr>
          <w:rFonts w:ascii="Arial" w:cs="Arial" w:eastAsia="Arial" w:hAnsi="Arial"/>
          <w:sz w:val="18"/>
          <w:szCs w:val="18"/>
          <w:color w:val="131313"/>
        </w:rPr>
        <w:t xml:space="preserve"> consummated after the Issue Date, net of taxes, shall be excluded;</w:t>
      </w:r>
    </w:p>
    <w:p>
      <w:pPr>
        <w:spacing w:after="0" w:line="170" w:lineRule="exact"/>
        <w:rPr>
          <w:rFonts w:ascii="Arial" w:cs="Arial" w:eastAsia="Arial" w:hAnsi="Arial"/>
          <w:sz w:val="18"/>
          <w:szCs w:val="18"/>
          <w:color w:val="131313"/>
        </w:rPr>
      </w:pPr>
    </w:p>
    <w:p>
      <w:pPr>
        <w:ind w:left="1320" w:hanging="664"/>
        <w:spacing w:after="0"/>
        <w:tabs>
          <w:tab w:leader="none" w:pos="1320" w:val="left"/>
        </w:tabs>
        <w:numPr>
          <w:ilvl w:val="0"/>
          <w:numId w:val="23"/>
        </w:numPr>
        <w:rPr>
          <w:rFonts w:ascii="Arial" w:cs="Arial" w:eastAsia="Arial" w:hAnsi="Arial"/>
          <w:sz w:val="16"/>
          <w:szCs w:val="16"/>
          <w:color w:val="131313"/>
        </w:rPr>
      </w:pPr>
      <w:r>
        <w:rPr>
          <w:rFonts w:ascii="Arial" w:cs="Arial" w:eastAsia="Arial" w:hAnsi="Arial"/>
          <w:sz w:val="16"/>
          <w:szCs w:val="16"/>
          <w:color w:val="131313"/>
        </w:rPr>
        <w:t>any net after-tax income (loss) from the early extinguishment of Indebtedness or Hedging Obligations or other derivative instruments</w:t>
      </w:r>
    </w:p>
    <w:p>
      <w:pPr>
        <w:spacing w:after="0" w:line="46" w:lineRule="exact"/>
        <w:rPr>
          <w:rFonts w:ascii="Arial" w:cs="Arial" w:eastAsia="Arial" w:hAnsi="Arial"/>
          <w:sz w:val="16"/>
          <w:szCs w:val="16"/>
          <w:color w:val="131313"/>
        </w:rPr>
      </w:pPr>
    </w:p>
    <w:p>
      <w:pPr>
        <w:spacing w:after="0"/>
        <w:rPr>
          <w:rFonts w:ascii="Arial" w:cs="Arial" w:eastAsia="Arial" w:hAnsi="Arial"/>
          <w:sz w:val="16"/>
          <w:szCs w:val="16"/>
          <w:color w:val="131313"/>
        </w:rPr>
      </w:pPr>
      <w:r>
        <w:rPr>
          <w:rFonts w:ascii="Arial" w:cs="Arial" w:eastAsia="Arial" w:hAnsi="Arial"/>
          <w:sz w:val="18"/>
          <w:szCs w:val="18"/>
          <w:color w:val="131313"/>
        </w:rPr>
        <w:t>shall be excluded;</w:t>
      </w:r>
    </w:p>
    <w:p>
      <w:pPr>
        <w:spacing w:after="0" w:line="210" w:lineRule="exact"/>
        <w:rPr>
          <w:rFonts w:ascii="Arial" w:cs="Arial" w:eastAsia="Arial" w:hAnsi="Arial"/>
          <w:sz w:val="16"/>
          <w:szCs w:val="16"/>
          <w:color w:val="131313"/>
        </w:rPr>
      </w:pPr>
    </w:p>
    <w:p>
      <w:pPr>
        <w:ind w:left="1320" w:hanging="664"/>
        <w:spacing w:after="0"/>
        <w:tabs>
          <w:tab w:leader="none" w:pos="1320" w:val="left"/>
        </w:tabs>
        <w:numPr>
          <w:ilvl w:val="0"/>
          <w:numId w:val="23"/>
        </w:numPr>
        <w:rPr>
          <w:rFonts w:ascii="Arial" w:cs="Arial" w:eastAsia="Arial" w:hAnsi="Arial"/>
          <w:sz w:val="16"/>
          <w:szCs w:val="16"/>
          <w:color w:val="131313"/>
        </w:rPr>
      </w:pPr>
      <w:r>
        <w:rPr>
          <w:rFonts w:ascii="Arial" w:cs="Arial" w:eastAsia="Arial" w:hAnsi="Arial"/>
          <w:sz w:val="16"/>
          <w:szCs w:val="16"/>
          <w:color w:val="131313"/>
        </w:rPr>
        <w:t>any impairment charge or asset write-off, in each case pursuant to GAAP, and the amortization of intangibles arising pursuant to GAAP</w:t>
      </w:r>
    </w:p>
    <w:p>
      <w:pPr>
        <w:spacing w:after="0" w:line="46" w:lineRule="exact"/>
        <w:rPr>
          <w:rFonts w:ascii="Arial" w:cs="Arial" w:eastAsia="Arial" w:hAnsi="Arial"/>
          <w:sz w:val="16"/>
          <w:szCs w:val="16"/>
          <w:color w:val="131313"/>
        </w:rPr>
      </w:pPr>
    </w:p>
    <w:p>
      <w:pPr>
        <w:spacing w:after="0"/>
        <w:rPr>
          <w:rFonts w:ascii="Arial" w:cs="Arial" w:eastAsia="Arial" w:hAnsi="Arial"/>
          <w:sz w:val="16"/>
          <w:szCs w:val="16"/>
          <w:color w:val="131313"/>
        </w:rPr>
      </w:pPr>
      <w:r>
        <w:rPr>
          <w:rFonts w:ascii="Arial" w:cs="Arial" w:eastAsia="Arial" w:hAnsi="Arial"/>
          <w:sz w:val="18"/>
          <w:szCs w:val="18"/>
          <w:color w:val="131313"/>
        </w:rPr>
        <w:t>shall be excluded;</w:t>
      </w:r>
    </w:p>
    <w:p>
      <w:pPr>
        <w:spacing w:after="0" w:line="210" w:lineRule="exact"/>
        <w:rPr>
          <w:rFonts w:ascii="Arial" w:cs="Arial" w:eastAsia="Arial" w:hAnsi="Arial"/>
          <w:sz w:val="16"/>
          <w:szCs w:val="16"/>
          <w:color w:val="131313"/>
        </w:rPr>
      </w:pPr>
    </w:p>
    <w:p>
      <w:pPr>
        <w:ind w:right="520" w:firstLine="656"/>
        <w:spacing w:after="0" w:line="277" w:lineRule="auto"/>
        <w:tabs>
          <w:tab w:leader="none" w:pos="1308" w:val="left"/>
        </w:tabs>
        <w:numPr>
          <w:ilvl w:val="0"/>
          <w:numId w:val="23"/>
        </w:numPr>
        <w:rPr>
          <w:rFonts w:ascii="Arial" w:cs="Arial" w:eastAsia="Arial" w:hAnsi="Arial"/>
          <w:sz w:val="18"/>
          <w:szCs w:val="18"/>
          <w:color w:val="131313"/>
        </w:rPr>
      </w:pPr>
      <w:r>
        <w:rPr>
          <w:rFonts w:ascii="Arial" w:cs="Arial" w:eastAsia="Arial" w:hAnsi="Arial"/>
          <w:sz w:val="18"/>
          <w:szCs w:val="18"/>
          <w:color w:val="131313"/>
        </w:rPr>
        <w:t xml:space="preserve">any unrealized gain or loss resulting </w:t>
      </w:r>
      <w:r>
        <w:rPr>
          <w:rFonts w:ascii="Arial" w:cs="Arial" w:eastAsia="Arial" w:hAnsi="Arial"/>
          <w:sz w:val="18"/>
          <w:szCs w:val="18"/>
          <w:color w:val="000000"/>
        </w:rPr>
        <w:t>in</w:t>
      </w:r>
      <w:r>
        <w:rPr>
          <w:rFonts w:ascii="Arial" w:cs="Arial" w:eastAsia="Arial" w:hAnsi="Arial"/>
          <w:sz w:val="18"/>
          <w:szCs w:val="18"/>
          <w:color w:val="131313"/>
        </w:rPr>
        <w:t xml:space="preserve"> such period from (i) Hedging Obligations and (ii) the application of Accounting Standards Codification Topic 815 shall be excluded;</w:t>
      </w:r>
    </w:p>
    <w:p>
      <w:pPr>
        <w:spacing w:after="0" w:line="170" w:lineRule="exact"/>
        <w:rPr>
          <w:rFonts w:ascii="Arial" w:cs="Arial" w:eastAsia="Arial" w:hAnsi="Arial"/>
          <w:sz w:val="18"/>
          <w:szCs w:val="18"/>
          <w:color w:val="131313"/>
        </w:rPr>
      </w:pPr>
    </w:p>
    <w:p>
      <w:pPr>
        <w:ind w:right="600" w:firstLine="656"/>
        <w:spacing w:after="0" w:line="277" w:lineRule="auto"/>
        <w:tabs>
          <w:tab w:leader="none" w:pos="1301" w:val="left"/>
        </w:tabs>
        <w:numPr>
          <w:ilvl w:val="0"/>
          <w:numId w:val="23"/>
        </w:numPr>
        <w:rPr>
          <w:rFonts w:ascii="Arial" w:cs="Arial" w:eastAsia="Arial" w:hAnsi="Arial"/>
          <w:sz w:val="18"/>
          <w:szCs w:val="18"/>
          <w:color w:val="131313"/>
        </w:rPr>
      </w:pPr>
      <w:r>
        <w:rPr>
          <w:rFonts w:ascii="Arial" w:cs="Arial" w:eastAsia="Arial" w:hAnsi="Arial"/>
          <w:sz w:val="18"/>
          <w:szCs w:val="18"/>
          <w:color w:val="131313"/>
        </w:rPr>
        <w:t xml:space="preserve">any net gain or loss (or similar changes) resulting </w:t>
      </w:r>
      <w:r>
        <w:rPr>
          <w:rFonts w:ascii="Arial" w:cs="Arial" w:eastAsia="Arial" w:hAnsi="Arial"/>
          <w:sz w:val="18"/>
          <w:szCs w:val="18"/>
          <w:color w:val="000000"/>
        </w:rPr>
        <w:t>in</w:t>
      </w:r>
      <w:r>
        <w:rPr>
          <w:rFonts w:ascii="Arial" w:cs="Arial" w:eastAsia="Arial" w:hAnsi="Arial"/>
          <w:sz w:val="18"/>
          <w:szCs w:val="18"/>
          <w:color w:val="131313"/>
        </w:rPr>
        <w:t xml:space="preserve"> such period from currency translation gains or losses (or similar charges) on currency remeasurements of Indebtedness, including intercompany Indebtedness, shall be excluded;</w:t>
      </w:r>
    </w:p>
    <w:p>
      <w:pPr>
        <w:spacing w:after="0" w:line="170" w:lineRule="exact"/>
        <w:rPr>
          <w:rFonts w:ascii="Arial" w:cs="Arial" w:eastAsia="Arial" w:hAnsi="Arial"/>
          <w:sz w:val="18"/>
          <w:szCs w:val="18"/>
          <w:color w:val="131313"/>
        </w:rPr>
      </w:pPr>
    </w:p>
    <w:p>
      <w:pPr>
        <w:ind w:firstLine="656"/>
        <w:spacing w:after="0" w:line="279" w:lineRule="auto"/>
        <w:tabs>
          <w:tab w:leader="none" w:pos="1308" w:val="left"/>
        </w:tabs>
        <w:numPr>
          <w:ilvl w:val="0"/>
          <w:numId w:val="23"/>
        </w:numPr>
        <w:rPr>
          <w:rFonts w:ascii="Arial" w:cs="Arial" w:eastAsia="Arial" w:hAnsi="Arial"/>
          <w:sz w:val="17"/>
          <w:szCs w:val="17"/>
          <w:color w:val="131313"/>
        </w:rPr>
      </w:pPr>
      <w:r>
        <w:rPr>
          <w:rFonts w:ascii="Arial" w:cs="Arial" w:eastAsia="Arial" w:hAnsi="Arial"/>
          <w:sz w:val="17"/>
          <w:szCs w:val="17"/>
          <w:color w:val="131313"/>
        </w:rPr>
        <w:t xml:space="preserve">any charges resulting from the application of Accounting Standards Codification Topic 805 “Business Combinations,” Accounting Standards Codification Topic 350 “Intangibles—Goodwill and Other,” Accounting Standards Codification Topic 360-10-35-15 “Impairment or Disposal </w:t>
      </w:r>
      <w:r>
        <w:rPr>
          <w:rFonts w:ascii="Arial" w:cs="Arial" w:eastAsia="Arial" w:hAnsi="Arial"/>
          <w:sz w:val="17"/>
          <w:szCs w:val="17"/>
          <w:color w:val="272727"/>
        </w:rPr>
        <w:t>of</w:t>
      </w:r>
      <w:r>
        <w:rPr>
          <w:rFonts w:ascii="Arial" w:cs="Arial" w:eastAsia="Arial" w:hAnsi="Arial"/>
          <w:sz w:val="17"/>
          <w:szCs w:val="17"/>
          <w:color w:val="131313"/>
        </w:rPr>
        <w:t xml:space="preserve"> Long-Lived Assets,” Accounting Standards Codification Topic 480-10 25-4 “Distinguishing Liabilities from Equity</w:t>
      </w:r>
      <w:r>
        <w:rPr>
          <w:rFonts w:ascii="Arial" w:cs="Arial" w:eastAsia="Arial" w:hAnsi="Arial"/>
          <w:sz w:val="17"/>
          <w:szCs w:val="17"/>
          <w:color w:val="272727"/>
        </w:rPr>
        <w:t>—</w:t>
      </w:r>
      <w:r>
        <w:rPr>
          <w:rFonts w:ascii="Arial" w:cs="Arial" w:eastAsia="Arial" w:hAnsi="Arial"/>
          <w:sz w:val="17"/>
          <w:szCs w:val="17"/>
          <w:color w:val="131313"/>
        </w:rPr>
        <w:t>Overall</w:t>
      </w:r>
      <w:r>
        <w:rPr>
          <w:rFonts w:ascii="Arial" w:cs="Arial" w:eastAsia="Arial" w:hAnsi="Arial"/>
          <w:sz w:val="17"/>
          <w:szCs w:val="17"/>
          <w:color w:val="272727"/>
        </w:rPr>
        <w:t>—</w:t>
      </w:r>
      <w:r>
        <w:rPr>
          <w:rFonts w:ascii="Arial" w:cs="Arial" w:eastAsia="Arial" w:hAnsi="Arial"/>
          <w:sz w:val="17"/>
          <w:szCs w:val="17"/>
          <w:color w:val="131313"/>
        </w:rPr>
        <w:t>Recognition” or Accounting Standards Codification Topic 820 “Fair Value Measurements and Disclosures” shall be excluded;</w:t>
      </w:r>
    </w:p>
    <w:p>
      <w:pPr>
        <w:spacing w:after="0" w:line="171" w:lineRule="exact"/>
        <w:rPr>
          <w:rFonts w:ascii="Arial" w:cs="Arial" w:eastAsia="Arial" w:hAnsi="Arial"/>
          <w:sz w:val="17"/>
          <w:szCs w:val="17"/>
          <w:color w:val="131313"/>
        </w:rPr>
      </w:pPr>
    </w:p>
    <w:p>
      <w:pPr>
        <w:ind w:right="740" w:firstLine="656"/>
        <w:spacing w:after="0" w:line="277" w:lineRule="auto"/>
        <w:tabs>
          <w:tab w:leader="none" w:pos="1308" w:val="left"/>
        </w:tabs>
        <w:numPr>
          <w:ilvl w:val="0"/>
          <w:numId w:val="23"/>
        </w:numPr>
        <w:rPr>
          <w:rFonts w:ascii="Arial" w:cs="Arial" w:eastAsia="Arial" w:hAnsi="Arial"/>
          <w:sz w:val="18"/>
          <w:szCs w:val="18"/>
          <w:color w:val="131313"/>
        </w:rPr>
      </w:pPr>
      <w:r>
        <w:rPr>
          <w:rFonts w:ascii="Arial" w:cs="Arial" w:eastAsia="Arial" w:hAnsi="Arial"/>
          <w:sz w:val="18"/>
          <w:szCs w:val="18"/>
          <w:color w:val="131313"/>
        </w:rPr>
        <w:t>noncash interest expense resulting from the application of Accounting Standards Codification Topic 470-20 “Debt</w:t>
      </w:r>
      <w:r>
        <w:rPr>
          <w:rFonts w:ascii="Arial" w:cs="Arial" w:eastAsia="Arial" w:hAnsi="Arial"/>
          <w:sz w:val="18"/>
          <w:szCs w:val="18"/>
          <w:color w:val="272727"/>
        </w:rPr>
        <w:t>—</w:t>
      </w:r>
      <w:r>
        <w:rPr>
          <w:rFonts w:ascii="Arial" w:cs="Arial" w:eastAsia="Arial" w:hAnsi="Arial"/>
          <w:sz w:val="18"/>
          <w:szCs w:val="18"/>
          <w:color w:val="131313"/>
        </w:rPr>
        <w:t xml:space="preserve">Debt with Conversion Options—Recognition” shall be </w:t>
      </w:r>
      <w:r>
        <w:rPr>
          <w:rFonts w:ascii="Arial" w:cs="Arial" w:eastAsia="Arial" w:hAnsi="Arial"/>
          <w:sz w:val="18"/>
          <w:szCs w:val="18"/>
          <w:color w:val="272727"/>
        </w:rPr>
        <w:t>excluded;</w:t>
      </w:r>
    </w:p>
    <w:p>
      <w:pPr>
        <w:spacing w:after="0" w:line="170" w:lineRule="exact"/>
        <w:rPr>
          <w:rFonts w:ascii="Arial" w:cs="Arial" w:eastAsia="Arial" w:hAnsi="Arial"/>
          <w:sz w:val="18"/>
          <w:szCs w:val="18"/>
          <w:color w:val="131313"/>
        </w:rPr>
      </w:pPr>
    </w:p>
    <w:p>
      <w:pPr>
        <w:jc w:val="both"/>
        <w:ind w:right="60" w:firstLine="656"/>
        <w:spacing w:after="0" w:line="263" w:lineRule="auto"/>
        <w:tabs>
          <w:tab w:leader="none" w:pos="1308" w:val="left"/>
        </w:tabs>
        <w:numPr>
          <w:ilvl w:val="0"/>
          <w:numId w:val="23"/>
        </w:numPr>
        <w:rPr>
          <w:rFonts w:ascii="Arial" w:cs="Arial" w:eastAsia="Arial" w:hAnsi="Arial"/>
          <w:sz w:val="18"/>
          <w:szCs w:val="18"/>
          <w:color w:val="131313"/>
        </w:rPr>
      </w:pPr>
      <w:r>
        <w:rPr>
          <w:rFonts w:ascii="Arial" w:cs="Arial" w:eastAsia="Arial" w:hAnsi="Arial"/>
          <w:sz w:val="18"/>
          <w:szCs w:val="18"/>
          <w:color w:val="131313"/>
        </w:rPr>
        <w:t xml:space="preserve">any expenses or charges related </w:t>
      </w:r>
      <w:r>
        <w:rPr>
          <w:rFonts w:ascii="Arial" w:cs="Arial" w:eastAsia="Arial" w:hAnsi="Arial"/>
          <w:sz w:val="18"/>
          <w:szCs w:val="18"/>
          <w:color w:val="272727"/>
        </w:rPr>
        <w:t>to</w:t>
      </w:r>
      <w:r>
        <w:rPr>
          <w:rFonts w:ascii="Arial" w:cs="Arial" w:eastAsia="Arial" w:hAnsi="Arial"/>
          <w:sz w:val="18"/>
          <w:szCs w:val="18"/>
          <w:color w:val="131313"/>
        </w:rPr>
        <w:t xml:space="preserve"> any Equity Offering, Permitted Investment, acquisition, disposition, recapitalization </w:t>
      </w:r>
      <w:r>
        <w:rPr>
          <w:rFonts w:ascii="Arial" w:cs="Arial" w:eastAsia="Arial" w:hAnsi="Arial"/>
          <w:sz w:val="18"/>
          <w:szCs w:val="18"/>
          <w:color w:val="272727"/>
        </w:rPr>
        <w:t>or</w:t>
      </w:r>
      <w:r>
        <w:rPr>
          <w:rFonts w:ascii="Arial" w:cs="Arial" w:eastAsia="Arial" w:hAnsi="Arial"/>
          <w:sz w:val="18"/>
          <w:szCs w:val="18"/>
          <w:color w:val="131313"/>
        </w:rPr>
        <w:t xml:space="preserve"> the incurrence of Indebtedness permitted to be incurred by this Indenture including a refinancing thereof (whether or not successful) and any amendment or modification to the terms </w:t>
      </w:r>
      <w:r>
        <w:rPr>
          <w:rFonts w:ascii="Arial" w:cs="Arial" w:eastAsia="Arial" w:hAnsi="Arial"/>
          <w:sz w:val="18"/>
          <w:szCs w:val="18"/>
          <w:color w:val="272727"/>
        </w:rPr>
        <w:t>of</w:t>
      </w:r>
      <w:r>
        <w:rPr>
          <w:rFonts w:ascii="Arial" w:cs="Arial" w:eastAsia="Arial" w:hAnsi="Arial"/>
          <w:sz w:val="18"/>
          <w:szCs w:val="18"/>
          <w:color w:val="131313"/>
        </w:rPr>
        <w:t xml:space="preserve"> any such transactions shall be excluded;</w:t>
      </w:r>
    </w:p>
    <w:p>
      <w:pPr>
        <w:spacing w:after="0" w:line="183" w:lineRule="exact"/>
        <w:rPr>
          <w:rFonts w:ascii="Arial" w:cs="Arial" w:eastAsia="Arial" w:hAnsi="Arial"/>
          <w:sz w:val="18"/>
          <w:szCs w:val="18"/>
          <w:color w:val="131313"/>
        </w:rPr>
      </w:pPr>
    </w:p>
    <w:p>
      <w:pPr>
        <w:ind w:right="240" w:firstLine="656"/>
        <w:spacing w:after="0" w:line="277" w:lineRule="auto"/>
        <w:tabs>
          <w:tab w:leader="none" w:pos="1308" w:val="left"/>
        </w:tabs>
        <w:numPr>
          <w:ilvl w:val="0"/>
          <w:numId w:val="23"/>
        </w:numPr>
        <w:rPr>
          <w:rFonts w:ascii="Arial" w:cs="Arial" w:eastAsia="Arial" w:hAnsi="Arial"/>
          <w:sz w:val="18"/>
          <w:szCs w:val="18"/>
          <w:color w:val="121212"/>
        </w:rPr>
      </w:pPr>
      <w:r>
        <w:rPr>
          <w:rFonts w:ascii="Arial" w:cs="Arial" w:eastAsia="Arial" w:hAnsi="Arial"/>
          <w:sz w:val="18"/>
          <w:szCs w:val="18"/>
          <w:color w:val="121212"/>
        </w:rPr>
        <w:t>all net after-tax charges, expenses, gain or income with respect to curtailments, discontinuations or modifications to pension and post-retirement employee benefit plans shall be excluded;</w:t>
      </w:r>
    </w:p>
    <w:p>
      <w:pPr>
        <w:spacing w:after="0" w:line="170" w:lineRule="exact"/>
        <w:rPr>
          <w:rFonts w:ascii="Arial" w:cs="Arial" w:eastAsia="Arial" w:hAnsi="Arial"/>
          <w:sz w:val="18"/>
          <w:szCs w:val="18"/>
          <w:color w:val="121212"/>
        </w:rPr>
      </w:pPr>
    </w:p>
    <w:p>
      <w:pPr>
        <w:ind w:right="160" w:firstLine="656"/>
        <w:spacing w:after="0" w:line="263" w:lineRule="auto"/>
        <w:tabs>
          <w:tab w:leader="none" w:pos="1308" w:val="left"/>
        </w:tabs>
        <w:numPr>
          <w:ilvl w:val="0"/>
          <w:numId w:val="23"/>
        </w:numPr>
        <w:rPr>
          <w:rFonts w:ascii="Arial" w:cs="Arial" w:eastAsia="Arial" w:hAnsi="Arial"/>
          <w:sz w:val="18"/>
          <w:szCs w:val="18"/>
          <w:color w:val="121212"/>
        </w:rPr>
      </w:pPr>
      <w:r>
        <w:rPr>
          <w:rFonts w:ascii="Arial" w:cs="Arial" w:eastAsia="Arial" w:hAnsi="Arial"/>
          <w:sz w:val="18"/>
          <w:szCs w:val="18"/>
          <w:color w:val="121212"/>
        </w:rPr>
        <w:t>any noncash compensation expense recorded from grants of stock appreciation or similar rights, stock options, restricted stock or other rights or expense relating to any payment made to holders of equity based securities or rights in respect of any dividend sharing provisions of such securities or rights to officers, directors or employees shall be excluded;</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4" w:name="page25"/>
    <w:bookmarkEnd w:id="24"/>
    <w:p>
      <w:pPr>
        <w:ind w:right="600" w:firstLine="656"/>
        <w:spacing w:after="0" w:line="277" w:lineRule="auto"/>
        <w:tabs>
          <w:tab w:leader="none" w:pos="1308" w:val="left"/>
        </w:tabs>
        <w:numPr>
          <w:ilvl w:val="0"/>
          <w:numId w:val="24"/>
        </w:numPr>
        <w:rPr>
          <w:rFonts w:ascii="Arial" w:cs="Arial" w:eastAsia="Arial" w:hAnsi="Arial"/>
          <w:sz w:val="18"/>
          <w:szCs w:val="18"/>
          <w:color w:val="121212"/>
        </w:rPr>
      </w:pPr>
      <w:r>
        <w:rPr>
          <w:rFonts w:ascii="Arial" w:cs="Arial" w:eastAsia="Arial" w:hAnsi="Arial"/>
          <w:sz w:val="18"/>
          <w:szCs w:val="18"/>
          <w:color w:val="121212"/>
        </w:rPr>
        <w:t xml:space="preserve">to </w:t>
      </w:r>
      <w:r>
        <w:rPr>
          <w:rFonts w:ascii="Arial" w:cs="Arial" w:eastAsia="Arial" w:hAnsi="Arial"/>
          <w:sz w:val="18"/>
          <w:szCs w:val="18"/>
          <w:color w:val="000000"/>
        </w:rPr>
        <w:t>the</w:t>
      </w:r>
      <w:r>
        <w:rPr>
          <w:rFonts w:ascii="Arial" w:cs="Arial" w:eastAsia="Arial" w:hAnsi="Arial"/>
          <w:sz w:val="18"/>
          <w:szCs w:val="18"/>
          <w:color w:val="121212"/>
        </w:rPr>
        <w:t xml:space="preserve"> extent covered by insurance and actually reimbursed in such period, expenses incurred in respect of the event giving rise to reimbursement with business interruption insurance shall </w:t>
      </w:r>
      <w:r>
        <w:rPr>
          <w:rFonts w:ascii="Arial" w:cs="Arial" w:eastAsia="Arial" w:hAnsi="Arial"/>
          <w:sz w:val="18"/>
          <w:szCs w:val="18"/>
          <w:color w:val="000000"/>
        </w:rPr>
        <w:t>be</w:t>
      </w:r>
      <w:r>
        <w:rPr>
          <w:rFonts w:ascii="Arial" w:cs="Arial" w:eastAsia="Arial" w:hAnsi="Arial"/>
          <w:sz w:val="18"/>
          <w:szCs w:val="18"/>
          <w:color w:val="121212"/>
        </w:rPr>
        <w:t xml:space="preserve"> excluded; and</w:t>
      </w:r>
    </w:p>
    <w:p>
      <w:pPr>
        <w:spacing w:after="0" w:line="170" w:lineRule="exact"/>
        <w:rPr>
          <w:rFonts w:ascii="Arial" w:cs="Arial" w:eastAsia="Arial" w:hAnsi="Arial"/>
          <w:sz w:val="18"/>
          <w:szCs w:val="18"/>
          <w:color w:val="121212"/>
        </w:rPr>
      </w:pPr>
    </w:p>
    <w:p>
      <w:pPr>
        <w:ind w:right="560" w:firstLine="656"/>
        <w:spacing w:after="0" w:line="277" w:lineRule="auto"/>
        <w:tabs>
          <w:tab w:leader="none" w:pos="1308" w:val="left"/>
        </w:tabs>
        <w:numPr>
          <w:ilvl w:val="0"/>
          <w:numId w:val="24"/>
        </w:numPr>
        <w:rPr>
          <w:rFonts w:ascii="Arial" w:cs="Arial" w:eastAsia="Arial" w:hAnsi="Arial"/>
          <w:sz w:val="18"/>
          <w:szCs w:val="18"/>
          <w:color w:val="121212"/>
        </w:rPr>
      </w:pPr>
      <w:r>
        <w:rPr>
          <w:rFonts w:ascii="Arial" w:cs="Arial" w:eastAsia="Arial" w:hAnsi="Arial"/>
          <w:sz w:val="18"/>
          <w:szCs w:val="18"/>
          <w:color w:val="121212"/>
        </w:rPr>
        <w:t xml:space="preserve">any proceeds from business interruption insurance received as compensation for lost profits or income during such period shall be included (to the extent </w:t>
      </w:r>
      <w:r>
        <w:rPr>
          <w:rFonts w:ascii="Arial" w:cs="Arial" w:eastAsia="Arial" w:hAnsi="Arial"/>
          <w:sz w:val="18"/>
          <w:szCs w:val="18"/>
          <w:color w:val="000000"/>
        </w:rPr>
        <w:t>not</w:t>
      </w:r>
      <w:r>
        <w:rPr>
          <w:rFonts w:ascii="Arial" w:cs="Arial" w:eastAsia="Arial" w:hAnsi="Arial"/>
          <w:sz w:val="18"/>
          <w:szCs w:val="18"/>
          <w:color w:val="121212"/>
        </w:rPr>
        <w:t xml:space="preserve"> already included in net income).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121212"/>
        </w:rPr>
        <w:t xml:space="preserve">Notwithstanding the foregoing, for </w:t>
      </w:r>
      <w:r>
        <w:rPr>
          <w:rFonts w:ascii="Arial" w:cs="Arial" w:eastAsia="Arial" w:hAnsi="Arial"/>
          <w:sz w:val="18"/>
          <w:szCs w:val="18"/>
          <w:color w:val="000000"/>
        </w:rPr>
        <w:t>the</w:t>
      </w:r>
      <w:r>
        <w:rPr>
          <w:rFonts w:ascii="Arial" w:cs="Arial" w:eastAsia="Arial" w:hAnsi="Arial"/>
          <w:sz w:val="18"/>
          <w:szCs w:val="18"/>
          <w:color w:val="121212"/>
        </w:rPr>
        <w:t xml:space="preserve"> purpose of Section 10.08 only (other than clause (4)(C)(4) thereof), there shall be excluded from Consolidated Net Income any income arising from any sale or other disposition of Restricted Investments made by the Company and the Restricted Subsidiaries, any repurchases and redemptions of Restricted Investments from </w:t>
      </w:r>
      <w:r>
        <w:rPr>
          <w:rFonts w:ascii="Arial" w:cs="Arial" w:eastAsia="Arial" w:hAnsi="Arial"/>
          <w:sz w:val="18"/>
          <w:szCs w:val="18"/>
          <w:color w:val="000000"/>
        </w:rPr>
        <w:t>the</w:t>
      </w:r>
      <w:r>
        <w:rPr>
          <w:rFonts w:ascii="Arial" w:cs="Arial" w:eastAsia="Arial" w:hAnsi="Arial"/>
          <w:sz w:val="18"/>
          <w:szCs w:val="18"/>
          <w:color w:val="121212"/>
        </w:rPr>
        <w:t xml:space="preserve"> Company and the Restricted Subsidiaries, any repayments to the Company or a Restricted Subsidiary of loans and advances that constitute Restricted Investments, any sale of the stock of an Unrestricted Subsidiary or any distribution or dividend from an Unrestricted Subsidiary, in each case only to the extent such amounts increase the amount of Restricted Payments permitted under Section 10.08 pursuant to clause (4)(C)(4) of Section 10.08(a).</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as of any date of determination, the total assets, net, reflected on the consolidated balance sheet of the Company and its Restricted Subsidiaries as at the end of the most recent fiscal quarter for which financial statements are available, determined on a consolidated basis in accordance with GAAP, with such pro forma adjustments as are appropriate and consistent with the pro forma adjustment provisions set forth in the definition of “Fixed Charge Coverage Ratio”.</w:t>
      </w:r>
    </w:p>
    <w:p>
      <w:pPr>
        <w:spacing w:after="0" w:line="18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Total Indebtedness</w:t>
      </w:r>
      <w:r>
        <w:rPr>
          <w:rFonts w:ascii="Arial" w:cs="Arial" w:eastAsia="Arial" w:hAnsi="Arial"/>
          <w:sz w:val="17"/>
          <w:szCs w:val="17"/>
          <w:color w:val="auto"/>
        </w:rPr>
        <w:t xml:space="preserve">” means, as at any date of determination, an amount equal to the sum of (1) the aggregate amount of all outstanding Indebtedness of the Company </w:t>
      </w:r>
      <w:r>
        <w:rPr>
          <w:rFonts w:ascii="Arial" w:cs="Arial" w:eastAsia="Arial" w:hAnsi="Arial"/>
          <w:sz w:val="17"/>
          <w:szCs w:val="17"/>
          <w:color w:val="121212"/>
        </w:rPr>
        <w:t>and the Restricted Subsidiaries on a consolidated basis consisting of Indebtedness for borrowed money,</w:t>
      </w:r>
      <w:r>
        <w:rPr>
          <w:rFonts w:ascii="Arial" w:cs="Arial" w:eastAsia="Arial" w:hAnsi="Arial"/>
          <w:sz w:val="17"/>
          <w:szCs w:val="17"/>
          <w:color w:val="auto"/>
        </w:rPr>
        <w:t xml:space="preserve"> </w:t>
      </w:r>
      <w:r>
        <w:rPr>
          <w:rFonts w:ascii="Arial" w:cs="Arial" w:eastAsia="Arial" w:hAnsi="Arial"/>
          <w:sz w:val="17"/>
          <w:szCs w:val="17"/>
          <w:color w:val="121212"/>
        </w:rPr>
        <w:t xml:space="preserve">Obligations in respect of Capitalized Lease Obligations, Attributable Debt in respect of Sale and Lease-Back Transactions and debt obligations evidenced by bonds, notes, debentures or similar instruments or letters of credit or bankers’ acceptances (and excluding (w) any guarantees or other Contingent Obligations, (x) any undrawn letters of credit, (y) all obligations relating to Receivables Facilities and (z) any intercompany Indebtedness) and (2) the aggregate amount of all outstanding Disqualified Stock of the Company and all Disqualified Stock and Preferred Stock of the Restricted Subsidiaries (excluding items eliminated in consolidation), with the amount of such Disqualified Stock and Preferred Stock equal to the greater of their respective voluntary or involuntary liquidation preferences and Maximum Fixed Repurchase Prices, </w:t>
      </w:r>
      <w:r>
        <w:rPr>
          <w:rFonts w:ascii="Arial" w:cs="Arial" w:eastAsia="Arial" w:hAnsi="Arial"/>
          <w:sz w:val="17"/>
          <w:szCs w:val="17"/>
          <w:color w:val="000000"/>
        </w:rPr>
        <w:t>in</w:t>
      </w:r>
      <w:r>
        <w:rPr>
          <w:rFonts w:ascii="Arial" w:cs="Arial" w:eastAsia="Arial" w:hAnsi="Arial"/>
          <w:sz w:val="17"/>
          <w:szCs w:val="17"/>
          <w:color w:val="121212"/>
        </w:rPr>
        <w:t xml:space="preserve"> each case determined on </w:t>
      </w:r>
      <w:r>
        <w:rPr>
          <w:rFonts w:ascii="Arial" w:cs="Arial" w:eastAsia="Arial" w:hAnsi="Arial"/>
          <w:sz w:val="17"/>
          <w:szCs w:val="17"/>
          <w:color w:val="000000"/>
        </w:rPr>
        <w:t>a</w:t>
      </w:r>
      <w:r>
        <w:rPr>
          <w:rFonts w:ascii="Arial" w:cs="Arial" w:eastAsia="Arial" w:hAnsi="Arial"/>
          <w:sz w:val="17"/>
          <w:szCs w:val="17"/>
          <w:color w:val="121212"/>
        </w:rPr>
        <w:t xml:space="preserve"> consolidated basis, and only to the extent required to be recorded on a balance sheet, in accordance with GAAP.</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Indenture, and if such price is based upon, or measured by, the fair market value of such Disqualified Stock or Preferred Stock, such fair market value shall be determined reasonably and in good faith by the Company.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 w:name="page26"/>
    <w:bookmarkEnd w:id="25"/>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Secured Indebtedness</w:t>
      </w:r>
      <w:r>
        <w:rPr>
          <w:rFonts w:ascii="Arial" w:cs="Arial" w:eastAsia="Arial" w:hAnsi="Arial"/>
          <w:sz w:val="18"/>
          <w:szCs w:val="18"/>
          <w:color w:val="auto"/>
        </w:rPr>
        <w:t>” means, as at any date of determination, an amount equal to the aggregate amount of Consolidated Total Indebtedness that is secured by a Lien on assets of the Company or any Restricted Subsidiary.</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Obligations</w:t>
      </w:r>
      <w:r>
        <w:rPr>
          <w:rFonts w:ascii="Arial" w:cs="Arial" w:eastAsia="Arial" w:hAnsi="Arial"/>
          <w:sz w:val="18"/>
          <w:szCs w:val="18"/>
          <w:color w:val="auto"/>
        </w:rPr>
        <w:t>” means, with respect to any Person, any obligation of such Person guaranteeing any leases, dividends or other obligations that do not constitute Indebtedness (the “</w:t>
      </w:r>
      <w:r>
        <w:rPr>
          <w:rFonts w:ascii="Arial" w:cs="Arial" w:eastAsia="Arial" w:hAnsi="Arial"/>
          <w:sz w:val="18"/>
          <w:szCs w:val="18"/>
          <w:i w:val="1"/>
          <w:i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i w:val="1"/>
          <w:iCs w:val="1"/>
          <w:color w:val="auto"/>
        </w:rPr>
        <w:t>primary obligor</w:t>
      </w:r>
      <w:r>
        <w:rPr>
          <w:rFonts w:ascii="Arial" w:cs="Arial" w:eastAsia="Arial" w:hAnsi="Arial"/>
          <w:sz w:val="18"/>
          <w:szCs w:val="18"/>
          <w:color w:val="auto"/>
        </w:rPr>
        <w:t>”) in any manner, whether directly or indirectly, including any obligation of such Person, whether or not contingent,</w:t>
      </w:r>
    </w:p>
    <w:p>
      <w:pPr>
        <w:spacing w:after="0" w:line="184" w:lineRule="exact"/>
        <w:rPr>
          <w:sz w:val="20"/>
          <w:szCs w:val="20"/>
          <w:color w:val="auto"/>
        </w:rPr>
      </w:pPr>
    </w:p>
    <w:p>
      <w:pPr>
        <w:ind w:left="1320" w:hanging="66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5"/>
        </w:numPr>
        <w:rPr>
          <w:rFonts w:ascii="Arial" w:cs="Arial" w:eastAsia="Arial" w:hAnsi="Arial"/>
          <w:sz w:val="18"/>
          <w:szCs w:val="18"/>
          <w:color w:val="121212"/>
        </w:rPr>
      </w:pPr>
      <w:r>
        <w:rPr>
          <w:rFonts w:ascii="Arial" w:cs="Arial" w:eastAsia="Arial" w:hAnsi="Arial"/>
          <w:sz w:val="18"/>
          <w:szCs w:val="18"/>
          <w:color w:val="auto"/>
        </w:rPr>
        <w:t>for the purchase or payment of any such primary obligation, or</w:t>
      </w:r>
    </w:p>
    <w:p>
      <w:pPr>
        <w:spacing w:after="0" w:line="225" w:lineRule="exact"/>
        <w:rPr>
          <w:rFonts w:ascii="Arial" w:cs="Arial" w:eastAsia="Arial" w:hAnsi="Arial"/>
          <w:sz w:val="18"/>
          <w:szCs w:val="18"/>
          <w:color w:val="121212"/>
        </w:rPr>
      </w:pPr>
    </w:p>
    <w:p>
      <w:pPr>
        <w:ind w:left="1920" w:hanging="616"/>
        <w:spacing w:after="0"/>
        <w:tabs>
          <w:tab w:leader="none" w:pos="1920" w:val="left"/>
        </w:tabs>
        <w:numPr>
          <w:ilvl w:val="1"/>
          <w:numId w:val="25"/>
        </w:numPr>
        <w:rPr>
          <w:rFonts w:ascii="Arial" w:cs="Arial" w:eastAsia="Arial" w:hAnsi="Arial"/>
          <w:sz w:val="17"/>
          <w:szCs w:val="17"/>
          <w:color w:val="121212"/>
        </w:rPr>
      </w:pPr>
      <w:r>
        <w:rPr>
          <w:rFonts w:ascii="Arial" w:cs="Arial" w:eastAsia="Arial" w:hAnsi="Arial"/>
          <w:sz w:val="17"/>
          <w:szCs w:val="17"/>
          <w:color w:val="141414"/>
        </w:rPr>
        <w:t>to maintain working capital or equity capital of the primary obligor or otherwise to maintain the net worth or solvency of the</w:t>
      </w:r>
    </w:p>
    <w:p>
      <w:pPr>
        <w:spacing w:after="0" w:line="34" w:lineRule="exact"/>
        <w:rPr>
          <w:rFonts w:ascii="Arial" w:cs="Arial" w:eastAsia="Arial" w:hAnsi="Arial"/>
          <w:sz w:val="17"/>
          <w:szCs w:val="17"/>
          <w:color w:val="121212"/>
        </w:rPr>
      </w:pPr>
    </w:p>
    <w:p>
      <w:pPr>
        <w:spacing w:after="0"/>
        <w:rPr>
          <w:rFonts w:ascii="Arial" w:cs="Arial" w:eastAsia="Arial" w:hAnsi="Arial"/>
          <w:sz w:val="17"/>
          <w:szCs w:val="17"/>
          <w:color w:val="121212"/>
        </w:rPr>
      </w:pPr>
      <w:r>
        <w:rPr>
          <w:rFonts w:ascii="Arial" w:cs="Arial" w:eastAsia="Arial" w:hAnsi="Arial"/>
          <w:sz w:val="18"/>
          <w:szCs w:val="18"/>
          <w:color w:val="141414"/>
        </w:rPr>
        <w:t>primary obligor, or</w:t>
      </w:r>
    </w:p>
    <w:p>
      <w:pPr>
        <w:spacing w:after="0" w:line="210" w:lineRule="exact"/>
        <w:rPr>
          <w:rFonts w:ascii="Arial" w:cs="Arial" w:eastAsia="Arial" w:hAnsi="Arial"/>
          <w:sz w:val="17"/>
          <w:szCs w:val="17"/>
          <w:color w:val="121212"/>
        </w:rPr>
      </w:pPr>
    </w:p>
    <w:p>
      <w:pPr>
        <w:ind w:right="200" w:firstLine="656"/>
        <w:spacing w:after="0" w:line="277" w:lineRule="auto"/>
        <w:tabs>
          <w:tab w:leader="none" w:pos="13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means the principal corporate trust office of the Trustee, at which at any particular time its corporate trust business shall be principally administered, which office at the date of execution of this Indenture is located at 190 S. LaSalle Street,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Chicago, Illinois 60603, Attention: Corporate Trust-Winnebago Industries, except that with respect to presentation of the Notes for payment or for registration of transfer or exchange, such term shall </w:t>
      </w:r>
      <w:r>
        <w:rPr>
          <w:rFonts w:ascii="Arial" w:cs="Arial" w:eastAsia="Arial" w:hAnsi="Arial"/>
          <w:sz w:val="16"/>
          <w:szCs w:val="16"/>
          <w:color w:val="111111"/>
        </w:rPr>
        <w:t>mean the office or agency of the Trustee at which,</w:t>
      </w:r>
      <w:r>
        <w:rPr>
          <w:rFonts w:ascii="Arial" w:cs="Arial" w:eastAsia="Arial" w:hAnsi="Arial"/>
          <w:sz w:val="16"/>
          <w:szCs w:val="16"/>
          <w:color w:val="auto"/>
        </w:rPr>
        <w:t xml:space="preserve"> at </w:t>
      </w:r>
      <w:r>
        <w:rPr>
          <w:rFonts w:ascii="Arial" w:cs="Arial" w:eastAsia="Arial" w:hAnsi="Arial"/>
          <w:sz w:val="16"/>
          <w:szCs w:val="16"/>
          <w:color w:val="111111"/>
        </w:rPr>
        <w:t>any particular time, its corporate agency business shall be conducted.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111111"/>
        </w:rPr>
        <w:t>“</w:t>
      </w:r>
      <w:r>
        <w:rPr>
          <w:rFonts w:ascii="Arial" w:cs="Arial" w:eastAsia="Arial" w:hAnsi="Arial"/>
          <w:sz w:val="18"/>
          <w:szCs w:val="18"/>
          <w:i w:val="1"/>
          <w:iCs w:val="1"/>
          <w:color w:val="111111"/>
        </w:rPr>
        <w:t>Covenant Defeasance</w:t>
      </w:r>
      <w:r>
        <w:rPr>
          <w:rFonts w:ascii="Arial" w:cs="Arial" w:eastAsia="Arial" w:hAnsi="Arial"/>
          <w:sz w:val="18"/>
          <w:szCs w:val="18"/>
          <w:color w:val="111111"/>
        </w:rPr>
        <w:t>” has the meaning specified in Section 13.03.</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111111"/>
        </w:rPr>
        <w:t>“</w:t>
      </w:r>
      <w:r>
        <w:rPr>
          <w:rFonts w:ascii="Arial" w:cs="Arial" w:eastAsia="Arial" w:hAnsi="Arial"/>
          <w:sz w:val="16"/>
          <w:szCs w:val="16"/>
          <w:i w:val="1"/>
          <w:iCs w:val="1"/>
          <w:color w:val="111111"/>
        </w:rPr>
        <w:t>Credit Facilities</w:t>
      </w:r>
      <w:r>
        <w:rPr>
          <w:rFonts w:ascii="Arial" w:cs="Arial" w:eastAsia="Arial" w:hAnsi="Arial"/>
          <w:sz w:val="16"/>
          <w:szCs w:val="16"/>
          <w:color w:val="111111"/>
        </w:rPr>
        <w:t>” means, with respect to any Grantor or any of its Restricted Subsidiaries, one or more of (1) any ABL Facility and (2) any other facilities, indentures or other arrangements (including commercial paper facilities and overdraft facilities), in each case, with one or more banks, other financial institutions, lenders or investors providing for revolving credit loans, term loans, notes, receivables financing (including through the sale of receivables to such institutions or to special purpose entities formed to borrow from such institutions against such receivables or the creation of any Liens in respect of such receivable in favor of such institutions), letters of credit or other Indebtedness, in each case, as amended, restated, amended and restated, supplemented or otherwise modified or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original credit agreement or one or more other credit agreements, indentures, financing agreements or otherwise) and in each case including all agreements, instruments and documents executed and delivered pursuant to or in connection with the foregoing (including any notes, any letters of credit and reimbursement obligations related thereto, any guarantee and collateral agreement, patent and trademark security agreement, mortgages or letter of credit applications and other guarantees, pledges, agreements, security agreements and collateral documents). Without limiting the generality of the foregoing, the term “Credit Facility” shall include any agreement or instrument (a) changing the maturity of any Indebtedness incurred thereunder or contemplated thereby, (b) adding Subsidiaries of a Grantor as additional borrowers or guarantors thereunder,</w:t>
      </w:r>
    </w:p>
    <w:p>
      <w:pPr>
        <w:spacing w:after="0" w:line="2" w:lineRule="exact"/>
        <w:rPr>
          <w:sz w:val="20"/>
          <w:szCs w:val="20"/>
          <w:color w:val="auto"/>
        </w:rPr>
      </w:pPr>
    </w:p>
    <w:p>
      <w:pPr>
        <w:ind w:right="320" w:firstLine="8"/>
        <w:spacing w:after="0" w:line="260" w:lineRule="auto"/>
        <w:tabs>
          <w:tab w:leader="none" w:pos="245" w:val="left"/>
        </w:tabs>
        <w:numPr>
          <w:ilvl w:val="0"/>
          <w:numId w:val="26"/>
        </w:numPr>
        <w:rPr>
          <w:rFonts w:ascii="Arial" w:cs="Arial" w:eastAsia="Arial" w:hAnsi="Arial"/>
          <w:sz w:val="18"/>
          <w:szCs w:val="18"/>
          <w:color w:val="111111"/>
        </w:rPr>
      </w:pPr>
      <w:r>
        <w:rPr>
          <w:rFonts w:ascii="Arial" w:cs="Arial" w:eastAsia="Arial" w:hAnsi="Arial"/>
          <w:sz w:val="18"/>
          <w:szCs w:val="18"/>
          <w:color w:val="111111"/>
        </w:rPr>
        <w:t>increasing the amount of Indebtedness incurred thereunder or available to be borrowed thereunder or (d) otherwise altering the terms and conditions thereof, in each case to the extent otherwise permitted under all applicable Secured Debt Documents.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Default</w:t>
      </w:r>
      <w:r>
        <w:rPr>
          <w:rFonts w:ascii="Arial" w:cs="Arial" w:eastAsia="Arial" w:hAnsi="Arial"/>
          <w:sz w:val="18"/>
          <w:szCs w:val="18"/>
          <w:color w:val="131313"/>
        </w:rPr>
        <w:t>” means any event that is, or with the passage of time or the giving of notice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Defaulted Interest</w:t>
      </w:r>
      <w:r>
        <w:rPr>
          <w:rFonts w:ascii="Arial" w:cs="Arial" w:eastAsia="Arial" w:hAnsi="Arial"/>
          <w:sz w:val="18"/>
          <w:szCs w:val="18"/>
          <w:color w:val="131313"/>
        </w:rPr>
        <w:t>” has the meaning specified in Section 3.06(b).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131313"/>
        </w:rPr>
        <w:t>“</w:t>
      </w:r>
      <w:r>
        <w:rPr>
          <w:rFonts w:ascii="Arial" w:cs="Arial" w:eastAsia="Arial" w:hAnsi="Arial"/>
          <w:sz w:val="17"/>
          <w:szCs w:val="17"/>
          <w:i w:val="1"/>
          <w:iCs w:val="1"/>
          <w:color w:val="131313"/>
        </w:rPr>
        <w:t>Deposit Account</w:t>
      </w:r>
      <w:r>
        <w:rPr>
          <w:rFonts w:ascii="Arial" w:cs="Arial" w:eastAsia="Arial" w:hAnsi="Arial"/>
          <w:sz w:val="17"/>
          <w:szCs w:val="17"/>
          <w:color w:val="131313"/>
        </w:rPr>
        <w:t>” has the meaning specified in the UCC, and if defined in more than one Article of the UCC, the meaning given in Article 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131313"/>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Depository</w:t>
      </w:r>
      <w:r>
        <w:rPr>
          <w:rFonts w:ascii="Arial" w:cs="Arial" w:eastAsia="Arial" w:hAnsi="Arial"/>
          <w:sz w:val="18"/>
          <w:szCs w:val="18"/>
          <w:color w:val="131313"/>
        </w:rPr>
        <w:t xml:space="preserve">” means </w:t>
      </w:r>
      <w:r>
        <w:rPr>
          <w:rFonts w:ascii="Arial" w:cs="Arial" w:eastAsia="Arial" w:hAnsi="Arial"/>
          <w:sz w:val="18"/>
          <w:szCs w:val="18"/>
          <w:color w:val="000000"/>
        </w:rPr>
        <w:t>The</w:t>
      </w:r>
      <w:r>
        <w:rPr>
          <w:rFonts w:ascii="Arial" w:cs="Arial" w:eastAsia="Arial" w:hAnsi="Arial"/>
          <w:sz w:val="18"/>
          <w:szCs w:val="18"/>
          <w:color w:val="131313"/>
        </w:rPr>
        <w:t xml:space="preserve"> Depository Trust Company, its nominees and their respective successors.</w:t>
      </w:r>
    </w:p>
    <w:p>
      <w:pPr>
        <w:spacing w:after="0" w:line="225"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131313"/>
        </w:rPr>
        <w:t>“</w:t>
      </w:r>
      <w:r>
        <w:rPr>
          <w:rFonts w:ascii="Arial" w:cs="Arial" w:eastAsia="Arial" w:hAnsi="Arial"/>
          <w:sz w:val="17"/>
          <w:szCs w:val="17"/>
          <w:i w:val="1"/>
          <w:iCs w:val="1"/>
          <w:color w:val="131313"/>
        </w:rPr>
        <w:t>Designated Noncash Consideration</w:t>
      </w:r>
      <w:r>
        <w:rPr>
          <w:rFonts w:ascii="Arial" w:cs="Arial" w:eastAsia="Arial" w:hAnsi="Arial"/>
          <w:sz w:val="17"/>
          <w:szCs w:val="17"/>
          <w:color w:val="131313"/>
        </w:rPr>
        <w:t>” means the fair market value of noncash consideration received by the Company or a Restricted Subsidiary in connection with an Asset Sale that is so designated as Designated Noncash Consideration pursuant to an Officer’s Certificate, setting forth the basis of such valuation, executed by an executive vice president and the principal financial officer of the Company (or a parent company thereof), less the amount of cash or Cash Equivalents received in connection with a subsequent sale of such Designated Noncash Consideration.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Discharge of Priority Lien Notes Obligations</w:t>
      </w:r>
      <w:r>
        <w:rPr>
          <w:rFonts w:ascii="Arial" w:cs="Arial" w:eastAsia="Arial" w:hAnsi="Arial"/>
          <w:sz w:val="18"/>
          <w:szCs w:val="18"/>
          <w:color w:val="131313"/>
        </w:rPr>
        <w:t>” means the occurrence of all of the following:</w:t>
      </w:r>
    </w:p>
    <w:p>
      <w:pPr>
        <w:spacing w:after="0" w:line="225" w:lineRule="exact"/>
        <w:rPr>
          <w:sz w:val="20"/>
          <w:szCs w:val="20"/>
          <w:color w:val="auto"/>
        </w:rPr>
      </w:pPr>
    </w:p>
    <w:p>
      <w:pPr>
        <w:ind w:right="120" w:firstLine="656"/>
        <w:spacing w:after="0" w:line="263" w:lineRule="auto"/>
        <w:tabs>
          <w:tab w:leader="none" w:pos="903" w:val="left"/>
        </w:tabs>
        <w:numPr>
          <w:ilvl w:val="0"/>
          <w:numId w:val="27"/>
        </w:numPr>
        <w:rPr>
          <w:rFonts w:ascii="Arial" w:cs="Arial" w:eastAsia="Arial" w:hAnsi="Arial"/>
          <w:sz w:val="18"/>
          <w:szCs w:val="18"/>
          <w:color w:val="131313"/>
        </w:rPr>
      </w:pPr>
      <w:r>
        <w:rPr>
          <w:rFonts w:ascii="Arial" w:cs="Arial" w:eastAsia="Arial" w:hAnsi="Arial"/>
          <w:sz w:val="18"/>
          <w:szCs w:val="18"/>
          <w:color w:val="131313"/>
        </w:rPr>
        <w:t>with respect to each Series of Priority Lien Notes Debt, either (x) payment in full in cash of the principal of and interest and premium (if any) on all Priority Lien Notes Debt of such Series of Priority Lien Notes Debt or (y) there has been a legal defeasance or covenant defeasance pursuant to the terms of the applicable Priority Lien Documents for such Series of Priority Lien Notes Debt; and</w:t>
      </w:r>
    </w:p>
    <w:p>
      <w:pPr>
        <w:spacing w:after="0" w:line="183" w:lineRule="exact"/>
        <w:rPr>
          <w:rFonts w:ascii="Arial" w:cs="Arial" w:eastAsia="Arial" w:hAnsi="Arial"/>
          <w:sz w:val="18"/>
          <w:szCs w:val="18"/>
          <w:color w:val="131313"/>
        </w:rPr>
      </w:pPr>
    </w:p>
    <w:p>
      <w:pPr>
        <w:ind w:firstLine="656"/>
        <w:spacing w:after="0" w:line="263" w:lineRule="auto"/>
        <w:tabs>
          <w:tab w:leader="none" w:pos="903" w:val="left"/>
        </w:tabs>
        <w:numPr>
          <w:ilvl w:val="0"/>
          <w:numId w:val="27"/>
        </w:numPr>
        <w:rPr>
          <w:rFonts w:ascii="Arial" w:cs="Arial" w:eastAsia="Arial" w:hAnsi="Arial"/>
          <w:sz w:val="18"/>
          <w:szCs w:val="18"/>
          <w:color w:val="131313"/>
        </w:rPr>
      </w:pPr>
      <w:r>
        <w:rPr>
          <w:rFonts w:ascii="Arial" w:cs="Arial" w:eastAsia="Arial" w:hAnsi="Arial"/>
          <w:sz w:val="18"/>
          <w:szCs w:val="18"/>
          <w:color w:val="131313"/>
        </w:rPr>
        <w:t>payment in full in cash of all other Priority Lien Notes Obligations that are outstanding and unpaid at the time the Priority Lien Notes Debt is paid in full in cash (other than any obligations for taxes, costs, indemnifications, reimbursements, damages and other liabilities in respect of which no claim or demand for payment has been made at such time).</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131313"/>
        </w:rPr>
        <w:t>“</w:t>
      </w:r>
      <w:r>
        <w:rPr>
          <w:rFonts w:ascii="Arial" w:cs="Arial" w:eastAsia="Arial" w:hAnsi="Arial"/>
          <w:sz w:val="17"/>
          <w:szCs w:val="17"/>
          <w:i w:val="1"/>
          <w:iCs w:val="1"/>
          <w:color w:val="131313"/>
        </w:rPr>
        <w:t>Disqualified Stock</w:t>
      </w:r>
      <w:r>
        <w:rPr>
          <w:rFonts w:ascii="Arial" w:cs="Arial" w:eastAsia="Arial" w:hAnsi="Arial"/>
          <w:sz w:val="17"/>
          <w:szCs w:val="17"/>
          <w:color w:val="131313"/>
        </w:rPr>
        <w:t xml:space="preserve">” means, with respect to any Person, any Capital Stock of such Person which, by its terms, or by the terms of any security into which it is convertible or for which it is redeemable or exchangeable, or upon the happening of any event, matures or is mandatorily redeemable (other than solely for Capital Stock that is not Disqualified Stock), other than as a result of a change of control or asset sale, pursuant to a sinking fund obligation or otherwise, or is redeemable at the option of the holder thereof, other than as a result of a change of control or asset sale, in whole or in part, in each case prior to the date that is 91 days after the earlier of the maturity date of the Notes </w:t>
      </w:r>
      <w:r>
        <w:rPr>
          <w:rFonts w:ascii="Arial" w:cs="Arial" w:eastAsia="Arial" w:hAnsi="Arial"/>
          <w:sz w:val="17"/>
          <w:szCs w:val="17"/>
          <w:color w:val="000000"/>
        </w:rPr>
        <w:t>and the</w:t>
      </w:r>
      <w:r>
        <w:rPr>
          <w:rFonts w:ascii="Arial" w:cs="Arial" w:eastAsia="Arial" w:hAnsi="Arial"/>
          <w:sz w:val="17"/>
          <w:szCs w:val="17"/>
          <w:color w:val="131313"/>
        </w:rPr>
        <w:t xml:space="preserve"> date the Notes are no longer outstanding; </w:t>
      </w:r>
      <w:r>
        <w:rPr>
          <w:rFonts w:ascii="Arial" w:cs="Arial" w:eastAsia="Arial" w:hAnsi="Arial"/>
          <w:sz w:val="17"/>
          <w:szCs w:val="17"/>
          <w:i w:val="1"/>
          <w:iCs w:val="1"/>
          <w:color w:val="131313"/>
        </w:rPr>
        <w:t>provided</w:t>
      </w:r>
      <w:r>
        <w:rPr>
          <w:rFonts w:ascii="Arial" w:cs="Arial" w:eastAsia="Arial" w:hAnsi="Arial"/>
          <w:sz w:val="17"/>
          <w:szCs w:val="17"/>
          <w:color w:val="131313"/>
        </w:rPr>
        <w:t xml:space="preserve"> that if such Capital Stock is issued to any plan for the benefit of employees of the Company or its Subsidiaries or by any such plan to such employees, such Capital Stock shall not constitute Disqualified Stock solely because it may be required to be repurchased by the Company or its Subsidiaries in order to satisfy applicable statutory or regulatory obligations.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7" w:name="page28"/>
    <w:bookmarkEnd w:id="27"/>
    <w:p>
      <w:pPr>
        <w:ind w:left="660"/>
        <w:spacing w:after="0"/>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121212"/>
        </w:rPr>
        <w:t>Document</w:t>
      </w:r>
      <w:r>
        <w:rPr>
          <w:rFonts w:ascii="Arial" w:cs="Arial" w:eastAsia="Arial" w:hAnsi="Arial"/>
          <w:sz w:val="16"/>
          <w:szCs w:val="16"/>
          <w:color w:val="121212"/>
        </w:rPr>
        <w:t>” has the meaning specified in the UCC, and if defined in more than one Article of the UCC, the meaning given in Article 9 thereof.</w:t>
      </w:r>
    </w:p>
    <w:p>
      <w:pPr>
        <w:spacing w:after="0" w:line="24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Domestic Foreign Holdco Subsidiary</w:t>
      </w:r>
      <w:r>
        <w:rPr>
          <w:rFonts w:ascii="Arial" w:cs="Arial" w:eastAsia="Arial" w:hAnsi="Arial"/>
          <w:sz w:val="18"/>
          <w:szCs w:val="18"/>
          <w:color w:val="121212"/>
        </w:rPr>
        <w:t>” means any Domestic Subsidiary substantially all of the assets of which consist of the Equity Interests (or Equity Interests and Indebtedness) of one or more CFCs.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Domestic Subsidiary</w:t>
      </w:r>
      <w:r>
        <w:rPr>
          <w:rFonts w:ascii="Arial" w:cs="Arial" w:eastAsia="Arial" w:hAnsi="Arial"/>
          <w:sz w:val="17"/>
          <w:szCs w:val="17"/>
          <w:color w:val="auto"/>
        </w:rPr>
        <w:t>” means, with respect to any Person, any Restricted Subsidiary of such Person other than (i) a Foreign Subsidiary or (ii) a Domestic Subsidiary of a Foreign Subsidiary that is a controlled foreign corporation for U.S. federal income tax purposes, but, in each case, including any Subsidiary that guarantees or otherwise provides direct credit support for any indebtedness of the Company.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means, with respect to any Person for any period, the Consolidated Net Income of such Person for such period,</w:t>
      </w:r>
    </w:p>
    <w:p>
      <w:pPr>
        <w:spacing w:after="0" w:line="225" w:lineRule="exact"/>
        <w:rPr>
          <w:sz w:val="20"/>
          <w:szCs w:val="20"/>
          <w:color w:val="auto"/>
        </w:rPr>
      </w:pPr>
    </w:p>
    <w:p>
      <w:pPr>
        <w:ind w:left="1320" w:hanging="66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by (without duplication):</w:t>
      </w:r>
    </w:p>
    <w:p>
      <w:pPr>
        <w:spacing w:after="0" w:line="225" w:lineRule="exact"/>
        <w:rPr>
          <w:sz w:val="20"/>
          <w:szCs w:val="20"/>
          <w:color w:val="auto"/>
        </w:rPr>
      </w:pPr>
    </w:p>
    <w:p>
      <w:pPr>
        <w:ind w:right="280" w:firstLine="656"/>
        <w:spacing w:after="0" w:line="277" w:lineRule="auto"/>
        <w:tabs>
          <w:tab w:leader="none" w:pos="1297" w:val="left"/>
        </w:tabs>
        <w:numPr>
          <w:ilvl w:val="0"/>
          <w:numId w:val="29"/>
        </w:numPr>
        <w:rPr>
          <w:rFonts w:ascii="Arial" w:cs="Arial" w:eastAsia="Arial" w:hAnsi="Arial"/>
          <w:sz w:val="18"/>
          <w:szCs w:val="18"/>
          <w:color w:val="121212"/>
        </w:rPr>
      </w:pPr>
      <w:r>
        <w:rPr>
          <w:rFonts w:ascii="Arial" w:cs="Arial" w:eastAsia="Arial" w:hAnsi="Arial"/>
          <w:sz w:val="18"/>
          <w:szCs w:val="18"/>
          <w:color w:val="auto"/>
        </w:rPr>
        <w:t xml:space="preserve">provision for taxes based on income or profits, plus franchise or similar taxes, of such Person for such period deducted in computing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121212"/>
        </w:rPr>
      </w:pPr>
    </w:p>
    <w:p>
      <w:pPr>
        <w:ind w:left="1320" w:hanging="664"/>
        <w:spacing w:after="0"/>
        <w:tabs>
          <w:tab w:leader="none" w:pos="1320" w:val="left"/>
        </w:tabs>
        <w:numPr>
          <w:ilvl w:val="0"/>
          <w:numId w:val="29"/>
        </w:numPr>
        <w:rPr>
          <w:rFonts w:ascii="Arial" w:cs="Arial" w:eastAsia="Arial" w:hAnsi="Arial"/>
          <w:sz w:val="16"/>
          <w:szCs w:val="16"/>
          <w:color w:val="121212"/>
        </w:rPr>
      </w:pPr>
      <w:r>
        <w:rPr>
          <w:rFonts w:ascii="Arial" w:cs="Arial" w:eastAsia="Arial" w:hAnsi="Arial"/>
          <w:sz w:val="16"/>
          <w:szCs w:val="16"/>
          <w:color w:val="131313"/>
        </w:rPr>
        <w:t>consolidated Fixed Charges of such Person for such period to the extent the same was deducted in computing Consolidated Net Income;</w:t>
      </w:r>
    </w:p>
    <w:p>
      <w:pPr>
        <w:spacing w:after="0" w:line="46" w:lineRule="exact"/>
        <w:rPr>
          <w:rFonts w:ascii="Arial" w:cs="Arial" w:eastAsia="Arial" w:hAnsi="Arial"/>
          <w:sz w:val="16"/>
          <w:szCs w:val="16"/>
          <w:color w:val="121212"/>
        </w:rPr>
      </w:pPr>
    </w:p>
    <w:p>
      <w:pPr>
        <w:spacing w:after="0"/>
        <w:rPr>
          <w:rFonts w:ascii="Arial" w:cs="Arial" w:eastAsia="Arial" w:hAnsi="Arial"/>
          <w:sz w:val="16"/>
          <w:szCs w:val="16"/>
          <w:color w:val="121212"/>
        </w:rPr>
      </w:pPr>
      <w:r>
        <w:rPr>
          <w:rFonts w:ascii="Arial" w:cs="Arial" w:eastAsia="Arial" w:hAnsi="Arial"/>
          <w:sz w:val="18"/>
          <w:szCs w:val="18"/>
          <w:i w:val="1"/>
          <w:iCs w:val="1"/>
          <w:color w:val="131313"/>
        </w:rPr>
        <w:t>plus</w:t>
      </w:r>
    </w:p>
    <w:p>
      <w:pPr>
        <w:spacing w:after="0" w:line="210" w:lineRule="exact"/>
        <w:rPr>
          <w:rFonts w:ascii="Arial" w:cs="Arial" w:eastAsia="Arial" w:hAnsi="Arial"/>
          <w:sz w:val="16"/>
          <w:szCs w:val="16"/>
          <w:color w:val="121212"/>
        </w:rPr>
      </w:pPr>
    </w:p>
    <w:p>
      <w:pPr>
        <w:ind w:left="1300" w:hanging="644"/>
        <w:spacing w:after="0"/>
        <w:tabs>
          <w:tab w:leader="none" w:pos="1300" w:val="left"/>
        </w:tabs>
        <w:numPr>
          <w:ilvl w:val="0"/>
          <w:numId w:val="29"/>
        </w:numPr>
        <w:rPr>
          <w:rFonts w:ascii="Arial" w:cs="Arial" w:eastAsia="Arial" w:hAnsi="Arial"/>
          <w:sz w:val="16"/>
          <w:szCs w:val="16"/>
          <w:color w:val="121212"/>
        </w:rPr>
      </w:pPr>
      <w:r>
        <w:rPr>
          <w:rFonts w:ascii="Arial" w:cs="Arial" w:eastAsia="Arial" w:hAnsi="Arial"/>
          <w:sz w:val="16"/>
          <w:szCs w:val="16"/>
          <w:color w:val="131313"/>
        </w:rPr>
        <w:t>Consolidated Depreciation and Amortization Expense of such Person for such period to the extent deducted in computing Consolidated</w:t>
      </w:r>
    </w:p>
    <w:p>
      <w:pPr>
        <w:spacing w:after="0" w:line="46" w:lineRule="exact"/>
        <w:rPr>
          <w:rFonts w:ascii="Arial" w:cs="Arial" w:eastAsia="Arial" w:hAnsi="Arial"/>
          <w:sz w:val="16"/>
          <w:szCs w:val="16"/>
          <w:color w:val="121212"/>
        </w:rPr>
      </w:pPr>
    </w:p>
    <w:p>
      <w:pPr>
        <w:spacing w:after="0"/>
        <w:rPr>
          <w:rFonts w:ascii="Arial" w:cs="Arial" w:eastAsia="Arial" w:hAnsi="Arial"/>
          <w:sz w:val="16"/>
          <w:szCs w:val="16"/>
          <w:color w:val="121212"/>
        </w:rPr>
      </w:pPr>
      <w:r>
        <w:rPr>
          <w:rFonts w:ascii="Arial" w:cs="Arial" w:eastAsia="Arial" w:hAnsi="Arial"/>
          <w:sz w:val="18"/>
          <w:szCs w:val="18"/>
          <w:color w:val="131313"/>
        </w:rPr>
        <w:t xml:space="preserve">Net Income; </w:t>
      </w:r>
      <w:r>
        <w:rPr>
          <w:rFonts w:ascii="Arial" w:cs="Arial" w:eastAsia="Arial" w:hAnsi="Arial"/>
          <w:sz w:val="18"/>
          <w:szCs w:val="18"/>
          <w:i w:val="1"/>
          <w:iCs w:val="1"/>
          <w:color w:val="131313"/>
        </w:rPr>
        <w:t>plus</w:t>
      </w:r>
    </w:p>
    <w:p>
      <w:pPr>
        <w:spacing w:after="0" w:line="210" w:lineRule="exact"/>
        <w:rPr>
          <w:rFonts w:ascii="Arial" w:cs="Arial" w:eastAsia="Arial" w:hAnsi="Arial"/>
          <w:sz w:val="16"/>
          <w:szCs w:val="16"/>
          <w:color w:val="121212"/>
        </w:rPr>
      </w:pPr>
    </w:p>
    <w:p>
      <w:pPr>
        <w:ind w:right="380" w:firstLine="656"/>
        <w:spacing w:after="0" w:line="277" w:lineRule="auto"/>
        <w:tabs>
          <w:tab w:leader="none" w:pos="1307" w:val="left"/>
        </w:tabs>
        <w:numPr>
          <w:ilvl w:val="0"/>
          <w:numId w:val="29"/>
        </w:numPr>
        <w:rPr>
          <w:rFonts w:ascii="Arial" w:cs="Arial" w:eastAsia="Arial" w:hAnsi="Arial"/>
          <w:sz w:val="18"/>
          <w:szCs w:val="18"/>
          <w:color w:val="131313"/>
        </w:rPr>
      </w:pPr>
      <w:r>
        <w:rPr>
          <w:rFonts w:ascii="Arial" w:cs="Arial" w:eastAsia="Arial" w:hAnsi="Arial"/>
          <w:sz w:val="18"/>
          <w:szCs w:val="18"/>
          <w:color w:val="131313"/>
        </w:rPr>
        <w:t xml:space="preserve">non-recurring restructuring charges (including, without limitation, relocation costs and costs relating to the opening, closure and/or consolidation of facilities) that are paid or to be paid in cash; </w:t>
      </w:r>
      <w:r>
        <w:rPr>
          <w:rFonts w:ascii="Arial" w:cs="Arial" w:eastAsia="Arial" w:hAnsi="Arial"/>
          <w:sz w:val="18"/>
          <w:szCs w:val="18"/>
          <w:i w:val="1"/>
          <w:iCs w:val="1"/>
          <w:color w:val="000000"/>
        </w:rPr>
        <w:t>plus</w:t>
      </w:r>
    </w:p>
    <w:p>
      <w:pPr>
        <w:spacing w:after="0" w:line="170" w:lineRule="exact"/>
        <w:rPr>
          <w:rFonts w:ascii="Arial" w:cs="Arial" w:eastAsia="Arial" w:hAnsi="Arial"/>
          <w:sz w:val="18"/>
          <w:szCs w:val="18"/>
          <w:color w:val="131313"/>
        </w:rPr>
      </w:pPr>
    </w:p>
    <w:p>
      <w:pPr>
        <w:ind w:right="100" w:firstLine="656"/>
        <w:spacing w:after="0" w:line="277" w:lineRule="auto"/>
        <w:tabs>
          <w:tab w:leader="none" w:pos="1297" w:val="left"/>
        </w:tabs>
        <w:numPr>
          <w:ilvl w:val="0"/>
          <w:numId w:val="29"/>
        </w:numPr>
        <w:rPr>
          <w:rFonts w:ascii="Arial" w:cs="Arial" w:eastAsia="Arial" w:hAnsi="Arial"/>
          <w:sz w:val="18"/>
          <w:szCs w:val="18"/>
          <w:color w:val="121212"/>
        </w:rPr>
      </w:pPr>
      <w:r>
        <w:rPr>
          <w:rFonts w:ascii="Arial" w:cs="Arial" w:eastAsia="Arial" w:hAnsi="Arial"/>
          <w:sz w:val="18"/>
          <w:szCs w:val="18"/>
          <w:color w:val="131313"/>
        </w:rPr>
        <w:t xml:space="preserve">any write offs, write downs or other noncash charges, expenses or losses reducing Consolidated Net Income for such period, excluding any such charge that represents an accrual or reserve for a cash expenditure for a future period; </w:t>
      </w:r>
      <w:r>
        <w:rPr>
          <w:rFonts w:ascii="Arial" w:cs="Arial" w:eastAsia="Arial" w:hAnsi="Arial"/>
          <w:sz w:val="18"/>
          <w:szCs w:val="18"/>
          <w:i w:val="1"/>
          <w:iCs w:val="1"/>
          <w:color w:val="131313"/>
        </w:rPr>
        <w:t>plus</w:t>
      </w:r>
    </w:p>
    <w:p>
      <w:pPr>
        <w:spacing w:after="0" w:line="170" w:lineRule="exact"/>
        <w:rPr>
          <w:rFonts w:ascii="Arial" w:cs="Arial" w:eastAsia="Arial" w:hAnsi="Arial"/>
          <w:sz w:val="18"/>
          <w:szCs w:val="18"/>
          <w:color w:val="121212"/>
        </w:rPr>
      </w:pPr>
    </w:p>
    <w:p>
      <w:pPr>
        <w:ind w:left="1340" w:hanging="684"/>
        <w:spacing w:after="0"/>
        <w:tabs>
          <w:tab w:leader="none" w:pos="1340" w:val="left"/>
        </w:tabs>
        <w:numPr>
          <w:ilvl w:val="0"/>
          <w:numId w:val="29"/>
        </w:numPr>
        <w:rPr>
          <w:rFonts w:ascii="Arial" w:cs="Arial" w:eastAsia="Arial" w:hAnsi="Arial"/>
          <w:sz w:val="18"/>
          <w:szCs w:val="18"/>
          <w:color w:val="121212"/>
        </w:rPr>
      </w:pPr>
      <w:r>
        <w:rPr>
          <w:rFonts w:ascii="Arial" w:cs="Arial" w:eastAsia="Arial" w:hAnsi="Arial"/>
          <w:sz w:val="18"/>
          <w:szCs w:val="18"/>
          <w:color w:val="121212"/>
        </w:rPr>
        <w:t xml:space="preserve">the amount of any minority interest expense deducted in computing Consolidated Net Income; </w:t>
      </w:r>
      <w:r>
        <w:rPr>
          <w:rFonts w:ascii="Arial" w:cs="Arial" w:eastAsia="Arial" w:hAnsi="Arial"/>
          <w:sz w:val="18"/>
          <w:szCs w:val="18"/>
          <w:i w:val="1"/>
          <w:iCs w:val="1"/>
          <w:color w:val="121212"/>
        </w:rPr>
        <w:t>plus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28" w:name="page29"/>
    <w:bookmarkEnd w:id="28"/>
    <w:p>
      <w:pPr>
        <w:ind w:firstLine="656"/>
        <w:spacing w:after="0" w:line="275" w:lineRule="auto"/>
        <w:tabs>
          <w:tab w:leader="none" w:pos="1307"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any costs or expenses incurred </w:t>
      </w:r>
      <w:r>
        <w:rPr>
          <w:rFonts w:ascii="Arial" w:cs="Arial" w:eastAsia="Arial" w:hAnsi="Arial"/>
          <w:sz w:val="17"/>
          <w:szCs w:val="17"/>
          <w:color w:val="121212"/>
        </w:rPr>
        <w:t>and deducted in computing Consolidated Net Income</w:t>
      </w:r>
      <w:r>
        <w:rPr>
          <w:rFonts w:ascii="Arial" w:cs="Arial" w:eastAsia="Arial" w:hAnsi="Arial"/>
          <w:sz w:val="17"/>
          <w:szCs w:val="17"/>
          <w:color w:val="auto"/>
        </w:rPr>
        <w:t xml:space="preserve"> by the Company or a Restricted Subsidiary pursuant to any management equity plan or stock option plan or any other management or employee benefit plan or agreement or any stock subscription or stockholders agreement, to the extent that such costs or expenses are funded with cash proceeds contributed to the capital of the Company or net cash proceeds of issuance of Equity Interests of the Company (other than Disqualified Stock that is Preferred Stock) in each case, solely to the extent that such cash proceeds are excluded from the calculation set forth in clause (4)(C) of Section 10.08(a); </w:t>
      </w:r>
      <w:r>
        <w:rPr>
          <w:rFonts w:ascii="Arial" w:cs="Arial" w:eastAsia="Arial" w:hAnsi="Arial"/>
          <w:sz w:val="17"/>
          <w:szCs w:val="17"/>
          <w:i w:val="1"/>
          <w:iCs w:val="1"/>
          <w:color w:val="auto"/>
        </w:rPr>
        <w:t>plus</w:t>
      </w:r>
    </w:p>
    <w:p>
      <w:pPr>
        <w:spacing w:after="0" w:line="176" w:lineRule="exact"/>
        <w:rPr>
          <w:rFonts w:ascii="Arial" w:cs="Arial" w:eastAsia="Arial" w:hAnsi="Arial"/>
          <w:sz w:val="17"/>
          <w:szCs w:val="17"/>
          <w:color w:val="auto"/>
        </w:rPr>
      </w:pPr>
    </w:p>
    <w:p>
      <w:pPr>
        <w:jc w:val="both"/>
        <w:ind w:right="80" w:firstLine="656"/>
        <w:spacing w:after="0" w:line="259" w:lineRule="auto"/>
        <w:tabs>
          <w:tab w:leader="none" w:pos="13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expenses </w:t>
      </w:r>
      <w:r>
        <w:rPr>
          <w:rFonts w:ascii="Arial" w:cs="Arial" w:eastAsia="Arial" w:hAnsi="Arial"/>
          <w:sz w:val="18"/>
          <w:szCs w:val="18"/>
          <w:color w:val="121212"/>
        </w:rPr>
        <w:t>deducted in computing Consolidated Net Income</w:t>
      </w:r>
      <w:r>
        <w:rPr>
          <w:rFonts w:ascii="Arial" w:cs="Arial" w:eastAsia="Arial" w:hAnsi="Arial"/>
          <w:sz w:val="18"/>
          <w:szCs w:val="18"/>
          <w:color w:val="auto"/>
        </w:rPr>
        <w:t xml:space="preserve"> to the extent covered by contractual indemnification or refunding provisions in favor of the Company or any of its Restricted Subsidiaries in connection with any acquisition or other Investment or any disposition of assets permitted under this Indenture, to the extent actually paid or refunded in cash by a third party other than the Company or a Restricted Subsidiary during such period;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right="180" w:firstLine="656"/>
        <w:spacing w:after="0" w:line="254" w:lineRule="auto"/>
        <w:tabs>
          <w:tab w:leader="none" w:pos="13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amount of any other expense reductions and cost savings related to operational efficiencies, strategic initiatives or purchasing improvements and other synergies (without duplication of any cost savings or expense reductions made pursuant to the definition of Fixed Charge Coverage Ratio), in each case that have occurred prior to the Calculation Date or are reasonably expected to occur within 24 months of the Calculation Date, in the reasonable judgment of the chief financial or accounting officer of the Company in good faith (regardless of whether those cost savings or operating improvements could then be reflected in pro forma financial statements in accordance with Regulation S-X promulgated under the 1933 Act or any other regulation or policy of the SEC related thereto); provided that such net cost savings, initiatives, improvements and synergies are reasonably identifiable and quantifiable; </w:t>
      </w:r>
      <w:r>
        <w:rPr>
          <w:rFonts w:ascii="Arial" w:cs="Arial" w:eastAsia="Arial" w:hAnsi="Arial"/>
          <w:sz w:val="18"/>
          <w:szCs w:val="18"/>
          <w:i w:val="1"/>
          <w:iCs w:val="1"/>
          <w:color w:val="auto"/>
        </w:rPr>
        <w:t>plus</w:t>
      </w:r>
    </w:p>
    <w:p>
      <w:pPr>
        <w:spacing w:after="0" w:line="194" w:lineRule="exact"/>
        <w:rPr>
          <w:rFonts w:ascii="Arial" w:cs="Arial" w:eastAsia="Arial" w:hAnsi="Arial"/>
          <w:sz w:val="18"/>
          <w:szCs w:val="18"/>
          <w:color w:val="auto"/>
        </w:rPr>
      </w:pPr>
    </w:p>
    <w:p>
      <w:pPr>
        <w:ind w:right="300" w:firstLine="656"/>
        <w:spacing w:after="0" w:line="308" w:lineRule="auto"/>
        <w:tabs>
          <w:tab w:leader="none" w:pos="1312"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any losses for such period attributable to early extinguishment of Indebtedness or obligations under any Hedging Agreement and any unrealizes losses for such period attributable to the application of “mark to market” accounting in respect of Hedging Agreements; </w:t>
      </w:r>
      <w:r>
        <w:rPr>
          <w:rFonts w:ascii="Arial" w:cs="Arial" w:eastAsia="Arial" w:hAnsi="Arial"/>
          <w:sz w:val="17"/>
          <w:szCs w:val="17"/>
          <w:i w:val="1"/>
          <w:iCs w:val="1"/>
          <w:color w:val="auto"/>
        </w:rPr>
        <w:t>plus</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cumulative effect for such period of a change in accounting principles;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non-recurring out-of-pocket transactional fees, costs and expenses relating to any acquisitions (or any failed</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 xml:space="preserve">acquisitions), Investments, Indebtedness (including the issuance of the Notes), securities offerings and dispositions, including legal fees, advisory fees and upfront financing fees; </w:t>
      </w:r>
      <w:r>
        <w:rPr>
          <w:rFonts w:ascii="Arial" w:cs="Arial" w:eastAsia="Arial" w:hAnsi="Arial"/>
          <w:sz w:val="18"/>
          <w:szCs w:val="18"/>
          <w:i w:val="1"/>
          <w:iCs w:val="1"/>
          <w:color w:val="auto"/>
        </w:rPr>
        <w:t>plus</w:t>
      </w:r>
    </w:p>
    <w:p>
      <w:pPr>
        <w:spacing w:after="0" w:line="185" w:lineRule="exact"/>
        <w:rPr>
          <w:sz w:val="20"/>
          <w:szCs w:val="20"/>
          <w:color w:val="auto"/>
        </w:rPr>
      </w:pPr>
    </w:p>
    <w:p>
      <w:pPr>
        <w:jc w:val="both"/>
        <w:ind w:right="160" w:firstLine="656"/>
        <w:spacing w:after="0" w:line="263" w:lineRule="auto"/>
        <w:tabs>
          <w:tab w:leader="none" w:pos="13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fees, costs and expenses incurred in connection with the implementation of enterprise resource planning; provided that, for purposes of determining EBITDA for any period of four (4) consecutive fiscal quarters of the Company, the aggregate amount added back under this clause (m) shall not exceed $8,000,000;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ind w:right="40" w:firstLine="656"/>
        <w:spacing w:after="0" w:line="277" w:lineRule="auto"/>
        <w:tabs>
          <w:tab w:leader="none" w:pos="13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adjustments of the nature used in connection with the calculation of “Adjusted EBITDA” as set forth in the Offering Memorandum to the extent such adjustments, without duplication, continue to be applicable to the reference period.</w:t>
      </w:r>
    </w:p>
    <w:p>
      <w:pPr>
        <w:spacing w:after="0" w:line="170" w:lineRule="exact"/>
        <w:rPr>
          <w:sz w:val="20"/>
          <w:szCs w:val="20"/>
          <w:color w:val="auto"/>
        </w:rPr>
      </w:pPr>
    </w:p>
    <w:p>
      <w:pPr>
        <w:ind w:firstLine="656"/>
        <w:spacing w:after="0" w:line="259" w:lineRule="auto"/>
        <w:tabs>
          <w:tab w:leader="none" w:pos="13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by (without duplication) noncash gains increasing Consolidated Net Income of such Person for such period, excluding any gains that represent the accrual of revenue in the ordinary course of business and the reversal of any accrual of, or cash reserve for, anticipated cash charges in any prior period (other than such cash charges that have been added back to Consolidated Net Income in computing EBITDA in accordance with this definition); and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9" w:name="page30"/>
    <w:bookmarkEnd w:id="29"/>
    <w:p>
      <w:pPr>
        <w:ind w:right="700" w:firstLine="656"/>
        <w:spacing w:after="0" w:line="277" w:lineRule="auto"/>
        <w:tabs>
          <w:tab w:leader="none" w:pos="1307" w:val="left"/>
        </w:tabs>
        <w:numPr>
          <w:ilvl w:val="0"/>
          <w:numId w:val="33"/>
        </w:numPr>
        <w:rPr>
          <w:rFonts w:ascii="Arial" w:cs="Arial" w:eastAsia="Arial" w:hAnsi="Arial"/>
          <w:sz w:val="18"/>
          <w:szCs w:val="18"/>
          <w:color w:val="121212"/>
        </w:rPr>
      </w:pPr>
      <w:r>
        <w:rPr>
          <w:rFonts w:ascii="Arial" w:cs="Arial" w:eastAsia="Arial" w:hAnsi="Arial"/>
          <w:sz w:val="18"/>
          <w:szCs w:val="18"/>
          <w:color w:val="121212"/>
        </w:rPr>
        <w:t xml:space="preserve">increased or decreased, as applicable, by (without duplication) the amount of gain or loss resulting in such period from a sale of receivables and related assets to a Receivables Subsidiary </w:t>
      </w:r>
      <w:r>
        <w:rPr>
          <w:rFonts w:ascii="Arial" w:cs="Arial" w:eastAsia="Arial" w:hAnsi="Arial"/>
          <w:sz w:val="18"/>
          <w:szCs w:val="18"/>
          <w:color w:val="000000"/>
        </w:rPr>
        <w:t>in</w:t>
      </w:r>
      <w:r>
        <w:rPr>
          <w:rFonts w:ascii="Arial" w:cs="Arial" w:eastAsia="Arial" w:hAnsi="Arial"/>
          <w:sz w:val="18"/>
          <w:szCs w:val="18"/>
          <w:color w:val="121212"/>
        </w:rPr>
        <w:t xml:space="preserve"> connection </w:t>
      </w:r>
      <w:r>
        <w:rPr>
          <w:rFonts w:ascii="Arial" w:cs="Arial" w:eastAsia="Arial" w:hAnsi="Arial"/>
          <w:sz w:val="18"/>
          <w:szCs w:val="18"/>
          <w:color w:val="000000"/>
        </w:rPr>
        <w:t>with a</w:t>
      </w:r>
      <w:r>
        <w:rPr>
          <w:rFonts w:ascii="Arial" w:cs="Arial" w:eastAsia="Arial" w:hAnsi="Arial"/>
          <w:sz w:val="18"/>
          <w:szCs w:val="18"/>
          <w:color w:val="121212"/>
        </w:rPr>
        <w:t xml:space="preserve"> Receivables Facility.</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purposes of determining EBITDA for any period of four consecutive fiscal quarters, the aggregate amount added back in clause (i) above in respect of such period, when taken together with any adjustments made pursuant to the third paragraph of the definition of “Fixed Charge Coverage Ratio,” shall not exceed 25% of EBITDA (as calculated before giving effect to clause (i)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Equipment</w:t>
      </w:r>
      <w:r>
        <w:rPr>
          <w:rFonts w:ascii="Arial" w:cs="Arial" w:eastAsia="Arial" w:hAnsi="Arial"/>
          <w:sz w:val="16"/>
          <w:szCs w:val="16"/>
          <w:color w:val="auto"/>
        </w:rPr>
        <w:t>” has the meaning specified in the UCC, and if defined in more than one Article of the UCC, the meaning given in Article 9 thereof.</w:t>
      </w:r>
    </w:p>
    <w:p>
      <w:pPr>
        <w:spacing w:after="0" w:line="24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public or private sale of common stock or Preferred Stock of the Company or any of its direct or indirect parent companies (excluding Disqualified Stock), other than:</w:t>
      </w:r>
    </w:p>
    <w:p>
      <w:pPr>
        <w:spacing w:after="0" w:line="170"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7"/>
          <w:szCs w:val="17"/>
          <w:color w:val="121212"/>
        </w:rPr>
      </w:pPr>
      <w:r>
        <w:rPr>
          <w:rFonts w:ascii="Arial" w:cs="Arial" w:eastAsia="Arial" w:hAnsi="Arial"/>
          <w:sz w:val="17"/>
          <w:szCs w:val="17"/>
          <w:color w:val="auto"/>
        </w:rPr>
        <w:t>public offerings with respect to the Company’s or any direct or indirect parent company’s common stock registered on Form S-4 or</w:t>
      </w:r>
    </w:p>
    <w:p>
      <w:pPr>
        <w:spacing w:after="0" w:line="34" w:lineRule="exact"/>
        <w:rPr>
          <w:rFonts w:ascii="Arial" w:cs="Arial" w:eastAsia="Arial" w:hAnsi="Arial"/>
          <w:sz w:val="17"/>
          <w:szCs w:val="17"/>
          <w:color w:val="121212"/>
        </w:rPr>
      </w:pPr>
    </w:p>
    <w:p>
      <w:pPr>
        <w:spacing w:after="0"/>
        <w:rPr>
          <w:rFonts w:ascii="Arial" w:cs="Arial" w:eastAsia="Arial" w:hAnsi="Arial"/>
          <w:sz w:val="17"/>
          <w:szCs w:val="17"/>
          <w:color w:val="121212"/>
        </w:rPr>
      </w:pPr>
      <w:r>
        <w:rPr>
          <w:rFonts w:ascii="Arial" w:cs="Arial" w:eastAsia="Arial" w:hAnsi="Arial"/>
          <w:sz w:val="18"/>
          <w:szCs w:val="18"/>
          <w:color w:val="auto"/>
        </w:rPr>
        <w:t>Form S-8;</w:t>
      </w:r>
    </w:p>
    <w:p>
      <w:pPr>
        <w:spacing w:after="0" w:line="210" w:lineRule="exact"/>
        <w:rPr>
          <w:rFonts w:ascii="Arial" w:cs="Arial" w:eastAsia="Arial" w:hAnsi="Arial"/>
          <w:sz w:val="17"/>
          <w:szCs w:val="17"/>
          <w:color w:val="121212"/>
        </w:rPr>
      </w:pPr>
    </w:p>
    <w:p>
      <w:pPr>
        <w:ind w:left="1320" w:hanging="664"/>
        <w:spacing w:after="0"/>
        <w:tabs>
          <w:tab w:leader="none" w:pos="1320" w:val="left"/>
        </w:tabs>
        <w:numPr>
          <w:ilvl w:val="0"/>
          <w:numId w:val="34"/>
        </w:numPr>
        <w:rPr>
          <w:rFonts w:ascii="Arial" w:cs="Arial" w:eastAsia="Arial" w:hAnsi="Arial"/>
          <w:sz w:val="18"/>
          <w:szCs w:val="18"/>
          <w:color w:val="121212"/>
        </w:rPr>
      </w:pPr>
      <w:r>
        <w:rPr>
          <w:rFonts w:ascii="Arial" w:cs="Arial" w:eastAsia="Arial" w:hAnsi="Arial"/>
          <w:sz w:val="18"/>
          <w:szCs w:val="18"/>
          <w:color w:val="111111"/>
        </w:rPr>
        <w:t>any such public or private sale that constitutes an Excluded Contribution; and</w:t>
      </w:r>
    </w:p>
    <w:p>
      <w:pPr>
        <w:spacing w:after="0" w:line="225" w:lineRule="exact"/>
        <w:rPr>
          <w:rFonts w:ascii="Arial" w:cs="Arial" w:eastAsia="Arial" w:hAnsi="Arial"/>
          <w:sz w:val="18"/>
          <w:szCs w:val="18"/>
          <w:color w:val="121212"/>
        </w:rPr>
      </w:pPr>
    </w:p>
    <w:p>
      <w:pPr>
        <w:ind w:left="1300" w:hanging="644"/>
        <w:spacing w:after="0"/>
        <w:tabs>
          <w:tab w:leader="none" w:pos="1300" w:val="left"/>
        </w:tabs>
        <w:numPr>
          <w:ilvl w:val="0"/>
          <w:numId w:val="34"/>
        </w:numPr>
        <w:rPr>
          <w:rFonts w:ascii="Arial" w:cs="Arial" w:eastAsia="Arial" w:hAnsi="Arial"/>
          <w:sz w:val="18"/>
          <w:szCs w:val="18"/>
          <w:color w:val="121212"/>
        </w:rPr>
      </w:pPr>
      <w:r>
        <w:rPr>
          <w:rFonts w:ascii="Arial" w:cs="Arial" w:eastAsia="Arial" w:hAnsi="Arial"/>
          <w:sz w:val="18"/>
          <w:szCs w:val="18"/>
          <w:color w:val="131313"/>
        </w:rPr>
        <w:t>an issuance to any Subsidiary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Excess Proceeds</w:t>
      </w:r>
      <w:r>
        <w:rPr>
          <w:rFonts w:ascii="Arial" w:cs="Arial" w:eastAsia="Arial" w:hAnsi="Arial"/>
          <w:sz w:val="18"/>
          <w:szCs w:val="18"/>
          <w:color w:val="131313"/>
        </w:rPr>
        <w:t>” has the meaning specified in Section 10.16.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131313"/>
        </w:rPr>
        <w:t>“</w:t>
      </w:r>
      <w:r>
        <w:rPr>
          <w:rFonts w:ascii="Arial" w:cs="Arial" w:eastAsia="Arial" w:hAnsi="Arial"/>
          <w:sz w:val="16"/>
          <w:szCs w:val="16"/>
          <w:i w:val="1"/>
          <w:iCs w:val="1"/>
          <w:color w:val="131313"/>
        </w:rPr>
        <w:t>Exchange Act</w:t>
      </w:r>
      <w:r>
        <w:rPr>
          <w:rFonts w:ascii="Arial" w:cs="Arial" w:eastAsia="Arial" w:hAnsi="Arial"/>
          <w:sz w:val="16"/>
          <w:szCs w:val="16"/>
          <w:color w:val="131313"/>
        </w:rPr>
        <w:t>” means the Securities Exchange Act of 1934, as amended, and the rules and regulations of the SEC promulgated thereunder.</w:t>
      </w:r>
    </w:p>
    <w:p>
      <w:pPr>
        <w:spacing w:after="0" w:line="24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Excluded Accounts</w:t>
      </w:r>
      <w:r>
        <w:rPr>
          <w:rFonts w:ascii="Arial" w:cs="Arial" w:eastAsia="Arial" w:hAnsi="Arial"/>
          <w:sz w:val="18"/>
          <w:szCs w:val="18"/>
          <w:color w:val="121212"/>
        </w:rPr>
        <w:t>” means, collectively, (a) payroll accounts, trust accounts, employee benefit accounts and zero-balance disbursement accounts (that are not collection accounts) and (b) deposit accounts that have balances of no more than $250,000 individually or $1,000,000 in the aggregate for any period of thirty (30) consecutive days.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000000"/>
        </w:rPr>
        <w:t>Excluded Assets</w:t>
      </w:r>
      <w:r>
        <w:rPr>
          <w:rFonts w:ascii="Arial" w:cs="Arial" w:eastAsia="Arial" w:hAnsi="Arial"/>
          <w:sz w:val="18"/>
          <w:szCs w:val="18"/>
          <w:color w:val="121212"/>
        </w:rPr>
        <w:t>” means, collectively:</w:t>
      </w:r>
    </w:p>
    <w:p>
      <w:pPr>
        <w:spacing w:after="0" w:line="225" w:lineRule="exact"/>
        <w:rPr>
          <w:sz w:val="20"/>
          <w:szCs w:val="20"/>
          <w:color w:val="auto"/>
        </w:rPr>
      </w:pPr>
    </w:p>
    <w:p>
      <w:pPr>
        <w:ind w:left="5540" w:right="1760" w:hanging="4884"/>
        <w:spacing w:after="0" w:line="778" w:lineRule="auto"/>
        <w:tabs>
          <w:tab w:leader="none" w:pos="910" w:val="left"/>
        </w:tabs>
        <w:numPr>
          <w:ilvl w:val="0"/>
          <w:numId w:val="35"/>
        </w:numPr>
        <w:rPr>
          <w:rFonts w:ascii="Arial" w:cs="Arial" w:eastAsia="Arial" w:hAnsi="Arial"/>
          <w:sz w:val="18"/>
          <w:szCs w:val="18"/>
          <w:color w:val="auto"/>
        </w:rPr>
      </w:pPr>
      <w:r>
        <w:rPr>
          <w:rFonts w:ascii="Arial" w:cs="Arial" w:eastAsia="Arial" w:hAnsi="Arial"/>
          <w:sz w:val="18"/>
          <w:szCs w:val="18"/>
          <w:color w:val="121212"/>
        </w:rPr>
        <w:t xml:space="preserve">any fee-owned real property that does not constitute Material Real Property and all leasehold interests in real property; </w:t>
      </w:r>
      <w:r>
        <w:rPr>
          <w:rFonts w:ascii="Arial" w:cs="Arial" w:eastAsia="Arial" w:hAnsi="Arial"/>
          <w:sz w:val="18"/>
          <w:szCs w:val="18"/>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0" w:name="page31"/>
    <w:bookmarkEnd w:id="30"/>
    <w:p>
      <w:pPr>
        <w:jc w:val="both"/>
        <w:ind w:left="-20" w:right="140" w:firstLine="656"/>
        <w:spacing w:after="0" w:line="279" w:lineRule="auto"/>
        <w:tabs>
          <w:tab w:leader="none" w:pos="883" w:val="left"/>
        </w:tabs>
        <w:numPr>
          <w:ilvl w:val="0"/>
          <w:numId w:val="36"/>
        </w:numPr>
        <w:rPr>
          <w:rFonts w:ascii="Arial" w:cs="Arial" w:eastAsia="Arial" w:hAnsi="Arial"/>
          <w:sz w:val="17"/>
          <w:szCs w:val="17"/>
          <w:color w:val="121212"/>
        </w:rPr>
      </w:pPr>
      <w:r>
        <w:rPr>
          <w:rFonts w:ascii="Arial" w:cs="Arial" w:eastAsia="Arial" w:hAnsi="Arial"/>
          <w:sz w:val="17"/>
          <w:szCs w:val="17"/>
          <w:color w:val="121212"/>
        </w:rPr>
        <w:t>any “intent to 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 to use application under applicable federal law;</w:t>
      </w:r>
    </w:p>
    <w:p>
      <w:pPr>
        <w:spacing w:after="0" w:line="171" w:lineRule="exact"/>
        <w:rPr>
          <w:rFonts w:ascii="Arial" w:cs="Arial" w:eastAsia="Arial" w:hAnsi="Arial"/>
          <w:sz w:val="17"/>
          <w:szCs w:val="17"/>
          <w:color w:val="121212"/>
        </w:rPr>
      </w:pPr>
    </w:p>
    <w:p>
      <w:pPr>
        <w:ind w:left="-20" w:firstLine="656"/>
        <w:spacing w:after="0" w:line="279" w:lineRule="auto"/>
        <w:tabs>
          <w:tab w:leader="none" w:pos="883" w:val="left"/>
        </w:tabs>
        <w:numPr>
          <w:ilvl w:val="0"/>
          <w:numId w:val="36"/>
        </w:numPr>
        <w:rPr>
          <w:rFonts w:ascii="Arial" w:cs="Arial" w:eastAsia="Arial" w:hAnsi="Arial"/>
          <w:sz w:val="17"/>
          <w:szCs w:val="17"/>
          <w:color w:val="121212"/>
        </w:rPr>
      </w:pPr>
      <w:r>
        <w:rPr>
          <w:rFonts w:ascii="Arial" w:cs="Arial" w:eastAsia="Arial" w:hAnsi="Arial"/>
          <w:sz w:val="17"/>
          <w:szCs w:val="17"/>
          <w:color w:val="121212"/>
        </w:rPr>
        <w:t>assets in respect of which pledges and security interests are prohibited by applicable U.S. law, rule or regulation or agreements with any U.S. governmental authority (other than to the extent that such prohibition would be rendered ineffective pursuant to Sections 9 406, 9 407, 9 408, 9 409 or other applicable provisions of the UCC of any relevant jurisdiction or any other applicable law); provided that, immediately upon the ineffectiveness, lapse or termination of any such prohibitions, such assets shall automatically cease to constitute Excluded Assets;</w:t>
      </w:r>
    </w:p>
    <w:p>
      <w:pPr>
        <w:spacing w:after="0" w:line="171" w:lineRule="exact"/>
        <w:rPr>
          <w:rFonts w:ascii="Arial" w:cs="Arial" w:eastAsia="Arial" w:hAnsi="Arial"/>
          <w:sz w:val="17"/>
          <w:szCs w:val="17"/>
          <w:color w:val="121212"/>
        </w:rPr>
      </w:pPr>
    </w:p>
    <w:p>
      <w:pPr>
        <w:ind w:left="900" w:hanging="26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121212"/>
        </w:rPr>
        <w:t>margin stock (within the meaning of Regulation U issued by the Federal Reserve Board);</w:t>
      </w:r>
    </w:p>
    <w:p>
      <w:pPr>
        <w:spacing w:after="0" w:line="225" w:lineRule="exact"/>
        <w:rPr>
          <w:rFonts w:ascii="Arial" w:cs="Arial" w:eastAsia="Arial" w:hAnsi="Arial"/>
          <w:sz w:val="18"/>
          <w:szCs w:val="18"/>
          <w:color w:val="auto"/>
        </w:rPr>
      </w:pPr>
    </w:p>
    <w:p>
      <w:pPr>
        <w:ind w:left="-20" w:right="160" w:firstLine="656"/>
        <w:spacing w:after="0" w:line="263" w:lineRule="auto"/>
        <w:tabs>
          <w:tab w:leader="none" w:pos="883" w:val="left"/>
        </w:tabs>
        <w:numPr>
          <w:ilvl w:val="0"/>
          <w:numId w:val="36"/>
        </w:numPr>
        <w:rPr>
          <w:rFonts w:ascii="Arial" w:cs="Arial" w:eastAsia="Arial" w:hAnsi="Arial"/>
          <w:sz w:val="18"/>
          <w:szCs w:val="18"/>
          <w:color w:val="121212"/>
        </w:rPr>
      </w:pPr>
      <w:r>
        <w:rPr>
          <w:rFonts w:ascii="Arial" w:cs="Arial" w:eastAsia="Arial" w:hAnsi="Arial"/>
          <w:sz w:val="18"/>
          <w:szCs w:val="18"/>
          <w:color w:val="121212"/>
        </w:rPr>
        <w:t>Equity Interests in any entity other than wholly-owned Material Subsidiaries and, to the extent not requiring the consent of one or more unaffiliated third parties or prohibited by the terms of any applicable organizational documents, joint venture agreement or shareholders’ agreement, other Material Subsidiaries and joint ventures;</w:t>
      </w:r>
    </w:p>
    <w:p>
      <w:pPr>
        <w:spacing w:after="0" w:line="183" w:lineRule="exact"/>
        <w:rPr>
          <w:rFonts w:ascii="Arial" w:cs="Arial" w:eastAsia="Arial" w:hAnsi="Arial"/>
          <w:sz w:val="18"/>
          <w:szCs w:val="18"/>
          <w:color w:val="121212"/>
        </w:rPr>
      </w:pPr>
    </w:p>
    <w:p>
      <w:pPr>
        <w:ind w:left="-20" w:right="420" w:firstLine="656"/>
        <w:spacing w:after="0" w:line="277" w:lineRule="auto"/>
        <w:tabs>
          <w:tab w:leader="none" w:pos="883" w:val="left"/>
        </w:tabs>
        <w:numPr>
          <w:ilvl w:val="0"/>
          <w:numId w:val="36"/>
        </w:numPr>
        <w:rPr>
          <w:rFonts w:ascii="Arial" w:cs="Arial" w:eastAsia="Arial" w:hAnsi="Arial"/>
          <w:sz w:val="18"/>
          <w:szCs w:val="18"/>
          <w:color w:val="121212"/>
        </w:rPr>
      </w:pPr>
      <w:r>
        <w:rPr>
          <w:rFonts w:ascii="Arial" w:cs="Arial" w:eastAsia="Arial" w:hAnsi="Arial"/>
          <w:sz w:val="18"/>
          <w:szCs w:val="18"/>
          <w:color w:val="121212"/>
        </w:rPr>
        <w:t>letter of credit rights with a value of less than $5,000,000 (other than to the extent the security interest in such letter of credit right may be perfected by the filing of UCC financing statements) and commercial tort claims with a value of less than $5,000,000;</w:t>
      </w:r>
    </w:p>
    <w:p>
      <w:pPr>
        <w:spacing w:after="0" w:line="170" w:lineRule="exact"/>
        <w:rPr>
          <w:rFonts w:ascii="Arial" w:cs="Arial" w:eastAsia="Arial" w:hAnsi="Arial"/>
          <w:sz w:val="18"/>
          <w:szCs w:val="18"/>
          <w:color w:val="121212"/>
        </w:rPr>
      </w:pPr>
    </w:p>
    <w:p>
      <w:pPr>
        <w:ind w:left="-20" w:right="80" w:firstLine="656"/>
        <w:spacing w:after="0" w:line="254" w:lineRule="auto"/>
        <w:tabs>
          <w:tab w:leader="none" w:pos="883" w:val="left"/>
        </w:tabs>
        <w:numPr>
          <w:ilvl w:val="0"/>
          <w:numId w:val="36"/>
        </w:numPr>
        <w:rPr>
          <w:rFonts w:ascii="Arial" w:cs="Arial" w:eastAsia="Arial" w:hAnsi="Arial"/>
          <w:sz w:val="18"/>
          <w:szCs w:val="18"/>
          <w:color w:val="121212"/>
        </w:rPr>
      </w:pPr>
      <w:r>
        <w:rPr>
          <w:rFonts w:ascii="Arial" w:cs="Arial" w:eastAsia="Arial" w:hAnsi="Arial"/>
          <w:sz w:val="18"/>
          <w:szCs w:val="18"/>
          <w:color w:val="121212"/>
        </w:rPr>
        <w:t>any lease, license, capital lease obligation or other agreement or any property subject to a purchase money security interest, similar agreement or other contractual restriction to the extent that a grant of a security interest therein would violate or invalidate such lease, license, capital lease obligation or agreement or purchase money arrangement or other contraction restriction or create a right of termination in favor of any other party thereto (other than the Company or a Guarantor)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9 406, 9 407, 9 408, 9 409 or other applicable provisions of the UCC of any relevant jurisdiction or any other applicable law); provided that, immediately upon the ineffectiveness, lapse or termination of any such term, such assets shall automatically cease to constitute Excluded Assets;</w:t>
      </w:r>
    </w:p>
    <w:p>
      <w:pPr>
        <w:spacing w:after="0" w:line="191" w:lineRule="exact"/>
        <w:rPr>
          <w:rFonts w:ascii="Arial" w:cs="Arial" w:eastAsia="Arial" w:hAnsi="Arial"/>
          <w:sz w:val="18"/>
          <w:szCs w:val="18"/>
          <w:color w:val="121212"/>
        </w:rPr>
      </w:pPr>
    </w:p>
    <w:p>
      <w:pPr>
        <w:ind w:left="-20" w:right="440" w:firstLine="656"/>
        <w:spacing w:after="0" w:line="263" w:lineRule="auto"/>
        <w:tabs>
          <w:tab w:leader="none" w:pos="88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foreign assets (including foreign intellectual property) (other than pledges of the Applicable Pledge Percentage of the issued and outstanding Equity Interests in any First Tier Foreign Subsidiary which is a Material Foreign Subsidiary as contemplated by this Agreement) or credit support;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1" w:name="page32"/>
    <w:bookmarkEnd w:id="31"/>
    <w:p>
      <w:pPr>
        <w:ind w:right="80" w:firstLine="656"/>
        <w:spacing w:after="0" w:line="279" w:lineRule="auto"/>
        <w:tabs>
          <w:tab w:leader="none" w:pos="903"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those assets as to which the Company determines in good faith in a writing delivered to the Collateral Trustee that the cost of obtaining such a security interest or perfection thereof are excessive in relation to the benefit to the Priority Lien Secured Parties of the security to be afforded thereby; provided that any asset that is an “Excluded Asset” pursuant to the ABL Facility and/or the ABL Collateral Documents shall constitute an “Excluded Asset” under the security agreement dated as of the Issue Date among the Company, the Collateral Trustee and certain other grantors;</w:t>
      </w:r>
    </w:p>
    <w:p>
      <w:pPr>
        <w:spacing w:after="0" w:line="171" w:lineRule="exact"/>
        <w:rPr>
          <w:rFonts w:ascii="Arial" w:cs="Arial" w:eastAsia="Arial" w:hAnsi="Arial"/>
          <w:sz w:val="17"/>
          <w:szCs w:val="17"/>
          <w:color w:val="auto"/>
        </w:rPr>
      </w:pPr>
    </w:p>
    <w:p>
      <w:pPr>
        <w:ind w:left="1000" w:hanging="344"/>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aircrafts and aircraft engines;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Excluded Accounts.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Notwithstanding the foregoing, “Excluded Assets” shall not include any proceeds, products, substitutions or replacements of Excluded Assets (unless such proceeds, products, substitutions or replacements would otherwise constitute Excluded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Excluded Contribution</w:t>
      </w:r>
      <w:r>
        <w:rPr>
          <w:rFonts w:ascii="Arial" w:cs="Arial" w:eastAsia="Arial" w:hAnsi="Arial"/>
          <w:sz w:val="18"/>
          <w:szCs w:val="18"/>
          <w:color w:val="131313"/>
        </w:rPr>
        <w:t>” means net cash proceeds, marketable securities or Qualified Proceeds received by the Company from:</w:t>
      </w:r>
    </w:p>
    <w:p>
      <w:pPr>
        <w:spacing w:after="0" w:line="2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121212"/>
        </w:rPr>
      </w:pPr>
      <w:r>
        <w:rPr>
          <w:rFonts w:ascii="Arial" w:cs="Arial" w:eastAsia="Arial" w:hAnsi="Arial"/>
          <w:sz w:val="18"/>
          <w:szCs w:val="18"/>
          <w:color w:val="auto"/>
        </w:rPr>
        <w:t>contributions to its common equity capital; and</w:t>
      </w:r>
    </w:p>
    <w:p>
      <w:pPr>
        <w:spacing w:after="0" w:line="225" w:lineRule="exact"/>
        <w:rPr>
          <w:rFonts w:ascii="Arial" w:cs="Arial" w:eastAsia="Arial" w:hAnsi="Arial"/>
          <w:sz w:val="18"/>
          <w:szCs w:val="18"/>
          <w:color w:val="121212"/>
        </w:rPr>
      </w:pPr>
    </w:p>
    <w:p>
      <w:pPr>
        <w:ind w:right="160" w:firstLine="656"/>
        <w:spacing w:after="0" w:line="342" w:lineRule="auto"/>
        <w:tabs>
          <w:tab w:leader="none" w:pos="1307" w:val="left"/>
        </w:tabs>
        <w:numPr>
          <w:ilvl w:val="0"/>
          <w:numId w:val="38"/>
        </w:numPr>
        <w:rPr>
          <w:rFonts w:ascii="Arial" w:cs="Arial" w:eastAsia="Arial" w:hAnsi="Arial"/>
          <w:sz w:val="16"/>
          <w:szCs w:val="16"/>
          <w:color w:val="121212"/>
        </w:rPr>
      </w:pPr>
      <w:r>
        <w:rPr>
          <w:rFonts w:ascii="Arial" w:cs="Arial" w:eastAsia="Arial" w:hAnsi="Arial"/>
          <w:sz w:val="16"/>
          <w:szCs w:val="16"/>
          <w:color w:val="auto"/>
        </w:rPr>
        <w:t xml:space="preserve">the sale (other than to a Subsidiary of the Company or to any management equity plan or stock option plan or any other management or employee benefit plan or agreement of the Company) of Capital Stock (other than Disqualified Stock </w:t>
      </w:r>
      <w:r>
        <w:rPr>
          <w:rFonts w:ascii="Arial" w:cs="Arial" w:eastAsia="Arial" w:hAnsi="Arial"/>
          <w:sz w:val="16"/>
          <w:szCs w:val="16"/>
          <w:color w:val="131313"/>
        </w:rPr>
        <w:t>and Designated Preferred Stock</w:t>
      </w:r>
      <w:r>
        <w:rPr>
          <w:rFonts w:ascii="Arial" w:cs="Arial" w:eastAsia="Arial" w:hAnsi="Arial"/>
          <w:sz w:val="16"/>
          <w:szCs w:val="16"/>
          <w:color w:val="auto"/>
        </w:rPr>
        <w:t>) of the Company,</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each case as designated as Excluded Contributions pursuant to an Officer’s Certificate on the date such capital contributions are made or the date such Equity Interests are sold, as the case may be, which are excluded from the calculation set forth in clause (4)(C) of Section 10.08(a).</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Domestic Subsidiary</w:t>
      </w:r>
      <w:r>
        <w:rPr>
          <w:rFonts w:ascii="Arial" w:cs="Arial" w:eastAsia="Arial" w:hAnsi="Arial"/>
          <w:sz w:val="18"/>
          <w:szCs w:val="18"/>
          <w:color w:val="auto"/>
        </w:rPr>
        <w:t>” means (a) any Domestic Subsidiary whose Equity Interests are owned directly or indirectly by a CFC and (b) any Domestic Foreign Holdco Subsidiary.</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Foreign Subsidiary</w:t>
      </w:r>
      <w:r>
        <w:rPr>
          <w:rFonts w:ascii="Arial" w:cs="Arial" w:eastAsia="Arial" w:hAnsi="Arial"/>
          <w:sz w:val="18"/>
          <w:szCs w:val="18"/>
          <w:color w:val="auto"/>
        </w:rPr>
        <w:t>” means a Foreign Subsidiary which is (a) a CFC or (b) a direct or indirect Foreign Subsidiary owned by a CFC or Domestic Foreign Holdco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Indebtedness</w:t>
      </w:r>
      <w:r>
        <w:rPr>
          <w:rFonts w:ascii="Arial" w:cs="Arial" w:eastAsia="Arial" w:hAnsi="Arial"/>
          <w:sz w:val="16"/>
          <w:szCs w:val="16"/>
          <w:color w:val="auto"/>
        </w:rPr>
        <w:t>” means Indebtedness of the Company or the Restricted Subsidiaries in existence on the Issue Date, plus interest accruing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Claimholders</w:t>
      </w:r>
      <w:r>
        <w:rPr>
          <w:rFonts w:ascii="Arial" w:cs="Arial" w:eastAsia="Arial" w:hAnsi="Arial"/>
          <w:sz w:val="18"/>
          <w:szCs w:val="18"/>
          <w:color w:val="auto"/>
        </w:rPr>
        <w:t>” means the holders of any Fixed Asset Obligations.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Tier Foreign Subsidiary</w:t>
      </w:r>
      <w:r>
        <w:rPr>
          <w:rFonts w:ascii="Arial" w:cs="Arial" w:eastAsia="Arial" w:hAnsi="Arial"/>
          <w:sz w:val="18"/>
          <w:szCs w:val="18"/>
          <w:color w:val="auto"/>
        </w:rPr>
        <w:t>” means each Foreign Subsidiary with respect to which any one or more of the Company and its Domestic Subsidiaries directly owns more than 50% of such Foreign Subsidiary’s issued and outstanding Equity Interests.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Asset Obligations</w:t>
      </w:r>
      <w:r>
        <w:rPr>
          <w:rFonts w:ascii="Arial" w:cs="Arial" w:eastAsia="Arial" w:hAnsi="Arial"/>
          <w:sz w:val="18"/>
          <w:szCs w:val="18"/>
          <w:color w:val="auto"/>
        </w:rPr>
        <w:t>” means, collectively, the Permitted Notes Obligations and any Additional Fixed Asset Obligations (as such term is used in the Intercreditor Agreement).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Asset Secured Parties</w:t>
      </w:r>
      <w:r>
        <w:rPr>
          <w:rFonts w:ascii="Arial" w:cs="Arial" w:eastAsia="Arial" w:hAnsi="Arial"/>
          <w:sz w:val="18"/>
          <w:szCs w:val="18"/>
          <w:color w:val="auto"/>
        </w:rPr>
        <w:t>” means the Permitted Notes Secured Parties and any Parity Lien Secured Parties.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Fair Share</w:t>
      </w:r>
      <w:r>
        <w:rPr>
          <w:rFonts w:ascii="Arial" w:cs="Arial" w:eastAsia="Arial" w:hAnsi="Arial"/>
          <w:sz w:val="18"/>
          <w:szCs w:val="18"/>
          <w:color w:val="131313"/>
        </w:rPr>
        <w:t>” has the meaning specified in Section 12.05.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Fair Share Contribution Amount</w:t>
      </w:r>
      <w:r>
        <w:rPr>
          <w:rFonts w:ascii="Arial" w:cs="Arial" w:eastAsia="Arial" w:hAnsi="Arial"/>
          <w:sz w:val="18"/>
          <w:szCs w:val="18"/>
          <w:color w:val="131313"/>
        </w:rPr>
        <w:t xml:space="preserve">” has the meaning specified </w:t>
      </w:r>
      <w:r>
        <w:rPr>
          <w:rFonts w:ascii="Arial" w:cs="Arial" w:eastAsia="Arial" w:hAnsi="Arial"/>
          <w:sz w:val="18"/>
          <w:szCs w:val="18"/>
          <w:color w:val="000000"/>
        </w:rPr>
        <w:t>in</w:t>
      </w:r>
      <w:r>
        <w:rPr>
          <w:rFonts w:ascii="Arial" w:cs="Arial" w:eastAsia="Arial" w:hAnsi="Arial"/>
          <w:sz w:val="18"/>
          <w:szCs w:val="18"/>
          <w:color w:val="131313"/>
        </w:rPr>
        <w:t xml:space="preserve"> Section 12.05.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Fall-Away Period</w:t>
      </w:r>
      <w:r>
        <w:rPr>
          <w:rFonts w:ascii="Arial" w:cs="Arial" w:eastAsia="Arial" w:hAnsi="Arial"/>
          <w:sz w:val="18"/>
          <w:szCs w:val="18"/>
          <w:color w:val="131313"/>
        </w:rPr>
        <w:t xml:space="preserve">” has the meaning specified </w:t>
      </w:r>
      <w:r>
        <w:rPr>
          <w:rFonts w:ascii="Arial" w:cs="Arial" w:eastAsia="Arial" w:hAnsi="Arial"/>
          <w:sz w:val="18"/>
          <w:szCs w:val="18"/>
          <w:color w:val="000000"/>
        </w:rPr>
        <w:t>in</w:t>
      </w:r>
      <w:r>
        <w:rPr>
          <w:rFonts w:ascii="Arial" w:cs="Arial" w:eastAsia="Arial" w:hAnsi="Arial"/>
          <w:sz w:val="18"/>
          <w:szCs w:val="18"/>
          <w:color w:val="131313"/>
        </w:rPr>
        <w:t xml:space="preserve"> Section 10.19(b).</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121212"/>
        </w:rPr>
        <w:t>“</w:t>
      </w:r>
      <w:r>
        <w:rPr>
          <w:rFonts w:ascii="Arial" w:cs="Arial" w:eastAsia="Arial" w:hAnsi="Arial"/>
          <w:sz w:val="17"/>
          <w:szCs w:val="17"/>
          <w:i w:val="1"/>
          <w:iCs w:val="1"/>
          <w:color w:val="121212"/>
        </w:rPr>
        <w:t>Fixed Charge Coverage Ratio</w:t>
      </w:r>
      <w:r>
        <w:rPr>
          <w:rFonts w:ascii="Arial" w:cs="Arial" w:eastAsia="Arial" w:hAnsi="Arial"/>
          <w:sz w:val="17"/>
          <w:szCs w:val="17"/>
          <w:color w:val="121212"/>
        </w:rPr>
        <w:t xml:space="preserve">” means, with respect to any Person for any period, the ratio of EBITDA of such Person for such period to </w:t>
      </w:r>
      <w:r>
        <w:rPr>
          <w:rFonts w:ascii="Arial" w:cs="Arial" w:eastAsia="Arial" w:hAnsi="Arial"/>
          <w:sz w:val="17"/>
          <w:szCs w:val="17"/>
          <w:color w:val="000000"/>
        </w:rPr>
        <w:t>the</w:t>
      </w:r>
      <w:r>
        <w:rPr>
          <w:rFonts w:ascii="Arial" w:cs="Arial" w:eastAsia="Arial" w:hAnsi="Arial"/>
          <w:sz w:val="17"/>
          <w:szCs w:val="17"/>
          <w:color w:val="121212"/>
        </w:rPr>
        <w:t xml:space="preserve"> Fixed Charges of such Person for such period. </w:t>
      </w:r>
      <w:r>
        <w:rPr>
          <w:rFonts w:ascii="Arial" w:cs="Arial" w:eastAsia="Arial" w:hAnsi="Arial"/>
          <w:sz w:val="17"/>
          <w:szCs w:val="17"/>
          <w:color w:val="000000"/>
        </w:rPr>
        <w:t>In</w:t>
      </w:r>
      <w:r>
        <w:rPr>
          <w:rFonts w:ascii="Arial" w:cs="Arial" w:eastAsia="Arial" w:hAnsi="Arial"/>
          <w:sz w:val="17"/>
          <w:szCs w:val="17"/>
          <w:color w:val="121212"/>
        </w:rPr>
        <w:t xml:space="preserve"> the event that the Company or any Restricted Subsidiary incurs, assumes, guarantees, redeems, retires or extinguishes any Indebtedness (other than Indebtedness incurred under any revolving credit facility that has been permanently repaid and has not been replaced) or issues or redeems Disqualified Stock or Preferred Stock subsequent to </w:t>
      </w:r>
      <w:r>
        <w:rPr>
          <w:rFonts w:ascii="Arial" w:cs="Arial" w:eastAsia="Arial" w:hAnsi="Arial"/>
          <w:sz w:val="17"/>
          <w:szCs w:val="17"/>
          <w:color w:val="000000"/>
        </w:rPr>
        <w:t>the</w:t>
      </w:r>
      <w:r>
        <w:rPr>
          <w:rFonts w:ascii="Arial" w:cs="Arial" w:eastAsia="Arial" w:hAnsi="Arial"/>
          <w:sz w:val="17"/>
          <w:szCs w:val="17"/>
          <w:color w:val="121212"/>
        </w:rPr>
        <w:t xml:space="preserve"> commencement of the period for which the Fixed Charge Coverage Ratio is being calculated </w:t>
      </w:r>
      <w:r>
        <w:rPr>
          <w:rFonts w:ascii="Arial" w:cs="Arial" w:eastAsia="Arial" w:hAnsi="Arial"/>
          <w:sz w:val="17"/>
          <w:szCs w:val="17"/>
          <w:color w:val="000000"/>
        </w:rPr>
        <w:t>but</w:t>
      </w:r>
      <w:r>
        <w:rPr>
          <w:rFonts w:ascii="Arial" w:cs="Arial" w:eastAsia="Arial" w:hAnsi="Arial"/>
          <w:sz w:val="17"/>
          <w:szCs w:val="17"/>
          <w:color w:val="121212"/>
        </w:rPr>
        <w:t xml:space="preserve"> prior to or simultaneously with the event for which the calculation of the Fixed Charge Coverage Ratio is made (the “</w:t>
      </w:r>
      <w:r>
        <w:rPr>
          <w:rFonts w:ascii="Arial" w:cs="Arial" w:eastAsia="Arial" w:hAnsi="Arial"/>
          <w:sz w:val="17"/>
          <w:szCs w:val="17"/>
          <w:i w:val="1"/>
          <w:iCs w:val="1"/>
          <w:color w:val="121212"/>
        </w:rPr>
        <w:t>Calculation Date</w:t>
      </w:r>
      <w:r>
        <w:rPr>
          <w:rFonts w:ascii="Arial" w:cs="Arial" w:eastAsia="Arial" w:hAnsi="Arial"/>
          <w:sz w:val="17"/>
          <w:szCs w:val="17"/>
          <w:color w:val="121212"/>
        </w:rPr>
        <w:t>”), then the Fixed Charge Coverage Ratio shall be calculated giving pro forma effect to such incurrence, assumption, guarantee, redemption, retirement or extinguishing of Indebtedness, or such issuance or redemption of Disqualified Stock or Preferred Stock, as if the same had occurred at the beginning of the applicable four-quarter period (the “</w:t>
      </w:r>
      <w:r>
        <w:rPr>
          <w:rFonts w:ascii="Arial" w:cs="Arial" w:eastAsia="Arial" w:hAnsi="Arial"/>
          <w:sz w:val="17"/>
          <w:szCs w:val="17"/>
          <w:i w:val="1"/>
          <w:iCs w:val="1"/>
          <w:color w:val="121212"/>
        </w:rPr>
        <w:t>reference period</w:t>
      </w:r>
      <w:r>
        <w:rPr>
          <w:rFonts w:ascii="Arial" w:cs="Arial" w:eastAsia="Arial" w:hAnsi="Arial"/>
          <w:sz w:val="17"/>
          <w:szCs w:val="17"/>
          <w:color w:val="121212"/>
        </w:rPr>
        <w:t>”).</w:t>
      </w:r>
    </w:p>
    <w:p>
      <w:pPr>
        <w:spacing w:after="0" w:line="17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For purposes of making the computation referred to above, Investments, acquisitions, dispositions, mergers, consolidations and disposed operations (as determined in accordance with GAAP) that have been made by the Company or any Restricted Subsidiary during the four-quarter reference period or subsequent to such reference period and on or prior to or simultaneously with the Calculation Date shall be calculated on a pro forma basis assuming that all such Investments, acquisitions, dispositions, mergers, consolidations and disposed operations (and the change in any associated fixed charges and the change in EBITDA resulting therefrom) had occurred on the first day of the reference period. If since the beginning of such period any Person (that subsequently became a Restricted Subsidiary or was merged with or into the Company or any Restricted Subsidiary since the beginning of such period) shall have made any Investment, acquisition, disposition, merger, consolidation or disposed operation that would have required adjustment pursuant to this definition, then the Fixed Charge Coverage Ratio shall be calculated giving pro forma effect thereto for such period as if such Investment, acquisition, disposition, merger, consolidation or disposed operation had occurred at the beginning of the reference period.</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121212"/>
        </w:rPr>
        <w:t xml:space="preserve">For purposes of this definition, whenever pro forma effect is to be given to a transaction, the pro forma calculations shall be made in good faith by a responsible financial or accounting officer of the Company. Any such pro forma calculation may include, without duplication, adjustments appropriate to reflect operating expense reductions and other operating improvements or synergies, in each case that have occurred prior to the Calculation Date or are reasonably expected to occur within 24 months of the Calculation Date, in the reasonable judgment of the chief financial officer of the Company in good faith (regardless of whether those cost savings or operating improvements could then be reflected in pro forma financial statements in accordance with Regulation S-X promulgated under the 1933 Act or any other regulation or policy of the </w:t>
      </w:r>
      <w:r>
        <w:rPr>
          <w:rFonts w:ascii="Arial" w:cs="Arial" w:eastAsia="Arial" w:hAnsi="Arial"/>
          <w:sz w:val="17"/>
          <w:szCs w:val="17"/>
          <w:color w:val="000000"/>
        </w:rPr>
        <w:t>SEC</w:t>
      </w:r>
      <w:r>
        <w:rPr>
          <w:rFonts w:ascii="Arial" w:cs="Arial" w:eastAsia="Arial" w:hAnsi="Arial"/>
          <w:sz w:val="17"/>
          <w:szCs w:val="17"/>
          <w:color w:val="121212"/>
        </w:rPr>
        <w:t xml:space="preserve"> related thereto); provided that (i) such net cost savings, initiatives, improvements and synergies are reasonably identifiable and quantifiable and (ii) the aggregate amount of net cost savings, initiatives, improvements and synergies added back in respect of any period of four consecutive fiscal quarters shall not exceed 25% of EBITDA (as calculated before giving effect to such addbacks).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3" w:name="page34"/>
    <w:bookmarkEnd w:id="33"/>
    <w:p>
      <w:pPr>
        <w:ind w:right="60" w:firstLine="648"/>
        <w:spacing w:after="0" w:line="279" w:lineRule="auto"/>
        <w:rPr>
          <w:sz w:val="20"/>
          <w:szCs w:val="20"/>
          <w:color w:val="auto"/>
        </w:rPr>
      </w:pPr>
      <w:r>
        <w:rPr>
          <w:rFonts w:ascii="Arial" w:cs="Arial" w:eastAsia="Arial" w:hAnsi="Arial"/>
          <w:sz w:val="17"/>
          <w:szCs w:val="17"/>
          <w:color w:val="121212"/>
        </w:rPr>
        <w:t>If the Company so elects, pro forma effect shall be given to any entity, division, plant, unit or line of business that commenced and completed at least one full fiscal quarter of operations during such reference period as if such entity, division, plant, unit or line of business had commenced commercial operations on the first day of such reference period and such pro forma calculation shall be based on the annualized results of commercial operations of such entity, plant, unit, division or line of business since the date it so commenced commercial operations.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121212"/>
        </w:rPr>
        <w:t>When calculating the availability under any basket or ratio under this Indenture, in each case in connection with a Limited Condition Acquisition, the Calculation Date of such basket or ratio and determination as to whether any Default or Event of Default shall have occurred and be continuing may, at the option of the Company, be the date the definitive agreements for such Limited Condition Acquisition are entered into and, if the Company so elects, such baskets or ratios shall be calculated on a pro forma basis after giving effect to such Limited Condition Acquisition and the other transactions to be entered into in connection therewith (including any incurrence of Indebtedness and the use of proceeds thereof) as if they occurred at the beginning of the applicable reference period for purposes of determining the ability to consummate any such Limited Condition Acquisition (and not for purposes of any availability, subsequent to the consummation of such Limited Condition Acquisition, of any basket or ratio), and, for the avoidance of doubt, (x) if any of such baskets or ratios are exceeded as a result of fluctuations in such basket or ratio (including due to fluctuations in EBITDA or Consolidated Total Assets of the Company or the target company) subsequent to such Calculation Date at or prior to the consummation of the relevant Limited Condition Acquisition, such baskets or ratios will not be deemed to have been exceeded as a result of such fluctuations solely for purposes of determining whether the Limited Condition Acquisition is permitted hereunder and (y) such baskets or ratios need not be tested at the time of consummation of such Limited Condition Acquisition or related transactions; provided, however, that if the Company elects to have such Calculation Date and determination occur at the time of entry into such definitive agreement, any such transactions (including any incurrence of Indebtedness and the use of proceeds thereof) shall be deemed to have occurred on the date the definitive agreements are entered into for purposes of calculating any baskets or ratios under this Indenture after the date of such agreement and before the consummation of such Limited Condition Acquisition.</w:t>
      </w:r>
    </w:p>
    <w:p>
      <w:pPr>
        <w:spacing w:after="0" w:line="167"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Notwithstanding anything to the contrary herein, in the event an item of Indebtedness, Disqualified Stock or Preferred Stock (or any portion thereof) is incurred or issued, any Lien is incurred or other transaction is undertaken in reliance on a ratio basket based on the Fixed Charge Coverage Ratio, Secured Net Leverage Ratio or Total Net Leverage Ratio, such ratio(s) shall be calculated with respect to such incurrence, issuance or other transaction without giving effect to amounts being utilized under any other basket (other than a ratio basket based on the Fixed Charge Coverage Ratio, Secured Net Leverage Ratio or Total Net Leverage Ratio) on the same date. Each item of Indebtedness, Disqualified Stock or Preferred Stock that is incurred or issued, each Lien incurred and each other transaction undertaken will be deemed to have been incurred, issued or taken first, to the extent available, pursuant to the relevant Fixed Charge Coverage Ratio, Secured Net Leverage Ratio or Total Net Leverage Ratio test.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 w:name="page35"/>
    <w:bookmarkEnd w:id="34"/>
    <w:p>
      <w:pPr>
        <w:ind w:right="40" w:firstLine="648"/>
        <w:spacing w:after="0" w:line="290" w:lineRule="auto"/>
        <w:rPr>
          <w:sz w:val="20"/>
          <w:szCs w:val="20"/>
          <w:color w:val="auto"/>
        </w:rPr>
      </w:pPr>
      <w:r>
        <w:rPr>
          <w:rFonts w:ascii="Arial" w:cs="Arial" w:eastAsia="Arial" w:hAnsi="Arial"/>
          <w:sz w:val="16"/>
          <w:szCs w:val="16"/>
          <w:color w:val="121212"/>
        </w:rPr>
        <w:t xml:space="preserve">If any Indebtedness bears a floating rate of interest and is being given pro forma effect, the interest on such Indebtedness shall be calculated as if the rate </w:t>
      </w:r>
      <w:r>
        <w:rPr>
          <w:rFonts w:ascii="Arial" w:cs="Arial" w:eastAsia="Arial" w:hAnsi="Arial"/>
          <w:sz w:val="16"/>
          <w:szCs w:val="16"/>
          <w:color w:val="000000"/>
        </w:rPr>
        <w:t>in</w:t>
      </w:r>
      <w:r>
        <w:rPr>
          <w:rFonts w:ascii="Arial" w:cs="Arial" w:eastAsia="Arial" w:hAnsi="Arial"/>
          <w:sz w:val="16"/>
          <w:szCs w:val="16"/>
          <w:color w:val="121212"/>
        </w:rPr>
        <w:t xml:space="preserve"> effect on the Calculation Date had been the applicable rate for the entire period (taking into account any Hedging Obligations applicable to such Indebtedness). Interest on a Capitalized Lease Obligation shall </w:t>
      </w:r>
      <w:r>
        <w:rPr>
          <w:rFonts w:ascii="Arial" w:cs="Arial" w:eastAsia="Arial" w:hAnsi="Arial"/>
          <w:sz w:val="16"/>
          <w:szCs w:val="16"/>
          <w:color w:val="000000"/>
        </w:rPr>
        <w:t>be</w:t>
      </w:r>
      <w:r>
        <w:rPr>
          <w:rFonts w:ascii="Arial" w:cs="Arial" w:eastAsia="Arial" w:hAnsi="Arial"/>
          <w:sz w:val="16"/>
          <w:szCs w:val="16"/>
          <w:color w:val="121212"/>
        </w:rPr>
        <w:t xml:space="preserve"> deemed to accrue at an interest rate reasonably determined by a responsible financial or accounting officer of the Company to be the rate of interest implicit in such Capitalized Lease Obligation </w:t>
      </w:r>
      <w:r>
        <w:rPr>
          <w:rFonts w:ascii="Arial" w:cs="Arial" w:eastAsia="Arial" w:hAnsi="Arial"/>
          <w:sz w:val="16"/>
          <w:szCs w:val="16"/>
          <w:color w:val="000000"/>
        </w:rPr>
        <w:t>in</w:t>
      </w:r>
      <w:r>
        <w:rPr>
          <w:rFonts w:ascii="Arial" w:cs="Arial" w:eastAsia="Arial" w:hAnsi="Arial"/>
          <w:sz w:val="16"/>
          <w:szCs w:val="16"/>
          <w:color w:val="121212"/>
        </w:rPr>
        <w:t xml:space="preserve"> accordance </w:t>
      </w:r>
      <w:r>
        <w:rPr>
          <w:rFonts w:ascii="Arial" w:cs="Arial" w:eastAsia="Arial" w:hAnsi="Arial"/>
          <w:sz w:val="16"/>
          <w:szCs w:val="16"/>
          <w:color w:val="000000"/>
        </w:rPr>
        <w:t>with</w:t>
      </w:r>
      <w:r>
        <w:rPr>
          <w:rFonts w:ascii="Arial" w:cs="Arial" w:eastAsia="Arial" w:hAnsi="Arial"/>
          <w:sz w:val="16"/>
          <w:szCs w:val="16"/>
          <w:color w:val="121212"/>
        </w:rPr>
        <w:t xml:space="preserve"> GAAP. For purposes of making the computation referred to above, interest on any Indebtedness under a revolving credit facility computed on a pro forma basis shall be computed based upon the average daily balance of such Indebtedness during </w:t>
      </w:r>
      <w:r>
        <w:rPr>
          <w:rFonts w:ascii="Arial" w:cs="Arial" w:eastAsia="Arial" w:hAnsi="Arial"/>
          <w:sz w:val="16"/>
          <w:szCs w:val="16"/>
          <w:color w:val="1E1E1E"/>
        </w:rPr>
        <w:t>the</w:t>
      </w:r>
      <w:r>
        <w:rPr>
          <w:rFonts w:ascii="Arial" w:cs="Arial" w:eastAsia="Arial" w:hAnsi="Arial"/>
          <w:sz w:val="16"/>
          <w:szCs w:val="16"/>
          <w:color w:val="121212"/>
        </w:rPr>
        <w:t xml:space="preserve"> applicable period. Interest on Indebtedness that may optionally be determined </w:t>
      </w:r>
      <w:r>
        <w:rPr>
          <w:rFonts w:ascii="Arial" w:cs="Arial" w:eastAsia="Arial" w:hAnsi="Arial"/>
          <w:sz w:val="16"/>
          <w:szCs w:val="16"/>
          <w:color w:val="1E1E1E"/>
        </w:rPr>
        <w:t>at</w:t>
      </w:r>
      <w:r>
        <w:rPr>
          <w:rFonts w:ascii="Arial" w:cs="Arial" w:eastAsia="Arial" w:hAnsi="Arial"/>
          <w:sz w:val="16"/>
          <w:szCs w:val="16"/>
          <w:color w:val="121212"/>
        </w:rPr>
        <w:t xml:space="preserve"> an interest </w:t>
      </w:r>
      <w:r>
        <w:rPr>
          <w:rFonts w:ascii="Arial" w:cs="Arial" w:eastAsia="Arial" w:hAnsi="Arial"/>
          <w:sz w:val="16"/>
          <w:szCs w:val="16"/>
          <w:color w:val="1E1E1E"/>
        </w:rPr>
        <w:t>rate</w:t>
      </w:r>
      <w:r>
        <w:rPr>
          <w:rFonts w:ascii="Arial" w:cs="Arial" w:eastAsia="Arial" w:hAnsi="Arial"/>
          <w:sz w:val="16"/>
          <w:szCs w:val="16"/>
          <w:color w:val="121212"/>
        </w:rPr>
        <w:t xml:space="preserve"> based upon a factor of a prime or similar rate, a eurocurrency interbank </w:t>
      </w:r>
      <w:r>
        <w:rPr>
          <w:rFonts w:ascii="Arial" w:cs="Arial" w:eastAsia="Arial" w:hAnsi="Arial"/>
          <w:sz w:val="16"/>
          <w:szCs w:val="16"/>
          <w:color w:val="1E1E1E"/>
        </w:rPr>
        <w:t>offered</w:t>
      </w:r>
      <w:r>
        <w:rPr>
          <w:rFonts w:ascii="Arial" w:cs="Arial" w:eastAsia="Arial" w:hAnsi="Arial"/>
          <w:sz w:val="16"/>
          <w:szCs w:val="16"/>
          <w:color w:val="121212"/>
        </w:rPr>
        <w:t xml:space="preserve"> rate, or other rate, shall be deemed to have been based upon the rate actually chosen, or, if none, then based upon such optional rate chosen as the Company may designate.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1E1E1E"/>
        </w:rPr>
        <w:t>“</w:t>
      </w:r>
      <w:r>
        <w:rPr>
          <w:rFonts w:ascii="Arial" w:cs="Arial" w:eastAsia="Arial" w:hAnsi="Arial"/>
          <w:sz w:val="18"/>
          <w:szCs w:val="18"/>
          <w:i w:val="1"/>
          <w:iCs w:val="1"/>
          <w:color w:val="1E1E1E"/>
        </w:rPr>
        <w:t>Fixed Charges</w:t>
      </w:r>
      <w:r>
        <w:rPr>
          <w:rFonts w:ascii="Arial" w:cs="Arial" w:eastAsia="Arial" w:hAnsi="Arial"/>
          <w:sz w:val="18"/>
          <w:szCs w:val="18"/>
          <w:color w:val="1E1E1E"/>
        </w:rPr>
        <w:t xml:space="preserve">” </w:t>
      </w:r>
      <w:r>
        <w:rPr>
          <w:rFonts w:ascii="Arial" w:cs="Arial" w:eastAsia="Arial" w:hAnsi="Arial"/>
          <w:sz w:val="18"/>
          <w:szCs w:val="18"/>
          <w:color w:val="000000"/>
        </w:rPr>
        <w:t>means, with respect to any Person for any period, the sum</w:t>
      </w:r>
      <w:r>
        <w:rPr>
          <w:rFonts w:ascii="Arial" w:cs="Arial" w:eastAsia="Arial" w:hAnsi="Arial"/>
          <w:sz w:val="18"/>
          <w:szCs w:val="18"/>
          <w:color w:val="1E1E1E"/>
        </w:rPr>
        <w:t xml:space="preserve"> of</w:t>
      </w:r>
    </w:p>
    <w:p>
      <w:pPr>
        <w:spacing w:after="0" w:line="22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for such </w:t>
      </w:r>
      <w:r>
        <w:rPr>
          <w:rFonts w:ascii="Arial" w:cs="Arial" w:eastAsia="Arial" w:hAnsi="Arial"/>
          <w:sz w:val="18"/>
          <w:szCs w:val="18"/>
          <w:color w:val="1E1E1E"/>
        </w:rPr>
        <w:t>period,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6"/>
          <w:szCs w:val="16"/>
          <w:color w:val="auto"/>
        </w:rPr>
      </w:pPr>
      <w:r>
        <w:rPr>
          <w:rFonts w:ascii="Arial" w:cs="Arial" w:eastAsia="Arial" w:hAnsi="Arial"/>
          <w:sz w:val="16"/>
          <w:szCs w:val="16"/>
          <w:color w:val="121212"/>
        </w:rPr>
        <w:t>all cash dividend payments (excluding items eliminated in consolidation) on any series of Preferred Stock made during such period, and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121212"/>
        </w:rPr>
        <w:t xml:space="preserve">all cash dividend payments (excluding items eliminated in consolidation) on </w:t>
      </w:r>
      <w:r>
        <w:rPr>
          <w:rFonts w:ascii="Arial" w:cs="Arial" w:eastAsia="Arial" w:hAnsi="Arial"/>
          <w:sz w:val="16"/>
          <w:szCs w:val="16"/>
          <w:color w:val="1E1E1E"/>
        </w:rPr>
        <w:t>any</w:t>
      </w:r>
      <w:r>
        <w:rPr>
          <w:rFonts w:ascii="Arial" w:cs="Arial" w:eastAsia="Arial" w:hAnsi="Arial"/>
          <w:sz w:val="16"/>
          <w:szCs w:val="16"/>
          <w:color w:val="121212"/>
        </w:rPr>
        <w:t xml:space="preserve"> series of Disqualified Stock made during such period;</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notwithstanding the foregoing, any</w:t>
      </w:r>
      <w:r>
        <w:rPr>
          <w:rFonts w:ascii="Arial" w:cs="Arial" w:eastAsia="Arial" w:hAnsi="Arial"/>
          <w:sz w:val="18"/>
          <w:szCs w:val="18"/>
          <w:i w:val="1"/>
          <w:iCs w:val="1"/>
          <w:color w:val="auto"/>
        </w:rPr>
        <w:t xml:space="preserve"> </w:t>
      </w:r>
      <w:r>
        <w:rPr>
          <w:rFonts w:ascii="Arial" w:cs="Arial" w:eastAsia="Arial" w:hAnsi="Arial"/>
          <w:sz w:val="18"/>
          <w:szCs w:val="18"/>
          <w:color w:val="1E1E1E"/>
        </w:rPr>
        <w:t>charges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from (i) the application</w:t>
      </w:r>
      <w:r>
        <w:rPr>
          <w:rFonts w:ascii="Arial" w:cs="Arial" w:eastAsia="Arial" w:hAnsi="Arial"/>
          <w:sz w:val="18"/>
          <w:szCs w:val="18"/>
          <w:i w:val="1"/>
          <w:iCs w:val="1"/>
          <w:color w:val="auto"/>
        </w:rPr>
        <w:t xml:space="preserve"> </w:t>
      </w:r>
      <w:r>
        <w:rPr>
          <w:rFonts w:ascii="Arial" w:cs="Arial" w:eastAsia="Arial" w:hAnsi="Arial"/>
          <w:sz w:val="18"/>
          <w:szCs w:val="18"/>
          <w:color w:val="1E1E1E"/>
        </w:rPr>
        <w:t>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Topic 480-10-25-4 “Distinguishing Liabilities from Equity</w:t>
      </w:r>
      <w:r>
        <w:rPr>
          <w:rFonts w:ascii="Arial" w:cs="Arial" w:eastAsia="Arial" w:hAnsi="Arial"/>
          <w:sz w:val="18"/>
          <w:szCs w:val="18"/>
          <w:color w:val="1E1E1E"/>
        </w:rPr>
        <w:t>—</w:t>
      </w:r>
      <w:r>
        <w:rPr>
          <w:rFonts w:ascii="Arial" w:cs="Arial" w:eastAsia="Arial" w:hAnsi="Arial"/>
          <w:sz w:val="18"/>
          <w:szCs w:val="18"/>
          <w:color w:val="auto"/>
        </w:rPr>
        <w:t>Overall</w:t>
      </w:r>
      <w:r>
        <w:rPr>
          <w:rFonts w:ascii="Arial" w:cs="Arial" w:eastAsia="Arial" w:hAnsi="Arial"/>
          <w:sz w:val="18"/>
          <w:szCs w:val="18"/>
          <w:color w:val="1E1E1E"/>
        </w:rPr>
        <w:t>—</w:t>
      </w:r>
      <w:r>
        <w:rPr>
          <w:rFonts w:ascii="Arial" w:cs="Arial" w:eastAsia="Arial" w:hAnsi="Arial"/>
          <w:sz w:val="18"/>
          <w:szCs w:val="18"/>
          <w:color w:val="auto"/>
        </w:rPr>
        <w:t xml:space="preserve">Recognition” </w:t>
      </w:r>
      <w:r>
        <w:rPr>
          <w:rFonts w:ascii="Arial" w:cs="Arial" w:eastAsia="Arial" w:hAnsi="Arial"/>
          <w:sz w:val="18"/>
          <w:szCs w:val="18"/>
          <w:color w:val="1E1E1E"/>
        </w:rPr>
        <w:t>to</w:t>
      </w:r>
      <w:r>
        <w:rPr>
          <w:rFonts w:ascii="Arial" w:cs="Arial" w:eastAsia="Arial" w:hAnsi="Arial"/>
          <w:sz w:val="18"/>
          <w:szCs w:val="18"/>
          <w:color w:val="auto"/>
        </w:rPr>
        <w:t xml:space="preserve"> any series of Preferred Stock other than Disqualified Stock </w:t>
      </w:r>
      <w:r>
        <w:rPr>
          <w:rFonts w:ascii="Arial" w:cs="Arial" w:eastAsia="Arial" w:hAnsi="Arial"/>
          <w:sz w:val="18"/>
          <w:szCs w:val="18"/>
          <w:color w:val="1E1E1E"/>
        </w:rPr>
        <w:t>or</w:t>
      </w:r>
      <w:r>
        <w:rPr>
          <w:rFonts w:ascii="Arial" w:cs="Arial" w:eastAsia="Arial" w:hAnsi="Arial"/>
          <w:sz w:val="18"/>
          <w:szCs w:val="18"/>
          <w:color w:val="auto"/>
        </w:rPr>
        <w:t xml:space="preserve"> (ii) the application of Accounting Standards Codification </w:t>
      </w:r>
      <w:r>
        <w:rPr>
          <w:rFonts w:ascii="Arial" w:cs="Arial" w:eastAsia="Arial" w:hAnsi="Arial"/>
          <w:sz w:val="18"/>
          <w:szCs w:val="18"/>
          <w:color w:val="1E1E1E"/>
        </w:rPr>
        <w:t>Topic</w:t>
      </w:r>
      <w:r>
        <w:rPr>
          <w:rFonts w:ascii="Arial" w:cs="Arial" w:eastAsia="Arial" w:hAnsi="Arial"/>
          <w:sz w:val="18"/>
          <w:szCs w:val="18"/>
          <w:color w:val="auto"/>
        </w:rPr>
        <w:t xml:space="preserve"> 470-20 “Debt</w:t>
      </w:r>
      <w:r>
        <w:rPr>
          <w:rFonts w:ascii="Arial" w:cs="Arial" w:eastAsia="Arial" w:hAnsi="Arial"/>
          <w:sz w:val="18"/>
          <w:szCs w:val="18"/>
          <w:color w:val="1E1E1E"/>
        </w:rPr>
        <w:t>—</w:t>
      </w:r>
      <w:r>
        <w:rPr>
          <w:rFonts w:ascii="Arial" w:cs="Arial" w:eastAsia="Arial" w:hAnsi="Arial"/>
          <w:sz w:val="18"/>
          <w:szCs w:val="18"/>
          <w:color w:val="auto"/>
        </w:rPr>
        <w:t>Debt with Conversion Options</w:t>
      </w:r>
      <w:r>
        <w:rPr>
          <w:rFonts w:ascii="Arial" w:cs="Arial" w:eastAsia="Arial" w:hAnsi="Arial"/>
          <w:sz w:val="18"/>
          <w:szCs w:val="18"/>
          <w:color w:val="1E1E1E"/>
        </w:rPr>
        <w:t>—</w:t>
      </w:r>
      <w:r>
        <w:rPr>
          <w:rFonts w:ascii="Arial" w:cs="Arial" w:eastAsia="Arial" w:hAnsi="Arial"/>
          <w:sz w:val="18"/>
          <w:szCs w:val="18"/>
          <w:color w:val="auto"/>
        </w:rPr>
        <w:t xml:space="preserve">Recognition,” in each </w:t>
      </w:r>
      <w:r>
        <w:rPr>
          <w:rFonts w:ascii="Arial" w:cs="Arial" w:eastAsia="Arial" w:hAnsi="Arial"/>
          <w:sz w:val="18"/>
          <w:szCs w:val="18"/>
          <w:color w:val="1E1E1E"/>
        </w:rPr>
        <w:t>case,</w:t>
      </w:r>
      <w:r>
        <w:rPr>
          <w:rFonts w:ascii="Arial" w:cs="Arial" w:eastAsia="Arial" w:hAnsi="Arial"/>
          <w:sz w:val="18"/>
          <w:szCs w:val="18"/>
          <w:color w:val="auto"/>
        </w:rPr>
        <w:t xml:space="preserve"> shall be disregarded in the calculation of Fixed Charges.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Fixtures</w:t>
      </w:r>
      <w:r>
        <w:rPr>
          <w:rFonts w:ascii="Arial" w:cs="Arial" w:eastAsia="Arial" w:hAnsi="Arial"/>
          <w:sz w:val="17"/>
          <w:szCs w:val="17"/>
          <w:color w:val="auto"/>
        </w:rPr>
        <w:t>” has the meaning specified in the UCC, and if defined in more than one Article of the UCC, the meaning given in Article 9 thereof.</w:t>
      </w:r>
    </w:p>
    <w:p>
      <w:pPr>
        <w:spacing w:after="0" w:line="2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xml:space="preserve">” means a Subsidiary that </w:t>
      </w:r>
      <w:r>
        <w:rPr>
          <w:rFonts w:ascii="Arial" w:cs="Arial" w:eastAsia="Arial" w:hAnsi="Arial"/>
          <w:sz w:val="18"/>
          <w:szCs w:val="18"/>
          <w:color w:val="1E1E1E"/>
        </w:rPr>
        <w:t>is</w:t>
      </w:r>
      <w:r>
        <w:rPr>
          <w:rFonts w:ascii="Arial" w:cs="Arial" w:eastAsia="Arial" w:hAnsi="Arial"/>
          <w:sz w:val="18"/>
          <w:szCs w:val="18"/>
          <w:color w:val="auto"/>
        </w:rPr>
        <w:t xml:space="preserve"> organized under the laws </w:t>
      </w:r>
      <w:r>
        <w:rPr>
          <w:rFonts w:ascii="Arial" w:cs="Arial" w:eastAsia="Arial" w:hAnsi="Arial"/>
          <w:sz w:val="18"/>
          <w:szCs w:val="18"/>
          <w:color w:val="1E1E1E"/>
        </w:rPr>
        <w:t>of a</w:t>
      </w:r>
      <w:r>
        <w:rPr>
          <w:rFonts w:ascii="Arial" w:cs="Arial" w:eastAsia="Arial" w:hAnsi="Arial"/>
          <w:sz w:val="18"/>
          <w:szCs w:val="18"/>
          <w:color w:val="auto"/>
        </w:rPr>
        <w:t xml:space="preserve"> jurisdiction other than the United States or any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Guarantor</w:t>
      </w:r>
      <w:r>
        <w:rPr>
          <w:rFonts w:ascii="Arial" w:cs="Arial" w:eastAsia="Arial" w:hAnsi="Arial"/>
          <w:sz w:val="18"/>
          <w:szCs w:val="18"/>
          <w:color w:val="auto"/>
        </w:rPr>
        <w:t>” has the meaning specified in Section 12.05.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right="2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that are applicable to the Company as of the Issue Date. At any time after the Issue Date, the Company may elect to apply IFRS accounting principles in lieu of GAAP and, upon any such election, references herein to GAAP shall thereafter be construed to mean IFRS (except as otherwise provided in this Indenture); provided that any calculation or determination in this Indenture that requires the application of GAAP for periods that include fiscal quarters ended prior to the Company’s election to apply IFRS shall remain as previously calculated or determined in accordance with GAAP; provided, further, that any term phrased in a manner customary under GAAP shall be interpreted to refer to the equivalent accounting or financial concept under IFRS and, if there is no such equivalent accounting or financial concept, shall be interpreted in a manner that best approximates the effect that such term would have if it were construed in accordance with GAAP as in effect on the Issue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22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121212"/>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225" w:lineRule="exact"/>
        <w:rPr>
          <w:rFonts w:ascii="Arial" w:cs="Arial" w:eastAsia="Arial" w:hAnsi="Arial"/>
          <w:sz w:val="18"/>
          <w:szCs w:val="18"/>
          <w:color w:val="121212"/>
        </w:rPr>
      </w:pPr>
    </w:p>
    <w:p>
      <w:pPr>
        <w:ind w:firstLine="656"/>
        <w:spacing w:after="0" w:line="291" w:lineRule="auto"/>
        <w:tabs>
          <w:tab w:leader="none" w:pos="1307" w:val="left"/>
        </w:tabs>
        <w:numPr>
          <w:ilvl w:val="0"/>
          <w:numId w:val="40"/>
        </w:numPr>
        <w:rPr>
          <w:rFonts w:ascii="Arial" w:cs="Arial" w:eastAsia="Arial" w:hAnsi="Arial"/>
          <w:sz w:val="16"/>
          <w:szCs w:val="16"/>
          <w:color w:val="121212"/>
        </w:rPr>
      </w:pPr>
      <w:r>
        <w:rPr>
          <w:rFonts w:ascii="Arial" w:cs="Arial" w:eastAsia="Arial" w:hAnsi="Arial"/>
          <w:sz w:val="16"/>
          <w:szCs w:val="16"/>
          <w:color w:val="131313"/>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t>
      </w:r>
      <w:r>
        <w:rPr>
          <w:rFonts w:ascii="Arial" w:cs="Arial" w:eastAsia="Arial" w:hAnsi="Arial"/>
          <w:sz w:val="16"/>
          <w:szCs w:val="16"/>
          <w:color w:val="121212"/>
        </w:rPr>
        <w:t>which,</w:t>
      </w:r>
      <w:r>
        <w:rPr>
          <w:rFonts w:ascii="Arial" w:cs="Arial" w:eastAsia="Arial" w:hAnsi="Arial"/>
          <w:sz w:val="16"/>
          <w:szCs w:val="16"/>
          <w:color w:val="131313"/>
        </w:rPr>
        <w:t xml:space="preserve"> </w:t>
      </w:r>
      <w:r>
        <w:rPr>
          <w:rFonts w:ascii="Arial" w:cs="Arial" w:eastAsia="Arial" w:hAnsi="Arial"/>
          <w:sz w:val="16"/>
          <w:szCs w:val="16"/>
          <w:color w:val="000000"/>
        </w:rPr>
        <w:t>in</w:t>
      </w:r>
      <w:r>
        <w:rPr>
          <w:rFonts w:ascii="Arial" w:cs="Arial" w:eastAsia="Arial" w:hAnsi="Arial"/>
          <w:sz w:val="16"/>
          <w:szCs w:val="16"/>
          <w:color w:val="131313"/>
        </w:rPr>
        <w:t xml:space="preserve"> </w:t>
      </w:r>
      <w:r>
        <w:rPr>
          <w:rFonts w:ascii="Arial" w:cs="Arial" w:eastAsia="Arial" w:hAnsi="Arial"/>
          <w:sz w:val="16"/>
          <w:szCs w:val="16"/>
          <w:color w:val="121212"/>
        </w:rPr>
        <w:t>either case, are not callable</w:t>
      </w:r>
      <w:r>
        <w:rPr>
          <w:rFonts w:ascii="Arial" w:cs="Arial" w:eastAsia="Arial" w:hAnsi="Arial"/>
          <w:sz w:val="16"/>
          <w:szCs w:val="16"/>
          <w:color w:val="131313"/>
        </w:rPr>
        <w:t xml:space="preserve"> </w:t>
      </w:r>
      <w:r>
        <w:rPr>
          <w:rFonts w:ascii="Arial" w:cs="Arial" w:eastAsia="Arial" w:hAnsi="Arial"/>
          <w:sz w:val="16"/>
          <w:szCs w:val="16"/>
          <w:color w:val="121212"/>
        </w:rPr>
        <w:t xml:space="preserve">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Arial" w:cs="Arial" w:eastAsia="Arial" w:hAnsi="Arial"/>
          <w:sz w:val="16"/>
          <w:szCs w:val="16"/>
          <w:i w:val="1"/>
          <w:iCs w:val="1"/>
          <w:color w:val="121212"/>
        </w:rPr>
        <w:t>provided</w:t>
      </w:r>
      <w:r>
        <w:rPr>
          <w:rFonts w:ascii="Arial" w:cs="Arial" w:eastAsia="Arial" w:hAnsi="Arial"/>
          <w:sz w:val="16"/>
          <w:szCs w:val="16"/>
          <w:color w:val="121212"/>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w:t>
      </w:r>
      <w:r>
        <w:rPr>
          <w:rFonts w:ascii="Arial" w:cs="Arial" w:eastAsia="Arial" w:hAnsi="Arial"/>
          <w:sz w:val="16"/>
          <w:szCs w:val="16"/>
          <w:color w:val="000000"/>
        </w:rPr>
        <w:t>on</w:t>
      </w:r>
      <w:r>
        <w:rPr>
          <w:rFonts w:ascii="Arial" w:cs="Arial" w:eastAsia="Arial" w:hAnsi="Arial"/>
          <w:sz w:val="16"/>
          <w:szCs w:val="16"/>
          <w:color w:val="121212"/>
        </w:rPr>
        <w:t xml:space="preserve"> the Government Securities evidenced by such depository receipt.</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000000"/>
        </w:rPr>
        <w:t>Grantor</w:t>
      </w:r>
      <w:r>
        <w:rPr>
          <w:rFonts w:ascii="Arial" w:cs="Arial" w:eastAsia="Arial" w:hAnsi="Arial"/>
          <w:sz w:val="18"/>
          <w:szCs w:val="18"/>
          <w:color w:val="121212"/>
        </w:rPr>
        <w:t>” means each of, and “Grantors” means collectively, the Company and each Subsidiary of the Company that shall have granted any Lien in favor of the Collateral Trustee on any of its assets or properties to secure any of the Permitted Notes Obligations.</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000000"/>
        </w:rPr>
        <w:t>guarantee</w:t>
      </w:r>
      <w:r>
        <w:rPr>
          <w:rFonts w:ascii="Arial" w:cs="Arial" w:eastAsia="Arial" w:hAnsi="Arial"/>
          <w:sz w:val="18"/>
          <w:szCs w:val="18"/>
          <w:color w:val="121212"/>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 and, when used as a verb, shall have a corresponding meaning.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Guarantee</w:t>
      </w:r>
      <w:r>
        <w:rPr>
          <w:rFonts w:ascii="Arial" w:cs="Arial" w:eastAsia="Arial" w:hAnsi="Arial"/>
          <w:sz w:val="18"/>
          <w:szCs w:val="18"/>
          <w:color w:val="121212"/>
        </w:rPr>
        <w:t>” means the guarantee by any Guarantor of the Indenture Obligations.</w:t>
      </w:r>
    </w:p>
    <w:p>
      <w:pPr>
        <w:spacing w:after="0" w:line="22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121212"/>
        </w:rPr>
        <w:t>Guarantor</w:t>
      </w:r>
      <w:r>
        <w:rPr>
          <w:rFonts w:ascii="Arial" w:cs="Arial" w:eastAsia="Arial" w:hAnsi="Arial"/>
          <w:sz w:val="16"/>
          <w:szCs w:val="16"/>
          <w:color w:val="121212"/>
        </w:rPr>
        <w:t>” means any Restricted Subsidiary of the Company that executes this Indenture as a guarantor on the Issue Date and each other Restricted Subsidiary of the Company that thereafter guarantees the Notes pursuant to the terms of this Indenture; provided, however, that upon the release or discharge of such Restricted Subsidiary from its Guarantee in accordance with this Indenture, such Restricted Subsidiary will cease to be a Guarantor.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000000"/>
        </w:rPr>
        <w:t>Hedge Agreement</w:t>
      </w:r>
      <w:r>
        <w:rPr>
          <w:rFonts w:ascii="Arial" w:cs="Arial" w:eastAsia="Arial" w:hAnsi="Arial"/>
          <w:sz w:val="18"/>
          <w:szCs w:val="18"/>
          <w:color w:val="121212"/>
        </w:rPr>
        <w:t>” means any agreement governing Hedging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right="40" w:firstLine="648"/>
        <w:spacing w:after="0" w:line="301" w:lineRule="auto"/>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121212"/>
        </w:rPr>
        <w:t>Hedging Obligations</w:t>
      </w:r>
      <w:r>
        <w:rPr>
          <w:rFonts w:ascii="Arial" w:cs="Arial" w:eastAsia="Arial" w:hAnsi="Arial"/>
          <w:sz w:val="16"/>
          <w:szCs w:val="16"/>
          <w:color w:val="121212"/>
        </w:rPr>
        <w:t>” means, with respect to any Person, the obligations of such Person under currency exchange, interest rate or commodity swap agreements, currency exchange, interest rate or commodity cap agreements and currency exchange, interest rate or commodity collar agreements and other agreements or arrangements pursuant to a Hedge Agreement, in each case designed to manage fluctuations in currency exchange, interest rates or commodity prices. For the avoidance of doubt, any Permitted Convertible Indebtedness Call Transaction will not constitute Hedging Obligations.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Holder</w:t>
      </w:r>
      <w:r>
        <w:rPr>
          <w:rFonts w:ascii="Arial" w:cs="Arial" w:eastAsia="Arial" w:hAnsi="Arial"/>
          <w:sz w:val="18"/>
          <w:szCs w:val="18"/>
          <w:color w:val="121212"/>
        </w:rPr>
        <w:t xml:space="preserve">” means the Person </w:t>
      </w:r>
      <w:r>
        <w:rPr>
          <w:rFonts w:ascii="Arial" w:cs="Arial" w:eastAsia="Arial" w:hAnsi="Arial"/>
          <w:sz w:val="18"/>
          <w:szCs w:val="18"/>
          <w:color w:val="000000"/>
        </w:rPr>
        <w:t>in</w:t>
      </w:r>
      <w:r>
        <w:rPr>
          <w:rFonts w:ascii="Arial" w:cs="Arial" w:eastAsia="Arial" w:hAnsi="Arial"/>
          <w:sz w:val="18"/>
          <w:szCs w:val="18"/>
          <w:color w:val="121212"/>
        </w:rPr>
        <w:t xml:space="preserve"> whose name a Note is registered on the books of the Note Registrar.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IFRS</w:t>
      </w:r>
      <w:r>
        <w:rPr>
          <w:rFonts w:ascii="Arial" w:cs="Arial" w:eastAsia="Arial" w:hAnsi="Arial"/>
          <w:sz w:val="18"/>
          <w:szCs w:val="18"/>
          <w:color w:val="121212"/>
        </w:rPr>
        <w:t xml:space="preserve">” means the International Financial Reporting Standards, as promulgated by the International Accounting Standards Board (or any successor board or agency), as in effect on the date of the election, if any, by the Company to change GAAP to IFRS; </w:t>
      </w:r>
      <w:r>
        <w:rPr>
          <w:rFonts w:ascii="Arial" w:cs="Arial" w:eastAsia="Arial" w:hAnsi="Arial"/>
          <w:sz w:val="18"/>
          <w:szCs w:val="18"/>
          <w:i w:val="1"/>
          <w:iCs w:val="1"/>
          <w:color w:val="121212"/>
        </w:rPr>
        <w:t>provided</w:t>
      </w:r>
      <w:r>
        <w:rPr>
          <w:rFonts w:ascii="Arial" w:cs="Arial" w:eastAsia="Arial" w:hAnsi="Arial"/>
          <w:sz w:val="18"/>
          <w:szCs w:val="18"/>
          <w:color w:val="121212"/>
        </w:rPr>
        <w:t xml:space="preserve"> </w:t>
      </w:r>
      <w:r>
        <w:rPr>
          <w:rFonts w:ascii="Arial" w:cs="Arial" w:eastAsia="Arial" w:hAnsi="Arial"/>
          <w:sz w:val="18"/>
          <w:szCs w:val="18"/>
          <w:color w:val="000000"/>
        </w:rPr>
        <w:t>that</w:t>
      </w:r>
      <w:r>
        <w:rPr>
          <w:rFonts w:ascii="Arial" w:cs="Arial" w:eastAsia="Arial" w:hAnsi="Arial"/>
          <w:sz w:val="18"/>
          <w:szCs w:val="18"/>
          <w:color w:val="121212"/>
        </w:rPr>
        <w:t xml:space="preserve"> IFRS shall not include any provision of such standards that would require a lease that would be classified as an operating lease under GAAP to be classified as indebtedness or a finance or capital lease.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Increased Amount</w:t>
      </w:r>
      <w:r>
        <w:rPr>
          <w:rFonts w:ascii="Arial" w:cs="Arial" w:eastAsia="Arial" w:hAnsi="Arial"/>
          <w:sz w:val="18"/>
          <w:szCs w:val="18"/>
          <w:color w:val="121212"/>
        </w:rPr>
        <w:t>” has the meaning specified in Section 10.10(c).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incur</w:t>
      </w:r>
      <w:r>
        <w:rPr>
          <w:rFonts w:ascii="Arial" w:cs="Arial" w:eastAsia="Arial" w:hAnsi="Arial"/>
          <w:sz w:val="18"/>
          <w:szCs w:val="18"/>
          <w:color w:val="121212"/>
        </w:rPr>
        <w:t xml:space="preserve">” has the meaning specified </w:t>
      </w:r>
      <w:r>
        <w:rPr>
          <w:rFonts w:ascii="Arial" w:cs="Arial" w:eastAsia="Arial" w:hAnsi="Arial"/>
          <w:sz w:val="18"/>
          <w:szCs w:val="18"/>
          <w:color w:val="000000"/>
        </w:rPr>
        <w:t>in</w:t>
      </w:r>
      <w:r>
        <w:rPr>
          <w:rFonts w:ascii="Arial" w:cs="Arial" w:eastAsia="Arial" w:hAnsi="Arial"/>
          <w:sz w:val="18"/>
          <w:szCs w:val="18"/>
          <w:color w:val="121212"/>
        </w:rPr>
        <w:t xml:space="preserve"> Section 10.09</w:t>
      </w:r>
      <w:r>
        <w:rPr>
          <w:rFonts w:ascii="Arial" w:cs="Arial" w:eastAsia="Arial" w:hAnsi="Arial"/>
          <w:sz w:val="18"/>
          <w:szCs w:val="18"/>
          <w:color w:val="000000"/>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incurrence</w:t>
      </w:r>
      <w:r>
        <w:rPr>
          <w:rFonts w:ascii="Arial" w:cs="Arial" w:eastAsia="Arial" w:hAnsi="Arial"/>
          <w:sz w:val="18"/>
          <w:szCs w:val="18"/>
          <w:color w:val="121212"/>
        </w:rPr>
        <w:t>” has the meaning specified in Section 10.09</w:t>
      </w:r>
      <w:r>
        <w:rPr>
          <w:rFonts w:ascii="Arial" w:cs="Arial" w:eastAsia="Arial" w:hAnsi="Arial"/>
          <w:sz w:val="18"/>
          <w:szCs w:val="18"/>
          <w:color w:val="000000"/>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without duplication:</w:t>
      </w:r>
    </w:p>
    <w:p>
      <w:pPr>
        <w:spacing w:after="0" w:line="225"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indebtedness (including principal and premium) of such Person, whether or not contingent: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660" w:right="320" w:firstLine="644"/>
        <w:spacing w:after="0" w:line="277" w:lineRule="auto"/>
        <w:tabs>
          <w:tab w:leader="none" w:pos="1967" w:val="left"/>
        </w:tabs>
        <w:numPr>
          <w:ilvl w:val="1"/>
          <w:numId w:val="41"/>
        </w:numPr>
        <w:rPr>
          <w:rFonts w:ascii="Arial" w:cs="Arial" w:eastAsia="Arial" w:hAnsi="Arial"/>
          <w:sz w:val="18"/>
          <w:szCs w:val="18"/>
          <w:color w:val="131313"/>
        </w:rPr>
      </w:pPr>
      <w:r>
        <w:rPr>
          <w:rFonts w:ascii="Arial" w:cs="Arial" w:eastAsia="Arial" w:hAnsi="Arial"/>
          <w:sz w:val="18"/>
          <w:szCs w:val="18"/>
          <w:color w:val="131313"/>
        </w:rPr>
        <w:t>evidenced by bonds, notes, debentures or similar instruments or letters of credit or bankers’ acceptances (or, without double counting, reimbursement agreements in respect thereof);</w:t>
      </w:r>
    </w:p>
    <w:p>
      <w:pPr>
        <w:spacing w:after="0" w:line="170" w:lineRule="exact"/>
        <w:rPr>
          <w:rFonts w:ascii="Arial" w:cs="Arial" w:eastAsia="Arial" w:hAnsi="Arial"/>
          <w:sz w:val="18"/>
          <w:szCs w:val="18"/>
          <w:color w:val="131313"/>
        </w:rPr>
      </w:pPr>
    </w:p>
    <w:p>
      <w:pPr>
        <w:ind w:left="660" w:right="200" w:firstLine="644"/>
        <w:spacing w:after="0" w:line="263" w:lineRule="auto"/>
        <w:tabs>
          <w:tab w:leader="none" w:pos="1967" w:val="left"/>
        </w:tabs>
        <w:numPr>
          <w:ilvl w:val="1"/>
          <w:numId w:val="41"/>
        </w:numPr>
        <w:rPr>
          <w:rFonts w:ascii="Arial" w:cs="Arial" w:eastAsia="Arial" w:hAnsi="Arial"/>
          <w:sz w:val="18"/>
          <w:szCs w:val="18"/>
          <w:color w:val="131313"/>
        </w:rPr>
      </w:pPr>
      <w:r>
        <w:rPr>
          <w:rFonts w:ascii="Arial" w:cs="Arial" w:eastAsia="Arial" w:hAnsi="Arial"/>
          <w:sz w:val="18"/>
          <w:szCs w:val="18"/>
          <w:color w:val="131313"/>
        </w:rPr>
        <w:t>representing the balance deferred and unpaid of the purchase price of any property (including Capitalized Lease Obligations), except any such balance that constitutes a trade payable or similar obligation to a trade creditor, in each case accrued in the ordinary course of business; or</w:t>
      </w:r>
    </w:p>
    <w:p>
      <w:pPr>
        <w:spacing w:after="0" w:line="183" w:lineRule="exact"/>
        <w:rPr>
          <w:rFonts w:ascii="Arial" w:cs="Arial" w:eastAsia="Arial" w:hAnsi="Arial"/>
          <w:sz w:val="18"/>
          <w:szCs w:val="18"/>
          <w:color w:val="131313"/>
        </w:rPr>
      </w:pPr>
    </w:p>
    <w:p>
      <w:pPr>
        <w:ind w:left="1960" w:hanging="656"/>
        <w:spacing w:after="0"/>
        <w:tabs>
          <w:tab w:leader="none" w:pos="1960" w:val="left"/>
        </w:tabs>
        <w:numPr>
          <w:ilvl w:val="1"/>
          <w:numId w:val="41"/>
        </w:numPr>
        <w:rPr>
          <w:rFonts w:ascii="Arial" w:cs="Arial" w:eastAsia="Arial" w:hAnsi="Arial"/>
          <w:sz w:val="18"/>
          <w:szCs w:val="18"/>
          <w:color w:val="131313"/>
        </w:rPr>
      </w:pPr>
      <w:r>
        <w:rPr>
          <w:rFonts w:ascii="Arial" w:cs="Arial" w:eastAsia="Arial" w:hAnsi="Arial"/>
          <w:sz w:val="18"/>
          <w:szCs w:val="18"/>
          <w:color w:val="131313"/>
        </w:rPr>
        <w:t>representing any Hedging Obligations, in each case to the extent not otherwise included in this definition;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and to the extent that any of the foregoing Indebtedness (other than letters of credit and other Hedging Obligations) would appear as a liability upon a balance sheet (excluding the footnotes thereto) of such Person prepared in accordance with GAAP;</w:t>
      </w:r>
    </w:p>
    <w:p>
      <w:pPr>
        <w:spacing w:after="0" w:line="170" w:lineRule="exact"/>
        <w:rPr>
          <w:sz w:val="20"/>
          <w:szCs w:val="20"/>
          <w:color w:val="auto"/>
        </w:rPr>
      </w:pPr>
    </w:p>
    <w:p>
      <w:pPr>
        <w:ind w:right="200" w:firstLine="656"/>
        <w:spacing w:after="0" w:line="286" w:lineRule="auto"/>
        <w:tabs>
          <w:tab w:leader="none" w:pos="1307" w:val="left"/>
        </w:tabs>
        <w:numPr>
          <w:ilvl w:val="0"/>
          <w:numId w:val="42"/>
        </w:numPr>
        <w:rPr>
          <w:rFonts w:ascii="Arial" w:cs="Arial" w:eastAsia="Arial" w:hAnsi="Arial"/>
          <w:sz w:val="17"/>
          <w:szCs w:val="17"/>
          <w:color w:val="121212"/>
        </w:rPr>
      </w:pPr>
      <w:r>
        <w:rPr>
          <w:rFonts w:ascii="Arial" w:cs="Arial" w:eastAsia="Arial" w:hAnsi="Arial"/>
          <w:sz w:val="17"/>
          <w:szCs w:val="17"/>
          <w:color w:val="auto"/>
        </w:rPr>
        <w:t>to the extent not otherwise included, any obligation by such Person to be liable for, or to pay, as obligor, guarantor or otherwise, on the obligations of the type referred to in clause (a) of another Person (whether or not such items would appear upon the balance sheet of such obligor or guarantor), other than by endorsement of negotiable instruments for collection in the ordinary course of business;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7" w:name="page38"/>
    <w:bookmarkEnd w:id="37"/>
    <w:p>
      <w:pPr>
        <w:ind w:right="120" w:firstLine="656"/>
        <w:spacing w:after="0" w:line="259" w:lineRule="auto"/>
        <w:tabs>
          <w:tab w:leader="none" w:pos="1297" w:val="left"/>
        </w:tabs>
        <w:numPr>
          <w:ilvl w:val="0"/>
          <w:numId w:val="43"/>
        </w:numPr>
        <w:rPr>
          <w:rFonts w:ascii="Arial" w:cs="Arial" w:eastAsia="Arial" w:hAnsi="Arial"/>
          <w:sz w:val="18"/>
          <w:szCs w:val="18"/>
          <w:color w:val="121212"/>
        </w:rPr>
      </w:pPr>
      <w:r>
        <w:rPr>
          <w:rFonts w:ascii="Arial" w:cs="Arial" w:eastAsia="Arial" w:hAnsi="Arial"/>
          <w:sz w:val="18"/>
          <w:szCs w:val="18"/>
          <w:color w:val="131313"/>
        </w:rPr>
        <w:t xml:space="preserve">to the extent not otherwise included, the obligations of the type referred to in clause (a) of another Person secured by a Lien on any asset owned by such Person, whether or not such obligations are assumed by such Person and whether or not such obligations would appear upon the balance sheet of such Person; </w:t>
      </w:r>
      <w:r>
        <w:rPr>
          <w:rFonts w:ascii="Arial" w:cs="Arial" w:eastAsia="Arial" w:hAnsi="Arial"/>
          <w:sz w:val="18"/>
          <w:szCs w:val="18"/>
          <w:i w:val="1"/>
          <w:iCs w:val="1"/>
          <w:color w:val="131313"/>
        </w:rPr>
        <w:t>provided</w:t>
      </w:r>
      <w:r>
        <w:rPr>
          <w:rFonts w:ascii="Arial" w:cs="Arial" w:eastAsia="Arial" w:hAnsi="Arial"/>
          <w:sz w:val="18"/>
          <w:szCs w:val="18"/>
          <w:color w:val="131313"/>
        </w:rPr>
        <w:t xml:space="preserve"> that the amount of-such Indebtedness shall be the lesser of the fair market value of such asset at the date of determination and the amount of Indebtedness so secured; and</w:t>
      </w:r>
    </w:p>
    <w:p>
      <w:pPr>
        <w:spacing w:after="0" w:line="186" w:lineRule="exact"/>
        <w:rPr>
          <w:rFonts w:ascii="Arial" w:cs="Arial" w:eastAsia="Arial" w:hAnsi="Arial"/>
          <w:sz w:val="18"/>
          <w:szCs w:val="18"/>
          <w:color w:val="121212"/>
        </w:rPr>
      </w:pPr>
    </w:p>
    <w:p>
      <w:pPr>
        <w:ind w:left="1320" w:hanging="664"/>
        <w:spacing w:after="0"/>
        <w:tabs>
          <w:tab w:leader="none" w:pos="1320" w:val="left"/>
        </w:tabs>
        <w:numPr>
          <w:ilvl w:val="0"/>
          <w:numId w:val="43"/>
        </w:numPr>
        <w:rPr>
          <w:rFonts w:ascii="Arial" w:cs="Arial" w:eastAsia="Arial" w:hAnsi="Arial"/>
          <w:sz w:val="18"/>
          <w:szCs w:val="18"/>
          <w:color w:val="121212"/>
        </w:rPr>
      </w:pPr>
      <w:r>
        <w:rPr>
          <w:rFonts w:ascii="Arial" w:cs="Arial" w:eastAsia="Arial" w:hAnsi="Arial"/>
          <w:sz w:val="18"/>
          <w:szCs w:val="18"/>
          <w:color w:val="131313"/>
        </w:rPr>
        <w:t xml:space="preserve">Attributable Debt </w:t>
      </w:r>
      <w:r>
        <w:rPr>
          <w:rFonts w:ascii="Arial" w:cs="Arial" w:eastAsia="Arial" w:hAnsi="Arial"/>
          <w:sz w:val="18"/>
          <w:szCs w:val="18"/>
          <w:color w:val="000000"/>
        </w:rPr>
        <w:t>in</w:t>
      </w:r>
      <w:r>
        <w:rPr>
          <w:rFonts w:ascii="Arial" w:cs="Arial" w:eastAsia="Arial" w:hAnsi="Arial"/>
          <w:sz w:val="18"/>
          <w:szCs w:val="18"/>
          <w:color w:val="131313"/>
        </w:rPr>
        <w:t xml:space="preserve"> respect of Sale and Lease-Back Transactions;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notwithstanding the foregoing, Indebtedness shall be deemed not to include (A) Contingent Obligations incurred in the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course of business, (B) Obligations under, or in respect of, Receivables Facilities, (C) any operating leases as such an instrument would be determined in accordance with GAAP on the date of this Indenture, (D) in connection with the purchase by the Company or its Restricted Subsidiaries of any business, post-closing payment adjustments to which the seller may become entitled to the extent such payment is determined by a final closing balance sheet or such payment depends on the performance of such business after the closing unless such payments are required under GAAP to appear as a liability on the balance sheet (excluding the footnotes), (E) deferred or prepaid revenues, (F) any Capital Stock other than Disqualified Stock, (G) purchase price hold-backs in respect of a portion of the purchase price of an asset to satisfy warranty or other unperformed obligations of the respective seller. (H) any contingent obligations in respect of workers’ compensation claims, early retirement or termination obligations, pension fund obligations or contributions or similar claims, obligations or social security or wage taxes, or (I) liabilities in respect of obligations (other than in connection with the borrowing of money) related to standby letters of credit, performance guarantees, warranty guarantees, advanced payment guarantees, bid guarantees or bonds or surety bonds provided by or at the request of the Company or any Restricted Subsidiary in the ordinary course of business (whether or not secured) to the extent such letters of credit, guarantees or bonds are not drawn upon or, if and to the extent drawn upon are honored in accordance with their terms and if, to be reimbursed, are reimbursed no later than 30 days following receipt by such Person of a demand for reimbursement following payment on the letter of credit, guarantee or bond; provided that if such amounts due are not reimbursed on or prior to 30 days following receipt by such Person of a demand for reimbursement, then such amounts due shall become Indebtedness incurred on the date such amounts became due.</w:t>
      </w:r>
    </w:p>
    <w:p>
      <w:pPr>
        <w:spacing w:after="0" w:line="16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instrument as originally executed and as it may from time to time be supplemented or amended by one or more indentures supplemental hereto entered into pursuant to the applicable provisions hereof.</w:t>
      </w:r>
    </w:p>
    <w:p>
      <w:pPr>
        <w:spacing w:after="0" w:line="170"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121212"/>
        </w:rPr>
        <w:t>Indenture Obligations</w:t>
      </w:r>
      <w:r>
        <w:rPr>
          <w:rFonts w:ascii="Arial" w:cs="Arial" w:eastAsia="Arial" w:hAnsi="Arial"/>
          <w:sz w:val="16"/>
          <w:szCs w:val="16"/>
          <w:color w:val="121212"/>
        </w:rPr>
        <w:t xml:space="preserve">” means the Obligations of </w:t>
      </w:r>
      <w:r>
        <w:rPr>
          <w:rFonts w:ascii="Arial" w:cs="Arial" w:eastAsia="Arial" w:hAnsi="Arial"/>
          <w:sz w:val="16"/>
          <w:szCs w:val="16"/>
          <w:color w:val="000000"/>
        </w:rPr>
        <w:t>the</w:t>
      </w:r>
      <w:r>
        <w:rPr>
          <w:rFonts w:ascii="Arial" w:cs="Arial" w:eastAsia="Arial" w:hAnsi="Arial"/>
          <w:sz w:val="16"/>
          <w:szCs w:val="16"/>
          <w:color w:val="121212"/>
        </w:rPr>
        <w:t xml:space="preserve"> Company and any other obligor under this Indenture or under the Notes, including any Guarantor, to pay principal of, premium, if any, and interest when due and payable (including, to the extent legally permitted, all interest accrued thereon after the commencement of any insolvency or liquidation proceeding at the rate, including any applicable post-default rate, specified in the applicable agreement whether or not a claim for post-petition interest is allowed in such proceeding), and all other amounts due or to become due under or in connection with this Indenture, the Notes, the Guarantees and the Security Documents and the performance of all other obligations to the Trustee, the Collateral Trustee and the Holders under this Indenture, the Notes, the Guarantees and the Security Documents, according to the respective terms thereof.</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right="20" w:firstLine="648"/>
        <w:spacing w:after="0" w:line="263"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Independent Financial Advisor</w:t>
      </w:r>
      <w:r>
        <w:rPr>
          <w:rFonts w:ascii="Arial" w:cs="Arial" w:eastAsia="Arial" w:hAnsi="Arial"/>
          <w:sz w:val="18"/>
          <w:szCs w:val="18"/>
          <w:color w:val="121212"/>
        </w:rPr>
        <w:t xml:space="preserve">” means an accounting, appraisal, investment banking firm or consultant to Persons engaged </w:t>
      </w:r>
      <w:r>
        <w:rPr>
          <w:rFonts w:ascii="Arial" w:cs="Arial" w:eastAsia="Arial" w:hAnsi="Arial"/>
          <w:sz w:val="18"/>
          <w:szCs w:val="18"/>
          <w:color w:val="000000"/>
        </w:rPr>
        <w:t>in</w:t>
      </w:r>
      <w:r>
        <w:rPr>
          <w:rFonts w:ascii="Arial" w:cs="Arial" w:eastAsia="Arial" w:hAnsi="Arial"/>
          <w:sz w:val="18"/>
          <w:szCs w:val="18"/>
          <w:color w:val="121212"/>
        </w:rPr>
        <w:t xml:space="preserve"> Similar Businesses of nationally recognized standing that is, in the good faith judgment of the Company, qualified to perform the task for which it has been engaged and that is independent of the Company and its Affiliates.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Initial Notes</w:t>
      </w:r>
      <w:r>
        <w:rPr>
          <w:rFonts w:ascii="Arial" w:cs="Arial" w:eastAsia="Arial" w:hAnsi="Arial"/>
          <w:sz w:val="18"/>
          <w:szCs w:val="18"/>
          <w:color w:val="121212"/>
        </w:rPr>
        <w:t xml:space="preserve">” has the meaning stated </w:t>
      </w:r>
      <w:r>
        <w:rPr>
          <w:rFonts w:ascii="Arial" w:cs="Arial" w:eastAsia="Arial" w:hAnsi="Arial"/>
          <w:sz w:val="18"/>
          <w:szCs w:val="18"/>
          <w:color w:val="000000"/>
        </w:rPr>
        <w:t>in</w:t>
      </w:r>
      <w:r>
        <w:rPr>
          <w:rFonts w:ascii="Arial" w:cs="Arial" w:eastAsia="Arial" w:hAnsi="Arial"/>
          <w:sz w:val="18"/>
          <w:szCs w:val="18"/>
          <w:color w:val="121212"/>
        </w:rPr>
        <w:t xml:space="preserve"> the first recital of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Initial Purchasers</w:t>
      </w:r>
      <w:r>
        <w:rPr>
          <w:rFonts w:ascii="Arial" w:cs="Arial" w:eastAsia="Arial" w:hAnsi="Arial"/>
          <w:sz w:val="18"/>
          <w:szCs w:val="18"/>
          <w:color w:val="121212"/>
        </w:rPr>
        <w:t xml:space="preserve">” has the meaning specified </w:t>
      </w:r>
      <w:r>
        <w:rPr>
          <w:rFonts w:ascii="Arial" w:cs="Arial" w:eastAsia="Arial" w:hAnsi="Arial"/>
          <w:sz w:val="18"/>
          <w:szCs w:val="18"/>
          <w:color w:val="000000"/>
        </w:rPr>
        <w:t>in</w:t>
      </w:r>
      <w:r>
        <w:rPr>
          <w:rFonts w:ascii="Arial" w:cs="Arial" w:eastAsia="Arial" w:hAnsi="Arial"/>
          <w:sz w:val="18"/>
          <w:szCs w:val="18"/>
          <w:color w:val="121212"/>
        </w:rPr>
        <w:t xml:space="preserve"> the Appendix.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000000"/>
        </w:rPr>
        <w:t>Instrument</w:t>
      </w:r>
      <w:r>
        <w:rPr>
          <w:rFonts w:ascii="Arial" w:cs="Arial" w:eastAsia="Arial" w:hAnsi="Arial"/>
          <w:sz w:val="16"/>
          <w:szCs w:val="16"/>
          <w:color w:val="121212"/>
        </w:rPr>
        <w:t>” has the meaning specified in the UCC, and if defined in more than one Article of the UCC, the meaning given in Article 9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000000"/>
        </w:rPr>
        <w:t>Insolvency or Liquidation Proceeding</w:t>
      </w:r>
      <w:r>
        <w:rPr>
          <w:rFonts w:ascii="Arial" w:cs="Arial" w:eastAsia="Arial" w:hAnsi="Arial"/>
          <w:sz w:val="18"/>
          <w:szCs w:val="18"/>
          <w:color w:val="121212"/>
        </w:rPr>
        <w:t>” means:</w:t>
      </w:r>
    </w:p>
    <w:p>
      <w:pPr>
        <w:spacing w:after="0" w:line="225" w:lineRule="exact"/>
        <w:rPr>
          <w:sz w:val="20"/>
          <w:szCs w:val="20"/>
          <w:color w:val="auto"/>
        </w:rPr>
      </w:pPr>
    </w:p>
    <w:p>
      <w:pPr>
        <w:ind w:firstLine="656"/>
        <w:spacing w:after="0" w:line="259" w:lineRule="auto"/>
        <w:tabs>
          <w:tab w:leader="none" w:pos="903" w:val="left"/>
        </w:tabs>
        <w:numPr>
          <w:ilvl w:val="0"/>
          <w:numId w:val="44"/>
        </w:numPr>
        <w:rPr>
          <w:rFonts w:ascii="Arial" w:cs="Arial" w:eastAsia="Arial" w:hAnsi="Arial"/>
          <w:sz w:val="18"/>
          <w:szCs w:val="18"/>
          <w:color w:val="121212"/>
        </w:rPr>
      </w:pPr>
      <w:r>
        <w:rPr>
          <w:rFonts w:ascii="Arial" w:cs="Arial" w:eastAsia="Arial" w:hAnsi="Arial"/>
          <w:sz w:val="18"/>
          <w:szCs w:val="18"/>
          <w:color w:val="121212"/>
        </w:rPr>
        <w:t>any case commenced by or against any Grantor under Title 11, U.S. Code or any similar federal or state law for the relief of debtors, any other proceeding for the reorganization, recapitalization or adjustment or marshalling of the assets or liabilities of any Grantor, any receivership or assignment for the benefit of creditors relating to any Grantor or any similar case or proceeding relative to any Grantor or its creditors, as such, in each case whether or not voluntary;</w:t>
      </w:r>
    </w:p>
    <w:p>
      <w:pPr>
        <w:spacing w:after="0" w:line="186" w:lineRule="exact"/>
        <w:rPr>
          <w:rFonts w:ascii="Arial" w:cs="Arial" w:eastAsia="Arial" w:hAnsi="Arial"/>
          <w:sz w:val="18"/>
          <w:szCs w:val="18"/>
          <w:color w:val="121212"/>
        </w:rPr>
      </w:pPr>
    </w:p>
    <w:p>
      <w:pPr>
        <w:ind w:right="260" w:firstLine="656"/>
        <w:spacing w:after="0" w:line="277" w:lineRule="auto"/>
        <w:tabs>
          <w:tab w:leader="none" w:pos="903" w:val="left"/>
        </w:tabs>
        <w:numPr>
          <w:ilvl w:val="0"/>
          <w:numId w:val="44"/>
        </w:numPr>
        <w:rPr>
          <w:rFonts w:ascii="Arial" w:cs="Arial" w:eastAsia="Arial" w:hAnsi="Arial"/>
          <w:sz w:val="18"/>
          <w:szCs w:val="18"/>
          <w:color w:val="121212"/>
        </w:rPr>
      </w:pPr>
      <w:r>
        <w:rPr>
          <w:rFonts w:ascii="Arial" w:cs="Arial" w:eastAsia="Arial" w:hAnsi="Arial"/>
          <w:sz w:val="18"/>
          <w:szCs w:val="18"/>
          <w:color w:val="121212"/>
        </w:rPr>
        <w:t>any liquidation, dissolution, marshalling of assets or liabilities or other winding up of or relating to any Grantor, in each case whether or not voluntary and whether or not involving bankruptcy or insolvency; or</w:t>
      </w:r>
    </w:p>
    <w:p>
      <w:pPr>
        <w:spacing w:after="0" w:line="170" w:lineRule="exact"/>
        <w:rPr>
          <w:rFonts w:ascii="Arial" w:cs="Arial" w:eastAsia="Arial" w:hAnsi="Arial"/>
          <w:sz w:val="18"/>
          <w:szCs w:val="18"/>
          <w:color w:val="121212"/>
        </w:rPr>
      </w:pPr>
    </w:p>
    <w:p>
      <w:pPr>
        <w:ind w:right="340" w:firstLine="656"/>
        <w:spacing w:after="0" w:line="277" w:lineRule="auto"/>
        <w:tabs>
          <w:tab w:leader="none" w:pos="903" w:val="left"/>
        </w:tabs>
        <w:numPr>
          <w:ilvl w:val="0"/>
          <w:numId w:val="44"/>
        </w:numPr>
        <w:rPr>
          <w:rFonts w:ascii="Arial" w:cs="Arial" w:eastAsia="Arial" w:hAnsi="Arial"/>
          <w:sz w:val="18"/>
          <w:szCs w:val="18"/>
          <w:color w:val="121212"/>
        </w:rPr>
      </w:pPr>
      <w:r>
        <w:rPr>
          <w:rFonts w:ascii="Arial" w:cs="Arial" w:eastAsia="Arial" w:hAnsi="Arial"/>
          <w:sz w:val="18"/>
          <w:szCs w:val="18"/>
          <w:color w:val="121212"/>
        </w:rPr>
        <w:t>any other proceeding of any type or nature in which substantially all claims of creditors of any Grantor are determined and any payment or distribution is or may be made on account of such claims.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000000"/>
        </w:rPr>
        <w:t>Intellectual Property</w:t>
      </w:r>
      <w:r>
        <w:rPr>
          <w:rFonts w:ascii="Arial" w:cs="Arial" w:eastAsia="Arial" w:hAnsi="Arial"/>
          <w:sz w:val="18"/>
          <w:szCs w:val="18"/>
          <w:color w:val="121212"/>
        </w:rPr>
        <w:t>” means all intellectual property of a Person including (a) inventions, designs, patents, patent applications, copyrights, trademarks, service marks, trade names, trade secrets, confidential or proprietary information, customer lists, know-how, software, and databases; (b) all embodiments or fixations thereof and all related documentation, applications, registrations, and franchises; (c) all licenses or other rights to use any of the foregoing; and (d) all books and records relating to the foregoing.</w:t>
      </w:r>
    </w:p>
    <w:p>
      <w:pPr>
        <w:spacing w:after="0" w:line="187"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121212"/>
        </w:rPr>
        <w:t>“</w:t>
      </w:r>
      <w:r>
        <w:rPr>
          <w:rFonts w:ascii="Arial" w:cs="Arial" w:eastAsia="Arial" w:hAnsi="Arial"/>
          <w:sz w:val="17"/>
          <w:szCs w:val="17"/>
          <w:i w:val="1"/>
          <w:iCs w:val="1"/>
          <w:color w:val="000000"/>
        </w:rPr>
        <w:t>Intercompany Loan</w:t>
      </w:r>
      <w:r>
        <w:rPr>
          <w:rFonts w:ascii="Arial" w:cs="Arial" w:eastAsia="Arial" w:hAnsi="Arial"/>
          <w:sz w:val="17"/>
          <w:szCs w:val="17"/>
          <w:color w:val="121212"/>
        </w:rPr>
        <w:t>” shall mean a debt owed at any time to a Grantor by a Grantor or any affiliate of a Grantor, whether resulting from an extension of credit or otherwise, whether secured or unsecured, and irrespective of the currency in which such debt is owed.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right="480" w:firstLine="648"/>
        <w:spacing w:after="0" w:line="342" w:lineRule="auto"/>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121212"/>
        </w:rPr>
        <w:t>Intercreditor Agreement</w:t>
      </w:r>
      <w:r>
        <w:rPr>
          <w:rFonts w:ascii="Arial" w:cs="Arial" w:eastAsia="Arial" w:hAnsi="Arial"/>
          <w:sz w:val="16"/>
          <w:szCs w:val="16"/>
          <w:color w:val="121212"/>
        </w:rPr>
        <w:t xml:space="preserve">” means that certain Lien Subordination and Intercreditor Agreement, </w:t>
      </w:r>
      <w:r>
        <w:rPr>
          <w:rFonts w:ascii="Arial" w:cs="Arial" w:eastAsia="Arial" w:hAnsi="Arial"/>
          <w:sz w:val="16"/>
          <w:szCs w:val="16"/>
          <w:color w:val="000000"/>
        </w:rPr>
        <w:t>dated</w:t>
      </w:r>
      <w:r>
        <w:rPr>
          <w:rFonts w:ascii="Arial" w:cs="Arial" w:eastAsia="Arial" w:hAnsi="Arial"/>
          <w:sz w:val="16"/>
          <w:szCs w:val="16"/>
          <w:color w:val="121212"/>
        </w:rPr>
        <w:t xml:space="preserve"> as of the Issue Date, by and among the Collateral Trustee, JPMorgan Chase, N.A., as ABL Administrative Agent, the Company and the Guarantors, as it may be amended from time to time.</w:t>
      </w:r>
    </w:p>
    <w:p>
      <w:pPr>
        <w:spacing w:after="0" w:line="12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Interest Payment Date</w:t>
      </w:r>
      <w:r>
        <w:rPr>
          <w:rFonts w:ascii="Arial" w:cs="Arial" w:eastAsia="Arial" w:hAnsi="Arial"/>
          <w:sz w:val="18"/>
          <w:szCs w:val="18"/>
          <w:color w:val="121212"/>
        </w:rPr>
        <w:t>” means the Stated Maturity of an installment of interest on the Notes. The first Interest Payment Date with respect to Notes issued on the Issue Date shall be January 15,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Investment Grade Rating</w:t>
      </w:r>
      <w:r>
        <w:rPr>
          <w:rFonts w:ascii="Arial" w:cs="Arial" w:eastAsia="Arial" w:hAnsi="Arial"/>
          <w:sz w:val="18"/>
          <w:szCs w:val="18"/>
          <w:color w:val="121212"/>
        </w:rPr>
        <w:t>” has the meaning specified in Section 10.19.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Investment Grade Securities</w:t>
      </w:r>
      <w:r>
        <w:rPr>
          <w:rFonts w:ascii="Arial" w:cs="Arial" w:eastAsia="Arial" w:hAnsi="Arial"/>
          <w:sz w:val="18"/>
          <w:szCs w:val="18"/>
          <w:color w:val="121212"/>
        </w:rPr>
        <w:t>” means:</w:t>
      </w:r>
    </w:p>
    <w:p>
      <w:pPr>
        <w:spacing w:after="0" w:line="225" w:lineRule="exact"/>
        <w:rPr>
          <w:sz w:val="20"/>
          <w:szCs w:val="20"/>
          <w:color w:val="auto"/>
        </w:rPr>
      </w:pPr>
    </w:p>
    <w:p>
      <w:pPr>
        <w:ind w:right="700" w:firstLine="656"/>
        <w:spacing w:after="0" w:line="277" w:lineRule="auto"/>
        <w:tabs>
          <w:tab w:leader="none" w:pos="13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United States of America or any agency or instrumentality thereof (other than Cash Equivalents);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307" w:val="left"/>
        </w:tabs>
        <w:numPr>
          <w:ilvl w:val="0"/>
          <w:numId w:val="45"/>
        </w:numPr>
        <w:rPr>
          <w:rFonts w:ascii="Arial" w:cs="Arial" w:eastAsia="Arial" w:hAnsi="Arial"/>
          <w:sz w:val="17"/>
          <w:szCs w:val="17"/>
          <w:color w:val="131313"/>
        </w:rPr>
      </w:pPr>
      <w:r>
        <w:rPr>
          <w:rFonts w:ascii="Arial" w:cs="Arial" w:eastAsia="Arial" w:hAnsi="Arial"/>
          <w:sz w:val="17"/>
          <w:szCs w:val="17"/>
          <w:color w:val="131313"/>
        </w:rPr>
        <w:t xml:space="preserve">debt securities or debt instruments with a rating of BBB- or higher by S&amp;P or Baa3 or higher by Moody’s or </w:t>
      </w:r>
      <w:r>
        <w:rPr>
          <w:rFonts w:ascii="Arial" w:cs="Arial" w:eastAsia="Arial" w:hAnsi="Arial"/>
          <w:sz w:val="17"/>
          <w:szCs w:val="17"/>
          <w:color w:val="000000"/>
        </w:rPr>
        <w:t>the</w:t>
      </w:r>
      <w:r>
        <w:rPr>
          <w:rFonts w:ascii="Arial" w:cs="Arial" w:eastAsia="Arial" w:hAnsi="Arial"/>
          <w:sz w:val="17"/>
          <w:szCs w:val="17"/>
          <w:color w:val="131313"/>
        </w:rPr>
        <w:t xml:space="preserve"> equivalent of such rating by such rating organization, or, if no rating of S&amp;P or Moody’s then exists, the equivalent of such rating by any other nationally recognized securities rating agency, but excluding any debt securities or instruments constituting loans or advances among the Company and its Subsidiaries;</w:t>
      </w:r>
    </w:p>
    <w:p>
      <w:pPr>
        <w:spacing w:after="0" w:line="165" w:lineRule="exact"/>
        <w:rPr>
          <w:rFonts w:ascii="Arial" w:cs="Arial" w:eastAsia="Arial" w:hAnsi="Arial"/>
          <w:sz w:val="17"/>
          <w:szCs w:val="17"/>
          <w:color w:val="131313"/>
        </w:rPr>
      </w:pPr>
    </w:p>
    <w:p>
      <w:pPr>
        <w:ind w:right="420" w:firstLine="656"/>
        <w:spacing w:after="0" w:line="277" w:lineRule="auto"/>
        <w:tabs>
          <w:tab w:leader="none" w:pos="1307" w:val="left"/>
        </w:tabs>
        <w:numPr>
          <w:ilvl w:val="0"/>
          <w:numId w:val="45"/>
        </w:numPr>
        <w:rPr>
          <w:rFonts w:ascii="Arial" w:cs="Arial" w:eastAsia="Arial" w:hAnsi="Arial"/>
          <w:sz w:val="18"/>
          <w:szCs w:val="18"/>
          <w:color w:val="131313"/>
        </w:rPr>
      </w:pPr>
      <w:r>
        <w:rPr>
          <w:rFonts w:ascii="Arial" w:cs="Arial" w:eastAsia="Arial" w:hAnsi="Arial"/>
          <w:sz w:val="18"/>
          <w:szCs w:val="18"/>
          <w:color w:val="131313"/>
        </w:rPr>
        <w:t>investments in any fund that invests exclusively in investments of the type set forth in clauses (1) and (2), which fund may also hold immaterial amounts of cash pending investment or distribution; and</w:t>
      </w:r>
    </w:p>
    <w:p>
      <w:pPr>
        <w:spacing w:after="0" w:line="170" w:lineRule="exact"/>
        <w:rPr>
          <w:rFonts w:ascii="Arial" w:cs="Arial" w:eastAsia="Arial" w:hAnsi="Arial"/>
          <w:sz w:val="18"/>
          <w:szCs w:val="18"/>
          <w:color w:val="131313"/>
        </w:rPr>
      </w:pPr>
    </w:p>
    <w:p>
      <w:pPr>
        <w:ind w:left="1320" w:hanging="664"/>
        <w:spacing w:after="0"/>
        <w:tabs>
          <w:tab w:leader="none" w:pos="1320" w:val="left"/>
        </w:tabs>
        <w:numPr>
          <w:ilvl w:val="0"/>
          <w:numId w:val="45"/>
        </w:numPr>
        <w:rPr>
          <w:rFonts w:ascii="Arial" w:cs="Arial" w:eastAsia="Arial" w:hAnsi="Arial"/>
          <w:sz w:val="17"/>
          <w:szCs w:val="17"/>
          <w:color w:val="131313"/>
        </w:rPr>
      </w:pPr>
      <w:r>
        <w:rPr>
          <w:rFonts w:ascii="Arial" w:cs="Arial" w:eastAsia="Arial" w:hAnsi="Arial"/>
          <w:sz w:val="17"/>
          <w:szCs w:val="17"/>
          <w:color w:val="131313"/>
        </w:rPr>
        <w:t>corresponding instruments in countries other than the United States of America customarily utilized for high quality investments.</w:t>
      </w:r>
    </w:p>
    <w:p>
      <w:pPr>
        <w:spacing w:after="0" w:line="23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131313"/>
        </w:rPr>
        <w:t>“</w:t>
      </w:r>
      <w:r>
        <w:rPr>
          <w:rFonts w:ascii="Arial" w:cs="Arial" w:eastAsia="Arial" w:hAnsi="Arial"/>
          <w:sz w:val="17"/>
          <w:szCs w:val="17"/>
          <w:i w:val="1"/>
          <w:iCs w:val="1"/>
          <w:color w:val="131313"/>
        </w:rPr>
        <w:t>Investments</w:t>
      </w:r>
      <w:r>
        <w:rPr>
          <w:rFonts w:ascii="Arial" w:cs="Arial" w:eastAsia="Arial" w:hAnsi="Arial"/>
          <w:sz w:val="17"/>
          <w:szCs w:val="17"/>
          <w:color w:val="131313"/>
        </w:rPr>
        <w:t xml:space="preserve">” means, with respect to any Person, all investments by such Person in other Persons (including Affiliates) in the form of loans (including guarantees), advances or capital contributions (including by means of any transfer of cash or other property to others or any payment for property or services for the account or use of others, but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such Person in the same manner as </w:t>
      </w:r>
      <w:r>
        <w:rPr>
          <w:rFonts w:ascii="Arial" w:cs="Arial" w:eastAsia="Arial" w:hAnsi="Arial"/>
          <w:sz w:val="17"/>
          <w:szCs w:val="17"/>
          <w:color w:val="000000"/>
        </w:rPr>
        <w:t>the</w:t>
      </w:r>
      <w:r>
        <w:rPr>
          <w:rFonts w:ascii="Arial" w:cs="Arial" w:eastAsia="Arial" w:hAnsi="Arial"/>
          <w:sz w:val="17"/>
          <w:szCs w:val="17"/>
          <w:color w:val="131313"/>
        </w:rPr>
        <w:t xml:space="preserve"> other investments included </w:t>
      </w:r>
      <w:r>
        <w:rPr>
          <w:rFonts w:ascii="Arial" w:cs="Arial" w:eastAsia="Arial" w:hAnsi="Arial"/>
          <w:sz w:val="17"/>
          <w:szCs w:val="17"/>
          <w:color w:val="000000"/>
        </w:rPr>
        <w:t>in</w:t>
      </w:r>
      <w:r>
        <w:rPr>
          <w:rFonts w:ascii="Arial" w:cs="Arial" w:eastAsia="Arial" w:hAnsi="Arial"/>
          <w:sz w:val="17"/>
          <w:szCs w:val="17"/>
          <w:color w:val="131313"/>
        </w:rPr>
        <w:t xml:space="preserve"> this definition to the extent such transactions involve the transfer of cash or other property. For purposes of the definition of “Unrestricted Subsidiary” and Section 10.08:</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firstLine="656"/>
        <w:spacing w:after="0" w:line="259" w:lineRule="auto"/>
        <w:tabs>
          <w:tab w:leader="none" w:pos="1307" w:val="left"/>
        </w:tabs>
        <w:numPr>
          <w:ilvl w:val="0"/>
          <w:numId w:val="46"/>
        </w:numPr>
        <w:rPr>
          <w:rFonts w:ascii="Arial" w:cs="Arial" w:eastAsia="Arial" w:hAnsi="Arial"/>
          <w:sz w:val="18"/>
          <w:szCs w:val="18"/>
          <w:color w:val="131313"/>
        </w:rPr>
      </w:pPr>
      <w:r>
        <w:rPr>
          <w:rFonts w:ascii="Arial" w:cs="Arial" w:eastAsia="Arial" w:hAnsi="Arial"/>
          <w:sz w:val="18"/>
          <w:szCs w:val="18"/>
          <w:color w:val="131313"/>
        </w:rPr>
        <w:t xml:space="preserve">“Investments” shall include the portion (proportionate to the Company’s equity interest in such Subsidiary) of the fair market value of the net assets of a Subsidiary of the Company at the time that such Subsidiary is designated an Unrestricted Subsidiary; </w:t>
      </w:r>
      <w:r>
        <w:rPr>
          <w:rFonts w:ascii="Arial" w:cs="Arial" w:eastAsia="Arial" w:hAnsi="Arial"/>
          <w:sz w:val="18"/>
          <w:szCs w:val="18"/>
          <w:i w:val="1"/>
          <w:iCs w:val="1"/>
          <w:color w:val="131313"/>
        </w:rPr>
        <w:t>provided</w:t>
      </w:r>
      <w:r>
        <w:rPr>
          <w:rFonts w:ascii="Arial" w:cs="Arial" w:eastAsia="Arial" w:hAnsi="Arial"/>
          <w:sz w:val="18"/>
          <w:szCs w:val="18"/>
          <w:color w:val="131313"/>
        </w:rPr>
        <w:t xml:space="preserve"> that upon a redesignation of such Subsidiary as a Restricted Subsidiary, the Company shall be deemed to continue to have a permanent “Investment” in an Unrestricted Subsidiary </w:t>
      </w:r>
      <w:r>
        <w:rPr>
          <w:rFonts w:ascii="Arial" w:cs="Arial" w:eastAsia="Arial" w:hAnsi="Arial"/>
          <w:sz w:val="18"/>
          <w:szCs w:val="18"/>
          <w:color w:val="000000"/>
        </w:rPr>
        <w:t>in an</w:t>
      </w:r>
      <w:r>
        <w:rPr>
          <w:rFonts w:ascii="Arial" w:cs="Arial" w:eastAsia="Arial" w:hAnsi="Arial"/>
          <w:sz w:val="18"/>
          <w:szCs w:val="18"/>
          <w:color w:val="131313"/>
        </w:rPr>
        <w:t xml:space="preserve"> amount (if positive) equal to:</w:t>
      </w:r>
    </w:p>
    <w:p>
      <w:pPr>
        <w:spacing w:after="0" w:line="186" w:lineRule="exact"/>
        <w:rPr>
          <w:rFonts w:ascii="Arial" w:cs="Arial" w:eastAsia="Arial" w:hAnsi="Arial"/>
          <w:sz w:val="18"/>
          <w:szCs w:val="18"/>
          <w:color w:val="131313"/>
        </w:rPr>
      </w:pPr>
    </w:p>
    <w:p>
      <w:pPr>
        <w:ind w:left="1960" w:hanging="656"/>
        <w:spacing w:after="0"/>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Company’s “Investment” in such Subsidiary at the time of such redesignation; </w:t>
      </w:r>
      <w:r>
        <w:rPr>
          <w:rFonts w:ascii="Arial" w:cs="Arial" w:eastAsia="Arial" w:hAnsi="Arial"/>
          <w:sz w:val="18"/>
          <w:szCs w:val="18"/>
          <w:i w:val="1"/>
          <w:iCs w:val="1"/>
          <w:color w:val="auto"/>
        </w:rPr>
        <w:t>less</w:t>
      </w:r>
    </w:p>
    <w:p>
      <w:pPr>
        <w:spacing w:after="0" w:line="225" w:lineRule="exact"/>
        <w:rPr>
          <w:rFonts w:ascii="Arial" w:cs="Arial" w:eastAsia="Arial" w:hAnsi="Arial"/>
          <w:sz w:val="18"/>
          <w:szCs w:val="18"/>
          <w:color w:val="auto"/>
        </w:rPr>
      </w:pPr>
    </w:p>
    <w:p>
      <w:pPr>
        <w:ind w:left="660" w:right="80" w:firstLine="644"/>
        <w:spacing w:after="0" w:line="277" w:lineRule="auto"/>
        <w:tabs>
          <w:tab w:leader="none" w:pos="1967" w:val="left"/>
        </w:tabs>
        <w:numPr>
          <w:ilvl w:val="1"/>
          <w:numId w:val="46"/>
        </w:numPr>
        <w:rPr>
          <w:rFonts w:ascii="Arial" w:cs="Arial" w:eastAsia="Arial" w:hAnsi="Arial"/>
          <w:sz w:val="18"/>
          <w:szCs w:val="18"/>
          <w:color w:val="131313"/>
        </w:rPr>
      </w:pPr>
      <w:r>
        <w:rPr>
          <w:rFonts w:ascii="Arial" w:cs="Arial" w:eastAsia="Arial" w:hAnsi="Arial"/>
          <w:sz w:val="18"/>
          <w:szCs w:val="18"/>
          <w:color w:val="131313"/>
        </w:rPr>
        <w:t>the portion (proportionate to the Company’s equity interest in such Subsidiary) of the fair market value of the net assets of such Subsidiary at the time of such redesignation; and</w:t>
      </w:r>
    </w:p>
    <w:p>
      <w:pPr>
        <w:spacing w:after="0" w:line="170" w:lineRule="exact"/>
        <w:rPr>
          <w:rFonts w:ascii="Arial" w:cs="Arial" w:eastAsia="Arial" w:hAnsi="Arial"/>
          <w:sz w:val="18"/>
          <w:szCs w:val="18"/>
          <w:color w:val="131313"/>
        </w:rPr>
      </w:pPr>
    </w:p>
    <w:p>
      <w:pPr>
        <w:ind w:right="80" w:firstLine="656"/>
        <w:spacing w:after="0" w:line="277" w:lineRule="auto"/>
        <w:tabs>
          <w:tab w:leader="none" w:pos="13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property transferred to or from an Unrestricted Subsidiary shall be valued at its fair market value at the time of such transfer, in each case as determined in good faith by the Company.</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131313"/>
        </w:rPr>
        <w:t xml:space="preserve">The amount of any Investment outstanding at any time shall be the original amount of such Investment, reduced by any dividend, distribution, interest payment, return of capital, </w:t>
      </w:r>
      <w:r>
        <w:rPr>
          <w:rFonts w:ascii="Arial" w:cs="Arial" w:eastAsia="Arial" w:hAnsi="Arial"/>
          <w:sz w:val="16"/>
          <w:szCs w:val="16"/>
          <w:color w:val="121212"/>
        </w:rPr>
        <w:t>repayment or other amount received by the Company or a Restricted Subsidiary in respect of such Investment.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Issue Date</w:t>
      </w:r>
      <w:r>
        <w:rPr>
          <w:rFonts w:ascii="Arial" w:cs="Arial" w:eastAsia="Arial" w:hAnsi="Arial"/>
          <w:sz w:val="18"/>
          <w:szCs w:val="18"/>
          <w:color w:val="121212"/>
        </w:rPr>
        <w:t>” means July 8, 2020.</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Junior Obligations</w:t>
      </w:r>
      <w:r>
        <w:rPr>
          <w:rFonts w:ascii="Arial" w:cs="Arial" w:eastAsia="Arial" w:hAnsi="Arial"/>
          <w:sz w:val="18"/>
          <w:szCs w:val="18"/>
          <w:color w:val="121212"/>
        </w:rPr>
        <w:t>” will mean (a) with respect to any Priority ABL Collateral, all Fixed Asset Obligations and (b) with respect to any Priority Fixed Asset Collateral, all Permitted ABL Obligations.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Junior Representative</w:t>
      </w:r>
      <w:r>
        <w:rPr>
          <w:rFonts w:ascii="Arial" w:cs="Arial" w:eastAsia="Arial" w:hAnsi="Arial"/>
          <w:sz w:val="18"/>
          <w:szCs w:val="18"/>
          <w:color w:val="121212"/>
        </w:rPr>
        <w:t>” will mean (a) with respect to any Permitted ABL Obligations or any Priority ABL Collateral, the Collateral Trustee and (b) with respect to any Fixed Asset Obligations or any Priority Fixed Asset Collateral, the ABL Administrative Agent.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Junior Secured Parties</w:t>
      </w:r>
      <w:r>
        <w:rPr>
          <w:rFonts w:ascii="Arial" w:cs="Arial" w:eastAsia="Arial" w:hAnsi="Arial"/>
          <w:sz w:val="18"/>
          <w:szCs w:val="18"/>
          <w:color w:val="121212"/>
        </w:rPr>
        <w:t>” will mean (a) with respect to the Priority ABL Collateral, all Permitted Notes Secured Parties and (b) with respect to the Priority Fixed Asset Collateral, all ABL Secured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Legal Defeasance</w:t>
      </w:r>
      <w:r>
        <w:rPr>
          <w:rFonts w:ascii="Arial" w:cs="Arial" w:eastAsia="Arial" w:hAnsi="Arial"/>
          <w:sz w:val="18"/>
          <w:szCs w:val="18"/>
          <w:color w:val="121212"/>
        </w:rPr>
        <w:t>” has the meaning specified in Section 13.02.</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Legal Holiday</w:t>
      </w:r>
      <w:r>
        <w:rPr>
          <w:rFonts w:ascii="Arial" w:cs="Arial" w:eastAsia="Arial" w:hAnsi="Arial"/>
          <w:sz w:val="18"/>
          <w:szCs w:val="18"/>
          <w:color w:val="121212"/>
        </w:rPr>
        <w:t xml:space="preserve">” means a Saturday, a Sunday or a day on which banking institutions are not required to be open </w:t>
      </w:r>
      <w:r>
        <w:rPr>
          <w:rFonts w:ascii="Arial" w:cs="Arial" w:eastAsia="Arial" w:hAnsi="Arial"/>
          <w:sz w:val="18"/>
          <w:szCs w:val="18"/>
          <w:color w:val="000000"/>
        </w:rPr>
        <w:t>in</w:t>
      </w:r>
      <w:r>
        <w:rPr>
          <w:rFonts w:ascii="Arial" w:cs="Arial" w:eastAsia="Arial" w:hAnsi="Arial"/>
          <w:sz w:val="18"/>
          <w:szCs w:val="18"/>
          <w:color w:val="121212"/>
        </w:rPr>
        <w:t xml:space="preserve"> the State of New York, or with respect to payments on the Notes, in the place of payment.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000000"/>
        </w:rPr>
        <w:t>Letter-of-Credit Right</w:t>
      </w:r>
      <w:r>
        <w:rPr>
          <w:rFonts w:ascii="Arial" w:cs="Arial" w:eastAsia="Arial" w:hAnsi="Arial"/>
          <w:sz w:val="16"/>
          <w:szCs w:val="16"/>
          <w:color w:val="121212"/>
        </w:rPr>
        <w:t>” has the meaning specified in the UCC, and if defined in more than one Article of the UCC, the meaning given in Article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121212"/>
        </w:rPr>
        <w:t>thereof.</w:t>
      </w:r>
    </w:p>
    <w:p>
      <w:pPr>
        <w:spacing w:after="0" w:line="21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121212"/>
        </w:rPr>
        <w:t>Lien</w:t>
      </w:r>
      <w:r>
        <w:rPr>
          <w:rFonts w:ascii="Arial" w:cs="Arial" w:eastAsia="Arial" w:hAnsi="Arial"/>
          <w:sz w:val="16"/>
          <w:szCs w:val="16"/>
          <w:color w:val="121212"/>
        </w:rPr>
        <w:t xml:space="preserve">” means, with respect to any asset, any mortgage, lien, pledge, charge, security interest or encumbrance of any kind </w:t>
      </w:r>
      <w:r>
        <w:rPr>
          <w:rFonts w:ascii="Arial" w:cs="Arial" w:eastAsia="Arial" w:hAnsi="Arial"/>
          <w:sz w:val="16"/>
          <w:szCs w:val="16"/>
          <w:color w:val="000000"/>
        </w:rPr>
        <w:t>in</w:t>
      </w:r>
      <w:r>
        <w:rPr>
          <w:rFonts w:ascii="Arial" w:cs="Arial" w:eastAsia="Arial" w:hAnsi="Arial"/>
          <w:sz w:val="16"/>
          <w:szCs w:val="16"/>
          <w:color w:val="121212"/>
        </w:rPr>
        <w:t xml:space="preserve"> respect of such asset, whether or not </w:t>
      </w:r>
      <w:r>
        <w:rPr>
          <w:rFonts w:ascii="Arial" w:cs="Arial" w:eastAsia="Arial" w:hAnsi="Arial"/>
          <w:sz w:val="16"/>
          <w:szCs w:val="16"/>
          <w:color w:val="000000"/>
        </w:rPr>
        <w:t>filed,</w:t>
      </w:r>
      <w:r>
        <w:rPr>
          <w:rFonts w:ascii="Arial" w:cs="Arial" w:eastAsia="Arial" w:hAnsi="Arial"/>
          <w:sz w:val="16"/>
          <w:szCs w:val="16"/>
          <w:color w:val="121212"/>
        </w:rPr>
        <w:t xml:space="preserve">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UCC (or equivalent statutes) of any jurisdiction; </w:t>
      </w:r>
      <w:r>
        <w:rPr>
          <w:rFonts w:ascii="Arial" w:cs="Arial" w:eastAsia="Arial" w:hAnsi="Arial"/>
          <w:sz w:val="16"/>
          <w:szCs w:val="16"/>
          <w:i w:val="1"/>
          <w:iCs w:val="1"/>
          <w:color w:val="121212"/>
        </w:rPr>
        <w:t>provided</w:t>
      </w:r>
      <w:r>
        <w:rPr>
          <w:rFonts w:ascii="Arial" w:cs="Arial" w:eastAsia="Arial" w:hAnsi="Arial"/>
          <w:sz w:val="16"/>
          <w:szCs w:val="16"/>
          <w:color w:val="121212"/>
        </w:rPr>
        <w:t xml:space="preserve"> that in no event shall an operating lease be deemed to constitute a Lien.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jc w:val="both"/>
        <w:ind w:firstLine="648"/>
        <w:spacing w:after="0" w:line="286" w:lineRule="auto"/>
        <w:rPr>
          <w:sz w:val="20"/>
          <w:szCs w:val="20"/>
          <w:color w:val="auto"/>
        </w:rPr>
      </w:pPr>
      <w:r>
        <w:rPr>
          <w:rFonts w:ascii="Arial" w:cs="Arial" w:eastAsia="Arial" w:hAnsi="Arial"/>
          <w:sz w:val="17"/>
          <w:szCs w:val="17"/>
          <w:color w:val="121212"/>
        </w:rPr>
        <w:t>“</w:t>
      </w:r>
      <w:r>
        <w:rPr>
          <w:rFonts w:ascii="Arial" w:cs="Arial" w:eastAsia="Arial" w:hAnsi="Arial"/>
          <w:sz w:val="17"/>
          <w:szCs w:val="17"/>
          <w:i w:val="1"/>
          <w:iCs w:val="1"/>
          <w:color w:val="000000"/>
        </w:rPr>
        <w:t>Limited Condition Acquisition</w:t>
      </w:r>
      <w:r>
        <w:rPr>
          <w:rFonts w:ascii="Arial" w:cs="Arial" w:eastAsia="Arial" w:hAnsi="Arial"/>
          <w:sz w:val="17"/>
          <w:szCs w:val="17"/>
          <w:color w:val="121212"/>
        </w:rPr>
        <w:t>” means any Investment or acquisition, in each case, by the Company or any Restricted Subsidiary of the Company whose consummation is not conditioned on the availability of, or on obtaining, third-party financing for such Investment or acquisition (whether by merger, amalgamation, consolidation or other business combination or the acquisition of Capital Stock or otherwise) as applicable.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Foreign Subsidiary</w:t>
      </w:r>
      <w:r>
        <w:rPr>
          <w:rFonts w:ascii="Arial" w:cs="Arial" w:eastAsia="Arial" w:hAnsi="Arial"/>
          <w:sz w:val="18"/>
          <w:szCs w:val="18"/>
          <w:color w:val="auto"/>
        </w:rPr>
        <w:t>” means each Foreign Subsidiary that constitutes a Material Subsidiary.</w:t>
      </w:r>
    </w:p>
    <w:p>
      <w:pPr>
        <w:spacing w:after="0" w:line="22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000000"/>
        </w:rPr>
        <w:t>Material Real Property</w:t>
      </w:r>
      <w:r>
        <w:rPr>
          <w:rFonts w:ascii="Arial" w:cs="Arial" w:eastAsia="Arial" w:hAnsi="Arial"/>
          <w:sz w:val="18"/>
          <w:szCs w:val="18"/>
          <w:color w:val="121212"/>
        </w:rPr>
        <w:t>” means real property located in the United States with a book value (as reflected in the financial statements delivered pursuant to the covenant titled “Reports and Other Information”) of more than $10.0 million that is owned by the Company or any Domestic Subsidiary that is the Company or a Guarantor.</w:t>
      </w:r>
    </w:p>
    <w:p>
      <w:pPr>
        <w:spacing w:after="0" w:line="184"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121212"/>
        </w:rPr>
        <w:t>Material Subsidiary</w:t>
      </w:r>
      <w:r>
        <w:rPr>
          <w:rFonts w:ascii="Arial" w:cs="Arial" w:eastAsia="Arial" w:hAnsi="Arial"/>
          <w:sz w:val="16"/>
          <w:szCs w:val="16"/>
          <w:color w:val="121212"/>
        </w:rPr>
        <w:t>” means each Subsidiary (i) which, as of the most recent fiscal quarter of the Company during the most recently ended four full fiscal quarters for which internal financial statements are available, contributed greater than five percent (5%) of the Company’s EBITDA for such period or (ii) which contributed greater than five percent (5%) of Consolidated Total Assets as of such date; provided that, if at any time the aggregate amount of EBITDA or Consolidated Total Assets attributable to all Subsidiaries that are not Material Subsidiaries exceeds twenty percent (20%) of EBITDA for any such period or twenty percent (20%) of Consolidated Total Assets as of the end of any such fiscal quarter, the Company shall designate sufficient Subsidiaries as “Material Subsidiaries” to eliminate such excess, and such designated Subsidiaries shall constitute Material Subsidiaries.</w:t>
      </w:r>
    </w:p>
    <w:p>
      <w:pPr>
        <w:spacing w:after="0" w:line="16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000000"/>
        </w:rPr>
        <w:t>Mortgaged Properties</w:t>
      </w:r>
      <w:r>
        <w:rPr>
          <w:rFonts w:ascii="Arial" w:cs="Arial" w:eastAsia="Arial" w:hAnsi="Arial"/>
          <w:sz w:val="18"/>
          <w:szCs w:val="18"/>
          <w:color w:val="121212"/>
        </w:rPr>
        <w:t>” mean the Company or any Guarantor’s fee or leasehold interest in the Material Real Property, together with all buildings, fixtures, improvements and personal property located thereon, and all proceeds of any of the foregoing.</w:t>
      </w:r>
    </w:p>
    <w:p>
      <w:pPr>
        <w:spacing w:after="0" w:line="170"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121212"/>
        </w:rPr>
        <w:t>“</w:t>
      </w:r>
      <w:r>
        <w:rPr>
          <w:rFonts w:ascii="Arial" w:cs="Arial" w:eastAsia="Arial" w:hAnsi="Arial"/>
          <w:sz w:val="17"/>
          <w:szCs w:val="17"/>
          <w:i w:val="1"/>
          <w:iCs w:val="1"/>
          <w:color w:val="000000"/>
        </w:rPr>
        <w:t>Mortgages</w:t>
      </w:r>
      <w:r>
        <w:rPr>
          <w:rFonts w:ascii="Arial" w:cs="Arial" w:eastAsia="Arial" w:hAnsi="Arial"/>
          <w:sz w:val="17"/>
          <w:szCs w:val="17"/>
          <w:color w:val="121212"/>
        </w:rPr>
        <w:t>” means, as applicable, the first priority (subject to Permitted Liens) mortgages, deeds of trust, deeds to secure debt or other similar security instruments to be duly executed and delivered on or prior to the deadline indicated on in Section 15.08 (each as amended, restated, supplemented or otherwise modified from time to time) entered into by the Company or any Guarantor, encumbering the Company’s or such Guarantor’s Mortgaged Properties in favor of the Collateral Trustee, for its benefit and the benefit of the Trustee and the holders of the Securities, evidencing the first priority lien (subject to Permitted Liens) on such Mortgaged Properties that secure the Secured Obligations.</w:t>
      </w:r>
    </w:p>
    <w:p>
      <w:pPr>
        <w:spacing w:after="0" w:line="176"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121212"/>
        </w:rPr>
        <w:t>“</w:t>
      </w:r>
      <w:r>
        <w:rPr>
          <w:rFonts w:ascii="Arial" w:cs="Arial" w:eastAsia="Arial" w:hAnsi="Arial"/>
          <w:sz w:val="16"/>
          <w:szCs w:val="16"/>
          <w:i w:val="1"/>
          <w:iCs w:val="1"/>
          <w:color w:val="121212"/>
        </w:rPr>
        <w:t>Maturity,</w:t>
      </w:r>
      <w:r>
        <w:rPr>
          <w:rFonts w:ascii="Arial" w:cs="Arial" w:eastAsia="Arial" w:hAnsi="Arial"/>
          <w:sz w:val="16"/>
          <w:szCs w:val="16"/>
          <w:color w:val="121212"/>
        </w:rPr>
        <w:t xml:space="preserve">” when used with respect to any Note, means the date </w:t>
      </w:r>
      <w:r>
        <w:rPr>
          <w:rFonts w:ascii="Arial" w:cs="Arial" w:eastAsia="Arial" w:hAnsi="Arial"/>
          <w:sz w:val="16"/>
          <w:szCs w:val="16"/>
          <w:color w:val="000000"/>
        </w:rPr>
        <w:t>on</w:t>
      </w:r>
      <w:r>
        <w:rPr>
          <w:rFonts w:ascii="Arial" w:cs="Arial" w:eastAsia="Arial" w:hAnsi="Arial"/>
          <w:sz w:val="16"/>
          <w:szCs w:val="16"/>
          <w:color w:val="121212"/>
        </w:rPr>
        <w:t xml:space="preserve"> which the principal of such Note or an installment of principal becomes due and payable as therein or herein provided, whether at the Stated Maturity or by declaration of acceleration, notice of redemption or otherwise.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Moody’s</w:t>
      </w:r>
      <w:r>
        <w:rPr>
          <w:rFonts w:ascii="Arial" w:cs="Arial" w:eastAsia="Arial" w:hAnsi="Arial"/>
          <w:sz w:val="18"/>
          <w:szCs w:val="18"/>
          <w:color w:val="121212"/>
        </w:rPr>
        <w:t>” means Moody’s Investors Service, Inc. and any successor to its rating agency business.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2" w:name="page43"/>
    <w:bookmarkEnd w:id="42"/>
    <w:p>
      <w:pPr>
        <w:ind w:right="380" w:firstLine="648"/>
        <w:spacing w:after="0" w:line="27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Net Income</w:t>
      </w:r>
      <w:r>
        <w:rPr>
          <w:rFonts w:ascii="Arial" w:cs="Arial" w:eastAsia="Arial" w:hAnsi="Arial"/>
          <w:sz w:val="18"/>
          <w:szCs w:val="18"/>
          <w:color w:val="121212"/>
        </w:rPr>
        <w:t>” means, with respect to any Person, the net income (loss) of such Person, determined in accordance with GAAP and before any reduction in respect of Preferred Stock dividends.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131313"/>
        </w:rPr>
        <w:t>“</w:t>
      </w:r>
      <w:r>
        <w:rPr>
          <w:rFonts w:ascii="Arial" w:cs="Arial" w:eastAsia="Arial" w:hAnsi="Arial"/>
          <w:sz w:val="16"/>
          <w:szCs w:val="16"/>
          <w:i w:val="1"/>
          <w:iCs w:val="1"/>
          <w:color w:val="131313"/>
        </w:rPr>
        <w:t>Net Proceeds</w:t>
      </w:r>
      <w:r>
        <w:rPr>
          <w:rFonts w:ascii="Arial" w:cs="Arial" w:eastAsia="Arial" w:hAnsi="Arial"/>
          <w:sz w:val="16"/>
          <w:szCs w:val="16"/>
          <w:color w:val="131313"/>
        </w:rPr>
        <w:t xml:space="preserve">” means the aggregate cash proceeds received by the Company or any Restricted Subsidiary </w:t>
      </w:r>
      <w:r>
        <w:rPr>
          <w:rFonts w:ascii="Arial" w:cs="Arial" w:eastAsia="Arial" w:hAnsi="Arial"/>
          <w:sz w:val="16"/>
          <w:szCs w:val="16"/>
          <w:color w:val="000000"/>
        </w:rPr>
        <w:t>in</w:t>
      </w:r>
      <w:r>
        <w:rPr>
          <w:rFonts w:ascii="Arial" w:cs="Arial" w:eastAsia="Arial" w:hAnsi="Arial"/>
          <w:sz w:val="16"/>
          <w:szCs w:val="16"/>
          <w:color w:val="131313"/>
        </w:rPr>
        <w:t xml:space="preserve"> respect of any Asset Sale, including any cash received upon the sale or other disposition of any Designated Noncash Consideration received </w:t>
      </w:r>
      <w:r>
        <w:rPr>
          <w:rFonts w:ascii="Arial" w:cs="Arial" w:eastAsia="Arial" w:hAnsi="Arial"/>
          <w:sz w:val="16"/>
          <w:szCs w:val="16"/>
          <w:color w:val="000000"/>
        </w:rPr>
        <w:t>in</w:t>
      </w:r>
      <w:r>
        <w:rPr>
          <w:rFonts w:ascii="Arial" w:cs="Arial" w:eastAsia="Arial" w:hAnsi="Arial"/>
          <w:sz w:val="16"/>
          <w:szCs w:val="16"/>
          <w:color w:val="131313"/>
        </w:rPr>
        <w:t xml:space="preserve"> any Asset Sale, net of the direct costs relating to such Asset Sale and the sale or disposition of such Designated Noncash Consideration, including legal, accounting and investment banking fees, and brokerage and sales commissions, any relocation expenses incurred as a result thereof, other fees and expenses, including title and recordation expenses, taxes or repatriation costs paid or payable as a result thereof (after taking into account any available tax or other credits or deductions and any tax sharing arrangements), amounts required to be applied to the repayment of principal, premium, if any, and interest on Indebtedness required (other than by Section 10.16(b)(1)) and 10.16(c)(1) to be paid as a result of such transaction and any deduction of appropriate amounts to be provided by the Company or a Restricted Subsidiary as a reserve in accordance with GAAP against any liabilities associated with the asset disposed of </w:t>
      </w:r>
      <w:r>
        <w:rPr>
          <w:rFonts w:ascii="Arial" w:cs="Arial" w:eastAsia="Arial" w:hAnsi="Arial"/>
          <w:sz w:val="16"/>
          <w:szCs w:val="16"/>
          <w:color w:val="000000"/>
        </w:rPr>
        <w:t>in</w:t>
      </w:r>
      <w:r>
        <w:rPr>
          <w:rFonts w:ascii="Arial" w:cs="Arial" w:eastAsia="Arial" w:hAnsi="Arial"/>
          <w:sz w:val="16"/>
          <w:szCs w:val="16"/>
          <w:color w:val="131313"/>
        </w:rPr>
        <w:t xml:space="preserve"> such transaction and retained by </w:t>
      </w:r>
      <w:r>
        <w:rPr>
          <w:rFonts w:ascii="Arial" w:cs="Arial" w:eastAsia="Arial" w:hAnsi="Arial"/>
          <w:sz w:val="16"/>
          <w:szCs w:val="16"/>
          <w:color w:val="000000"/>
        </w:rPr>
        <w:t>the</w:t>
      </w:r>
      <w:r>
        <w:rPr>
          <w:rFonts w:ascii="Arial" w:cs="Arial" w:eastAsia="Arial" w:hAnsi="Arial"/>
          <w:sz w:val="16"/>
          <w:szCs w:val="16"/>
          <w:color w:val="131313"/>
        </w:rPr>
        <w:t xml:space="preserve"> Company or a Restricted Subsidiary after such sale or other disposition thereof, including pension and other post-employment benefit liabilities and liabilities related to environmental matters or against any indemnification obligations associated with such transaction.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Non-U.S. Person</w:t>
      </w:r>
      <w:r>
        <w:rPr>
          <w:rFonts w:ascii="Arial" w:cs="Arial" w:eastAsia="Arial" w:hAnsi="Arial"/>
          <w:sz w:val="18"/>
          <w:szCs w:val="18"/>
          <w:color w:val="131313"/>
        </w:rPr>
        <w:t>” means a Person who is not a U.S. Person.</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141414"/>
        </w:rPr>
        <w:t>“</w:t>
      </w:r>
      <w:r>
        <w:rPr>
          <w:rFonts w:ascii="Arial" w:cs="Arial" w:eastAsia="Arial" w:hAnsi="Arial"/>
          <w:sz w:val="18"/>
          <w:szCs w:val="18"/>
          <w:i w:val="1"/>
          <w:iCs w:val="1"/>
          <w:color w:val="141414"/>
        </w:rPr>
        <w:t>Note Liens</w:t>
      </w:r>
      <w:r>
        <w:rPr>
          <w:rFonts w:ascii="Arial" w:cs="Arial" w:eastAsia="Arial" w:hAnsi="Arial"/>
          <w:sz w:val="18"/>
          <w:szCs w:val="18"/>
          <w:color w:val="141414"/>
        </w:rPr>
        <w:t xml:space="preserve">” means all Liens in favor of the Collateral Trustee for its benefit </w:t>
      </w:r>
      <w:r>
        <w:rPr>
          <w:rFonts w:ascii="Arial" w:cs="Arial" w:eastAsia="Arial" w:hAnsi="Arial"/>
          <w:sz w:val="18"/>
          <w:szCs w:val="18"/>
          <w:color w:val="000000"/>
        </w:rPr>
        <w:t>and</w:t>
      </w:r>
      <w:r>
        <w:rPr>
          <w:rFonts w:ascii="Arial" w:cs="Arial" w:eastAsia="Arial" w:hAnsi="Arial"/>
          <w:sz w:val="18"/>
          <w:szCs w:val="18"/>
          <w:color w:val="141414"/>
        </w:rPr>
        <w:t xml:space="preserve"> for the benefit of the Trustee, the Holders of the Notes and holders of any Parity Lien Notes Debt on Collateral securing </w:t>
      </w:r>
      <w:r>
        <w:rPr>
          <w:rFonts w:ascii="Arial" w:cs="Arial" w:eastAsia="Arial" w:hAnsi="Arial"/>
          <w:sz w:val="18"/>
          <w:szCs w:val="18"/>
          <w:color w:val="000000"/>
        </w:rPr>
        <w:t>the</w:t>
      </w:r>
      <w:r>
        <w:rPr>
          <w:rFonts w:ascii="Arial" w:cs="Arial" w:eastAsia="Arial" w:hAnsi="Arial"/>
          <w:sz w:val="18"/>
          <w:szCs w:val="18"/>
          <w:color w:val="141414"/>
        </w:rPr>
        <w:t xml:space="preserve"> Indenture Obligations and any Parity Lien Notes Debt.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141414"/>
        </w:rPr>
        <w:t>“</w:t>
      </w:r>
      <w:r>
        <w:rPr>
          <w:rFonts w:ascii="Arial" w:cs="Arial" w:eastAsia="Arial" w:hAnsi="Arial"/>
          <w:sz w:val="18"/>
          <w:szCs w:val="18"/>
          <w:i w:val="1"/>
          <w:iCs w:val="1"/>
          <w:color w:val="141414"/>
        </w:rPr>
        <w:t>Note Register</w:t>
      </w:r>
      <w:r>
        <w:rPr>
          <w:rFonts w:ascii="Arial" w:cs="Arial" w:eastAsia="Arial" w:hAnsi="Arial"/>
          <w:sz w:val="18"/>
          <w:szCs w:val="18"/>
          <w:color w:val="141414"/>
        </w:rPr>
        <w:t>” and “</w:t>
      </w:r>
      <w:r>
        <w:rPr>
          <w:rFonts w:ascii="Arial" w:cs="Arial" w:eastAsia="Arial" w:hAnsi="Arial"/>
          <w:sz w:val="18"/>
          <w:szCs w:val="18"/>
          <w:i w:val="1"/>
          <w:iCs w:val="1"/>
          <w:color w:val="141414"/>
        </w:rPr>
        <w:t>Note Registrar</w:t>
      </w:r>
      <w:r>
        <w:rPr>
          <w:rFonts w:ascii="Arial" w:cs="Arial" w:eastAsia="Arial" w:hAnsi="Arial"/>
          <w:sz w:val="18"/>
          <w:szCs w:val="18"/>
          <w:color w:val="141414"/>
        </w:rPr>
        <w:t>” have the respective meanings specified in Section 3.04.</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111111"/>
        </w:rPr>
        <w:t>“</w:t>
      </w:r>
      <w:r>
        <w:rPr>
          <w:rFonts w:ascii="Arial" w:cs="Arial" w:eastAsia="Arial" w:hAnsi="Arial"/>
          <w:sz w:val="18"/>
          <w:szCs w:val="18"/>
          <w:i w:val="1"/>
          <w:iCs w:val="1"/>
          <w:color w:val="111111"/>
        </w:rPr>
        <w:t>Notes</w:t>
      </w:r>
      <w:r>
        <w:rPr>
          <w:rFonts w:ascii="Arial" w:cs="Arial" w:eastAsia="Arial" w:hAnsi="Arial"/>
          <w:sz w:val="18"/>
          <w:szCs w:val="18"/>
          <w:color w:val="111111"/>
        </w:rPr>
        <w:t xml:space="preserve">” means any 6.250% Senior Secured Notes due 2028 of the Company authenticated and delivered under this Indenture. The Initial Notes and any Additional Notes shall be treated as </w:t>
      </w:r>
      <w:r>
        <w:rPr>
          <w:rFonts w:ascii="Arial" w:cs="Arial" w:eastAsia="Arial" w:hAnsi="Arial"/>
          <w:sz w:val="18"/>
          <w:szCs w:val="18"/>
          <w:color w:val="000000"/>
        </w:rPr>
        <w:t>a</w:t>
      </w:r>
      <w:r>
        <w:rPr>
          <w:rFonts w:ascii="Arial" w:cs="Arial" w:eastAsia="Arial" w:hAnsi="Arial"/>
          <w:sz w:val="18"/>
          <w:szCs w:val="18"/>
          <w:color w:val="111111"/>
        </w:rPr>
        <w:t xml:space="preserve"> single class for all purposes of this Indenture, including waivers, amendments, redemptions and offers to purchase, and shall vote and consent together as one class on all matters with respect to the Notes (except that any series of Notes that is not fungible with the Initial Notes for U.S. federal income tax purposes may be treated for purposes of provisions of this Indenture relating to transfer and exchange as a separate class that does not trade fungibly with Notes that have differing treatment under U.S. federal income tax law and will be assigned a different CUSIP or other identification number), and unless the context otherwise requires, all references to the Notes shall include the Initial Notes and any Additional Notes.</w:t>
      </w:r>
    </w:p>
    <w:p>
      <w:pPr>
        <w:spacing w:after="0" w:line="19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121212"/>
        </w:rPr>
        <w:t>“</w:t>
      </w:r>
      <w:r>
        <w:rPr>
          <w:rFonts w:ascii="Arial" w:cs="Arial" w:eastAsia="Arial" w:hAnsi="Arial"/>
          <w:sz w:val="17"/>
          <w:szCs w:val="17"/>
          <w:i w:val="1"/>
          <w:iCs w:val="1"/>
          <w:color w:val="121212"/>
        </w:rPr>
        <w:t>Obligations</w:t>
      </w:r>
      <w:r>
        <w:rPr>
          <w:rFonts w:ascii="Arial" w:cs="Arial" w:eastAsia="Arial" w:hAnsi="Arial"/>
          <w:sz w:val="17"/>
          <w:szCs w:val="17"/>
          <w:color w:val="121212"/>
        </w:rPr>
        <w:t xml:space="preserve">” means any principal (including reimbursement obligations with respect to letters of credit whether or not drawn), interest (including, to the extent legally permitted, all interest accrued thereon after the commencement of any insolvency or liquidation proceeding </w:t>
      </w:r>
      <w:r>
        <w:rPr>
          <w:rFonts w:ascii="Arial" w:cs="Arial" w:eastAsia="Arial" w:hAnsi="Arial"/>
          <w:sz w:val="17"/>
          <w:szCs w:val="17"/>
          <w:color w:val="000000"/>
        </w:rPr>
        <w:t>at</w:t>
      </w:r>
      <w:r>
        <w:rPr>
          <w:rFonts w:ascii="Arial" w:cs="Arial" w:eastAsia="Arial" w:hAnsi="Arial"/>
          <w:sz w:val="17"/>
          <w:szCs w:val="17"/>
          <w:color w:val="121212"/>
        </w:rPr>
        <w:t xml:space="preserve"> the rate, including any applicable post-default rate, specified in the applicable agreement whether or not a claim for post-petition interest is allowed in such proceeding), premium (if any), guarantees of payment, fees, indemnifications, reimbursements, expenses, damages and other liabilities payable under the documentation governing any Indebtedness; </w:t>
      </w:r>
      <w:r>
        <w:rPr>
          <w:rFonts w:ascii="Arial" w:cs="Arial" w:eastAsia="Arial" w:hAnsi="Arial"/>
          <w:sz w:val="17"/>
          <w:szCs w:val="17"/>
          <w:i w:val="1"/>
          <w:iCs w:val="1"/>
          <w:color w:val="121212"/>
        </w:rPr>
        <w:t>provided</w:t>
      </w:r>
      <w:r>
        <w:rPr>
          <w:rFonts w:ascii="Arial" w:cs="Arial" w:eastAsia="Arial" w:hAnsi="Arial"/>
          <w:sz w:val="17"/>
          <w:szCs w:val="17"/>
          <w:color w:val="121212"/>
        </w:rPr>
        <w:t xml:space="preserve"> that Obligations with respect to the Notes shall not include fees or indemnification in favor of third parties other than the Trustee, the Collateral Trustee and the Holders.</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Offering Memorandum</w:t>
      </w:r>
      <w:r>
        <w:rPr>
          <w:rFonts w:ascii="Arial" w:cs="Arial" w:eastAsia="Arial" w:hAnsi="Arial"/>
          <w:sz w:val="18"/>
          <w:szCs w:val="18"/>
          <w:color w:val="121212"/>
        </w:rPr>
        <w:t>” means the Offering Memorandum dated June 30, 2020 relating to the Notes.</w:t>
      </w:r>
    </w:p>
    <w:p>
      <w:pPr>
        <w:spacing w:after="0" w:line="225"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121212"/>
        </w:rPr>
        <w:t>“</w:t>
      </w:r>
      <w:r>
        <w:rPr>
          <w:rFonts w:ascii="Arial" w:cs="Arial" w:eastAsia="Arial" w:hAnsi="Arial"/>
          <w:sz w:val="17"/>
          <w:szCs w:val="17"/>
          <w:i w:val="1"/>
          <w:iCs w:val="1"/>
          <w:color w:val="121212"/>
        </w:rPr>
        <w:t>Officer</w:t>
      </w:r>
      <w:r>
        <w:rPr>
          <w:rFonts w:ascii="Arial" w:cs="Arial" w:eastAsia="Arial" w:hAnsi="Arial"/>
          <w:sz w:val="17"/>
          <w:szCs w:val="17"/>
          <w:color w:val="121212"/>
        </w:rPr>
        <w:t>” means, with respect to any Person, the Chairman of the Board, Chief Executive Officer, Chief Financial Officer, President, any Executive Vice President, Senior Vice President or Vice President, Treasurer, Controller or the Secretary of such Person.</w:t>
      </w:r>
    </w:p>
    <w:p>
      <w:pPr>
        <w:spacing w:after="0" w:line="14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Officer’s Certificate</w:t>
      </w:r>
      <w:r>
        <w:rPr>
          <w:rFonts w:ascii="Arial" w:cs="Arial" w:eastAsia="Arial" w:hAnsi="Arial"/>
          <w:sz w:val="18"/>
          <w:szCs w:val="18"/>
          <w:color w:val="121212"/>
        </w:rPr>
        <w:t>” means a certificate signed on behalf of the Company by one Officer of the Company, who must be the principal executive officer, the principal financial officer, the treasurer or the principal accounting officer of the Company, that meets the requirements set forth in this Indenture.</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121212"/>
        </w:rPr>
        <w:t>“</w:t>
      </w:r>
      <w:r>
        <w:rPr>
          <w:rFonts w:ascii="Arial" w:cs="Arial" w:eastAsia="Arial" w:hAnsi="Arial"/>
          <w:sz w:val="17"/>
          <w:szCs w:val="17"/>
          <w:i w:val="1"/>
          <w:iCs w:val="1"/>
          <w:color w:val="121212"/>
        </w:rPr>
        <w:t>Opinion of Counsel</w:t>
      </w:r>
      <w:r>
        <w:rPr>
          <w:rFonts w:ascii="Arial" w:cs="Arial" w:eastAsia="Arial" w:hAnsi="Arial"/>
          <w:sz w:val="17"/>
          <w:szCs w:val="17"/>
          <w:color w:val="121212"/>
        </w:rPr>
        <w:t>” means a written opinion from legal counsel. The counsel may be an employee of or counsel to the Company. Opinions of Counsel required to be delivered under this Indenture may have assumptions, exclusions and qualifications customary for opinions of the type required and counsel delivering such Opinions of Counsel may rely on certificates of the Company or government or other officials customary for opinions of the type required, including certificates certifying as to matters of fact, including that various covenants have been complied with.</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Outstanding,</w:t>
      </w:r>
      <w:r>
        <w:rPr>
          <w:rFonts w:ascii="Arial" w:cs="Arial" w:eastAsia="Arial" w:hAnsi="Arial"/>
          <w:sz w:val="18"/>
          <w:szCs w:val="18"/>
          <w:color w:val="131313"/>
        </w:rPr>
        <w:t>” when used with respect to Notes, means, as of the date of determination, all Notes theretofore authenticated and delivered under this Indenture, except:</w:t>
      </w:r>
    </w:p>
    <w:p>
      <w:pPr>
        <w:spacing w:after="0" w:line="170" w:lineRule="exact"/>
        <w:rPr>
          <w:sz w:val="20"/>
          <w:szCs w:val="20"/>
          <w:color w:val="auto"/>
        </w:rPr>
      </w:pPr>
    </w:p>
    <w:p>
      <w:pPr>
        <w:ind w:left="1320" w:hanging="664"/>
        <w:spacing w:after="0"/>
        <w:tabs>
          <w:tab w:leader="none" w:pos="1320" w:val="left"/>
        </w:tabs>
        <w:numPr>
          <w:ilvl w:val="0"/>
          <w:numId w:val="47"/>
        </w:numPr>
        <w:rPr>
          <w:rFonts w:ascii="Arial" w:cs="Arial" w:eastAsia="Arial" w:hAnsi="Arial"/>
          <w:sz w:val="18"/>
          <w:szCs w:val="18"/>
          <w:color w:val="131313"/>
        </w:rPr>
      </w:pPr>
      <w:r>
        <w:rPr>
          <w:rFonts w:ascii="Arial" w:cs="Arial" w:eastAsia="Arial" w:hAnsi="Arial"/>
          <w:sz w:val="18"/>
          <w:szCs w:val="18"/>
          <w:color w:val="131313"/>
        </w:rPr>
        <w:t>Notes theretofore cancelled by the Trustee or delivered to the Trustee for cancellation;</w:t>
      </w:r>
    </w:p>
    <w:p>
      <w:pPr>
        <w:spacing w:after="0" w:line="225" w:lineRule="exact"/>
        <w:rPr>
          <w:rFonts w:ascii="Arial" w:cs="Arial" w:eastAsia="Arial" w:hAnsi="Arial"/>
          <w:sz w:val="18"/>
          <w:szCs w:val="18"/>
          <w:color w:val="131313"/>
        </w:rPr>
      </w:pPr>
    </w:p>
    <w:p>
      <w:pPr>
        <w:jc w:val="both"/>
        <w:ind w:right="180" w:firstLine="656"/>
        <w:spacing w:after="0" w:line="259" w:lineRule="auto"/>
        <w:tabs>
          <w:tab w:leader="none" w:pos="1307" w:val="left"/>
        </w:tabs>
        <w:numPr>
          <w:ilvl w:val="0"/>
          <w:numId w:val="47"/>
        </w:numPr>
        <w:rPr>
          <w:rFonts w:ascii="Arial" w:cs="Arial" w:eastAsia="Arial" w:hAnsi="Arial"/>
          <w:sz w:val="18"/>
          <w:szCs w:val="18"/>
          <w:color w:val="131313"/>
        </w:rPr>
      </w:pPr>
      <w:r>
        <w:rPr>
          <w:rFonts w:ascii="Arial" w:cs="Arial" w:eastAsia="Arial" w:hAnsi="Arial"/>
          <w:sz w:val="18"/>
          <w:szCs w:val="18"/>
          <w:color w:val="131313"/>
        </w:rPr>
        <w:t xml:space="preserve">Notes, or portions thereof, for whose payment or redemption money </w:t>
      </w:r>
      <w:r>
        <w:rPr>
          <w:rFonts w:ascii="Arial" w:cs="Arial" w:eastAsia="Arial" w:hAnsi="Arial"/>
          <w:sz w:val="18"/>
          <w:szCs w:val="18"/>
          <w:color w:val="000000"/>
        </w:rPr>
        <w:t>in</w:t>
      </w:r>
      <w:r>
        <w:rPr>
          <w:rFonts w:ascii="Arial" w:cs="Arial" w:eastAsia="Arial" w:hAnsi="Arial"/>
          <w:sz w:val="18"/>
          <w:szCs w:val="18"/>
          <w:color w:val="131313"/>
        </w:rPr>
        <w:t xml:space="preserve"> the necessary amount has been theretofore deposited with the Trustee or any Paying Agent (other than the Company) in trust or set aside and segregated in trust by the Company (if the Company shall act as its own Paying Agent) for </w:t>
      </w:r>
      <w:r>
        <w:rPr>
          <w:rFonts w:ascii="Arial" w:cs="Arial" w:eastAsia="Arial" w:hAnsi="Arial"/>
          <w:sz w:val="18"/>
          <w:szCs w:val="18"/>
          <w:color w:val="000000"/>
        </w:rPr>
        <w:t>the</w:t>
      </w:r>
      <w:r>
        <w:rPr>
          <w:rFonts w:ascii="Arial" w:cs="Arial" w:eastAsia="Arial" w:hAnsi="Arial"/>
          <w:sz w:val="18"/>
          <w:szCs w:val="18"/>
          <w:color w:val="131313"/>
        </w:rPr>
        <w:t xml:space="preserve"> Holders of such Notes; </w:t>
      </w:r>
      <w:r>
        <w:rPr>
          <w:rFonts w:ascii="Arial" w:cs="Arial" w:eastAsia="Arial" w:hAnsi="Arial"/>
          <w:sz w:val="18"/>
          <w:szCs w:val="18"/>
          <w:i w:val="1"/>
          <w:iCs w:val="1"/>
          <w:color w:val="131313"/>
        </w:rPr>
        <w:t>provided</w:t>
      </w:r>
      <w:r>
        <w:rPr>
          <w:rFonts w:ascii="Arial" w:cs="Arial" w:eastAsia="Arial" w:hAnsi="Arial"/>
          <w:sz w:val="18"/>
          <w:szCs w:val="18"/>
          <w:color w:val="131313"/>
        </w:rPr>
        <w:t xml:space="preserve"> that, if such Notes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131313"/>
        </w:rPr>
      </w:pPr>
    </w:p>
    <w:p>
      <w:pPr>
        <w:ind w:right="220" w:firstLine="656"/>
        <w:spacing w:after="0" w:line="277" w:lineRule="auto"/>
        <w:tabs>
          <w:tab w:leader="none" w:pos="1307" w:val="left"/>
        </w:tabs>
        <w:numPr>
          <w:ilvl w:val="0"/>
          <w:numId w:val="47"/>
        </w:numPr>
        <w:rPr>
          <w:rFonts w:ascii="Arial" w:cs="Arial" w:eastAsia="Arial" w:hAnsi="Arial"/>
          <w:sz w:val="18"/>
          <w:szCs w:val="18"/>
          <w:color w:val="131313"/>
        </w:rPr>
      </w:pPr>
      <w:r>
        <w:rPr>
          <w:rFonts w:ascii="Arial" w:cs="Arial" w:eastAsia="Arial" w:hAnsi="Arial"/>
          <w:sz w:val="18"/>
          <w:szCs w:val="18"/>
          <w:color w:val="131313"/>
        </w:rPr>
        <w:t xml:space="preserve">Notes, except to the extent provided in Section 13.02 and 13.03, with respect to which the Company has effected Legal Defeasance or Covenant Defeasance as provided </w:t>
      </w:r>
      <w:r>
        <w:rPr>
          <w:rFonts w:ascii="Arial" w:cs="Arial" w:eastAsia="Arial" w:hAnsi="Arial"/>
          <w:sz w:val="18"/>
          <w:szCs w:val="18"/>
          <w:color w:val="000000"/>
        </w:rPr>
        <w:t>in</w:t>
      </w:r>
      <w:r>
        <w:rPr>
          <w:rFonts w:ascii="Arial" w:cs="Arial" w:eastAsia="Arial" w:hAnsi="Arial"/>
          <w:sz w:val="18"/>
          <w:szCs w:val="18"/>
          <w:color w:val="131313"/>
        </w:rPr>
        <w:t xml:space="preserve"> Article Thirteen; and</w:t>
      </w:r>
    </w:p>
    <w:p>
      <w:pPr>
        <w:spacing w:after="0" w:line="170" w:lineRule="exact"/>
        <w:rPr>
          <w:rFonts w:ascii="Arial" w:cs="Arial" w:eastAsia="Arial" w:hAnsi="Arial"/>
          <w:sz w:val="18"/>
          <w:szCs w:val="18"/>
          <w:color w:val="131313"/>
        </w:rPr>
      </w:pPr>
    </w:p>
    <w:p>
      <w:pPr>
        <w:ind w:right="60" w:firstLine="656"/>
        <w:spacing w:after="0" w:line="286" w:lineRule="auto"/>
        <w:tabs>
          <w:tab w:leader="none" w:pos="1307" w:val="left"/>
        </w:tabs>
        <w:numPr>
          <w:ilvl w:val="0"/>
          <w:numId w:val="47"/>
        </w:numPr>
        <w:rPr>
          <w:rFonts w:ascii="Arial" w:cs="Arial" w:eastAsia="Arial" w:hAnsi="Arial"/>
          <w:sz w:val="17"/>
          <w:szCs w:val="17"/>
          <w:color w:val="131313"/>
        </w:rPr>
      </w:pPr>
      <w:r>
        <w:rPr>
          <w:rFonts w:ascii="Arial" w:cs="Arial" w:eastAsia="Arial" w:hAnsi="Arial"/>
          <w:sz w:val="17"/>
          <w:szCs w:val="17"/>
          <w:color w:val="131313"/>
        </w:rPr>
        <w:t xml:space="preserve">Notes which have been paid pursuant to this Indenture or in exchange for or in lieu of which other Notes have been authenticated and delivered pursuant to Section 3.05, other </w:t>
      </w:r>
      <w:r>
        <w:rPr>
          <w:rFonts w:ascii="Arial" w:cs="Arial" w:eastAsia="Arial" w:hAnsi="Arial"/>
          <w:sz w:val="17"/>
          <w:szCs w:val="17"/>
          <w:color w:val="000000"/>
        </w:rPr>
        <w:t>than</w:t>
      </w:r>
      <w:r>
        <w:rPr>
          <w:rFonts w:ascii="Arial" w:cs="Arial" w:eastAsia="Arial" w:hAnsi="Arial"/>
          <w:sz w:val="17"/>
          <w:szCs w:val="17"/>
          <w:color w:val="131313"/>
        </w:rPr>
        <w:t xml:space="preserve"> any such Notes in respect of which there shall have been presented to the Trustee proof satisfactory to it that such Notes are held by a Protected Purchaser in whose hands the Notes are valid obligations of the Company;</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4" w:name="page45"/>
    <w:bookmarkEnd w:id="44"/>
    <w:p>
      <w:pPr>
        <w:ind w:right="80"/>
        <w:spacing w:after="0" w:line="275"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determining whether the Holders of the requisite principal amount of Outstanding Notes have given any request, demand,</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authorization, direction, consent, notice or waiver hereunder, Notes owned by the Company or any Guarantor or by any Person directly or indirectly controlled by the Company or any Guarantor, shall be disregarded and deemed not to be Outstanding, except that, in determining whether the Trustee shall be protected in making such calculation or in relying upon any such request, demand, authorization, direction, notice, consent or waiver, only Notes which a Responsible Officer of the Trustee actually knows to be so owned shall be so disregarded.</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Lien</w:t>
      </w:r>
      <w:r>
        <w:rPr>
          <w:rFonts w:ascii="Arial" w:cs="Arial" w:eastAsia="Arial" w:hAnsi="Arial"/>
          <w:sz w:val="18"/>
          <w:szCs w:val="18"/>
          <w:color w:val="auto"/>
        </w:rPr>
        <w:t>” means a Lien granted, or purported to be granted, by a Collateral Document to the Collateral Trustee, at any time, upon any property of any Grantor to secure Parity Lien Notes Obligations.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Parity Lien Collateral Documents</w:t>
      </w:r>
      <w:r>
        <w:rPr>
          <w:rFonts w:ascii="Arial" w:cs="Arial" w:eastAsia="Arial" w:hAnsi="Arial"/>
          <w:sz w:val="17"/>
          <w:szCs w:val="17"/>
          <w:color w:val="auto"/>
        </w:rPr>
        <w:t>” means all security agreements, pledge agreements, collateral assignments, mortgages, deeds of trust, collateral agency agreements, control agreements or other grants or transfers for security executed and delivered by any Grantor creating (or purporting to create) a Lien upon Collateral in favor of the Collateral Trustee, for the benefit of any of the Parity Lien Secured Parties, in each case, as amended, modified, renewed, restated or replaced, in whole or in part, from time to time, in accordance with its terms and the Collateral Trust Agreement. In no event shall “Parity Lien Collateral Documents” refer to or include any document to which the Collateral Trustee is not a party as collateral trustee, collateral agent or similar title or, with the knowledge of the Collateral Trustee, a named beneficiary of a document or instrument which the Company or any other Grantor is required to deliver or cause to be delivered pursuant to a Collateral Document.</w:t>
      </w:r>
    </w:p>
    <w:p>
      <w:pPr>
        <w:spacing w:after="0" w:line="17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Lien Notes Debt</w:t>
      </w:r>
      <w:r>
        <w:rPr>
          <w:rFonts w:ascii="Arial" w:cs="Arial" w:eastAsia="Arial" w:hAnsi="Arial"/>
          <w:sz w:val="18"/>
          <w:szCs w:val="18"/>
          <w:color w:val="auto"/>
        </w:rPr>
        <w:t>” means any Indebtedness (excluding Permitted ABL Debt) that is secured by (or is secured equally and ratably with) Parity Liens securing Obligations in respect of a Series of Parity Lien Notes Debt, in each case that was permitted to be incurred and so secured under each applicable Permitted Notes Document; provided that either:</w:t>
      </w:r>
    </w:p>
    <w:p>
      <w:pPr>
        <w:spacing w:after="0" w:line="184" w:lineRule="exact"/>
        <w:rPr>
          <w:sz w:val="20"/>
          <w:szCs w:val="20"/>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Indebtedness is permitted by the Indenture; or</w:t>
      </w:r>
    </w:p>
    <w:p>
      <w:pPr>
        <w:spacing w:after="0" w:line="225" w:lineRule="exact"/>
        <w:rPr>
          <w:rFonts w:ascii="Arial" w:cs="Arial" w:eastAsia="Arial" w:hAnsi="Arial"/>
          <w:sz w:val="18"/>
          <w:szCs w:val="18"/>
          <w:color w:val="auto"/>
        </w:rPr>
      </w:pPr>
    </w:p>
    <w:p>
      <w:pPr>
        <w:ind w:right="260" w:firstLine="656"/>
        <w:spacing w:after="0" w:line="308" w:lineRule="auto"/>
        <w:tabs>
          <w:tab w:leader="none" w:pos="903"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such Indebtedness is Refinancing Indebtedness the entire net proceeds of which are used to refund, refinance, replace, defease, discharge or otherwise acquire or retire any such Permitted Notes Debt (or to pay related fees, expenses, premiums and accrued interest);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further, that:</w:t>
      </w:r>
    </w:p>
    <w:p>
      <w:pPr>
        <w:spacing w:after="0" w:line="225" w:lineRule="exact"/>
        <w:rPr>
          <w:sz w:val="20"/>
          <w:szCs w:val="20"/>
          <w:color w:val="auto"/>
        </w:rPr>
      </w:pPr>
    </w:p>
    <w:p>
      <w:pPr>
        <w:ind w:right="80" w:firstLine="656"/>
        <w:spacing w:after="0" w:line="259" w:lineRule="auto"/>
        <w:tabs>
          <w:tab w:leader="none" w:pos="8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or before the date on which such Indebtedness is incurred by the Grantors, such Indebtedness is designated by the Company, in an additional permitted notes debt designation executed and delivered in accordance with the Collateral Trust Agreement, as “Parity Lien Notes Debt” for the purposes of the Permitted Notes Documents; provided, that no Indebtedness may be designated as both Parity Lien Notes Debt and Priority Lien Notes Debt;</w:t>
      </w:r>
    </w:p>
    <w:p>
      <w:pPr>
        <w:spacing w:after="0" w:line="186" w:lineRule="exact"/>
        <w:rPr>
          <w:rFonts w:ascii="Arial" w:cs="Arial" w:eastAsia="Arial" w:hAnsi="Arial"/>
          <w:sz w:val="18"/>
          <w:szCs w:val="18"/>
          <w:color w:val="auto"/>
        </w:rPr>
      </w:pPr>
    </w:p>
    <w:p>
      <w:pPr>
        <w:jc w:val="both"/>
        <w:ind w:right="220" w:firstLine="656"/>
        <w:spacing w:after="0" w:line="263" w:lineRule="auto"/>
        <w:tabs>
          <w:tab w:leader="none" w:pos="903"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unless such Indebtedness is issued under an existing Permitted Notes Document for any Series of Parity Lien Notes Debt whose Parity Lien Representative is already party to the Collateral Trust Agreement, the Parity Lien Representative for such Indebtedness executes and delivers a collateral trust joinder in accordance with the Collateral Trust Agreement;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5" w:name="page46"/>
    <w:bookmarkEnd w:id="45"/>
    <w:p>
      <w:pPr>
        <w:ind w:right="340" w:firstLine="656"/>
        <w:spacing w:after="0" w:line="277" w:lineRule="auto"/>
        <w:tabs>
          <w:tab w:leader="none" w:pos="8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Indebtedness is governed by an indenture, credit agreement or other agreement that includes a lien sharing and priority confirmation contemplated by the Collateral Trust Agreement; and</w:t>
      </w:r>
    </w:p>
    <w:p>
      <w:pPr>
        <w:spacing w:after="0" w:line="170" w:lineRule="exact"/>
        <w:rPr>
          <w:rFonts w:ascii="Arial" w:cs="Arial" w:eastAsia="Arial" w:hAnsi="Arial"/>
          <w:sz w:val="18"/>
          <w:szCs w:val="18"/>
          <w:color w:val="auto"/>
        </w:rPr>
      </w:pPr>
    </w:p>
    <w:p>
      <w:pPr>
        <w:ind w:right="20" w:firstLine="656"/>
        <w:spacing w:after="0" w:line="259" w:lineRule="auto"/>
        <w:tabs>
          <w:tab w:leader="none" w:pos="9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requirements set forth in Collateral Trust Agreement have been complied with (the satisfaction of which will be conclusively established if the Company delivers an officer’s certificate to the Permitted Notes Representatives and the Collateral Trustee stating that such requirements and other provisions of the Collateral Trust Agreement have been satisfied and that such Indebtedness is “Parity Lien Notes Debt” under the Permitted Notes Documents).</w:t>
      </w:r>
    </w:p>
    <w:p>
      <w:pPr>
        <w:spacing w:after="0" w:line="18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Parity Lien Notes Obligations</w:t>
      </w:r>
      <w:r>
        <w:rPr>
          <w:rFonts w:ascii="Arial" w:cs="Arial" w:eastAsia="Arial" w:hAnsi="Arial"/>
          <w:sz w:val="17"/>
          <w:szCs w:val="17"/>
          <w:color w:val="auto"/>
        </w:rPr>
        <w:t>” means Parity Lien Notes Debt and all other Obligations in respect thereof including, without limitation interest and premium (if any) (including post-petition interest whether or not allowable), and all guarantees of any of the foregoing.</w:t>
      </w:r>
    </w:p>
    <w:p>
      <w:pPr>
        <w:spacing w:after="0" w:line="1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Lien Representative</w:t>
      </w:r>
      <w:r>
        <w:rPr>
          <w:rFonts w:ascii="Arial" w:cs="Arial" w:eastAsia="Arial" w:hAnsi="Arial"/>
          <w:sz w:val="18"/>
          <w:szCs w:val="18"/>
          <w:color w:val="auto"/>
        </w:rPr>
        <w:t>” means, in the case of any Series of Parity Lien Notes Debt, the trustee, agent or representative of the holders of such Series of Parity Lien Notes Debt who maintains the transfer register for such Series of Parity Lien Notes Debt and (A) is appointed as a Parity Lien Representative (for purposes related to the administration of the Parity Lien Collateral Documents) pursuant to the indenture, credit agreement or other agreement governing such Series of Parity Lien Notes Debt, together with its successors in such capacity, and (B) who has executed a collateral trust joinder contemplated by the Collateral Trust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Lien Secured Parties</w:t>
      </w:r>
      <w:r>
        <w:rPr>
          <w:rFonts w:ascii="Arial" w:cs="Arial" w:eastAsia="Arial" w:hAnsi="Arial"/>
          <w:sz w:val="18"/>
          <w:szCs w:val="18"/>
          <w:color w:val="auto"/>
        </w:rPr>
        <w:t>” means the holders of Parity Lien Notes Obligations and each Parity Lien Representative.</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ABL Debt</w:t>
      </w:r>
      <w:r>
        <w:rPr>
          <w:rFonts w:ascii="Arial" w:cs="Arial" w:eastAsia="Arial" w:hAnsi="Arial"/>
          <w:sz w:val="16"/>
          <w:szCs w:val="16"/>
          <w:color w:val="auto"/>
        </w:rPr>
        <w:t xml:space="preserve">” means Indebtedness of Grantors under a Credit Facility (including letters of credit and reimbursement obligations with respect thereto) as in effect on the date of incurrence or the date of execution of the relevant document in respect of the Credit Facility (whether or not the amounts thereunder are actually drawn on such date), not to exceed the amount permitted to be incurred under this Indenture and each other applicable Secured Debt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Indebtedness incurred under a Credit Facility other than the ABL Facility:</w:t>
      </w:r>
    </w:p>
    <w:p>
      <w:pPr>
        <w:spacing w:after="0" w:line="157" w:lineRule="exact"/>
        <w:rPr>
          <w:sz w:val="20"/>
          <w:szCs w:val="20"/>
          <w:color w:val="auto"/>
        </w:rPr>
      </w:pPr>
    </w:p>
    <w:p>
      <w:pPr>
        <w:ind w:right="20" w:firstLine="656"/>
        <w:spacing w:after="0" w:line="263" w:lineRule="auto"/>
        <w:tabs>
          <w:tab w:leader="none" w:pos="903"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or before the date on which such Indebtedness is incurred by the Grantors, such Indebtedness is designated by the Grantors, as “Additional Debt” in a designation executed and delivered in accordance with the Intercreditor Agreement (it being understood that no series of Indebtedness may be designated as both Permitted ABL Debt and Permitted Notes Debt);</w:t>
      </w:r>
    </w:p>
    <w:p>
      <w:pPr>
        <w:spacing w:after="0" w:line="183" w:lineRule="exact"/>
        <w:rPr>
          <w:rFonts w:ascii="Arial" w:cs="Arial" w:eastAsia="Arial" w:hAnsi="Arial"/>
          <w:sz w:val="18"/>
          <w:szCs w:val="18"/>
          <w:color w:val="auto"/>
        </w:rPr>
      </w:pPr>
    </w:p>
    <w:p>
      <w:pPr>
        <w:ind w:firstLine="656"/>
        <w:spacing w:after="0" w:line="263" w:lineRule="auto"/>
        <w:tabs>
          <w:tab w:leader="none" w:pos="90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Permitted ABL Representative on behalf of all holders of such Permitted ABL Debt for the enforceable benefit of each existing and future Collateral Trustee and each existing and future holder of Permitted Liens executes and delivers an agreement in accordance with the Intercreditor Agreement; and</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other requirements set forth in the Intercreditor Agreement have been complied with.</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the avoidance of doubt it is understood and agreed that the ABL Facility is “revolving” in nature and the amounts thereunder can be drawn, repaid and redrawn.</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46" w:name="page47"/>
    <w:bookmarkEnd w:id="46"/>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ABL Documents</w:t>
      </w:r>
      <w:r>
        <w:rPr>
          <w:rFonts w:ascii="Arial" w:cs="Arial" w:eastAsia="Arial" w:hAnsi="Arial"/>
          <w:sz w:val="18"/>
          <w:szCs w:val="18"/>
          <w:color w:val="auto"/>
        </w:rPr>
        <w:t>” means, collectively, (a) the ABL Facility, (b) the ABL Collateral Documents, (c) if the ABL Facility is no longer outstanding, any other indenture, credit agreement or other agreement pursuant to which any Permitted ABL Debt is incurred and/or established and (d) the related security documents with respect to the foregoing.</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ABL Liens</w:t>
      </w:r>
      <w:r>
        <w:rPr>
          <w:rFonts w:ascii="Arial" w:cs="Arial" w:eastAsia="Arial" w:hAnsi="Arial"/>
          <w:sz w:val="18"/>
          <w:szCs w:val="18"/>
          <w:color w:val="auto"/>
        </w:rPr>
        <w:t>” means any Lien in favor of the ABL Administrative Agent or any ABL Secured Party, including any Lien granted by an ABL Collateral Document to the ABL Administrative Agent, at any time, upon any property of any Grantor, in each case, only to the extent securing Permitted ABL Obligations.</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ABL Obligations</w:t>
      </w:r>
      <w:r>
        <w:rPr>
          <w:rFonts w:ascii="Arial" w:cs="Arial" w:eastAsia="Arial" w:hAnsi="Arial"/>
          <w:sz w:val="18"/>
          <w:szCs w:val="18"/>
          <w:color w:val="auto"/>
        </w:rPr>
        <w:t>” means the Permitted ABL Debt and all other obligations in respect thereof, subject to the Intercreditor Agreement, and shall include all principal, interest, fees and other amounts payable in connection therewith (including all interest and fees that, but for the filing of a petition in an Insolvency or Liquidation Proceeding with respect to any Grantor, would have accrued on any such obligations, whether or not a claim is allowed against such Grantor in such Insolvency or Liquidation Proceeding).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ABL Representative</w:t>
      </w:r>
      <w:r>
        <w:rPr>
          <w:rFonts w:ascii="Arial" w:cs="Arial" w:eastAsia="Arial" w:hAnsi="Arial"/>
          <w:sz w:val="18"/>
          <w:szCs w:val="18"/>
          <w:color w:val="auto"/>
        </w:rPr>
        <w:t>” means:</w:t>
      </w:r>
    </w:p>
    <w:p>
      <w:pPr>
        <w:spacing w:after="0" w:line="225" w:lineRule="exact"/>
        <w:rPr>
          <w:sz w:val="20"/>
          <w:szCs w:val="20"/>
          <w:color w:val="auto"/>
        </w:rPr>
      </w:pPr>
    </w:p>
    <w:p>
      <w:pPr>
        <w:ind w:left="920" w:hanging="264"/>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the ABL Facility, the ABL Administrative Agent; and</w:t>
      </w:r>
    </w:p>
    <w:p>
      <w:pPr>
        <w:spacing w:after="0" w:line="225" w:lineRule="exact"/>
        <w:rPr>
          <w:rFonts w:ascii="Arial" w:cs="Arial" w:eastAsia="Arial" w:hAnsi="Arial"/>
          <w:sz w:val="18"/>
          <w:szCs w:val="18"/>
          <w:color w:val="auto"/>
        </w:rPr>
      </w:pPr>
    </w:p>
    <w:p>
      <w:pPr>
        <w:ind w:right="80" w:firstLine="656"/>
        <w:spacing w:after="0" w:line="259" w:lineRule="auto"/>
        <w:tabs>
          <w:tab w:leader="none" w:pos="9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any other Series of Permitted ABL Debt, solely to the extent that the ABL Facility is no longer outstanding, the trustee, agent or representative of the holders of such Series of Permitted ABL Debt who maintains the transfer register for such Series of Permitted ABL Debt and is appointed as a representative of the Permitted ABL Debt (for purposes related to the administration of the ABL Collateral Documents) pursuant to the credit agreement or other agreement governing such Series of Permitted ABL Debt.</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131313"/>
        </w:rPr>
        <w:t>“</w:t>
      </w:r>
      <w:r>
        <w:rPr>
          <w:rFonts w:ascii="Arial" w:cs="Arial" w:eastAsia="Arial" w:hAnsi="Arial"/>
          <w:sz w:val="18"/>
          <w:szCs w:val="18"/>
          <w:i w:val="1"/>
          <w:iCs w:val="1"/>
          <w:color w:val="131313"/>
        </w:rPr>
        <w:t>Paying Agent</w:t>
      </w:r>
      <w:r>
        <w:rPr>
          <w:rFonts w:ascii="Arial" w:cs="Arial" w:eastAsia="Arial" w:hAnsi="Arial"/>
          <w:sz w:val="18"/>
          <w:szCs w:val="18"/>
          <w:color w:val="131313"/>
        </w:rPr>
        <w:t>” means any Person (including the Company acting as Paying Agent) authorized by the Company to pay the principal of (and premium, if any) or interest on any Notes on behalf of the Company.</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131313"/>
        </w:rPr>
        <w:t>“</w:t>
      </w:r>
      <w:r>
        <w:rPr>
          <w:rFonts w:ascii="Arial" w:cs="Arial" w:eastAsia="Arial" w:hAnsi="Arial"/>
          <w:sz w:val="17"/>
          <w:szCs w:val="17"/>
          <w:i w:val="1"/>
          <w:iCs w:val="1"/>
          <w:color w:val="131313"/>
        </w:rPr>
        <w:t>Permitted Additional Pari Passu Obligations</w:t>
      </w:r>
      <w:r>
        <w:rPr>
          <w:rFonts w:ascii="Arial" w:cs="Arial" w:eastAsia="Arial" w:hAnsi="Arial"/>
          <w:sz w:val="17"/>
          <w:szCs w:val="17"/>
          <w:color w:val="131313"/>
        </w:rPr>
        <w:t>” means obligations under any Additional Notes or any other Indebtedness (whether or not consisting of Additional Notes but excluding the Notes issued on the Issue Date) secured by the Note Liens in an aggregate principal amount not to exceed the sum of (x) $150.0 million plus (y) an additional amount such that, as of the date such Permitted Additional Pari Passu Obligations were Incurred, and after giving pro forma effect thereto and the application of the net proceeds therefrom, the Secured Net Leverage Ratio of the Company would not exceed 3.00 to 1.00; provided, that (A) the applicable representative with respect to such Permitted Additional Pari Passu Obligation executes a joinder agreement to the Collateral Trust Agreement in the relevant form attached thereto agreeing to be bound thereby and (B) the Company has designated such Indebtedness as “Additional Fixed Asset Obligations” under the Intercreditor Agreement and has appropriately designated such Indebtedness pursuant to a “Designation” under the Collateral Trust Agreement.</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Permitted Asset Swap</w:t>
      </w:r>
      <w:r>
        <w:rPr>
          <w:rFonts w:ascii="Arial" w:cs="Arial" w:eastAsia="Arial" w:hAnsi="Arial"/>
          <w:sz w:val="18"/>
          <w:szCs w:val="18"/>
          <w:color w:val="121212"/>
        </w:rPr>
        <w:t xml:space="preserve">” means the substantially concurrent purchase and sale or exchange of Related Business Assets or a combination of Related Business Assets and cash or Cash Equivalents between the Company or any of its Restricted Subsidiaries and another Person that is not the Company or any of its Restricted Subsidiaries; </w:t>
      </w:r>
      <w:r>
        <w:rPr>
          <w:rFonts w:ascii="Arial" w:cs="Arial" w:eastAsia="Arial" w:hAnsi="Arial"/>
          <w:sz w:val="18"/>
          <w:szCs w:val="18"/>
          <w:i w:val="1"/>
          <w:iCs w:val="1"/>
          <w:color w:val="121212"/>
        </w:rPr>
        <w:t>provided</w:t>
      </w:r>
      <w:r>
        <w:rPr>
          <w:rFonts w:ascii="Arial" w:cs="Arial" w:eastAsia="Arial" w:hAnsi="Arial"/>
          <w:sz w:val="18"/>
          <w:szCs w:val="18"/>
          <w:color w:val="121212"/>
        </w:rPr>
        <w:t xml:space="preserve"> that any cash or Cash Equivalents received must be applied in accordance with Section 10.16; </w:t>
      </w:r>
      <w:r>
        <w:rPr>
          <w:rFonts w:ascii="Arial" w:cs="Arial" w:eastAsia="Arial" w:hAnsi="Arial"/>
          <w:sz w:val="18"/>
          <w:szCs w:val="18"/>
          <w:i w:val="1"/>
          <w:iCs w:val="1"/>
          <w:color w:val="121212"/>
        </w:rPr>
        <w:t>provided further</w:t>
      </w:r>
      <w:r>
        <w:rPr>
          <w:rFonts w:ascii="Arial" w:cs="Arial" w:eastAsia="Arial" w:hAnsi="Arial"/>
          <w:sz w:val="18"/>
          <w:szCs w:val="18"/>
          <w:color w:val="121212"/>
        </w:rPr>
        <w:t xml:space="preserve"> that the assets received are pledged as Collateral as required and provided under the Security Documents (except, in </w:t>
      </w:r>
      <w:r>
        <w:rPr>
          <w:rFonts w:ascii="Arial" w:cs="Arial" w:eastAsia="Arial" w:hAnsi="Arial"/>
          <w:sz w:val="18"/>
          <w:szCs w:val="18"/>
          <w:color w:val="000000"/>
        </w:rPr>
        <w:t>the</w:t>
      </w:r>
      <w:r>
        <w:rPr>
          <w:rFonts w:ascii="Arial" w:cs="Arial" w:eastAsia="Arial" w:hAnsi="Arial"/>
          <w:sz w:val="18"/>
          <w:szCs w:val="18"/>
          <w:color w:val="121212"/>
        </w:rPr>
        <w:t xml:space="preserve"> case of Priority ABL Collateral, to the extent the Lien thereon is released by the lenders under the ABL Facility) to the extent that (and with the same priority as) the assets disposed of constituted Collateral.</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7" w:name="page48"/>
    <w:bookmarkEnd w:id="47"/>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Bond Hedge Transaction</w:t>
      </w:r>
      <w:r>
        <w:rPr>
          <w:rFonts w:ascii="Arial" w:cs="Arial" w:eastAsia="Arial" w:hAnsi="Arial"/>
          <w:sz w:val="18"/>
          <w:szCs w:val="18"/>
          <w:color w:val="auto"/>
        </w:rPr>
        <w:t>” means any call or capped call option (or substantively equivalent derivative transaction) on the Company’s common stock purchased by the Company in connection with the issuance of any Convertible Indebtedness; provided that the purchase price for such Permitted Bond Hedge Transaction, less the proceeds received by the Company from the sale of any related Permitted Warrant Transaction, does not exceed the net proceeds received by the Company from the sale of such Convertible Indebtedness issued in connection with the Permitted Bond Hedge Transaction.</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121212"/>
        </w:rPr>
        <w:t>“</w:t>
      </w:r>
      <w:r>
        <w:rPr>
          <w:rFonts w:ascii="Arial" w:cs="Arial" w:eastAsia="Arial" w:hAnsi="Arial"/>
          <w:sz w:val="17"/>
          <w:szCs w:val="17"/>
          <w:i w:val="1"/>
          <w:iCs w:val="1"/>
          <w:color w:val="121212"/>
        </w:rPr>
        <w:t>Permitted Collateral Liens</w:t>
      </w:r>
      <w:r>
        <w:rPr>
          <w:rFonts w:ascii="Arial" w:cs="Arial" w:eastAsia="Arial" w:hAnsi="Arial"/>
          <w:sz w:val="17"/>
          <w:szCs w:val="17"/>
          <w:color w:val="121212"/>
        </w:rPr>
        <w:t xml:space="preserve">” means “Permitted Liens” other </w:t>
      </w:r>
      <w:r>
        <w:rPr>
          <w:rFonts w:ascii="Arial" w:cs="Arial" w:eastAsia="Arial" w:hAnsi="Arial"/>
          <w:sz w:val="17"/>
          <w:szCs w:val="17"/>
          <w:color w:val="000000"/>
        </w:rPr>
        <w:t>than</w:t>
      </w:r>
      <w:r>
        <w:rPr>
          <w:rFonts w:ascii="Arial" w:cs="Arial" w:eastAsia="Arial" w:hAnsi="Arial"/>
          <w:sz w:val="17"/>
          <w:szCs w:val="17"/>
          <w:color w:val="121212"/>
        </w:rPr>
        <w:t xml:space="preserve"> Liens set forth under clauses (7), (8), (9), (17) (in relation to Liens otherwise set forth in the clauses (8) and (9) of the definition of “Permitted Liens”), (18), (19) and (27) (as it relates to any of the foregoing, to the extent such </w:t>
      </w:r>
      <w:r>
        <w:rPr>
          <w:rFonts w:ascii="Arial" w:cs="Arial" w:eastAsia="Arial" w:hAnsi="Arial"/>
          <w:sz w:val="17"/>
          <w:szCs w:val="17"/>
          <w:color w:val="000000"/>
        </w:rPr>
        <w:t>Lien</w:t>
      </w:r>
      <w:r>
        <w:rPr>
          <w:rFonts w:ascii="Arial" w:cs="Arial" w:eastAsia="Arial" w:hAnsi="Arial"/>
          <w:sz w:val="17"/>
          <w:szCs w:val="17"/>
          <w:color w:val="121212"/>
        </w:rPr>
        <w:t xml:space="preserve"> is junior or </w:t>
      </w:r>
      <w:r>
        <w:rPr>
          <w:rFonts w:ascii="Arial" w:cs="Arial" w:eastAsia="Arial" w:hAnsi="Arial"/>
          <w:sz w:val="17"/>
          <w:szCs w:val="17"/>
          <w:i w:val="1"/>
          <w:iCs w:val="1"/>
          <w:color w:val="121212"/>
        </w:rPr>
        <w:t>pari passu</w:t>
      </w:r>
      <w:r>
        <w:rPr>
          <w:rFonts w:ascii="Arial" w:cs="Arial" w:eastAsia="Arial" w:hAnsi="Arial"/>
          <w:sz w:val="17"/>
          <w:szCs w:val="17"/>
          <w:color w:val="121212"/>
        </w:rPr>
        <w:t xml:space="preserve"> to the Liens securing the Notes and the Guarantees) of the definition thereof, </w:t>
      </w:r>
      <w:r>
        <w:rPr>
          <w:rFonts w:ascii="Arial" w:cs="Arial" w:eastAsia="Arial" w:hAnsi="Arial"/>
          <w:sz w:val="17"/>
          <w:szCs w:val="17"/>
          <w:color w:val="000000"/>
        </w:rPr>
        <w:t>in</w:t>
      </w:r>
      <w:r>
        <w:rPr>
          <w:rFonts w:ascii="Arial" w:cs="Arial" w:eastAsia="Arial" w:hAnsi="Arial"/>
          <w:sz w:val="17"/>
          <w:szCs w:val="17"/>
          <w:color w:val="121212"/>
        </w:rPr>
        <w:t xml:space="preserve"> each case to the extent </w:t>
      </w:r>
      <w:r>
        <w:rPr>
          <w:rFonts w:ascii="Arial" w:cs="Arial" w:eastAsia="Arial" w:hAnsi="Arial"/>
          <w:sz w:val="17"/>
          <w:szCs w:val="17"/>
          <w:color w:val="000000"/>
        </w:rPr>
        <w:t>and</w:t>
      </w:r>
      <w:r>
        <w:rPr>
          <w:rFonts w:ascii="Arial" w:cs="Arial" w:eastAsia="Arial" w:hAnsi="Arial"/>
          <w:sz w:val="17"/>
          <w:szCs w:val="17"/>
          <w:color w:val="121212"/>
        </w:rPr>
        <w:t xml:space="preserve"> for so long as the documentation relating to any such Liens prohibit such assets from being Collateral and only for so long as such Liens remain outstanding.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Convertible Indebtedness Call Transaction</w:t>
      </w:r>
      <w:r>
        <w:rPr>
          <w:rFonts w:ascii="Arial" w:cs="Arial" w:eastAsia="Arial" w:hAnsi="Arial"/>
          <w:sz w:val="16"/>
          <w:szCs w:val="16"/>
          <w:color w:val="auto"/>
        </w:rPr>
        <w:t>” means any Permitted Bond Hedge Transaction and any Permitted Warrant Transaction.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Permitted Debt</w:t>
      </w:r>
      <w:r>
        <w:rPr>
          <w:rFonts w:ascii="Arial" w:cs="Arial" w:eastAsia="Arial" w:hAnsi="Arial"/>
          <w:sz w:val="18"/>
          <w:szCs w:val="18"/>
          <w:color w:val="121212"/>
        </w:rPr>
        <w:t xml:space="preserve">” </w:t>
      </w:r>
      <w:r>
        <w:rPr>
          <w:rFonts w:ascii="Arial" w:cs="Arial" w:eastAsia="Arial" w:hAnsi="Arial"/>
          <w:sz w:val="18"/>
          <w:szCs w:val="18"/>
          <w:color w:val="000000"/>
        </w:rPr>
        <w:t>has</w:t>
      </w:r>
      <w:r>
        <w:rPr>
          <w:rFonts w:ascii="Arial" w:cs="Arial" w:eastAsia="Arial" w:hAnsi="Arial"/>
          <w:sz w:val="18"/>
          <w:szCs w:val="18"/>
          <w:color w:val="121212"/>
        </w:rPr>
        <w:t xml:space="preserve"> the meaning specified in Section 10.09(b).</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121212"/>
        </w:rPr>
        <w:t>“</w:t>
      </w:r>
      <w:r>
        <w:rPr>
          <w:rFonts w:ascii="Arial" w:cs="Arial" w:eastAsia="Arial" w:hAnsi="Arial"/>
          <w:sz w:val="18"/>
          <w:szCs w:val="18"/>
          <w:i w:val="1"/>
          <w:iCs w:val="1"/>
          <w:color w:val="121212"/>
        </w:rPr>
        <w:t>Permitted Holders</w:t>
      </w:r>
      <w:r>
        <w:rPr>
          <w:rFonts w:ascii="Arial" w:cs="Arial" w:eastAsia="Arial" w:hAnsi="Arial"/>
          <w:sz w:val="18"/>
          <w:szCs w:val="18"/>
          <w:color w:val="121212"/>
        </w:rPr>
        <w:t>” means members of senior management of the Company (or its direct or indirect parent) on the Issue Date (the “</w:t>
      </w:r>
      <w:r>
        <w:rPr>
          <w:rFonts w:ascii="Arial" w:cs="Arial" w:eastAsia="Arial" w:hAnsi="Arial"/>
          <w:sz w:val="18"/>
          <w:szCs w:val="18"/>
          <w:i w:val="1"/>
          <w:iCs w:val="1"/>
          <w:color w:val="121212"/>
        </w:rPr>
        <w:t>Management</w:t>
      </w:r>
      <w:r>
        <w:rPr>
          <w:rFonts w:ascii="Arial" w:cs="Arial" w:eastAsia="Arial" w:hAnsi="Arial"/>
          <w:sz w:val="18"/>
          <w:szCs w:val="18"/>
          <w:color w:val="121212"/>
        </w:rPr>
        <w:t xml:space="preserve"> </w:t>
      </w:r>
      <w:r>
        <w:rPr>
          <w:rFonts w:ascii="Arial" w:cs="Arial" w:eastAsia="Arial" w:hAnsi="Arial"/>
          <w:sz w:val="18"/>
          <w:szCs w:val="18"/>
          <w:i w:val="1"/>
          <w:iCs w:val="1"/>
          <w:color w:val="121212"/>
        </w:rPr>
        <w:t>Investors</w:t>
      </w:r>
      <w:r>
        <w:rPr>
          <w:rFonts w:ascii="Arial" w:cs="Arial" w:eastAsia="Arial" w:hAnsi="Arial"/>
          <w:sz w:val="18"/>
          <w:szCs w:val="18"/>
          <w:color w:val="121212"/>
        </w:rPr>
        <w:t>”);</w:t>
      </w:r>
      <w:r>
        <w:rPr>
          <w:rFonts w:ascii="Arial" w:cs="Arial" w:eastAsia="Arial" w:hAnsi="Arial"/>
          <w:sz w:val="18"/>
          <w:szCs w:val="18"/>
          <w:i w:val="1"/>
          <w:iCs w:val="1"/>
          <w:color w:val="121212"/>
        </w:rPr>
        <w:t xml:space="preserve"> provided</w:t>
      </w:r>
      <w:r>
        <w:rPr>
          <w:rFonts w:ascii="Arial" w:cs="Arial" w:eastAsia="Arial" w:hAnsi="Arial"/>
          <w:sz w:val="18"/>
          <w:szCs w:val="18"/>
          <w:color w:val="121212"/>
        </w:rPr>
        <w:t>, that the Management Investors, collectively, have beneficial ownership of at least 50% of the total voting power of the Voting Stock</w:t>
      </w:r>
      <w:r>
        <w:rPr>
          <w:rFonts w:ascii="Arial" w:cs="Arial" w:eastAsia="Arial" w:hAnsi="Arial"/>
          <w:sz w:val="18"/>
          <w:szCs w:val="18"/>
          <w:i w:val="1"/>
          <w:iCs w:val="1"/>
          <w:color w:val="121212"/>
        </w:rPr>
        <w:t xml:space="preserve"> </w:t>
      </w:r>
      <w:r>
        <w:rPr>
          <w:rFonts w:ascii="Arial" w:cs="Arial" w:eastAsia="Arial" w:hAnsi="Arial"/>
          <w:sz w:val="18"/>
          <w:szCs w:val="18"/>
          <w:color w:val="121212"/>
        </w:rPr>
        <w:t>of the Company or any of its direct or indirect parent companies. Any Person or group whose acquisition of beneficial ownership constitutes a Change of Control in respect of which a Change of Control Offer is made in accordance with the requirements of this Indenture shall thereafter, together with its Affiliates, constitute an additional Permitted Holder.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right="40" w:firstLine="656"/>
        <w:spacing w:after="0" w:line="259" w:lineRule="auto"/>
        <w:tabs>
          <w:tab w:leader="none" w:pos="12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any Investment in the Company or any Restricted Subsidiary that is a Guarantor and (ii) any Investment (including by way of capital contributions) in the Company or any Restricted Subsidiary that is not a Guarantor; provided, in the case of clause (ii), that the aggregate amount of Investments made by the Company or any Restricted Subsidiary in any Restricted Subsidiary that is not a Guarantor in reliance on this clause (a), shall not exceed the greater of (x) $50.0 million and (y) 3.0% of Consolidated Total Assets;</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121212"/>
        </w:rPr>
        <w:t>any Investment in cash and Cash Equivalents or Investment Grade Securities;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8" w:name="page49"/>
    <w:bookmarkEnd w:id="48"/>
    <w:p>
      <w:pPr>
        <w:ind w:left="-40" w:right="60" w:firstLine="656"/>
        <w:spacing w:after="0" w:line="277" w:lineRule="auto"/>
        <w:tabs>
          <w:tab w:leader="none" w:pos="12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 any Investment by the Company or any Restricted Subsidiary of the </w:t>
      </w:r>
      <w:r>
        <w:rPr>
          <w:rFonts w:ascii="Arial" w:cs="Arial" w:eastAsia="Arial" w:hAnsi="Arial"/>
          <w:sz w:val="18"/>
          <w:szCs w:val="18"/>
          <w:color w:val="121212"/>
        </w:rPr>
        <w:t>Company</w:t>
      </w:r>
      <w:r>
        <w:rPr>
          <w:rFonts w:ascii="Arial" w:cs="Arial" w:eastAsia="Arial" w:hAnsi="Arial"/>
          <w:sz w:val="18"/>
          <w:szCs w:val="18"/>
          <w:color w:val="auto"/>
        </w:rPr>
        <w:t xml:space="preserve"> in </w:t>
      </w:r>
      <w:r>
        <w:rPr>
          <w:rFonts w:ascii="Arial" w:cs="Arial" w:eastAsia="Arial" w:hAnsi="Arial"/>
          <w:sz w:val="18"/>
          <w:szCs w:val="18"/>
          <w:color w:val="121212"/>
        </w:rPr>
        <w:t>a Person that is engaged in a Similar Business</w:t>
      </w:r>
      <w:r>
        <w:rPr>
          <w:rFonts w:ascii="Arial" w:cs="Arial" w:eastAsia="Arial" w:hAnsi="Arial"/>
          <w:sz w:val="18"/>
          <w:szCs w:val="18"/>
          <w:color w:val="auto"/>
        </w:rPr>
        <w:t xml:space="preserve"> if </w:t>
      </w:r>
      <w:r>
        <w:rPr>
          <w:rFonts w:ascii="Arial" w:cs="Arial" w:eastAsia="Arial" w:hAnsi="Arial"/>
          <w:sz w:val="18"/>
          <w:szCs w:val="18"/>
          <w:color w:val="121212"/>
        </w:rPr>
        <w:t>as</w:t>
      </w:r>
      <w:r>
        <w:rPr>
          <w:rFonts w:ascii="Arial" w:cs="Arial" w:eastAsia="Arial" w:hAnsi="Arial"/>
          <w:sz w:val="18"/>
          <w:szCs w:val="18"/>
          <w:color w:val="auto"/>
        </w:rPr>
        <w:t xml:space="preserve"> a </w:t>
      </w:r>
      <w:r>
        <w:rPr>
          <w:rFonts w:ascii="Arial" w:cs="Arial" w:eastAsia="Arial" w:hAnsi="Arial"/>
          <w:sz w:val="18"/>
          <w:szCs w:val="18"/>
          <w:color w:val="121212"/>
        </w:rPr>
        <w:t>result of such Investment:</w:t>
      </w:r>
    </w:p>
    <w:p>
      <w:pPr>
        <w:spacing w:after="0" w:line="170" w:lineRule="exact"/>
        <w:rPr>
          <w:rFonts w:ascii="Arial" w:cs="Arial" w:eastAsia="Arial" w:hAnsi="Arial"/>
          <w:sz w:val="18"/>
          <w:szCs w:val="18"/>
          <w:color w:val="auto"/>
        </w:rPr>
      </w:pPr>
    </w:p>
    <w:p>
      <w:pPr>
        <w:ind w:left="1920" w:hanging="656"/>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225" w:lineRule="exact"/>
        <w:rPr>
          <w:rFonts w:ascii="Arial" w:cs="Arial" w:eastAsia="Arial" w:hAnsi="Arial"/>
          <w:sz w:val="18"/>
          <w:szCs w:val="18"/>
          <w:color w:val="auto"/>
        </w:rPr>
      </w:pPr>
    </w:p>
    <w:p>
      <w:pPr>
        <w:ind w:left="620" w:right="60" w:firstLine="644"/>
        <w:spacing w:after="0" w:line="263" w:lineRule="auto"/>
        <w:tabs>
          <w:tab w:leader="none" w:pos="1927" w:val="left"/>
        </w:tabs>
        <w:numPr>
          <w:ilvl w:val="1"/>
          <w:numId w:val="54"/>
        </w:numPr>
        <w:rPr>
          <w:rFonts w:ascii="Arial" w:cs="Arial" w:eastAsia="Arial" w:hAnsi="Arial"/>
          <w:sz w:val="18"/>
          <w:szCs w:val="18"/>
          <w:color w:val="131313"/>
        </w:rPr>
      </w:pPr>
      <w:r>
        <w:rPr>
          <w:rFonts w:ascii="Arial" w:cs="Arial" w:eastAsia="Arial" w:hAnsi="Arial"/>
          <w:sz w:val="18"/>
          <w:szCs w:val="18"/>
          <w:color w:val="131313"/>
        </w:rPr>
        <w:t>such Person, in one transaction or a series of related transactions, is merged, consolidated or amalgamated with or into, or transfers or conveys substantially all of its assets to, or is liquidated into, the Company or a Restricted Subsidiary of the Company (which shall be the Company or a Guarantor, to the extent such Person is a wholly owned Domestic Subsidiary); and</w:t>
      </w:r>
    </w:p>
    <w:p>
      <w:pPr>
        <w:spacing w:after="0" w:line="184" w:lineRule="exact"/>
        <w:rPr>
          <w:sz w:val="20"/>
          <w:szCs w:val="20"/>
          <w:color w:val="auto"/>
        </w:rPr>
      </w:pPr>
    </w:p>
    <w:p>
      <w:pPr>
        <w:ind w:left="620" w:right="100" w:firstLine="644"/>
        <w:spacing w:after="0" w:line="263" w:lineRule="auto"/>
        <w:tabs>
          <w:tab w:leader="none" w:pos="1938" w:val="left"/>
        </w:tabs>
        <w:numPr>
          <w:ilvl w:val="1"/>
          <w:numId w:val="55"/>
        </w:numPr>
        <w:rPr>
          <w:rFonts w:ascii="Arial" w:cs="Arial" w:eastAsia="Arial" w:hAnsi="Arial"/>
          <w:sz w:val="18"/>
          <w:szCs w:val="18"/>
          <w:color w:val="auto"/>
        </w:rPr>
      </w:pPr>
      <w:r>
        <w:rPr>
          <w:rFonts w:ascii="Arial" w:cs="Arial" w:eastAsia="Arial" w:hAnsi="Arial"/>
          <w:sz w:val="18"/>
          <w:szCs w:val="18"/>
          <w:color w:val="121212"/>
        </w:rPr>
        <w:t>any Investment held by such Person at the time such Person becomes a Restricted Subsidiary or is merged, consolidated or amalgamated with or into, or transfers or conveys substantially all of its assets to, or is liquidated into, the Company or a Restricted Subsidiary of the Company, in each case, not created in anticipation thereof;</w:t>
      </w:r>
    </w:p>
    <w:p>
      <w:pPr>
        <w:spacing w:after="0" w:line="183" w:lineRule="exact"/>
        <w:rPr>
          <w:rFonts w:ascii="Arial" w:cs="Arial" w:eastAsia="Arial" w:hAnsi="Arial"/>
          <w:sz w:val="18"/>
          <w:szCs w:val="18"/>
          <w:color w:val="auto"/>
        </w:rPr>
      </w:pPr>
    </w:p>
    <w:p>
      <w:pPr>
        <w:ind w:left="-40" w:right="520" w:firstLine="656"/>
        <w:spacing w:after="0" w:line="342" w:lineRule="auto"/>
        <w:tabs>
          <w:tab w:leader="none" w:pos="1267" w:val="left"/>
        </w:tabs>
        <w:numPr>
          <w:ilvl w:val="0"/>
          <w:numId w:val="56"/>
        </w:numPr>
        <w:rPr>
          <w:rFonts w:ascii="Arial" w:cs="Arial" w:eastAsia="Arial" w:hAnsi="Arial"/>
          <w:sz w:val="16"/>
          <w:szCs w:val="16"/>
          <w:color w:val="121212"/>
        </w:rPr>
      </w:pPr>
      <w:r>
        <w:rPr>
          <w:rFonts w:ascii="Arial" w:cs="Arial" w:eastAsia="Arial" w:hAnsi="Arial"/>
          <w:sz w:val="16"/>
          <w:szCs w:val="16"/>
          <w:color w:val="auto"/>
        </w:rPr>
        <w:t>any Investment in securities or other assets not constituting cash, Cash Equivalents or Investment Grade Securities and received in connection with an Asset Sale made pursuant to the provisions of Section 10.16 or any other disposition of assets not constituting an Asset Sale;</w:t>
      </w:r>
    </w:p>
    <w:p>
      <w:pPr>
        <w:spacing w:after="0" w:line="123" w:lineRule="exact"/>
        <w:rPr>
          <w:rFonts w:ascii="Arial" w:cs="Arial" w:eastAsia="Arial" w:hAnsi="Arial"/>
          <w:sz w:val="16"/>
          <w:szCs w:val="16"/>
          <w:color w:val="121212"/>
        </w:rPr>
      </w:pPr>
    </w:p>
    <w:p>
      <w:pPr>
        <w:ind w:left="-40" w:firstLine="656"/>
        <w:spacing w:after="0" w:line="259" w:lineRule="auto"/>
        <w:tabs>
          <w:tab w:leader="none" w:pos="1257" w:val="left"/>
        </w:tabs>
        <w:numPr>
          <w:ilvl w:val="0"/>
          <w:numId w:val="56"/>
        </w:numPr>
        <w:rPr>
          <w:rFonts w:ascii="Arial" w:cs="Arial" w:eastAsia="Arial" w:hAnsi="Arial"/>
          <w:sz w:val="18"/>
          <w:szCs w:val="18"/>
          <w:color w:val="121212"/>
        </w:rPr>
      </w:pPr>
      <w:r>
        <w:rPr>
          <w:rFonts w:ascii="Arial" w:cs="Arial" w:eastAsia="Arial" w:hAnsi="Arial"/>
          <w:sz w:val="18"/>
          <w:szCs w:val="18"/>
          <w:color w:val="121212"/>
        </w:rPr>
        <w:t>any Investment existing on the Issue Date or made pursuant to legally binding written commitments in existence on the Issue Date, and any extension, modification or renewal of such existing Investments, to the extent not involving any additional Investment other than as the result of the accrual or accretion of interest or original issue discount or the issuance of pay-in-kind securities, in each case, pursuant to the terms of such Investments as in effect on the Issue Date;</w:t>
      </w:r>
    </w:p>
    <w:p>
      <w:pPr>
        <w:spacing w:after="0" w:line="186" w:lineRule="exact"/>
        <w:rPr>
          <w:rFonts w:ascii="Arial" w:cs="Arial" w:eastAsia="Arial" w:hAnsi="Arial"/>
          <w:sz w:val="18"/>
          <w:szCs w:val="18"/>
          <w:color w:val="121212"/>
        </w:rPr>
      </w:pPr>
    </w:p>
    <w:p>
      <w:pPr>
        <w:ind w:left="-40" w:right="280" w:firstLine="656"/>
        <w:spacing w:after="0" w:line="342" w:lineRule="auto"/>
        <w:tabs>
          <w:tab w:leader="none" w:pos="1282" w:val="left"/>
        </w:tabs>
        <w:numPr>
          <w:ilvl w:val="0"/>
          <w:numId w:val="56"/>
        </w:numPr>
        <w:rPr>
          <w:rFonts w:ascii="Arial" w:cs="Arial" w:eastAsia="Arial" w:hAnsi="Arial"/>
          <w:sz w:val="16"/>
          <w:szCs w:val="16"/>
          <w:color w:val="121212"/>
        </w:rPr>
      </w:pPr>
      <w:r>
        <w:rPr>
          <w:rFonts w:ascii="Arial" w:cs="Arial" w:eastAsia="Arial" w:hAnsi="Arial"/>
          <w:sz w:val="16"/>
          <w:szCs w:val="16"/>
          <w:color w:val="121212"/>
        </w:rPr>
        <w:t xml:space="preserve">loans and advances to, and guarantees </w:t>
      </w:r>
      <w:r>
        <w:rPr>
          <w:rFonts w:ascii="Arial" w:cs="Arial" w:eastAsia="Arial" w:hAnsi="Arial"/>
          <w:sz w:val="16"/>
          <w:szCs w:val="16"/>
          <w:color w:val="000000"/>
        </w:rPr>
        <w:t>of</w:t>
      </w:r>
      <w:r>
        <w:rPr>
          <w:rFonts w:ascii="Arial" w:cs="Arial" w:eastAsia="Arial" w:hAnsi="Arial"/>
          <w:sz w:val="16"/>
          <w:szCs w:val="16"/>
          <w:color w:val="121212"/>
        </w:rPr>
        <w:t xml:space="preserve"> Indebtedness of, directors, officers, employees, managers or consultants of the Company (or any of its direct or indirect parent companies) or a Restricted Subsidiary not in excess of $5.0 million outstanding at any one time, in the aggregate;</w:t>
      </w:r>
    </w:p>
    <w:p>
      <w:pPr>
        <w:spacing w:after="0" w:line="123" w:lineRule="exact"/>
        <w:rPr>
          <w:rFonts w:ascii="Arial" w:cs="Arial" w:eastAsia="Arial" w:hAnsi="Arial"/>
          <w:sz w:val="16"/>
          <w:szCs w:val="16"/>
          <w:color w:val="121212"/>
        </w:rPr>
      </w:pPr>
    </w:p>
    <w:p>
      <w:pPr>
        <w:ind w:left="-40" w:right="40" w:firstLine="656"/>
        <w:spacing w:after="0" w:line="263" w:lineRule="auto"/>
        <w:tabs>
          <w:tab w:leader="none" w:pos="1267" w:val="left"/>
        </w:tabs>
        <w:numPr>
          <w:ilvl w:val="0"/>
          <w:numId w:val="56"/>
        </w:numPr>
        <w:rPr>
          <w:rFonts w:ascii="Arial" w:cs="Arial" w:eastAsia="Arial" w:hAnsi="Arial"/>
          <w:sz w:val="18"/>
          <w:szCs w:val="18"/>
          <w:color w:val="121212"/>
        </w:rPr>
      </w:pPr>
      <w:r>
        <w:rPr>
          <w:rFonts w:ascii="Arial" w:cs="Arial" w:eastAsia="Arial" w:hAnsi="Arial"/>
          <w:sz w:val="18"/>
          <w:szCs w:val="18"/>
          <w:color w:val="121212"/>
        </w:rPr>
        <w:t>any Investments received in compromise or resolution of (i)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(ii) litigation, arbitration or other disputes;</w:t>
      </w:r>
    </w:p>
    <w:p>
      <w:pPr>
        <w:spacing w:after="0" w:line="183" w:lineRule="exact"/>
        <w:rPr>
          <w:rFonts w:ascii="Arial" w:cs="Arial" w:eastAsia="Arial" w:hAnsi="Arial"/>
          <w:sz w:val="18"/>
          <w:szCs w:val="18"/>
          <w:color w:val="121212"/>
        </w:rPr>
      </w:pPr>
    </w:p>
    <w:p>
      <w:pPr>
        <w:ind w:left="1280" w:hanging="664"/>
        <w:spacing w:after="0"/>
        <w:tabs>
          <w:tab w:leader="none" w:pos="1280" w:val="left"/>
        </w:tabs>
        <w:numPr>
          <w:ilvl w:val="0"/>
          <w:numId w:val="56"/>
        </w:numPr>
        <w:rPr>
          <w:rFonts w:ascii="Arial" w:cs="Arial" w:eastAsia="Arial" w:hAnsi="Arial"/>
          <w:sz w:val="18"/>
          <w:szCs w:val="18"/>
          <w:color w:val="121212"/>
        </w:rPr>
      </w:pPr>
      <w:r>
        <w:rPr>
          <w:rFonts w:ascii="Arial" w:cs="Arial" w:eastAsia="Arial" w:hAnsi="Arial"/>
          <w:sz w:val="18"/>
          <w:szCs w:val="18"/>
          <w:color w:val="121212"/>
        </w:rPr>
        <w:t>any Investment acquired by the Company or any Restricted Subsidiary.</w:t>
      </w:r>
    </w:p>
    <w:p>
      <w:pPr>
        <w:spacing w:after="0" w:line="225" w:lineRule="exact"/>
        <w:rPr>
          <w:sz w:val="20"/>
          <w:szCs w:val="20"/>
          <w:color w:val="auto"/>
        </w:rPr>
      </w:pPr>
    </w:p>
    <w:p>
      <w:pPr>
        <w:ind w:left="620" w:right="40" w:firstLine="644"/>
        <w:spacing w:after="0" w:line="279" w:lineRule="auto"/>
        <w:tabs>
          <w:tab w:leader="none" w:pos="1927" w:val="left"/>
        </w:tabs>
        <w:numPr>
          <w:ilvl w:val="0"/>
          <w:numId w:val="57"/>
        </w:numPr>
        <w:rPr>
          <w:rFonts w:ascii="Arial" w:cs="Arial" w:eastAsia="Arial" w:hAnsi="Arial"/>
          <w:sz w:val="17"/>
          <w:szCs w:val="17"/>
          <w:color w:val="auto"/>
        </w:rPr>
      </w:pPr>
      <w:r>
        <w:rPr>
          <w:rFonts w:ascii="Arial" w:cs="Arial" w:eastAsia="Arial" w:hAnsi="Arial"/>
          <w:sz w:val="17"/>
          <w:szCs w:val="17"/>
          <w:color w:val="auto"/>
        </w:rPr>
        <w:t>(x) in exchange for any other Investment or accounts receivable held by the Company or any such Restricted Subsidiary in connection with or as a result of a bankruptcy, workout, reorganization or recapitalization of the Person in which such other Investment is made or which is the obligor with respect to such accounts receivable or (y) in good faith settlement of delinquent obligations of, and other disputes with, customers, trade debtors, licensors, licensees and suppliers arising in the ordinary course of business;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49" w:name="page50"/>
    <w:bookmarkEnd w:id="49"/>
    <w:p>
      <w:pPr>
        <w:ind w:left="660" w:firstLine="644"/>
        <w:spacing w:after="0" w:line="277" w:lineRule="auto"/>
        <w:tabs>
          <w:tab w:leader="none" w:pos="1967" w:val="left"/>
        </w:tabs>
        <w:numPr>
          <w:ilvl w:val="1"/>
          <w:numId w:val="58"/>
        </w:numPr>
        <w:rPr>
          <w:rFonts w:ascii="Arial" w:cs="Arial" w:eastAsia="Arial" w:hAnsi="Arial"/>
          <w:sz w:val="18"/>
          <w:szCs w:val="18"/>
          <w:color w:val="121212"/>
        </w:rPr>
      </w:pPr>
      <w:r>
        <w:rPr>
          <w:rFonts w:ascii="Arial" w:cs="Arial" w:eastAsia="Arial" w:hAnsi="Arial"/>
          <w:sz w:val="18"/>
          <w:szCs w:val="18"/>
          <w:color w:val="121212"/>
        </w:rPr>
        <w:t>as a result of a foreclosure by the Company or any Restricted Subsidiary with respect to any secured Investment or other transfer of title with respect to any secured Investment in default;</w:t>
      </w:r>
    </w:p>
    <w:p>
      <w:pPr>
        <w:spacing w:after="0" w:line="170" w:lineRule="exact"/>
        <w:rPr>
          <w:rFonts w:ascii="Arial" w:cs="Arial" w:eastAsia="Arial" w:hAnsi="Arial"/>
          <w:sz w:val="18"/>
          <w:szCs w:val="18"/>
          <w:color w:val="121212"/>
        </w:rPr>
      </w:pPr>
    </w:p>
    <w:p>
      <w:pPr>
        <w:ind w:left="1320" w:hanging="66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Hedging Obligations permitted under Section 10.09(b)(10);</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63" w:lineRule="auto"/>
        <w:tabs>
          <w:tab w:leader="none" w:pos="1307" w:val="left"/>
        </w:tabs>
        <w:numPr>
          <w:ilvl w:val="0"/>
          <w:numId w:val="59"/>
        </w:numPr>
        <w:rPr>
          <w:rFonts w:ascii="Arial" w:cs="Arial" w:eastAsia="Arial" w:hAnsi="Arial"/>
          <w:sz w:val="18"/>
          <w:szCs w:val="18"/>
          <w:color w:val="auto"/>
        </w:rPr>
      </w:pPr>
      <w:r>
        <w:rPr>
          <w:rFonts w:ascii="Arial" w:cs="Arial" w:eastAsia="Arial" w:hAnsi="Arial"/>
          <w:sz w:val="18"/>
          <w:szCs w:val="18"/>
          <w:color w:val="121212"/>
        </w:rPr>
        <w:t xml:space="preserve">Investments the payment for which consists of Equity Interests of the Company, or any of its direct or indirect parent companies (exclusive of Disqualified Stock); </w:t>
      </w:r>
      <w:r>
        <w:rPr>
          <w:rFonts w:ascii="Arial" w:cs="Arial" w:eastAsia="Arial" w:hAnsi="Arial"/>
          <w:sz w:val="18"/>
          <w:szCs w:val="18"/>
          <w:i w:val="1"/>
          <w:iCs w:val="1"/>
          <w:color w:val="121212"/>
        </w:rPr>
        <w:t>provided</w:t>
      </w:r>
      <w:r>
        <w:rPr>
          <w:rFonts w:ascii="Arial" w:cs="Arial" w:eastAsia="Arial" w:hAnsi="Arial"/>
          <w:sz w:val="18"/>
          <w:szCs w:val="18"/>
          <w:color w:val="121212"/>
        </w:rPr>
        <w:t xml:space="preserve"> that such Equity Interests shall not increase the amount available for Restricted Payments under clause (4)(C) of Section 10.08(a);</w:t>
      </w:r>
    </w:p>
    <w:p>
      <w:pPr>
        <w:spacing w:after="0" w:line="183" w:lineRule="exact"/>
        <w:rPr>
          <w:rFonts w:ascii="Arial" w:cs="Arial" w:eastAsia="Arial" w:hAnsi="Arial"/>
          <w:sz w:val="18"/>
          <w:szCs w:val="18"/>
          <w:color w:val="auto"/>
        </w:rPr>
      </w:pPr>
    </w:p>
    <w:p>
      <w:pPr>
        <w:ind w:right="20" w:firstLine="656"/>
        <w:spacing w:after="0" w:line="277" w:lineRule="auto"/>
        <w:tabs>
          <w:tab w:leader="none" w:pos="1312" w:val="left"/>
        </w:tabs>
        <w:numPr>
          <w:ilvl w:val="0"/>
          <w:numId w:val="59"/>
        </w:numPr>
        <w:rPr>
          <w:rFonts w:ascii="Arial" w:cs="Arial" w:eastAsia="Arial" w:hAnsi="Arial"/>
          <w:sz w:val="18"/>
          <w:szCs w:val="18"/>
          <w:color w:val="auto"/>
        </w:rPr>
      </w:pPr>
      <w:r>
        <w:rPr>
          <w:rFonts w:ascii="Arial" w:cs="Arial" w:eastAsia="Arial" w:hAnsi="Arial"/>
          <w:sz w:val="18"/>
          <w:szCs w:val="18"/>
          <w:color w:val="121212"/>
        </w:rPr>
        <w:t>guarantees of Indebtedness of the Company and the Restricted Subsidiaries permitted under Section 10.09 and performance guarantees in the ordinary course of business;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121212"/>
        </w:rPr>
        <w:t>any transaction to the extent it constitutes an Investment that is permitted and made in accordance with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21212"/>
        </w:rPr>
        <w:t>Section 10.11(b) (except transactions set forth in clauses (2), (6), (10) and (16) of Section 10.11(b));</w:t>
      </w:r>
    </w:p>
    <w:p>
      <w:pPr>
        <w:spacing w:after="0" w:line="211" w:lineRule="exact"/>
        <w:rPr>
          <w:sz w:val="20"/>
          <w:szCs w:val="20"/>
          <w:color w:val="auto"/>
        </w:rPr>
      </w:pPr>
    </w:p>
    <w:p>
      <w:pPr>
        <w:ind w:right="380" w:firstLine="656"/>
        <w:spacing w:after="0" w:line="277" w:lineRule="auto"/>
        <w:tabs>
          <w:tab w:leader="none" w:pos="1307" w:val="left"/>
        </w:tabs>
        <w:numPr>
          <w:ilvl w:val="1"/>
          <w:numId w:val="60"/>
        </w:numPr>
        <w:rPr>
          <w:rFonts w:ascii="Arial" w:cs="Arial" w:eastAsia="Arial" w:hAnsi="Arial"/>
          <w:sz w:val="18"/>
          <w:szCs w:val="18"/>
          <w:color w:val="auto"/>
        </w:rPr>
      </w:pPr>
      <w:r>
        <w:rPr>
          <w:rFonts w:ascii="Arial" w:cs="Arial" w:eastAsia="Arial" w:hAnsi="Arial"/>
          <w:sz w:val="18"/>
          <w:szCs w:val="18"/>
          <w:color w:val="131313"/>
        </w:rPr>
        <w:t>Investments consisting of purchases and acquisitions of inventory, supplies, material or equipment or the licensing or contribution of intellectual property pursuant to joint marketing arrangements with other Persons;</w:t>
      </w:r>
    </w:p>
    <w:p>
      <w:pPr>
        <w:spacing w:after="0" w:line="170" w:lineRule="exact"/>
        <w:rPr>
          <w:rFonts w:ascii="Arial" w:cs="Arial" w:eastAsia="Arial" w:hAnsi="Arial"/>
          <w:sz w:val="18"/>
          <w:szCs w:val="18"/>
          <w:color w:val="auto"/>
        </w:rPr>
      </w:pPr>
    </w:p>
    <w:p>
      <w:pPr>
        <w:ind w:right="280" w:firstLine="656"/>
        <w:spacing w:after="0" w:line="308" w:lineRule="auto"/>
        <w:tabs>
          <w:tab w:leader="none" w:pos="1307" w:val="left"/>
        </w:tabs>
        <w:numPr>
          <w:ilvl w:val="1"/>
          <w:numId w:val="60"/>
        </w:numPr>
        <w:rPr>
          <w:rFonts w:ascii="Arial" w:cs="Arial" w:eastAsia="Arial" w:hAnsi="Arial"/>
          <w:sz w:val="17"/>
          <w:szCs w:val="17"/>
          <w:color w:val="auto"/>
        </w:rPr>
      </w:pPr>
      <w:r>
        <w:rPr>
          <w:rFonts w:ascii="Arial" w:cs="Arial" w:eastAsia="Arial" w:hAnsi="Arial"/>
          <w:sz w:val="17"/>
          <w:szCs w:val="17"/>
          <w:color w:val="131313"/>
        </w:rPr>
        <w:t xml:space="preserve">Investments relating to a Receivables Facility; </w:t>
      </w:r>
      <w:r>
        <w:rPr>
          <w:rFonts w:ascii="Arial" w:cs="Arial" w:eastAsia="Arial" w:hAnsi="Arial"/>
          <w:sz w:val="17"/>
          <w:szCs w:val="17"/>
          <w:i w:val="1"/>
          <w:iCs w:val="1"/>
          <w:color w:val="131313"/>
        </w:rPr>
        <w:t>provided</w:t>
      </w:r>
      <w:r>
        <w:rPr>
          <w:rFonts w:ascii="Arial" w:cs="Arial" w:eastAsia="Arial" w:hAnsi="Arial"/>
          <w:sz w:val="17"/>
          <w:szCs w:val="17"/>
          <w:color w:val="131313"/>
        </w:rPr>
        <w:t xml:space="preserve"> that in the case of Receivables Facilities established after the Issue Date, such Investments are necessary or advisable </w:t>
      </w:r>
      <w:r>
        <w:rPr>
          <w:rFonts w:ascii="Arial" w:cs="Arial" w:eastAsia="Arial" w:hAnsi="Arial"/>
          <w:sz w:val="17"/>
          <w:szCs w:val="17"/>
          <w:color w:val="000000"/>
        </w:rPr>
        <w:t>(in</w:t>
      </w:r>
      <w:r>
        <w:rPr>
          <w:rFonts w:ascii="Arial" w:cs="Arial" w:eastAsia="Arial" w:hAnsi="Arial"/>
          <w:sz w:val="17"/>
          <w:szCs w:val="17"/>
          <w:color w:val="131313"/>
        </w:rPr>
        <w:t xml:space="preserve"> the good faith determination of the Company) to effect such Receivables Facility;</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1"/>
          <w:numId w:val="60"/>
        </w:numPr>
        <w:rPr>
          <w:rFonts w:ascii="Arial" w:cs="Arial" w:eastAsia="Arial" w:hAnsi="Arial"/>
          <w:sz w:val="16"/>
          <w:szCs w:val="16"/>
          <w:color w:val="auto"/>
        </w:rPr>
      </w:pPr>
      <w:r>
        <w:rPr>
          <w:rFonts w:ascii="Arial" w:cs="Arial" w:eastAsia="Arial" w:hAnsi="Arial"/>
          <w:sz w:val="16"/>
          <w:szCs w:val="16"/>
          <w:color w:val="131313"/>
        </w:rPr>
        <w:t>additional Investments having an aggregate fair market value, taken together with all other Investments made pursuant to this clause</w:t>
      </w:r>
    </w:p>
    <w:p>
      <w:pPr>
        <w:spacing w:after="0" w:line="46" w:lineRule="exact"/>
        <w:rPr>
          <w:rFonts w:ascii="Arial" w:cs="Arial" w:eastAsia="Arial" w:hAnsi="Arial"/>
          <w:sz w:val="16"/>
          <w:szCs w:val="16"/>
          <w:color w:val="auto"/>
        </w:rPr>
      </w:pPr>
    </w:p>
    <w:p>
      <w:pPr>
        <w:jc w:val="both"/>
        <w:ind w:right="140" w:firstLine="8"/>
        <w:spacing w:after="0" w:line="255" w:lineRule="auto"/>
        <w:tabs>
          <w:tab w:leader="none" w:pos="255" w:val="left"/>
        </w:tabs>
        <w:numPr>
          <w:ilvl w:val="0"/>
          <w:numId w:val="61"/>
        </w:numPr>
        <w:rPr>
          <w:rFonts w:ascii="Arial" w:cs="Arial" w:eastAsia="Arial" w:hAnsi="Arial"/>
          <w:sz w:val="18"/>
          <w:szCs w:val="18"/>
          <w:color w:val="131313"/>
        </w:rPr>
      </w:pPr>
      <w:r>
        <w:rPr>
          <w:rFonts w:ascii="Arial" w:cs="Arial" w:eastAsia="Arial" w:hAnsi="Arial"/>
          <w:sz w:val="18"/>
          <w:szCs w:val="18"/>
          <w:color w:val="131313"/>
        </w:rPr>
        <w:t>that are at that time outstanding (without giving effect to the sale of an Unrestricted Subsidiary to the extent the proceeds of such sale do not consist of cash or marketable securities), not to exceed the greater of (x) $75.0 million and (y) 3.5% of Consolidated Total Assets (with the fair market value of each Investment being measured at the time made and without giving effect to subsequent changes in value);</w:t>
      </w:r>
    </w:p>
    <w:p>
      <w:pPr>
        <w:spacing w:after="0" w:line="189" w:lineRule="exact"/>
        <w:rPr>
          <w:rFonts w:ascii="Arial" w:cs="Arial" w:eastAsia="Arial" w:hAnsi="Arial"/>
          <w:sz w:val="18"/>
          <w:szCs w:val="18"/>
          <w:color w:val="131313"/>
        </w:rPr>
      </w:pPr>
    </w:p>
    <w:p>
      <w:pPr>
        <w:ind w:right="260" w:firstLine="656"/>
        <w:spacing w:after="0" w:line="286" w:lineRule="auto"/>
        <w:tabs>
          <w:tab w:leader="none" w:pos="1307" w:val="left"/>
        </w:tabs>
        <w:numPr>
          <w:ilvl w:val="1"/>
          <w:numId w:val="61"/>
        </w:numPr>
        <w:rPr>
          <w:rFonts w:ascii="Arial" w:cs="Arial" w:eastAsia="Arial" w:hAnsi="Arial"/>
          <w:sz w:val="17"/>
          <w:szCs w:val="17"/>
          <w:color w:val="auto"/>
        </w:rPr>
      </w:pPr>
      <w:r>
        <w:rPr>
          <w:rFonts w:ascii="Arial" w:cs="Arial" w:eastAsia="Arial" w:hAnsi="Arial"/>
          <w:sz w:val="17"/>
          <w:szCs w:val="17"/>
          <w:color w:val="131313"/>
        </w:rPr>
        <w:t xml:space="preserve">Investments in joint ventures having an aggregate fair market value, taken together with all other Investments made pursuant to this clause (q) that are at that time outstanding, not to exceed the greater of (x) $75.0 </w:t>
      </w:r>
      <w:r>
        <w:rPr>
          <w:rFonts w:ascii="Arial" w:cs="Arial" w:eastAsia="Arial" w:hAnsi="Arial"/>
          <w:sz w:val="17"/>
          <w:szCs w:val="17"/>
          <w:color w:val="000000"/>
        </w:rPr>
        <w:t>million</w:t>
      </w:r>
      <w:r>
        <w:rPr>
          <w:rFonts w:ascii="Arial" w:cs="Arial" w:eastAsia="Arial" w:hAnsi="Arial"/>
          <w:sz w:val="17"/>
          <w:szCs w:val="17"/>
          <w:color w:val="131313"/>
        </w:rPr>
        <w:t xml:space="preserve"> and (y) 3.5% of Consolidated Total Assets (with the fair market value of each Investment being measured at the time made and without giving effect to subsequent changes in value);</w:t>
      </w:r>
    </w:p>
    <w:p>
      <w:pPr>
        <w:spacing w:after="0" w:line="165" w:lineRule="exact"/>
        <w:rPr>
          <w:rFonts w:ascii="Arial" w:cs="Arial" w:eastAsia="Arial" w:hAnsi="Arial"/>
          <w:sz w:val="17"/>
          <w:szCs w:val="17"/>
          <w:color w:val="auto"/>
        </w:rPr>
      </w:pPr>
    </w:p>
    <w:p>
      <w:pPr>
        <w:ind w:right="680" w:firstLine="656"/>
        <w:spacing w:after="0" w:line="277" w:lineRule="auto"/>
        <w:tabs>
          <w:tab w:leader="none" w:pos="1322" w:val="left"/>
        </w:tabs>
        <w:numPr>
          <w:ilvl w:val="1"/>
          <w:numId w:val="61"/>
        </w:numPr>
        <w:rPr>
          <w:rFonts w:ascii="Arial" w:cs="Arial" w:eastAsia="Arial" w:hAnsi="Arial"/>
          <w:sz w:val="18"/>
          <w:szCs w:val="18"/>
          <w:color w:val="auto"/>
        </w:rPr>
      </w:pPr>
      <w:r>
        <w:rPr>
          <w:rFonts w:ascii="Arial" w:cs="Arial" w:eastAsia="Arial" w:hAnsi="Arial"/>
          <w:sz w:val="18"/>
          <w:szCs w:val="18"/>
          <w:color w:val="131313"/>
        </w:rPr>
        <w:t xml:space="preserve">advances, loans, rebates and extensions of credit (including the creation of receivables) to suppliers, customers and vendors, and performance guarantees, in each case </w:t>
      </w:r>
      <w:r>
        <w:rPr>
          <w:rFonts w:ascii="Arial" w:cs="Arial" w:eastAsia="Arial" w:hAnsi="Arial"/>
          <w:sz w:val="18"/>
          <w:szCs w:val="18"/>
          <w:color w:val="000000"/>
        </w:rPr>
        <w:t>in</w:t>
      </w:r>
      <w:r>
        <w:rPr>
          <w:rFonts w:ascii="Arial" w:cs="Arial" w:eastAsia="Arial" w:hAnsi="Arial"/>
          <w:sz w:val="18"/>
          <w:szCs w:val="18"/>
          <w:color w:val="131313"/>
        </w:rPr>
        <w:t xml:space="preserve"> the ordinary course of business;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131313"/>
        </w:rPr>
        <w:t>the acquisition of assets or Capital Stock solely in exchange for the issuance of common Equity Interests of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1260" w:hanging="624"/>
        <w:spacing w:after="0"/>
        <w:tabs>
          <w:tab w:leader="none" w:pos="1260" w:val="left"/>
        </w:tabs>
        <w:numPr>
          <w:ilvl w:val="0"/>
          <w:numId w:val="62"/>
        </w:numPr>
        <w:rPr>
          <w:rFonts w:ascii="Arial" w:cs="Arial" w:eastAsia="Arial" w:hAnsi="Arial"/>
          <w:sz w:val="18"/>
          <w:szCs w:val="18"/>
          <w:color w:val="131313"/>
        </w:rPr>
      </w:pPr>
      <w:r>
        <w:rPr>
          <w:rFonts w:ascii="Arial" w:cs="Arial" w:eastAsia="Arial" w:hAnsi="Arial"/>
          <w:sz w:val="18"/>
          <w:szCs w:val="18"/>
          <w:color w:val="131313"/>
        </w:rPr>
        <w:t>prepaid expenses incurred in the ordinary course of business;</w:t>
      </w:r>
    </w:p>
    <w:p>
      <w:pPr>
        <w:spacing w:after="0" w:line="225" w:lineRule="exact"/>
        <w:rPr>
          <w:rFonts w:ascii="Arial" w:cs="Arial" w:eastAsia="Arial" w:hAnsi="Arial"/>
          <w:sz w:val="18"/>
          <w:szCs w:val="18"/>
          <w:color w:val="131313"/>
        </w:rPr>
      </w:pPr>
    </w:p>
    <w:p>
      <w:pPr>
        <w:ind w:left="-20" w:right="720" w:firstLine="656"/>
        <w:spacing w:after="0" w:line="277" w:lineRule="auto"/>
        <w:tabs>
          <w:tab w:leader="none" w:pos="1287" w:val="left"/>
        </w:tabs>
        <w:numPr>
          <w:ilvl w:val="0"/>
          <w:numId w:val="62"/>
        </w:numPr>
        <w:rPr>
          <w:rFonts w:ascii="Arial" w:cs="Arial" w:eastAsia="Arial" w:hAnsi="Arial"/>
          <w:sz w:val="18"/>
          <w:szCs w:val="18"/>
          <w:color w:val="131313"/>
        </w:rPr>
      </w:pPr>
      <w:r>
        <w:rPr>
          <w:rFonts w:ascii="Arial" w:cs="Arial" w:eastAsia="Arial" w:hAnsi="Arial"/>
          <w:sz w:val="18"/>
          <w:szCs w:val="18"/>
          <w:color w:val="131313"/>
        </w:rPr>
        <w:t>guarantees by the Company or any of its Restricted Subsidiaries of operating leases or of other obligations that do not constitute Indebtedness, in each case in the ordinary course of business;</w:t>
      </w:r>
    </w:p>
    <w:p>
      <w:pPr>
        <w:spacing w:after="0" w:line="170" w:lineRule="exact"/>
        <w:rPr>
          <w:rFonts w:ascii="Arial" w:cs="Arial" w:eastAsia="Arial" w:hAnsi="Arial"/>
          <w:sz w:val="18"/>
          <w:szCs w:val="18"/>
          <w:color w:val="131313"/>
        </w:rPr>
      </w:pPr>
    </w:p>
    <w:p>
      <w:pPr>
        <w:ind w:left="-20" w:right="320" w:firstLine="656"/>
        <w:spacing w:after="0" w:line="277" w:lineRule="auto"/>
        <w:tabs>
          <w:tab w:leader="none" w:pos="1287" w:val="left"/>
        </w:tabs>
        <w:numPr>
          <w:ilvl w:val="0"/>
          <w:numId w:val="62"/>
        </w:numPr>
        <w:rPr>
          <w:rFonts w:ascii="Arial" w:cs="Arial" w:eastAsia="Arial" w:hAnsi="Arial"/>
          <w:sz w:val="18"/>
          <w:szCs w:val="18"/>
          <w:color w:val="131313"/>
        </w:rPr>
      </w:pPr>
      <w:r>
        <w:rPr>
          <w:rFonts w:ascii="Arial" w:cs="Arial" w:eastAsia="Arial" w:hAnsi="Arial"/>
          <w:sz w:val="18"/>
          <w:szCs w:val="18"/>
          <w:color w:val="131313"/>
        </w:rPr>
        <w:t>Investments in the ordinary course of business consisting of UCC Article 3 endorsements for collection or deposit and UCC Article 4 customary trade arrangements with customers consistent with past practices;</w:t>
      </w:r>
    </w:p>
    <w:p>
      <w:pPr>
        <w:spacing w:after="0" w:line="170" w:lineRule="exact"/>
        <w:rPr>
          <w:rFonts w:ascii="Arial" w:cs="Arial" w:eastAsia="Arial" w:hAnsi="Arial"/>
          <w:sz w:val="18"/>
          <w:szCs w:val="18"/>
          <w:color w:val="131313"/>
        </w:rPr>
      </w:pPr>
    </w:p>
    <w:p>
      <w:pPr>
        <w:ind w:left="-20" w:right="180" w:firstLine="656"/>
        <w:spacing w:after="0" w:line="277" w:lineRule="auto"/>
        <w:tabs>
          <w:tab w:leader="none" w:pos="1327" w:val="left"/>
        </w:tabs>
        <w:numPr>
          <w:ilvl w:val="0"/>
          <w:numId w:val="62"/>
        </w:numPr>
        <w:rPr>
          <w:rFonts w:ascii="Arial" w:cs="Arial" w:eastAsia="Arial" w:hAnsi="Arial"/>
          <w:sz w:val="18"/>
          <w:szCs w:val="18"/>
          <w:color w:val="131313"/>
        </w:rPr>
      </w:pPr>
      <w:r>
        <w:rPr>
          <w:rFonts w:ascii="Arial" w:cs="Arial" w:eastAsia="Arial" w:hAnsi="Arial"/>
          <w:sz w:val="18"/>
          <w:szCs w:val="18"/>
          <w:color w:val="131313"/>
        </w:rPr>
        <w:t>to the extent constituting an Investment, escrow deposits to secure indemnification obligations in connection with (i) disposition that is not an Asset Sale or (ii) an acquisition of any business, assets or a Subsidiary not prohibited by this Indenture;</w:t>
      </w:r>
    </w:p>
    <w:p>
      <w:pPr>
        <w:spacing w:after="0" w:line="170" w:lineRule="exact"/>
        <w:rPr>
          <w:rFonts w:ascii="Arial" w:cs="Arial" w:eastAsia="Arial" w:hAnsi="Arial"/>
          <w:sz w:val="18"/>
          <w:szCs w:val="18"/>
          <w:color w:val="131313"/>
        </w:rPr>
      </w:pPr>
    </w:p>
    <w:p>
      <w:pPr>
        <w:ind w:left="-20" w:right="100" w:firstLine="656"/>
        <w:spacing w:after="0" w:line="259" w:lineRule="auto"/>
        <w:tabs>
          <w:tab w:leader="none" w:pos="1287" w:val="left"/>
        </w:tabs>
        <w:numPr>
          <w:ilvl w:val="0"/>
          <w:numId w:val="62"/>
        </w:numPr>
        <w:rPr>
          <w:rFonts w:ascii="Arial" w:cs="Arial" w:eastAsia="Arial" w:hAnsi="Arial"/>
          <w:sz w:val="18"/>
          <w:szCs w:val="18"/>
          <w:color w:val="auto"/>
        </w:rPr>
      </w:pPr>
      <w:r>
        <w:rPr>
          <w:rFonts w:ascii="Arial" w:cs="Arial" w:eastAsia="Arial" w:hAnsi="Arial"/>
          <w:sz w:val="18"/>
          <w:szCs w:val="18"/>
          <w:color w:val="131313"/>
        </w:rPr>
        <w:t>any Investments in Unrestricted Subsidiaries, without giving effect to the sale of an Unrestricted Subsidiary to the extent the proceeds of such sale do not consist of, or have not been subsequently sold or transferred for, Cash Equivalents or marketable securities, not to exceed (as of the date such Investment is made, $15.0 million (with the fair market value of each Investment being measured at the time made and without giving effect to subsequent changes in value));</w:t>
      </w:r>
    </w:p>
    <w:p>
      <w:pPr>
        <w:spacing w:after="0" w:line="186" w:lineRule="exact"/>
        <w:rPr>
          <w:rFonts w:ascii="Arial" w:cs="Arial" w:eastAsia="Arial" w:hAnsi="Arial"/>
          <w:sz w:val="18"/>
          <w:szCs w:val="18"/>
          <w:color w:val="auto"/>
        </w:rPr>
      </w:pPr>
    </w:p>
    <w:p>
      <w:pPr>
        <w:ind w:left="-20" w:right="280" w:firstLine="656"/>
        <w:spacing w:after="0" w:line="277" w:lineRule="auto"/>
        <w:tabs>
          <w:tab w:leader="none" w:pos="12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Investments; provided, after giving pro forma effect thereto for the most recently ended four full fiscal quarters for which internal financial statements are available, the Total Net Leverage Ratio would be no greater than 3.50 to 1.00; and</w:t>
      </w:r>
    </w:p>
    <w:p>
      <w:pPr>
        <w:spacing w:after="0" w:line="170" w:lineRule="exact"/>
        <w:rPr>
          <w:rFonts w:ascii="Arial" w:cs="Arial" w:eastAsia="Arial" w:hAnsi="Arial"/>
          <w:sz w:val="18"/>
          <w:szCs w:val="18"/>
          <w:color w:val="auto"/>
        </w:rPr>
      </w:pPr>
    </w:p>
    <w:p>
      <w:pPr>
        <w:ind w:left="1280" w:hanging="644"/>
        <w:spacing w:after="0"/>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with respect to any Person:</w:t>
      </w:r>
    </w:p>
    <w:p>
      <w:pPr>
        <w:spacing w:after="0" w:line="225" w:lineRule="exact"/>
        <w:rPr>
          <w:sz w:val="20"/>
          <w:szCs w:val="20"/>
          <w:color w:val="auto"/>
        </w:rPr>
      </w:pPr>
    </w:p>
    <w:p>
      <w:pPr>
        <w:jc w:val="both"/>
        <w:ind w:left="-20" w:right="60" w:firstLine="656"/>
        <w:spacing w:after="0" w:line="259" w:lineRule="auto"/>
        <w:tabs>
          <w:tab w:leader="none" w:pos="128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Liens to secure Indebtedness incurred under Section 10.09(b)(1), (10) and (22) (and, in each case, any related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 on Priority Fixed Assets Collateral pursuant to clause (a)(i) thereof or in respect of Obligations with respect to the ABL Facility in the cause of clauses (j) and (y), shall be secured on a junior basis to the Liens securing the Notes and the Guarantees pursuant to the terms of the Intercreditor Agreement;</w:t>
      </w:r>
    </w:p>
    <w:p>
      <w:pPr>
        <w:spacing w:after="0" w:line="186" w:lineRule="exact"/>
        <w:rPr>
          <w:rFonts w:ascii="Arial" w:cs="Arial" w:eastAsia="Arial" w:hAnsi="Arial"/>
          <w:sz w:val="18"/>
          <w:szCs w:val="18"/>
          <w:color w:val="auto"/>
        </w:rPr>
      </w:pPr>
    </w:p>
    <w:p>
      <w:pPr>
        <w:ind w:left="-20" w:firstLine="656"/>
        <w:spacing w:after="0" w:line="257" w:lineRule="auto"/>
        <w:tabs>
          <w:tab w:leader="none" w:pos="1287" w:val="left"/>
        </w:tabs>
        <w:numPr>
          <w:ilvl w:val="0"/>
          <w:numId w:val="63"/>
        </w:numPr>
        <w:rPr>
          <w:rFonts w:ascii="Arial" w:cs="Arial" w:eastAsia="Arial" w:hAnsi="Arial"/>
          <w:sz w:val="18"/>
          <w:szCs w:val="18"/>
          <w:color w:val="131313"/>
        </w:rPr>
      </w:pPr>
      <w:r>
        <w:rPr>
          <w:rFonts w:ascii="Arial" w:cs="Arial" w:eastAsia="Arial" w:hAnsi="Arial"/>
          <w:sz w:val="18"/>
          <w:szCs w:val="18"/>
          <w:color w:val="131313"/>
        </w:rPr>
        <w:t>pledges or deposits by such Person under workmen’s compensation laws, unemployment insurance laws or similar legislation, or good faith deposits, prepayments or cash pledges to secure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w:t>
      </w:r>
    </w:p>
    <w:p>
      <w:pPr>
        <w:spacing w:after="0" w:line="187" w:lineRule="exact"/>
        <w:rPr>
          <w:rFonts w:ascii="Arial" w:cs="Arial" w:eastAsia="Arial" w:hAnsi="Arial"/>
          <w:sz w:val="18"/>
          <w:szCs w:val="18"/>
          <w:color w:val="131313"/>
        </w:rPr>
      </w:pPr>
    </w:p>
    <w:p>
      <w:pPr>
        <w:ind w:left="-20" w:right="60" w:firstLine="656"/>
        <w:spacing w:after="0" w:line="259" w:lineRule="auto"/>
        <w:tabs>
          <w:tab w:leader="none" w:pos="1287" w:val="left"/>
        </w:tabs>
        <w:numPr>
          <w:ilvl w:val="0"/>
          <w:numId w:val="63"/>
        </w:numPr>
        <w:rPr>
          <w:rFonts w:ascii="Arial" w:cs="Arial" w:eastAsia="Arial" w:hAnsi="Arial"/>
          <w:sz w:val="18"/>
          <w:szCs w:val="18"/>
          <w:color w:val="121212"/>
        </w:rPr>
      </w:pPr>
      <w:r>
        <w:rPr>
          <w:rFonts w:ascii="Arial" w:cs="Arial" w:eastAsia="Arial" w:hAnsi="Arial"/>
          <w:sz w:val="18"/>
          <w:szCs w:val="18"/>
          <w:color w:val="121212"/>
        </w:rPr>
        <w:t>Liens imposed by law, such as landlords’, carriers’, warehousemen’s and mechanics’ Liens and other similar Liens, in each case,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1" w:name="page52"/>
    <w:bookmarkEnd w:id="51"/>
    <w:p>
      <w:pPr>
        <w:ind w:left="-100" w:right="100" w:firstLine="656"/>
        <w:spacing w:after="0" w:line="263" w:lineRule="auto"/>
        <w:tabs>
          <w:tab w:leader="none" w:pos="1207" w:val="left"/>
        </w:tabs>
        <w:numPr>
          <w:ilvl w:val="0"/>
          <w:numId w:val="64"/>
        </w:numPr>
        <w:rPr>
          <w:rFonts w:ascii="Arial" w:cs="Arial" w:eastAsia="Arial" w:hAnsi="Arial"/>
          <w:sz w:val="18"/>
          <w:szCs w:val="18"/>
          <w:color w:val="121212"/>
        </w:rPr>
      </w:pPr>
      <w:r>
        <w:rPr>
          <w:rFonts w:ascii="Arial" w:cs="Arial" w:eastAsia="Arial" w:hAnsi="Arial"/>
          <w:sz w:val="18"/>
          <w:szCs w:val="18"/>
          <w:color w:val="121212"/>
        </w:rPr>
        <w:t>Liens for taxes, assessments or other governmental charges or claims not yet overdue for a period of more than 30 days or payable or subject to penalties for nonpayment or which are being contested in good faith by appropriate proceedings diligently conducted, if adequate reserves with respect thereto are maintained on the books of such Person in accordance with GAAP;</w:t>
      </w:r>
    </w:p>
    <w:p>
      <w:pPr>
        <w:spacing w:after="0" w:line="183" w:lineRule="exact"/>
        <w:rPr>
          <w:rFonts w:ascii="Arial" w:cs="Arial" w:eastAsia="Arial" w:hAnsi="Arial"/>
          <w:sz w:val="18"/>
          <w:szCs w:val="18"/>
          <w:color w:val="121212"/>
        </w:rPr>
      </w:pPr>
    </w:p>
    <w:p>
      <w:pPr>
        <w:ind w:left="-100" w:right="240" w:firstLine="656"/>
        <w:spacing w:after="0" w:line="308" w:lineRule="auto"/>
        <w:tabs>
          <w:tab w:leader="none" w:pos="1207" w:val="left"/>
        </w:tabs>
        <w:numPr>
          <w:ilvl w:val="0"/>
          <w:numId w:val="64"/>
        </w:numPr>
        <w:rPr>
          <w:rFonts w:ascii="Arial" w:cs="Arial" w:eastAsia="Arial" w:hAnsi="Arial"/>
          <w:sz w:val="17"/>
          <w:szCs w:val="17"/>
          <w:color w:val="121212"/>
        </w:rPr>
      </w:pPr>
      <w:r>
        <w:rPr>
          <w:rFonts w:ascii="Arial" w:cs="Arial" w:eastAsia="Arial" w:hAnsi="Arial"/>
          <w:sz w:val="17"/>
          <w:szCs w:val="17"/>
          <w:color w:val="121212"/>
        </w:rPr>
        <w:t>Liens to secure the performance of tenders, completion guarantees, statutory obligations, surety, environmental or appeal bonds, bids, leases, government contracts, performance bonds or other obligations of a like nature incurred in the ordinary course of business;</w:t>
      </w:r>
    </w:p>
    <w:p>
      <w:pPr>
        <w:spacing w:after="0" w:line="146" w:lineRule="exact"/>
        <w:rPr>
          <w:rFonts w:ascii="Arial" w:cs="Arial" w:eastAsia="Arial" w:hAnsi="Arial"/>
          <w:sz w:val="17"/>
          <w:szCs w:val="17"/>
          <w:color w:val="121212"/>
        </w:rPr>
      </w:pPr>
    </w:p>
    <w:p>
      <w:pPr>
        <w:ind w:left="-100" w:firstLine="656"/>
        <w:spacing w:after="0" w:line="257" w:lineRule="auto"/>
        <w:tabs>
          <w:tab w:leader="none" w:pos="1207" w:val="left"/>
        </w:tabs>
        <w:numPr>
          <w:ilvl w:val="0"/>
          <w:numId w:val="64"/>
        </w:numPr>
        <w:rPr>
          <w:rFonts w:ascii="Arial" w:cs="Arial" w:eastAsia="Arial" w:hAnsi="Arial"/>
          <w:sz w:val="18"/>
          <w:szCs w:val="18"/>
          <w:color w:val="121212"/>
        </w:rPr>
      </w:pPr>
      <w:r>
        <w:rPr>
          <w:rFonts w:ascii="Arial" w:cs="Arial" w:eastAsia="Arial" w:hAnsi="Arial"/>
          <w:sz w:val="18"/>
          <w:szCs w:val="18"/>
          <w:color w:val="121212"/>
        </w:rPr>
        <w:t>minor survey exceptions, minor encumbrances, easements or reservations of, or rights of others for, licenses, rights-of-way, sewers, electric lines, telegraph and telephone lines and other similar purposes, or zoning or other restrictions as to the use of real properties or Liens incidental to the conduct of the business of such Person or to the ownership of its properties, in each case, which were not incurred in connection with Indebtedness and which do not in the aggregate materially adversely affect the value of said properties or materially impair their use in the operation of the business of such Person;</w:t>
      </w:r>
    </w:p>
    <w:p>
      <w:pPr>
        <w:spacing w:after="0" w:line="187" w:lineRule="exact"/>
        <w:rPr>
          <w:rFonts w:ascii="Arial" w:cs="Arial" w:eastAsia="Arial" w:hAnsi="Arial"/>
          <w:sz w:val="18"/>
          <w:szCs w:val="18"/>
          <w:color w:val="121212"/>
        </w:rPr>
      </w:pPr>
    </w:p>
    <w:p>
      <w:pPr>
        <w:ind w:left="1220" w:hanging="664"/>
        <w:spacing w:after="0"/>
        <w:tabs>
          <w:tab w:leader="none" w:pos="1220" w:val="left"/>
        </w:tabs>
        <w:numPr>
          <w:ilvl w:val="0"/>
          <w:numId w:val="64"/>
        </w:numPr>
        <w:rPr>
          <w:rFonts w:ascii="Arial" w:cs="Arial" w:eastAsia="Arial" w:hAnsi="Arial"/>
          <w:sz w:val="18"/>
          <w:szCs w:val="18"/>
          <w:color w:val="121212"/>
        </w:rPr>
      </w:pPr>
      <w:r>
        <w:rPr>
          <w:rFonts w:ascii="Arial" w:cs="Arial" w:eastAsia="Arial" w:hAnsi="Arial"/>
          <w:sz w:val="18"/>
          <w:szCs w:val="18"/>
          <w:color w:val="121212"/>
        </w:rPr>
        <w:t xml:space="preserve">Liens existing on the Issue Date (other than those set forth under clauses (1) </w:t>
      </w:r>
      <w:r>
        <w:rPr>
          <w:rFonts w:ascii="Arial" w:cs="Arial" w:eastAsia="Arial" w:hAnsi="Arial"/>
          <w:sz w:val="18"/>
          <w:szCs w:val="18"/>
          <w:color w:val="000000"/>
        </w:rPr>
        <w:t>and (32)</w:t>
      </w:r>
      <w:r>
        <w:rPr>
          <w:rFonts w:ascii="Arial" w:cs="Arial" w:eastAsia="Arial" w:hAnsi="Arial"/>
          <w:sz w:val="18"/>
          <w:szCs w:val="18"/>
          <w:color w:val="121212"/>
        </w:rPr>
        <w:t xml:space="preserve"> hereof);</w:t>
      </w:r>
    </w:p>
    <w:p>
      <w:pPr>
        <w:spacing w:after="0" w:line="225" w:lineRule="exact"/>
        <w:rPr>
          <w:rFonts w:ascii="Arial" w:cs="Arial" w:eastAsia="Arial" w:hAnsi="Arial"/>
          <w:sz w:val="18"/>
          <w:szCs w:val="18"/>
          <w:color w:val="121212"/>
        </w:rPr>
      </w:pPr>
    </w:p>
    <w:p>
      <w:pPr>
        <w:ind w:left="-100" w:firstLine="656"/>
        <w:spacing w:after="0" w:line="259" w:lineRule="auto"/>
        <w:tabs>
          <w:tab w:leader="none" w:pos="1207" w:val="left"/>
        </w:tabs>
        <w:numPr>
          <w:ilvl w:val="0"/>
          <w:numId w:val="64"/>
        </w:numPr>
        <w:rPr>
          <w:rFonts w:ascii="Arial" w:cs="Arial" w:eastAsia="Arial" w:hAnsi="Arial"/>
          <w:sz w:val="18"/>
          <w:szCs w:val="18"/>
          <w:color w:val="121212"/>
        </w:rPr>
      </w:pPr>
      <w:r>
        <w:rPr>
          <w:rFonts w:ascii="Arial" w:cs="Arial" w:eastAsia="Arial" w:hAnsi="Arial"/>
          <w:sz w:val="18"/>
          <w:szCs w:val="18"/>
          <w:color w:val="121212"/>
        </w:rPr>
        <w:t xml:space="preserve">Liens on property or shares of stock of a Person at the time such Person becomes a Subsidiary; </w:t>
      </w:r>
      <w:r>
        <w:rPr>
          <w:rFonts w:ascii="Arial" w:cs="Arial" w:eastAsia="Arial" w:hAnsi="Arial"/>
          <w:sz w:val="18"/>
          <w:szCs w:val="18"/>
          <w:i w:val="1"/>
          <w:iCs w:val="1"/>
          <w:color w:val="121212"/>
        </w:rPr>
        <w:t>provided</w:t>
      </w:r>
      <w:r>
        <w:rPr>
          <w:rFonts w:ascii="Arial" w:cs="Arial" w:eastAsia="Arial" w:hAnsi="Arial"/>
          <w:sz w:val="18"/>
          <w:szCs w:val="18"/>
          <w:color w:val="121212"/>
        </w:rPr>
        <w:t xml:space="preserve"> that such Liens are not created or incurred in connection with, or in contemplation of, such other Person becoming such a Subsidiary; </w:t>
      </w:r>
      <w:r>
        <w:rPr>
          <w:rFonts w:ascii="Arial" w:cs="Arial" w:eastAsia="Arial" w:hAnsi="Arial"/>
          <w:sz w:val="18"/>
          <w:szCs w:val="18"/>
          <w:i w:val="1"/>
          <w:iCs w:val="1"/>
          <w:color w:val="121212"/>
        </w:rPr>
        <w:t>provided</w:t>
      </w:r>
      <w:r>
        <w:rPr>
          <w:rFonts w:ascii="Arial" w:cs="Arial" w:eastAsia="Arial" w:hAnsi="Arial"/>
          <w:sz w:val="18"/>
          <w:szCs w:val="18"/>
          <w:color w:val="121212"/>
        </w:rPr>
        <w:t xml:space="preserve">, </w:t>
      </w:r>
      <w:r>
        <w:rPr>
          <w:rFonts w:ascii="Arial" w:cs="Arial" w:eastAsia="Arial" w:hAnsi="Arial"/>
          <w:sz w:val="18"/>
          <w:szCs w:val="18"/>
          <w:i w:val="1"/>
          <w:iCs w:val="1"/>
          <w:color w:val="121212"/>
        </w:rPr>
        <w:t>further</w:t>
      </w:r>
      <w:r>
        <w:rPr>
          <w:rFonts w:ascii="Arial" w:cs="Arial" w:eastAsia="Arial" w:hAnsi="Arial"/>
          <w:sz w:val="18"/>
          <w:szCs w:val="18"/>
          <w:color w:val="121212"/>
        </w:rPr>
        <w:t>, that such Liens may not extend to any other property owned by the Company or any Restricted Subsidiary (other than the proceeds or products of such property or shares of stock or improvements thereon);</w:t>
      </w:r>
    </w:p>
    <w:p>
      <w:pPr>
        <w:spacing w:after="0" w:line="186" w:lineRule="exact"/>
        <w:rPr>
          <w:rFonts w:ascii="Arial" w:cs="Arial" w:eastAsia="Arial" w:hAnsi="Arial"/>
          <w:sz w:val="18"/>
          <w:szCs w:val="18"/>
          <w:color w:val="121212"/>
        </w:rPr>
      </w:pPr>
    </w:p>
    <w:p>
      <w:pPr>
        <w:ind w:left="-100" w:right="20" w:firstLine="656"/>
        <w:spacing w:after="0" w:line="279" w:lineRule="auto"/>
        <w:tabs>
          <w:tab w:leader="none" w:pos="1207" w:val="left"/>
        </w:tabs>
        <w:numPr>
          <w:ilvl w:val="0"/>
          <w:numId w:val="64"/>
        </w:numPr>
        <w:rPr>
          <w:rFonts w:ascii="Arial" w:cs="Arial" w:eastAsia="Arial" w:hAnsi="Arial"/>
          <w:sz w:val="17"/>
          <w:szCs w:val="17"/>
          <w:color w:val="121212"/>
        </w:rPr>
      </w:pPr>
      <w:r>
        <w:rPr>
          <w:rFonts w:ascii="Arial" w:cs="Arial" w:eastAsia="Arial" w:hAnsi="Arial"/>
          <w:sz w:val="17"/>
          <w:szCs w:val="17"/>
          <w:color w:val="121212"/>
        </w:rPr>
        <w:t xml:space="preserve">Liens on property </w:t>
      </w:r>
      <w:r>
        <w:rPr>
          <w:rFonts w:ascii="Arial" w:cs="Arial" w:eastAsia="Arial" w:hAnsi="Arial"/>
          <w:sz w:val="17"/>
          <w:szCs w:val="17"/>
          <w:color w:val="000000"/>
        </w:rPr>
        <w:t>at</w:t>
      </w:r>
      <w:r>
        <w:rPr>
          <w:rFonts w:ascii="Arial" w:cs="Arial" w:eastAsia="Arial" w:hAnsi="Arial"/>
          <w:sz w:val="17"/>
          <w:szCs w:val="17"/>
          <w:color w:val="121212"/>
        </w:rPr>
        <w:t xml:space="preserve"> the time the Company or a Restricted Subsidiary acquired the property, including any acquisition by means of a merger or consolidation with or into the Company or any Restricted Subsidiary; </w:t>
      </w:r>
      <w:r>
        <w:rPr>
          <w:rFonts w:ascii="Arial" w:cs="Arial" w:eastAsia="Arial" w:hAnsi="Arial"/>
          <w:sz w:val="17"/>
          <w:szCs w:val="17"/>
          <w:i w:val="1"/>
          <w:iCs w:val="1"/>
          <w:color w:val="121212"/>
        </w:rPr>
        <w:t>provided</w:t>
      </w:r>
      <w:r>
        <w:rPr>
          <w:rFonts w:ascii="Arial" w:cs="Arial" w:eastAsia="Arial" w:hAnsi="Arial"/>
          <w:sz w:val="17"/>
          <w:szCs w:val="17"/>
          <w:color w:val="121212"/>
        </w:rPr>
        <w:t xml:space="preserve"> that such Liens are not created or incurred in connection with, or in contemplation of, such acquisition; </w:t>
      </w:r>
      <w:r>
        <w:rPr>
          <w:rFonts w:ascii="Arial" w:cs="Arial" w:eastAsia="Arial" w:hAnsi="Arial"/>
          <w:sz w:val="17"/>
          <w:szCs w:val="17"/>
          <w:i w:val="1"/>
          <w:iCs w:val="1"/>
          <w:color w:val="121212"/>
        </w:rPr>
        <w:t>provided</w:t>
      </w:r>
      <w:r>
        <w:rPr>
          <w:rFonts w:ascii="Arial" w:cs="Arial" w:eastAsia="Arial" w:hAnsi="Arial"/>
          <w:sz w:val="17"/>
          <w:szCs w:val="17"/>
          <w:color w:val="121212"/>
        </w:rPr>
        <w:t xml:space="preserve">, </w:t>
      </w:r>
      <w:r>
        <w:rPr>
          <w:rFonts w:ascii="Arial" w:cs="Arial" w:eastAsia="Arial" w:hAnsi="Arial"/>
          <w:sz w:val="17"/>
          <w:szCs w:val="17"/>
          <w:i w:val="1"/>
          <w:iCs w:val="1"/>
          <w:color w:val="121212"/>
        </w:rPr>
        <w:t>further</w:t>
      </w:r>
      <w:r>
        <w:rPr>
          <w:rFonts w:ascii="Arial" w:cs="Arial" w:eastAsia="Arial" w:hAnsi="Arial"/>
          <w:sz w:val="17"/>
          <w:szCs w:val="17"/>
          <w:color w:val="121212"/>
        </w:rPr>
        <w:t>, that the Liens may not extend to any other property owned by the Company or any Restricted Subsidiary (other than the proceeds or products of such property or shares of stock or improvements thereon)</w:t>
      </w:r>
    </w:p>
    <w:p>
      <w:pPr>
        <w:spacing w:after="0" w:line="171" w:lineRule="exact"/>
        <w:rPr>
          <w:rFonts w:ascii="Arial" w:cs="Arial" w:eastAsia="Arial" w:hAnsi="Arial"/>
          <w:sz w:val="17"/>
          <w:szCs w:val="17"/>
          <w:color w:val="121212"/>
        </w:rPr>
      </w:pPr>
    </w:p>
    <w:p>
      <w:pPr>
        <w:ind w:left="-100" w:right="260" w:firstLine="656"/>
        <w:spacing w:after="0" w:line="263" w:lineRule="auto"/>
        <w:tabs>
          <w:tab w:leader="none" w:pos="1208" w:val="left"/>
        </w:tabs>
        <w:numPr>
          <w:ilvl w:val="0"/>
          <w:numId w:val="64"/>
        </w:numPr>
        <w:rPr>
          <w:rFonts w:ascii="Arial" w:cs="Arial" w:eastAsia="Arial" w:hAnsi="Arial"/>
          <w:sz w:val="18"/>
          <w:szCs w:val="18"/>
          <w:color w:val="131313"/>
        </w:rPr>
      </w:pPr>
      <w:r>
        <w:rPr>
          <w:rFonts w:ascii="Arial" w:cs="Arial" w:eastAsia="Arial" w:hAnsi="Arial"/>
          <w:sz w:val="18"/>
          <w:szCs w:val="18"/>
          <w:color w:val="131313"/>
        </w:rPr>
        <w:t>Liens on assets (other than Collateral, except to the extent such Liens are junior to the Liens securing the Notes and the Guarantees) securing Indebtedness or other obligations of a Restricted Subsidiary owing to the Company or another Restricted Subsidiary (other than a Receivables Subsidiary) permitted to be incurred in accordance with Section 10.09;</w:t>
      </w:r>
    </w:p>
    <w:p>
      <w:pPr>
        <w:spacing w:after="0" w:line="183" w:lineRule="exact"/>
        <w:rPr>
          <w:rFonts w:ascii="Arial" w:cs="Arial" w:eastAsia="Arial" w:hAnsi="Arial"/>
          <w:sz w:val="18"/>
          <w:szCs w:val="18"/>
          <w:color w:val="131313"/>
        </w:rPr>
      </w:pPr>
    </w:p>
    <w:p>
      <w:pPr>
        <w:ind w:left="-100" w:right="20" w:firstLine="656"/>
        <w:spacing w:after="0" w:line="342" w:lineRule="auto"/>
        <w:tabs>
          <w:tab w:leader="none" w:pos="1201" w:val="left"/>
        </w:tabs>
        <w:numPr>
          <w:ilvl w:val="0"/>
          <w:numId w:val="64"/>
        </w:numPr>
        <w:rPr>
          <w:rFonts w:ascii="Arial" w:cs="Arial" w:eastAsia="Arial" w:hAnsi="Arial"/>
          <w:sz w:val="16"/>
          <w:szCs w:val="16"/>
          <w:color w:val="131313"/>
        </w:rPr>
      </w:pPr>
      <w:r>
        <w:rPr>
          <w:rFonts w:ascii="Arial" w:cs="Arial" w:eastAsia="Arial" w:hAnsi="Arial"/>
          <w:sz w:val="16"/>
          <w:szCs w:val="16"/>
          <w:color w:val="131313"/>
        </w:rPr>
        <w:t xml:space="preserve">Liens on specific items of inventory or other goods and proceeds of any Person securing such Person’s obligations </w:t>
      </w:r>
      <w:r>
        <w:rPr>
          <w:rFonts w:ascii="Arial" w:cs="Arial" w:eastAsia="Arial" w:hAnsi="Arial"/>
          <w:sz w:val="16"/>
          <w:szCs w:val="16"/>
          <w:color w:val="000000"/>
        </w:rPr>
        <w:t>in</w:t>
      </w:r>
      <w:r>
        <w:rPr>
          <w:rFonts w:ascii="Arial" w:cs="Arial" w:eastAsia="Arial" w:hAnsi="Arial"/>
          <w:sz w:val="16"/>
          <w:szCs w:val="16"/>
          <w:color w:val="131313"/>
        </w:rPr>
        <w:t xml:space="preserve"> respect of bankers’ acceptances issued or created for </w:t>
      </w:r>
      <w:r>
        <w:rPr>
          <w:rFonts w:ascii="Arial" w:cs="Arial" w:eastAsia="Arial" w:hAnsi="Arial"/>
          <w:sz w:val="16"/>
          <w:szCs w:val="16"/>
          <w:color w:val="000000"/>
        </w:rPr>
        <w:t>the</w:t>
      </w:r>
      <w:r>
        <w:rPr>
          <w:rFonts w:ascii="Arial" w:cs="Arial" w:eastAsia="Arial" w:hAnsi="Arial"/>
          <w:sz w:val="16"/>
          <w:szCs w:val="16"/>
          <w:color w:val="131313"/>
        </w:rPr>
        <w:t xml:space="preserve"> account of such Person to facilitate the purchase, shipment or storage of such inventory or other goods;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420" w:top="908" w:right="419" w:bottom="1440" w:gutter="0" w:footer="0" w:header="0"/>
        </w:sectPr>
      </w:pPr>
    </w:p>
    <w:bookmarkStart w:id="52" w:name="page53"/>
    <w:bookmarkEnd w:id="52"/>
    <w:p>
      <w:pPr>
        <w:ind w:left="-40" w:right="140" w:firstLine="656"/>
        <w:spacing w:after="0" w:line="277" w:lineRule="auto"/>
        <w:tabs>
          <w:tab w:leader="none" w:pos="1268" w:val="left"/>
        </w:tabs>
        <w:numPr>
          <w:ilvl w:val="0"/>
          <w:numId w:val="65"/>
        </w:numPr>
        <w:rPr>
          <w:rFonts w:ascii="Arial" w:cs="Arial" w:eastAsia="Arial" w:hAnsi="Arial"/>
          <w:sz w:val="18"/>
          <w:szCs w:val="18"/>
          <w:color w:val="131313"/>
        </w:rPr>
      </w:pPr>
      <w:r>
        <w:rPr>
          <w:rFonts w:ascii="Arial" w:cs="Arial" w:eastAsia="Arial" w:hAnsi="Arial"/>
          <w:sz w:val="18"/>
          <w:szCs w:val="18"/>
          <w:color w:val="131313"/>
        </w:rPr>
        <w:t>leases, licenses, subleases and sublicenses of assets (including, without limitation, real property and intellectual property rights) entered into in the ordinary course of business which do not secure any Indebtedness;</w:t>
      </w:r>
    </w:p>
    <w:p>
      <w:pPr>
        <w:spacing w:after="0" w:line="170" w:lineRule="exact"/>
        <w:rPr>
          <w:rFonts w:ascii="Arial" w:cs="Arial" w:eastAsia="Arial" w:hAnsi="Arial"/>
          <w:sz w:val="18"/>
          <w:szCs w:val="18"/>
          <w:color w:val="131313"/>
        </w:rPr>
      </w:pPr>
    </w:p>
    <w:p>
      <w:pPr>
        <w:ind w:left="-40" w:right="200" w:firstLine="656"/>
        <w:spacing w:after="0" w:line="263" w:lineRule="auto"/>
        <w:tabs>
          <w:tab w:leader="none" w:pos="1268" w:val="left"/>
        </w:tabs>
        <w:numPr>
          <w:ilvl w:val="0"/>
          <w:numId w:val="65"/>
        </w:numPr>
        <w:rPr>
          <w:rFonts w:ascii="Arial" w:cs="Arial" w:eastAsia="Arial" w:hAnsi="Arial"/>
          <w:sz w:val="18"/>
          <w:szCs w:val="18"/>
          <w:color w:val="131313"/>
        </w:rPr>
      </w:pPr>
      <w:r>
        <w:rPr>
          <w:rFonts w:ascii="Arial" w:cs="Arial" w:eastAsia="Arial" w:hAnsi="Arial"/>
          <w:sz w:val="18"/>
          <w:szCs w:val="18"/>
          <w:color w:val="131313"/>
        </w:rPr>
        <w:t xml:space="preserve">Liens arising from financing statement filings under the UCC or similar state laws regarding (i) operating leases entered into by the Company and its Restricted Subsidiaries in the ordinary course of business and (ii) goods consigned or entrusted to or bailed with a Person </w:t>
      </w:r>
      <w:r>
        <w:rPr>
          <w:rFonts w:ascii="Arial" w:cs="Arial" w:eastAsia="Arial" w:hAnsi="Arial"/>
          <w:sz w:val="18"/>
          <w:szCs w:val="18"/>
          <w:color w:val="000000"/>
        </w:rPr>
        <w:t>in</w:t>
      </w:r>
      <w:r>
        <w:rPr>
          <w:rFonts w:ascii="Arial" w:cs="Arial" w:eastAsia="Arial" w:hAnsi="Arial"/>
          <w:sz w:val="18"/>
          <w:szCs w:val="18"/>
          <w:color w:val="131313"/>
        </w:rPr>
        <w:t xml:space="preserve"> connection with the processing, reprocessing, recycling or tolling of such goods;</w:t>
      </w:r>
    </w:p>
    <w:p>
      <w:pPr>
        <w:spacing w:after="0" w:line="183" w:lineRule="exact"/>
        <w:rPr>
          <w:rFonts w:ascii="Arial" w:cs="Arial" w:eastAsia="Arial" w:hAnsi="Arial"/>
          <w:sz w:val="18"/>
          <w:szCs w:val="18"/>
          <w:color w:val="131313"/>
        </w:rPr>
      </w:pPr>
    </w:p>
    <w:p>
      <w:pPr>
        <w:ind w:left="-40" w:right="240" w:firstLine="656"/>
        <w:spacing w:after="0" w:line="277" w:lineRule="auto"/>
        <w:tabs>
          <w:tab w:leader="none" w:pos="1268" w:val="left"/>
        </w:tabs>
        <w:numPr>
          <w:ilvl w:val="0"/>
          <w:numId w:val="65"/>
        </w:numPr>
        <w:rPr>
          <w:rFonts w:ascii="Arial" w:cs="Arial" w:eastAsia="Arial" w:hAnsi="Arial"/>
          <w:sz w:val="18"/>
          <w:szCs w:val="18"/>
          <w:color w:val="131313"/>
        </w:rPr>
      </w:pPr>
      <w:r>
        <w:rPr>
          <w:rFonts w:ascii="Arial" w:cs="Arial" w:eastAsia="Arial" w:hAnsi="Arial"/>
          <w:sz w:val="18"/>
          <w:szCs w:val="18"/>
          <w:color w:val="131313"/>
        </w:rPr>
        <w:t>Liens on assets (other than Collateral, except to the extent such Liens are junior to the Liens securing the Notes and the Guarantees) in favor of the Company or any Guarantor;</w:t>
      </w:r>
    </w:p>
    <w:p>
      <w:pPr>
        <w:spacing w:after="0" w:line="170" w:lineRule="exact"/>
        <w:rPr>
          <w:rFonts w:ascii="Arial" w:cs="Arial" w:eastAsia="Arial" w:hAnsi="Arial"/>
          <w:sz w:val="18"/>
          <w:szCs w:val="18"/>
          <w:color w:val="131313"/>
        </w:rPr>
      </w:pPr>
    </w:p>
    <w:p>
      <w:pPr>
        <w:ind w:left="-40" w:right="740" w:firstLine="656"/>
        <w:spacing w:after="0" w:line="277" w:lineRule="auto"/>
        <w:tabs>
          <w:tab w:leader="none" w:pos="1268" w:val="left"/>
        </w:tabs>
        <w:numPr>
          <w:ilvl w:val="0"/>
          <w:numId w:val="65"/>
        </w:numPr>
        <w:rPr>
          <w:rFonts w:ascii="Arial" w:cs="Arial" w:eastAsia="Arial" w:hAnsi="Arial"/>
          <w:sz w:val="18"/>
          <w:szCs w:val="18"/>
          <w:color w:val="131313"/>
        </w:rPr>
      </w:pPr>
      <w:r>
        <w:rPr>
          <w:rFonts w:ascii="Arial" w:cs="Arial" w:eastAsia="Arial" w:hAnsi="Arial"/>
          <w:sz w:val="18"/>
          <w:szCs w:val="18"/>
          <w:color w:val="131313"/>
        </w:rPr>
        <w:t xml:space="preserve">Liens on inventory or equipment of the Company or any Restricted Subsidiary granted in the ordinary course of business to the Company’s client </w:t>
      </w:r>
      <w:r>
        <w:rPr>
          <w:rFonts w:ascii="Arial" w:cs="Arial" w:eastAsia="Arial" w:hAnsi="Arial"/>
          <w:sz w:val="18"/>
          <w:szCs w:val="18"/>
          <w:color w:val="000000"/>
        </w:rPr>
        <w:t>at</w:t>
      </w:r>
      <w:r>
        <w:rPr>
          <w:rFonts w:ascii="Arial" w:cs="Arial" w:eastAsia="Arial" w:hAnsi="Arial"/>
          <w:sz w:val="18"/>
          <w:szCs w:val="18"/>
          <w:color w:val="131313"/>
        </w:rPr>
        <w:t xml:space="preserve"> which such inventory or equipment is located;</w:t>
      </w:r>
    </w:p>
    <w:p>
      <w:pPr>
        <w:spacing w:after="0" w:line="170" w:lineRule="exact"/>
        <w:rPr>
          <w:rFonts w:ascii="Arial" w:cs="Arial" w:eastAsia="Arial" w:hAnsi="Arial"/>
          <w:sz w:val="18"/>
          <w:szCs w:val="18"/>
          <w:color w:val="131313"/>
        </w:rPr>
      </w:pPr>
    </w:p>
    <w:p>
      <w:pPr>
        <w:ind w:left="1280" w:hanging="664"/>
        <w:spacing w:after="0"/>
        <w:tabs>
          <w:tab w:leader="none" w:pos="1280" w:val="left"/>
        </w:tabs>
        <w:numPr>
          <w:ilvl w:val="0"/>
          <w:numId w:val="65"/>
        </w:numPr>
        <w:rPr>
          <w:rFonts w:ascii="Arial" w:cs="Arial" w:eastAsia="Arial" w:hAnsi="Arial"/>
          <w:sz w:val="18"/>
          <w:szCs w:val="18"/>
          <w:color w:val="131313"/>
        </w:rPr>
      </w:pPr>
      <w:r>
        <w:rPr>
          <w:rFonts w:ascii="Arial" w:cs="Arial" w:eastAsia="Arial" w:hAnsi="Arial"/>
          <w:sz w:val="18"/>
          <w:szCs w:val="18"/>
          <w:color w:val="131313"/>
        </w:rPr>
        <w:t>Liens on accounts receivable and related assets incurred in connection with a Receivables Facility;</w:t>
      </w:r>
    </w:p>
    <w:p>
      <w:pPr>
        <w:spacing w:after="0" w:line="225" w:lineRule="exact"/>
        <w:rPr>
          <w:rFonts w:ascii="Arial" w:cs="Arial" w:eastAsia="Arial" w:hAnsi="Arial"/>
          <w:sz w:val="18"/>
          <w:szCs w:val="18"/>
          <w:color w:val="131313"/>
        </w:rPr>
      </w:pPr>
    </w:p>
    <w:p>
      <w:pPr>
        <w:ind w:left="-40" w:firstLine="656"/>
        <w:spacing w:after="0" w:line="288" w:lineRule="auto"/>
        <w:tabs>
          <w:tab w:leader="none" w:pos="1268" w:val="left"/>
        </w:tabs>
        <w:numPr>
          <w:ilvl w:val="0"/>
          <w:numId w:val="65"/>
        </w:numPr>
        <w:rPr>
          <w:rFonts w:ascii="Arial" w:cs="Arial" w:eastAsia="Arial" w:hAnsi="Arial"/>
          <w:sz w:val="16"/>
          <w:szCs w:val="16"/>
          <w:color w:val="131313"/>
        </w:rPr>
      </w:pPr>
      <w:r>
        <w:rPr>
          <w:rFonts w:ascii="Arial" w:cs="Arial" w:eastAsia="Arial" w:hAnsi="Arial"/>
          <w:sz w:val="16"/>
          <w:szCs w:val="16"/>
          <w:color w:val="131313"/>
        </w:rPr>
        <w:t xml:space="preserve">Liens to secure any refinancing, refunding, extension, renewal or replacement (or successive refinancing, refunding, extensions, renewals or replacements) as a whole, or in part, of any Indebtedness secured by any Lien referred to </w:t>
      </w:r>
      <w:r>
        <w:rPr>
          <w:rFonts w:ascii="Arial" w:cs="Arial" w:eastAsia="Arial" w:hAnsi="Arial"/>
          <w:sz w:val="16"/>
          <w:szCs w:val="16"/>
          <w:color w:val="000000"/>
        </w:rPr>
        <w:t>in</w:t>
      </w:r>
      <w:r>
        <w:rPr>
          <w:rFonts w:ascii="Arial" w:cs="Arial" w:eastAsia="Arial" w:hAnsi="Arial"/>
          <w:sz w:val="16"/>
          <w:szCs w:val="16"/>
          <w:color w:val="131313"/>
        </w:rPr>
        <w:t xml:space="preserve"> the foregoing clauses (7), (8) and (9) and the following clauses (18), (32) and (33); </w:t>
      </w:r>
      <w:r>
        <w:rPr>
          <w:rFonts w:ascii="Arial" w:cs="Arial" w:eastAsia="Arial" w:hAnsi="Arial"/>
          <w:sz w:val="16"/>
          <w:szCs w:val="16"/>
          <w:i w:val="1"/>
          <w:iCs w:val="1"/>
          <w:color w:val="131313"/>
        </w:rPr>
        <w:t>provided</w:t>
      </w:r>
      <w:r>
        <w:rPr>
          <w:rFonts w:ascii="Arial" w:cs="Arial" w:eastAsia="Arial" w:hAnsi="Arial"/>
          <w:sz w:val="16"/>
          <w:szCs w:val="16"/>
          <w:color w:val="131313"/>
        </w:rPr>
        <w:t xml:space="preserve"> that (w) such new Lien shall have the same priority as the original Lien, (x) such new Lien shall be limited to </w:t>
      </w:r>
      <w:r>
        <w:rPr>
          <w:rFonts w:ascii="Arial" w:cs="Arial" w:eastAsia="Arial" w:hAnsi="Arial"/>
          <w:sz w:val="16"/>
          <w:szCs w:val="16"/>
          <w:color w:val="000000"/>
        </w:rPr>
        <w:t>all</w:t>
      </w:r>
      <w:r>
        <w:rPr>
          <w:rFonts w:ascii="Arial" w:cs="Arial" w:eastAsia="Arial" w:hAnsi="Arial"/>
          <w:sz w:val="16"/>
          <w:szCs w:val="16"/>
          <w:color w:val="131313"/>
        </w:rPr>
        <w:t xml:space="preserve"> or part of the same property that secured the original Lien (plus proceeds or products of such property or improvements on such property), (y) the Indebtedness secured by such Lien at such time is not increased to any amount greater than the sum of (A) the outstanding principal amount or, if greater, committed amount of the Indebtedness set forth under the foregoing clauses (7), (8), (9) and the following clauses (18), (32) and (33) </w:t>
      </w:r>
      <w:r>
        <w:rPr>
          <w:rFonts w:ascii="Arial" w:cs="Arial" w:eastAsia="Arial" w:hAnsi="Arial"/>
          <w:sz w:val="16"/>
          <w:szCs w:val="16"/>
          <w:color w:val="000000"/>
        </w:rPr>
        <w:t>at the</w:t>
      </w:r>
      <w:r>
        <w:rPr>
          <w:rFonts w:ascii="Arial" w:cs="Arial" w:eastAsia="Arial" w:hAnsi="Arial"/>
          <w:sz w:val="16"/>
          <w:szCs w:val="16"/>
          <w:color w:val="131313"/>
        </w:rPr>
        <w:t xml:space="preserve"> time the original Lien became a Permitted Lien under this Indenture, and (B) an amount necessary to pay any accrued and unpaid interest and any fees and expenses, including premiums, related to such refinancing, refunding, extension, renewal or replacement and (z) any refinancing, refunding, extension, renewal, amendment or replacement (or successive refinancing, </w:t>
      </w:r>
      <w:r>
        <w:rPr>
          <w:rFonts w:ascii="Arial" w:cs="Arial" w:eastAsia="Arial" w:hAnsi="Arial"/>
          <w:sz w:val="16"/>
          <w:szCs w:val="16"/>
          <w:color w:val="121212"/>
        </w:rPr>
        <w:t>refunding, extensions, renewals, amendments or replacements) of any Indebtedness</w:t>
      </w:r>
      <w:r>
        <w:rPr>
          <w:rFonts w:ascii="Arial" w:cs="Arial" w:eastAsia="Arial" w:hAnsi="Arial"/>
          <w:sz w:val="16"/>
          <w:szCs w:val="16"/>
          <w:color w:val="131313"/>
        </w:rPr>
        <w:t xml:space="preserve"> </w:t>
      </w:r>
      <w:r>
        <w:rPr>
          <w:rFonts w:ascii="Arial" w:cs="Arial" w:eastAsia="Arial" w:hAnsi="Arial"/>
          <w:sz w:val="16"/>
          <w:szCs w:val="16"/>
          <w:color w:val="121212"/>
        </w:rPr>
        <w:t>secured by a Lien referred to in clause (32) and (33) complies with sub-clauses (A) and (B) of Section 10.09(b)(14);</w:t>
      </w:r>
    </w:p>
    <w:p>
      <w:pPr>
        <w:spacing w:after="0" w:line="168" w:lineRule="exact"/>
        <w:rPr>
          <w:rFonts w:ascii="Arial" w:cs="Arial" w:eastAsia="Arial" w:hAnsi="Arial"/>
          <w:sz w:val="16"/>
          <w:szCs w:val="16"/>
          <w:color w:val="131313"/>
        </w:rPr>
      </w:pPr>
    </w:p>
    <w:p>
      <w:pPr>
        <w:ind w:left="-40" w:right="160" w:firstLine="656"/>
        <w:spacing w:after="0" w:line="279" w:lineRule="auto"/>
        <w:tabs>
          <w:tab w:leader="none" w:pos="1268" w:val="left"/>
        </w:tabs>
        <w:numPr>
          <w:ilvl w:val="0"/>
          <w:numId w:val="65"/>
        </w:numPr>
        <w:rPr>
          <w:rFonts w:ascii="Arial" w:cs="Arial" w:eastAsia="Arial" w:hAnsi="Arial"/>
          <w:sz w:val="17"/>
          <w:szCs w:val="17"/>
          <w:color w:val="121212"/>
        </w:rPr>
      </w:pPr>
      <w:r>
        <w:rPr>
          <w:rFonts w:ascii="Arial" w:cs="Arial" w:eastAsia="Arial" w:hAnsi="Arial"/>
          <w:sz w:val="17"/>
          <w:szCs w:val="17"/>
          <w:color w:val="121212"/>
        </w:rPr>
        <w:t>Liens securing Indebtedness permitted to be incurred pursuant to clauses (4), (17) and (</w:t>
      </w:r>
      <w:r>
        <w:rPr>
          <w:rFonts w:ascii="Arial" w:cs="Arial" w:eastAsia="Arial" w:hAnsi="Arial"/>
          <w:sz w:val="17"/>
          <w:szCs w:val="17"/>
          <w:color w:val="000000"/>
        </w:rPr>
        <w:t>1</w:t>
      </w:r>
      <w:r>
        <w:rPr>
          <w:rFonts w:ascii="Arial" w:cs="Arial" w:eastAsia="Arial" w:hAnsi="Arial"/>
          <w:sz w:val="17"/>
          <w:szCs w:val="17"/>
          <w:color w:val="121212"/>
        </w:rPr>
        <w:t xml:space="preserve">9) of Section </w:t>
      </w:r>
      <w:r>
        <w:rPr>
          <w:rFonts w:ascii="Arial" w:cs="Arial" w:eastAsia="Arial" w:hAnsi="Arial"/>
          <w:sz w:val="17"/>
          <w:szCs w:val="17"/>
          <w:color w:val="000000"/>
        </w:rPr>
        <w:t>10.09</w:t>
      </w:r>
      <w:r>
        <w:rPr>
          <w:rFonts w:ascii="Arial" w:cs="Arial" w:eastAsia="Arial" w:hAnsi="Arial"/>
          <w:sz w:val="17"/>
          <w:szCs w:val="17"/>
          <w:color w:val="121212"/>
        </w:rPr>
        <w:t xml:space="preserve">(b); </w:t>
      </w:r>
      <w:r>
        <w:rPr>
          <w:rFonts w:ascii="Arial" w:cs="Arial" w:eastAsia="Arial" w:hAnsi="Arial"/>
          <w:sz w:val="17"/>
          <w:szCs w:val="17"/>
          <w:i w:val="1"/>
          <w:iCs w:val="1"/>
          <w:color w:val="121212"/>
        </w:rPr>
        <w:t>provided</w:t>
      </w:r>
      <w:r>
        <w:rPr>
          <w:rFonts w:ascii="Arial" w:cs="Arial" w:eastAsia="Arial" w:hAnsi="Arial"/>
          <w:sz w:val="17"/>
          <w:szCs w:val="17"/>
          <w:color w:val="121212"/>
        </w:rPr>
        <w:t xml:space="preserve"> that (A) Liens securing Indebtedness permitted to be incurred pursuant to Section 10.09(b)(17) are solely on acquired property or assets of the acquired entity (and proceeds or products of such property or assets or improvements of such property or assets), as the case may be, and (B) Liens securing Indebtedness permitted to be incurred pursuant to Section 10.09(b)(19) extend only to the assets of Foreign Subsidiaries;</w:t>
      </w:r>
    </w:p>
    <w:p>
      <w:pPr>
        <w:spacing w:after="0" w:line="171" w:lineRule="exact"/>
        <w:rPr>
          <w:rFonts w:ascii="Arial" w:cs="Arial" w:eastAsia="Arial" w:hAnsi="Arial"/>
          <w:sz w:val="17"/>
          <w:szCs w:val="17"/>
          <w:color w:val="121212"/>
        </w:rPr>
      </w:pPr>
    </w:p>
    <w:p>
      <w:pPr>
        <w:ind w:left="1280" w:hanging="664"/>
        <w:spacing w:after="0"/>
        <w:tabs>
          <w:tab w:leader="none" w:pos="1280" w:val="left"/>
        </w:tabs>
        <w:numPr>
          <w:ilvl w:val="0"/>
          <w:numId w:val="65"/>
        </w:numPr>
        <w:rPr>
          <w:rFonts w:ascii="Arial" w:cs="Arial" w:eastAsia="Arial" w:hAnsi="Arial"/>
          <w:sz w:val="18"/>
          <w:szCs w:val="18"/>
          <w:color w:val="121212"/>
        </w:rPr>
      </w:pPr>
      <w:r>
        <w:rPr>
          <w:rFonts w:ascii="Arial" w:cs="Arial" w:eastAsia="Arial" w:hAnsi="Arial"/>
          <w:sz w:val="18"/>
          <w:szCs w:val="18"/>
          <w:color w:val="121212"/>
        </w:rPr>
        <w:t>deposits in the ordinary course of business to secure liability to insurance carriers;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53" w:name="page54"/>
    <w:bookmarkEnd w:id="53"/>
    <w:p>
      <w:pPr>
        <w:ind w:firstLine="656"/>
        <w:spacing w:after="0" w:line="263" w:lineRule="auto"/>
        <w:tabs>
          <w:tab w:leader="none" w:pos="1308" w:val="left"/>
        </w:tabs>
        <w:numPr>
          <w:ilvl w:val="0"/>
          <w:numId w:val="66"/>
        </w:numPr>
        <w:rPr>
          <w:rFonts w:ascii="Arial" w:cs="Arial" w:eastAsia="Arial" w:hAnsi="Arial"/>
          <w:sz w:val="18"/>
          <w:szCs w:val="18"/>
          <w:color w:val="121212"/>
        </w:rPr>
      </w:pPr>
      <w:r>
        <w:rPr>
          <w:rFonts w:ascii="Arial" w:cs="Arial" w:eastAsia="Arial" w:hAnsi="Arial"/>
          <w:sz w:val="18"/>
          <w:szCs w:val="18"/>
          <w:color w:val="121212"/>
        </w:rPr>
        <w:t>Liens securing judgments for the payment of money not constituting an Event of Default under Section 5.01(5), so long as such Liens are adequately bonded and any appropriate legal proceedings that may have been duly initiated for the review of such judgment have not been finally terminated or the period within which such proceedings may be initiated has not expired;</w:t>
      </w:r>
    </w:p>
    <w:p>
      <w:pPr>
        <w:spacing w:after="0" w:line="183" w:lineRule="exact"/>
        <w:rPr>
          <w:rFonts w:ascii="Arial" w:cs="Arial" w:eastAsia="Arial" w:hAnsi="Arial"/>
          <w:sz w:val="18"/>
          <w:szCs w:val="18"/>
          <w:color w:val="121212"/>
        </w:rPr>
      </w:pPr>
    </w:p>
    <w:p>
      <w:pPr>
        <w:ind w:right="160" w:firstLine="656"/>
        <w:spacing w:after="0" w:line="277" w:lineRule="auto"/>
        <w:tabs>
          <w:tab w:leader="none" w:pos="1308" w:val="left"/>
        </w:tabs>
        <w:numPr>
          <w:ilvl w:val="0"/>
          <w:numId w:val="66"/>
        </w:numPr>
        <w:rPr>
          <w:rFonts w:ascii="Arial" w:cs="Arial" w:eastAsia="Arial" w:hAnsi="Arial"/>
          <w:sz w:val="18"/>
          <w:szCs w:val="18"/>
          <w:color w:val="121212"/>
        </w:rPr>
      </w:pPr>
      <w:r>
        <w:rPr>
          <w:rFonts w:ascii="Arial" w:cs="Arial" w:eastAsia="Arial" w:hAnsi="Arial"/>
          <w:sz w:val="18"/>
          <w:szCs w:val="18"/>
          <w:color w:val="121212"/>
        </w:rPr>
        <w:t xml:space="preserve">Liens in favor of customs and revenue authorities arising as a matter of law to secure payment of customs duties </w:t>
      </w:r>
      <w:r>
        <w:rPr>
          <w:rFonts w:ascii="Arial" w:cs="Arial" w:eastAsia="Arial" w:hAnsi="Arial"/>
          <w:sz w:val="18"/>
          <w:szCs w:val="18"/>
          <w:color w:val="000000"/>
        </w:rPr>
        <w:t>in</w:t>
      </w:r>
      <w:r>
        <w:rPr>
          <w:rFonts w:ascii="Arial" w:cs="Arial" w:eastAsia="Arial" w:hAnsi="Arial"/>
          <w:sz w:val="18"/>
          <w:szCs w:val="18"/>
          <w:color w:val="121212"/>
        </w:rPr>
        <w:t xml:space="preserve"> connection w</w:t>
      </w:r>
      <w:r>
        <w:rPr>
          <w:rFonts w:ascii="Arial" w:cs="Arial" w:eastAsia="Arial" w:hAnsi="Arial"/>
          <w:sz w:val="18"/>
          <w:szCs w:val="18"/>
          <w:color w:val="000000"/>
        </w:rPr>
        <w:t>ith</w:t>
      </w:r>
      <w:r>
        <w:rPr>
          <w:rFonts w:ascii="Arial" w:cs="Arial" w:eastAsia="Arial" w:hAnsi="Arial"/>
          <w:sz w:val="18"/>
          <w:szCs w:val="18"/>
          <w:color w:val="121212"/>
        </w:rPr>
        <w:t xml:space="preserve"> the importation or exportation of goods </w:t>
      </w:r>
      <w:r>
        <w:rPr>
          <w:rFonts w:ascii="Arial" w:cs="Arial" w:eastAsia="Arial" w:hAnsi="Arial"/>
          <w:sz w:val="18"/>
          <w:szCs w:val="18"/>
          <w:color w:val="000000"/>
        </w:rPr>
        <w:t>in</w:t>
      </w:r>
      <w:r>
        <w:rPr>
          <w:rFonts w:ascii="Arial" w:cs="Arial" w:eastAsia="Arial" w:hAnsi="Arial"/>
          <w:sz w:val="18"/>
          <w:szCs w:val="18"/>
          <w:color w:val="121212"/>
        </w:rPr>
        <w:t xml:space="preserve"> the ordinary course of business;</w:t>
      </w:r>
    </w:p>
    <w:p>
      <w:pPr>
        <w:spacing w:after="0" w:line="170" w:lineRule="exact"/>
        <w:rPr>
          <w:rFonts w:ascii="Arial" w:cs="Arial" w:eastAsia="Arial" w:hAnsi="Arial"/>
          <w:sz w:val="18"/>
          <w:szCs w:val="18"/>
          <w:color w:val="121212"/>
        </w:rPr>
      </w:pPr>
    </w:p>
    <w:p>
      <w:pPr>
        <w:jc w:val="both"/>
        <w:ind w:right="240" w:firstLine="656"/>
        <w:spacing w:after="0" w:line="311" w:lineRule="auto"/>
        <w:tabs>
          <w:tab w:leader="none" w:pos="1308" w:val="left"/>
        </w:tabs>
        <w:numPr>
          <w:ilvl w:val="0"/>
          <w:numId w:val="66"/>
        </w:numPr>
        <w:rPr>
          <w:rFonts w:ascii="Arial" w:cs="Arial" w:eastAsia="Arial" w:hAnsi="Arial"/>
          <w:sz w:val="16"/>
          <w:szCs w:val="16"/>
          <w:color w:val="121212"/>
        </w:rPr>
      </w:pPr>
      <w:r>
        <w:rPr>
          <w:rFonts w:ascii="Arial" w:cs="Arial" w:eastAsia="Arial" w:hAnsi="Arial"/>
          <w:sz w:val="16"/>
          <w:szCs w:val="16"/>
          <w:color w:val="121212"/>
        </w:rPr>
        <w:t xml:space="preserve">Liens (i) of a collection bank arising under Section 4-210 of the UCC on items </w:t>
      </w:r>
      <w:r>
        <w:rPr>
          <w:rFonts w:ascii="Arial" w:cs="Arial" w:eastAsia="Arial" w:hAnsi="Arial"/>
          <w:sz w:val="16"/>
          <w:szCs w:val="16"/>
          <w:color w:val="000000"/>
        </w:rPr>
        <w:t>in the</w:t>
      </w:r>
      <w:r>
        <w:rPr>
          <w:rFonts w:ascii="Arial" w:cs="Arial" w:eastAsia="Arial" w:hAnsi="Arial"/>
          <w:sz w:val="16"/>
          <w:szCs w:val="16"/>
          <w:color w:val="121212"/>
        </w:rPr>
        <w:t xml:space="preserv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148" w:lineRule="exact"/>
        <w:rPr>
          <w:rFonts w:ascii="Arial" w:cs="Arial" w:eastAsia="Arial" w:hAnsi="Arial"/>
          <w:sz w:val="16"/>
          <w:szCs w:val="16"/>
          <w:color w:val="121212"/>
        </w:rPr>
      </w:pPr>
    </w:p>
    <w:p>
      <w:pPr>
        <w:jc w:val="both"/>
        <w:ind w:firstLine="656"/>
        <w:spacing w:after="0" w:line="301" w:lineRule="auto"/>
        <w:tabs>
          <w:tab w:leader="none" w:pos="1308" w:val="left"/>
        </w:tabs>
        <w:numPr>
          <w:ilvl w:val="0"/>
          <w:numId w:val="66"/>
        </w:numPr>
        <w:rPr>
          <w:rFonts w:ascii="Arial" w:cs="Arial" w:eastAsia="Arial" w:hAnsi="Arial"/>
          <w:sz w:val="16"/>
          <w:szCs w:val="16"/>
          <w:color w:val="121212"/>
        </w:rPr>
      </w:pPr>
      <w:r>
        <w:rPr>
          <w:rFonts w:ascii="Arial" w:cs="Arial" w:eastAsia="Arial" w:hAnsi="Arial"/>
          <w:sz w:val="16"/>
          <w:szCs w:val="16"/>
          <w:color w:val="121212"/>
        </w:rPr>
        <w:t>Liens that are contractual rights of set-off (i) relating to the establishment of depository relations with banks not given in connection with the issuance of Indebtedness, (ii) relating to pooled deposit or sweep accounts of the Company or any of its Restricted Subsidiaries to permit satisfaction of overdraft or similar obligations incurred in the ordinary course of business of the Company and its Restricted Subsidiaries or (iii) relating to purchase orders and other agreements entered into with customers of the Company or any of its Restricted Subsidiaries in the ordinary course of business;</w:t>
      </w:r>
    </w:p>
    <w:p>
      <w:pPr>
        <w:spacing w:after="0" w:line="157" w:lineRule="exact"/>
        <w:rPr>
          <w:rFonts w:ascii="Arial" w:cs="Arial" w:eastAsia="Arial" w:hAnsi="Arial"/>
          <w:sz w:val="16"/>
          <w:szCs w:val="16"/>
          <w:color w:val="121212"/>
        </w:rPr>
      </w:pPr>
    </w:p>
    <w:p>
      <w:pPr>
        <w:ind w:right="20" w:firstLine="656"/>
        <w:spacing w:after="0" w:line="277" w:lineRule="auto"/>
        <w:tabs>
          <w:tab w:leader="none" w:pos="1308" w:val="left"/>
        </w:tabs>
        <w:numPr>
          <w:ilvl w:val="0"/>
          <w:numId w:val="66"/>
        </w:numPr>
        <w:rPr>
          <w:rFonts w:ascii="Arial" w:cs="Arial" w:eastAsia="Arial" w:hAnsi="Arial"/>
          <w:sz w:val="18"/>
          <w:szCs w:val="18"/>
          <w:color w:val="121212"/>
        </w:rPr>
      </w:pPr>
      <w:r>
        <w:rPr>
          <w:rFonts w:ascii="Arial" w:cs="Arial" w:eastAsia="Arial" w:hAnsi="Arial"/>
          <w:sz w:val="18"/>
          <w:szCs w:val="18"/>
          <w:color w:val="121212"/>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70" w:lineRule="exact"/>
        <w:rPr>
          <w:rFonts w:ascii="Arial" w:cs="Arial" w:eastAsia="Arial" w:hAnsi="Arial"/>
          <w:sz w:val="18"/>
          <w:szCs w:val="18"/>
          <w:color w:val="121212"/>
        </w:rPr>
      </w:pPr>
    </w:p>
    <w:p>
      <w:pPr>
        <w:ind w:right="60" w:firstLine="656"/>
        <w:spacing w:after="0" w:line="277" w:lineRule="auto"/>
        <w:tabs>
          <w:tab w:leader="none" w:pos="1308" w:val="left"/>
        </w:tabs>
        <w:numPr>
          <w:ilvl w:val="0"/>
          <w:numId w:val="66"/>
        </w:numPr>
        <w:rPr>
          <w:rFonts w:ascii="Arial" w:cs="Arial" w:eastAsia="Arial" w:hAnsi="Arial"/>
          <w:sz w:val="18"/>
          <w:szCs w:val="18"/>
          <w:color w:val="131313"/>
        </w:rPr>
      </w:pPr>
      <w:r>
        <w:rPr>
          <w:rFonts w:ascii="Arial" w:cs="Arial" w:eastAsia="Arial" w:hAnsi="Arial"/>
          <w:sz w:val="18"/>
          <w:szCs w:val="18"/>
          <w:color w:val="131313"/>
        </w:rPr>
        <w:t xml:space="preserve">Liens deemed to exist in connection with Investments </w:t>
      </w:r>
      <w:r>
        <w:rPr>
          <w:rFonts w:ascii="Arial" w:cs="Arial" w:eastAsia="Arial" w:hAnsi="Arial"/>
          <w:sz w:val="18"/>
          <w:szCs w:val="18"/>
          <w:color w:val="000000"/>
        </w:rPr>
        <w:t>in</w:t>
      </w:r>
      <w:r>
        <w:rPr>
          <w:rFonts w:ascii="Arial" w:cs="Arial" w:eastAsia="Arial" w:hAnsi="Arial"/>
          <w:sz w:val="18"/>
          <w:szCs w:val="18"/>
          <w:color w:val="131313"/>
        </w:rPr>
        <w:t xml:space="preserve"> repurchase agreements permitted under Section 10.09; </w:t>
      </w:r>
      <w:r>
        <w:rPr>
          <w:rFonts w:ascii="Arial" w:cs="Arial" w:eastAsia="Arial" w:hAnsi="Arial"/>
          <w:sz w:val="18"/>
          <w:szCs w:val="18"/>
          <w:i w:val="1"/>
          <w:iCs w:val="1"/>
          <w:color w:val="131313"/>
        </w:rPr>
        <w:t>provided</w:t>
      </w:r>
      <w:r>
        <w:rPr>
          <w:rFonts w:ascii="Arial" w:cs="Arial" w:eastAsia="Arial" w:hAnsi="Arial"/>
          <w:sz w:val="18"/>
          <w:szCs w:val="18"/>
          <w:color w:val="131313"/>
        </w:rPr>
        <w:t xml:space="preserve"> that such Liens do not extend to any assets other than those assets that are the subject of such repurchase agreement;</w:t>
      </w:r>
    </w:p>
    <w:p>
      <w:pPr>
        <w:spacing w:after="0" w:line="170" w:lineRule="exact"/>
        <w:rPr>
          <w:rFonts w:ascii="Arial" w:cs="Arial" w:eastAsia="Arial" w:hAnsi="Arial"/>
          <w:sz w:val="18"/>
          <w:szCs w:val="18"/>
          <w:color w:val="131313"/>
        </w:rPr>
      </w:pPr>
    </w:p>
    <w:p>
      <w:pPr>
        <w:ind w:right="80" w:firstLine="656"/>
        <w:spacing w:after="0" w:line="277" w:lineRule="auto"/>
        <w:tabs>
          <w:tab w:leader="none" w:pos="1308" w:val="left"/>
        </w:tabs>
        <w:numPr>
          <w:ilvl w:val="0"/>
          <w:numId w:val="66"/>
        </w:numPr>
        <w:rPr>
          <w:rFonts w:ascii="Arial" w:cs="Arial" w:eastAsia="Arial" w:hAnsi="Arial"/>
          <w:sz w:val="18"/>
          <w:szCs w:val="18"/>
          <w:color w:val="131313"/>
        </w:rPr>
      </w:pPr>
      <w:r>
        <w:rPr>
          <w:rFonts w:ascii="Arial" w:cs="Arial" w:eastAsia="Arial" w:hAnsi="Arial"/>
          <w:sz w:val="18"/>
          <w:szCs w:val="18"/>
          <w:color w:val="131313"/>
        </w:rPr>
        <w:t xml:space="preserve">other Liens securing Obligations which Obligations </w:t>
      </w:r>
      <w:r>
        <w:rPr>
          <w:rFonts w:ascii="Arial" w:cs="Arial" w:eastAsia="Arial" w:hAnsi="Arial"/>
          <w:sz w:val="18"/>
          <w:szCs w:val="18"/>
          <w:color w:val="000000"/>
        </w:rPr>
        <w:t>at</w:t>
      </w:r>
      <w:r>
        <w:rPr>
          <w:rFonts w:ascii="Arial" w:cs="Arial" w:eastAsia="Arial" w:hAnsi="Arial"/>
          <w:sz w:val="18"/>
          <w:szCs w:val="18"/>
          <w:color w:val="131313"/>
        </w:rPr>
        <w:t xml:space="preserve"> the time outstanding do not exceed the greater of (x) $100.0 million and (y) 5.0% of Consolidated Total Assets;</w:t>
      </w:r>
    </w:p>
    <w:p>
      <w:pPr>
        <w:spacing w:after="0" w:line="170" w:lineRule="exact"/>
        <w:rPr>
          <w:rFonts w:ascii="Arial" w:cs="Arial" w:eastAsia="Arial" w:hAnsi="Arial"/>
          <w:sz w:val="18"/>
          <w:szCs w:val="18"/>
          <w:color w:val="131313"/>
        </w:rPr>
      </w:pPr>
    </w:p>
    <w:p>
      <w:pPr>
        <w:ind w:left="1320" w:hanging="664"/>
        <w:spacing w:after="0"/>
        <w:tabs>
          <w:tab w:leader="none" w:pos="1320" w:val="left"/>
        </w:tabs>
        <w:numPr>
          <w:ilvl w:val="0"/>
          <w:numId w:val="66"/>
        </w:numPr>
        <w:rPr>
          <w:rFonts w:ascii="Arial" w:cs="Arial" w:eastAsia="Arial" w:hAnsi="Arial"/>
          <w:sz w:val="18"/>
          <w:szCs w:val="18"/>
          <w:color w:val="131313"/>
        </w:rPr>
      </w:pPr>
      <w:r>
        <w:rPr>
          <w:rFonts w:ascii="Arial" w:cs="Arial" w:eastAsia="Arial" w:hAnsi="Arial"/>
          <w:sz w:val="18"/>
          <w:szCs w:val="18"/>
          <w:color w:val="131313"/>
        </w:rPr>
        <w:t>Liens securing Hedging Obligations;</w:t>
      </w:r>
    </w:p>
    <w:p>
      <w:pPr>
        <w:spacing w:after="0" w:line="225" w:lineRule="exact"/>
        <w:rPr>
          <w:rFonts w:ascii="Arial" w:cs="Arial" w:eastAsia="Arial" w:hAnsi="Arial"/>
          <w:sz w:val="18"/>
          <w:szCs w:val="18"/>
          <w:color w:val="131313"/>
        </w:rPr>
      </w:pPr>
    </w:p>
    <w:p>
      <w:pPr>
        <w:ind w:left="1320" w:hanging="664"/>
        <w:spacing w:after="0"/>
        <w:tabs>
          <w:tab w:leader="none" w:pos="1320" w:val="left"/>
        </w:tabs>
        <w:numPr>
          <w:ilvl w:val="0"/>
          <w:numId w:val="66"/>
        </w:numPr>
        <w:rPr>
          <w:rFonts w:ascii="Arial" w:cs="Arial" w:eastAsia="Arial" w:hAnsi="Arial"/>
          <w:sz w:val="16"/>
          <w:szCs w:val="16"/>
          <w:color w:val="131313"/>
        </w:rPr>
      </w:pPr>
      <w:r>
        <w:rPr>
          <w:rFonts w:ascii="Arial" w:cs="Arial" w:eastAsia="Arial" w:hAnsi="Arial"/>
          <w:sz w:val="16"/>
          <w:szCs w:val="16"/>
          <w:color w:val="131313"/>
        </w:rPr>
        <w:t>restrictions on dispositions of assets to be disposed of pursuant to merger agreements, stock or asset purchase agreements and similar</w:t>
      </w:r>
    </w:p>
    <w:p>
      <w:pPr>
        <w:spacing w:after="0" w:line="46" w:lineRule="exact"/>
        <w:rPr>
          <w:rFonts w:ascii="Arial" w:cs="Arial" w:eastAsia="Arial" w:hAnsi="Arial"/>
          <w:sz w:val="16"/>
          <w:szCs w:val="16"/>
          <w:color w:val="131313"/>
        </w:rPr>
      </w:pPr>
    </w:p>
    <w:p>
      <w:pPr>
        <w:spacing w:after="0"/>
        <w:rPr>
          <w:rFonts w:ascii="Arial" w:cs="Arial" w:eastAsia="Arial" w:hAnsi="Arial"/>
          <w:sz w:val="16"/>
          <w:szCs w:val="16"/>
          <w:color w:val="131313"/>
        </w:rPr>
      </w:pPr>
      <w:r>
        <w:rPr>
          <w:rFonts w:ascii="Arial" w:cs="Arial" w:eastAsia="Arial" w:hAnsi="Arial"/>
          <w:sz w:val="18"/>
          <w:szCs w:val="18"/>
          <w:color w:val="131313"/>
        </w:rPr>
        <w:t>agreements;</w:t>
      </w:r>
    </w:p>
    <w:p>
      <w:pPr>
        <w:spacing w:after="0" w:line="210" w:lineRule="exact"/>
        <w:rPr>
          <w:rFonts w:ascii="Arial" w:cs="Arial" w:eastAsia="Arial" w:hAnsi="Arial"/>
          <w:sz w:val="16"/>
          <w:szCs w:val="16"/>
          <w:color w:val="131313"/>
        </w:rPr>
      </w:pPr>
    </w:p>
    <w:p>
      <w:pPr>
        <w:ind w:left="1320" w:hanging="664"/>
        <w:spacing w:after="0"/>
        <w:tabs>
          <w:tab w:leader="none" w:pos="1320" w:val="left"/>
        </w:tabs>
        <w:numPr>
          <w:ilvl w:val="0"/>
          <w:numId w:val="66"/>
        </w:numPr>
        <w:rPr>
          <w:rFonts w:ascii="Arial" w:cs="Arial" w:eastAsia="Arial" w:hAnsi="Arial"/>
          <w:sz w:val="17"/>
          <w:szCs w:val="17"/>
          <w:color w:val="131313"/>
        </w:rPr>
      </w:pPr>
      <w:r>
        <w:rPr>
          <w:rFonts w:ascii="Arial" w:cs="Arial" w:eastAsia="Arial" w:hAnsi="Arial"/>
          <w:sz w:val="17"/>
          <w:szCs w:val="17"/>
          <w:color w:val="131313"/>
        </w:rPr>
        <w:t>customary options, put and call arrangements, rights of first refusal and similar rights relating to Investments in joint ventures and</w:t>
      </w:r>
    </w:p>
    <w:p>
      <w:pPr>
        <w:spacing w:after="0" w:line="34" w:lineRule="exact"/>
        <w:rPr>
          <w:rFonts w:ascii="Arial" w:cs="Arial" w:eastAsia="Arial" w:hAnsi="Arial"/>
          <w:sz w:val="17"/>
          <w:szCs w:val="17"/>
          <w:color w:val="131313"/>
        </w:rPr>
      </w:pPr>
    </w:p>
    <w:p>
      <w:pPr>
        <w:spacing w:after="0"/>
        <w:rPr>
          <w:rFonts w:ascii="Arial" w:cs="Arial" w:eastAsia="Arial" w:hAnsi="Arial"/>
          <w:sz w:val="17"/>
          <w:szCs w:val="17"/>
          <w:color w:val="131313"/>
        </w:rPr>
      </w:pPr>
      <w:r>
        <w:rPr>
          <w:rFonts w:ascii="Arial" w:cs="Arial" w:eastAsia="Arial" w:hAnsi="Arial"/>
          <w:sz w:val="18"/>
          <w:szCs w:val="18"/>
          <w:color w:val="131313"/>
        </w:rPr>
        <w:t>partnerships;</w:t>
      </w:r>
    </w:p>
    <w:p>
      <w:pPr>
        <w:spacing w:after="0" w:line="210" w:lineRule="exact"/>
        <w:rPr>
          <w:rFonts w:ascii="Arial" w:cs="Arial" w:eastAsia="Arial" w:hAnsi="Arial"/>
          <w:sz w:val="17"/>
          <w:szCs w:val="17"/>
          <w:color w:val="131313"/>
        </w:rPr>
      </w:pPr>
    </w:p>
    <w:p>
      <w:pPr>
        <w:ind w:right="400" w:firstLine="656"/>
        <w:spacing w:after="0" w:line="277" w:lineRule="auto"/>
        <w:tabs>
          <w:tab w:leader="none" w:pos="1308" w:val="left"/>
        </w:tabs>
        <w:numPr>
          <w:ilvl w:val="0"/>
          <w:numId w:val="66"/>
        </w:numPr>
        <w:rPr>
          <w:rFonts w:ascii="Arial" w:cs="Arial" w:eastAsia="Arial" w:hAnsi="Arial"/>
          <w:sz w:val="18"/>
          <w:szCs w:val="18"/>
          <w:color w:val="131313"/>
        </w:rPr>
      </w:pPr>
      <w:r>
        <w:rPr>
          <w:rFonts w:ascii="Arial" w:cs="Arial" w:eastAsia="Arial" w:hAnsi="Arial"/>
          <w:sz w:val="18"/>
          <w:szCs w:val="18"/>
          <w:color w:val="131313"/>
        </w:rPr>
        <w:t>any amounts held by a trustee in the funds and accounts under an indenture securing any revenue bonds issued for the benefit of the Company or any Restricted Subsidiary;</w:t>
      </w:r>
    </w:p>
    <w:p>
      <w:pPr>
        <w:spacing w:after="0" w:line="170" w:lineRule="exact"/>
        <w:rPr>
          <w:rFonts w:ascii="Arial" w:cs="Arial" w:eastAsia="Arial" w:hAnsi="Arial"/>
          <w:sz w:val="18"/>
          <w:szCs w:val="18"/>
          <w:color w:val="131313"/>
        </w:rPr>
      </w:pPr>
    </w:p>
    <w:p>
      <w:pPr>
        <w:ind w:right="280" w:firstLine="656"/>
        <w:spacing w:after="0" w:line="263" w:lineRule="auto"/>
        <w:tabs>
          <w:tab w:leader="none" w:pos="1308" w:val="left"/>
        </w:tabs>
        <w:numPr>
          <w:ilvl w:val="0"/>
          <w:numId w:val="66"/>
        </w:numPr>
        <w:rPr>
          <w:rFonts w:ascii="Arial" w:cs="Arial" w:eastAsia="Arial" w:hAnsi="Arial"/>
          <w:sz w:val="18"/>
          <w:szCs w:val="18"/>
          <w:color w:val="131313"/>
        </w:rPr>
      </w:pPr>
      <w:r>
        <w:rPr>
          <w:rFonts w:ascii="Arial" w:cs="Arial" w:eastAsia="Arial" w:hAnsi="Arial"/>
          <w:sz w:val="18"/>
          <w:szCs w:val="18"/>
          <w:color w:val="131313"/>
        </w:rPr>
        <w:t>Liens incurred in connection with Treasury Services Agreements and other Indebtedness in respect of netting services, automatic clearinghouse arrangements, overdraft protections and similar arrangements in each case in connection with Deposit Accounts in the ordinary course of business;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4" w:name="page55"/>
    <w:bookmarkEnd w:id="54"/>
    <w:p>
      <w:pPr>
        <w:ind w:left="1500" w:hanging="844"/>
        <w:spacing w:after="0"/>
        <w:tabs>
          <w:tab w:leader="none" w:pos="1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securing the Notes issued on the Issue Date and the related Guarantees;</w:t>
      </w:r>
    </w:p>
    <w:p>
      <w:pPr>
        <w:spacing w:after="0" w:line="225" w:lineRule="exact"/>
        <w:rPr>
          <w:rFonts w:ascii="Arial" w:cs="Arial" w:eastAsia="Arial" w:hAnsi="Arial"/>
          <w:sz w:val="18"/>
          <w:szCs w:val="18"/>
          <w:color w:val="auto"/>
        </w:rPr>
      </w:pPr>
    </w:p>
    <w:p>
      <w:pPr>
        <w:ind w:right="80" w:firstLine="656"/>
        <w:spacing w:after="0" w:line="277" w:lineRule="auto"/>
        <w:tabs>
          <w:tab w:leader="none" w:pos="14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(x) subject to the Collateral Trust Agreement and the Intercreditor Agreement, Hedging Obligations that have been cash collateralized in an amount not to exceed $10.0 million;</w:t>
      </w:r>
    </w:p>
    <w:p>
      <w:pPr>
        <w:spacing w:after="0" w:line="170" w:lineRule="exact"/>
        <w:rPr>
          <w:rFonts w:ascii="Arial" w:cs="Arial" w:eastAsia="Arial" w:hAnsi="Arial"/>
          <w:sz w:val="18"/>
          <w:szCs w:val="18"/>
          <w:color w:val="auto"/>
        </w:rPr>
      </w:pPr>
    </w:p>
    <w:p>
      <w:pPr>
        <w:ind w:right="340" w:firstLine="656"/>
        <w:spacing w:after="0" w:line="277" w:lineRule="auto"/>
        <w:tabs>
          <w:tab w:leader="none" w:pos="14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on the assets of a Restricted Subsidiary that is not a Guarantor securing Indebtedness or other Obligations of such Restricted Subsidiary permitted by this Indenture;</w:t>
      </w:r>
    </w:p>
    <w:p>
      <w:pPr>
        <w:spacing w:after="0" w:line="170" w:lineRule="exact"/>
        <w:rPr>
          <w:rFonts w:ascii="Arial" w:cs="Arial" w:eastAsia="Arial" w:hAnsi="Arial"/>
          <w:sz w:val="18"/>
          <w:szCs w:val="18"/>
          <w:color w:val="auto"/>
        </w:rPr>
      </w:pPr>
    </w:p>
    <w:p>
      <w:pPr>
        <w:ind w:right="280" w:firstLine="656"/>
        <w:spacing w:after="0" w:line="277" w:lineRule="auto"/>
        <w:tabs>
          <w:tab w:leader="none" w:pos="14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its Restricted Subsidiaries in connection with any letter of intent or purchase agreement permitted hereunder;</w:t>
      </w:r>
    </w:p>
    <w:p>
      <w:pPr>
        <w:spacing w:after="0" w:line="170" w:lineRule="exact"/>
        <w:rPr>
          <w:rFonts w:ascii="Arial" w:cs="Arial" w:eastAsia="Arial" w:hAnsi="Arial"/>
          <w:sz w:val="18"/>
          <w:szCs w:val="18"/>
          <w:color w:val="auto"/>
        </w:rPr>
      </w:pPr>
    </w:p>
    <w:p>
      <w:pPr>
        <w:ind w:firstLine="656"/>
        <w:spacing w:after="0" w:line="263" w:lineRule="auto"/>
        <w:tabs>
          <w:tab w:leader="none" w:pos="1533"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 and</w:t>
      </w:r>
    </w:p>
    <w:p>
      <w:pPr>
        <w:spacing w:after="0" w:line="183" w:lineRule="exact"/>
        <w:rPr>
          <w:rFonts w:ascii="Arial" w:cs="Arial" w:eastAsia="Arial" w:hAnsi="Arial"/>
          <w:sz w:val="18"/>
          <w:szCs w:val="18"/>
          <w:color w:val="auto"/>
        </w:rPr>
      </w:pPr>
    </w:p>
    <w:p>
      <w:pPr>
        <w:ind w:right="100" w:firstLine="656"/>
        <w:spacing w:after="0" w:line="272" w:lineRule="auto"/>
        <w:tabs>
          <w:tab w:leader="none" w:pos="1488"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subject to the Collateral Trust Agreement and the Intercreditor Agreement, Liens on the Collateral in favor of the Collateral Trustee, which Liens secure Indebtedness in an aggregate principal amount not to exceed an amount such that as of the date such Liens were incurred, and after giving pro forma effect thereto and the application of the net proceeds therefrom, the Secured Net Leverage Ratio of the Company would not exceed 3.00 to 1.00; provided, that (A) if applicable, Permitted Notes Representative with respect to such Indebtedness executes a joinder agreement to the Collateral Trust Agreement in the relevant form attached thereto, in each case, agreeing to be bound thereby, and (B) the Company has designated such Indebtedness as “Permitted Notes Debt” for the purposes of the Secured Debt Documents under the Intercreditor Agreement and has appropriately designated such Indebtedness pursuant to a “Designation” under the Collateral Trust Agreement.</w:t>
      </w:r>
    </w:p>
    <w:p>
      <w:pPr>
        <w:spacing w:after="0" w:line="17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To the extent provided to do so in the Collateral Trust Agreement, upon delivery to the Collateral Trustee of an Officer’s Certificate requesting the same and certifying that executing such document is permitted, the Collateral Trustee will enter into any subordination, non-disturbance, easement, estoppel or similar document or agreement for the purpose of creating, acknowledging, or confirming any Lien (or the priority thereof) otherwise permitted hereunder.</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Notes Collateral Documents</w:t>
      </w:r>
      <w:r>
        <w:rPr>
          <w:rFonts w:ascii="Arial" w:cs="Arial" w:eastAsia="Arial" w:hAnsi="Arial"/>
          <w:sz w:val="17"/>
          <w:szCs w:val="17"/>
          <w:color w:val="auto"/>
        </w:rPr>
        <w:t>” means all security agreements, pledge agreements, mortgages, collateral assignments, deeds of trust and all other pledges, agreements, financing statements, patent, trademark or copyright filings, mortgages or other filings or documents that create or purport to create a Lien on the Collateral in favor of the Collateral Trustee and/or the Trustee (for the benefit of Holders of Notes and other Permitted Notes Obligations), the Intercreditor Agreement and the Collateral Trust Agreement, in each case as they may be amended from time to time, and any instruments of assignment, control agreements, lockbox letters or other instruments or agreements executed pursuant to the foregoing. In no event shall “Permitted Notes Collateral Documents” include or refer to any document to which the Collateral Trustee is not a party as collateral trustee, collateral agent or similar title, or, with the knowledge of the Collateral Trustee, a named beneficiary of a document or instrument which the Company or any other Grantor is required to deliver or cause to be delivered pursuant to a Collateral Document or this Indenture.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5" w:name="page56"/>
    <w:bookmarkEnd w:id="55"/>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Notes Debt</w:t>
      </w:r>
      <w:r>
        <w:rPr>
          <w:rFonts w:ascii="Arial" w:cs="Arial" w:eastAsia="Arial" w:hAnsi="Arial"/>
          <w:sz w:val="18"/>
          <w:szCs w:val="18"/>
          <w:color w:val="auto"/>
        </w:rPr>
        <w:t>” means:</w:t>
      </w:r>
    </w:p>
    <w:p>
      <w:pPr>
        <w:spacing w:after="0" w:line="225" w:lineRule="exact"/>
        <w:rPr>
          <w:sz w:val="20"/>
          <w:szCs w:val="20"/>
          <w:color w:val="auto"/>
        </w:rPr>
      </w:pPr>
    </w:p>
    <w:p>
      <w:pPr>
        <w:ind w:left="1340" w:hanging="744"/>
        <w:spacing w:after="0"/>
        <w:tabs>
          <w:tab w:leader="none" w:pos="1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Notes issued on the Issue Date and all other obligations under this Indenture owed to the Trustee and the Holders of the Notes; and</w:t>
      </w:r>
    </w:p>
    <w:p>
      <w:pPr>
        <w:spacing w:after="0" w:line="248" w:lineRule="exact"/>
        <w:rPr>
          <w:rFonts w:ascii="Arial" w:cs="Arial" w:eastAsia="Arial" w:hAnsi="Arial"/>
          <w:sz w:val="16"/>
          <w:szCs w:val="16"/>
          <w:color w:val="auto"/>
        </w:rPr>
      </w:pPr>
    </w:p>
    <w:p>
      <w:pPr>
        <w:ind w:left="-60" w:firstLine="656"/>
        <w:spacing w:after="0" w:line="272" w:lineRule="auto"/>
        <w:tabs>
          <w:tab w:leader="none" w:pos="1337"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other Indebtedness of the Grantors under any other Credit Facility (including Additional Notes but excluding Permitted ABL Debt) that is secured by (or is secured equally and ratably with) either(i) Permitted Notes Liens constituting Parity Liens (as defined in the Collateral Trust Agreement) securing Permitted Notes Obligations in respect of a Series of Permitted Notes Debt constituting a Series of Parity Lien Notes Debt (as defined in the Collateral Trust Agreement) or (ii) Permitted Notes Liens constituting Priority Liens (as defined in the Collateral Trust Agreement) securing Permitted Notes Obligations in respect of a Series of Permitted Notes Debt constituting a Series of Priority Lien Notes Debt (as defined in the Collateral Trust Agreement), in each case that was permitted to be incurred and so secured under each applicable Secured Debt Document (and in any event not to exceed the amount permitted to be incurred under the ABL Facility); provided that:</w:t>
      </w:r>
    </w:p>
    <w:p>
      <w:pPr>
        <w:spacing w:after="0" w:line="177" w:lineRule="exact"/>
        <w:rPr>
          <w:sz w:val="20"/>
          <w:szCs w:val="20"/>
          <w:color w:val="auto"/>
        </w:rPr>
      </w:pPr>
    </w:p>
    <w:p>
      <w:pPr>
        <w:ind w:left="-60" w:right="60" w:firstLine="656"/>
        <w:spacing w:after="0" w:line="296" w:lineRule="auto"/>
        <w:tabs>
          <w:tab w:leader="none" w:pos="1327"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Permitted Notes Representative is not already a party to the Collateral Trust Agreement, such Permitted Notes Representative, on behalf of all holders of such Permitted Notes Debt for the enforceable benefit of each existing and future ABL Administrative Agent and each existing and future holder of Permitted Liens executes and delivers a Lien Sharing and Priority Confirmation Joinder in accordance with the Intercreditor Agreement and such Indebtedness is Permitted Refinancing Indebtedness the net proceeds of which are used to refund, refinance, replace, defease, discharge or otherwise acquire or retire Permitted Notes Debt (or to pay related fees, expenses, premiums and accrued interest);</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provided further, in the case of any Indebtedness referred to in clause (2) hereof, that:</w:t>
      </w:r>
    </w:p>
    <w:p>
      <w:pPr>
        <w:spacing w:after="0" w:line="225" w:lineRule="exact"/>
        <w:rPr>
          <w:sz w:val="20"/>
          <w:szCs w:val="20"/>
          <w:color w:val="auto"/>
        </w:rPr>
      </w:pPr>
    </w:p>
    <w:p>
      <w:pPr>
        <w:ind w:left="-60" w:firstLine="656"/>
        <w:spacing w:after="0" w:line="296" w:lineRule="auto"/>
        <w:tabs>
          <w:tab w:leader="none" w:pos="833" w:val="left"/>
        </w:tabs>
        <w:numPr>
          <w:ilvl w:val="0"/>
          <w:numId w:val="70"/>
        </w:numPr>
        <w:rPr>
          <w:rFonts w:ascii="Arial" w:cs="Arial" w:eastAsia="Arial" w:hAnsi="Arial"/>
          <w:sz w:val="16"/>
          <w:szCs w:val="16"/>
          <w:color w:val="auto"/>
        </w:rPr>
      </w:pPr>
      <w:r>
        <w:rPr>
          <w:rFonts w:ascii="Arial" w:cs="Arial" w:eastAsia="Arial" w:hAnsi="Arial"/>
          <w:sz w:val="16"/>
          <w:szCs w:val="16"/>
          <w:color w:val="auto"/>
        </w:rPr>
        <w:t>on or before the date on which such Indebtedness is incurred by the Grantors, such Indebtedness is appropriately designated by the Company, in a “Designation” (as defined in the Collateral Trust Agreement) executed and delivered in accordance with the provisions of the Collateral Trust Agreement, as “Permitted Notes Debt” for the purposes of the Secured Debt Documents and as either “Priority Lien Notes Debt” or “Parity Lien Notes Debt” for the purposes of the Permitted Notes Documents; provided, that (i) no series of Indebtedness may be designated as both Permitted Notes Debt and Permitted ABL Debt and (ii) no Indebtedness may be designated as both Parity Lien Notes Debt and Priority Lien Notes Debt;</w:t>
      </w:r>
    </w:p>
    <w:p>
      <w:pPr>
        <w:spacing w:after="0" w:line="161" w:lineRule="exact"/>
        <w:rPr>
          <w:rFonts w:ascii="Arial" w:cs="Arial" w:eastAsia="Arial" w:hAnsi="Arial"/>
          <w:sz w:val="16"/>
          <w:szCs w:val="16"/>
          <w:color w:val="auto"/>
        </w:rPr>
      </w:pPr>
    </w:p>
    <w:p>
      <w:pPr>
        <w:ind w:left="-60" w:right="280" w:firstLine="656"/>
        <w:spacing w:after="0" w:line="277" w:lineRule="auto"/>
        <w:tabs>
          <w:tab w:leader="none" w:pos="8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applicable, the Permitted Notes Representative for such Indebtedness executed and delivered a Collateral Trust Joinder (as defined in the Collateral Trust Agreement) in accordance with the provisions of the Collateral Trust Agreement; and</w:t>
      </w:r>
    </w:p>
    <w:p>
      <w:pPr>
        <w:spacing w:after="0" w:line="170" w:lineRule="exact"/>
        <w:rPr>
          <w:rFonts w:ascii="Arial" w:cs="Arial" w:eastAsia="Arial" w:hAnsi="Arial"/>
          <w:sz w:val="18"/>
          <w:szCs w:val="18"/>
          <w:color w:val="auto"/>
        </w:rPr>
      </w:pPr>
    </w:p>
    <w:p>
      <w:pPr>
        <w:ind w:left="-60" w:right="80" w:firstLine="656"/>
        <w:spacing w:after="0" w:line="257" w:lineRule="auto"/>
        <w:tabs>
          <w:tab w:leader="none" w:pos="8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requirements set forth in the Collateral Trust Agreement (including as to the confirmation, grant or perfection of the Collateral Trustee’s Lien to secure such Indebtedness or Obligations in respect thereof) are satisfied (the satisfaction of which will be conclusively established if the Company delivers an Officer’s Certificate to the Permitted Notes Representatives and the Collateral Trustee stating that such requirements and other provisions have been satisfied and that such Indebtedness is “Permitted Notes Debt” under the Secured Debt Documents and either “Priority Lien Notes Debt” or “Priority Lien Notes Debt” under the Permitted Notes Documents).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56" w:name="page57"/>
    <w:bookmarkEnd w:id="56"/>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Notes Documents</w:t>
      </w:r>
      <w:r>
        <w:rPr>
          <w:rFonts w:ascii="Arial" w:cs="Arial" w:eastAsia="Arial" w:hAnsi="Arial"/>
          <w:sz w:val="18"/>
          <w:szCs w:val="18"/>
          <w:color w:val="auto"/>
        </w:rPr>
        <w:t>” means, collectively, this Indenture, the Notes and the Permitted Notes Collateral Documents and any other indenture, credit agreement or other agreement pursuant to which any Permitted Notes Debt is incurred and the related security documents (other than any security documents that do not secure Permitted Notes Obligations). In no event shall “Permitted Notes Documents” refer to or include any document to which the Collateral Trustee is not a party as collateral trustee, collateral agent or similar title or, with the knowledge of the Collateral Trustee, a named beneficiary of a document or instrument which the Company or any other Grantor is required to deliver or cause to be delivered pursuant to a Collateral Document or this Indenture.</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Notes Lien</w:t>
      </w:r>
      <w:r>
        <w:rPr>
          <w:rFonts w:ascii="Arial" w:cs="Arial" w:eastAsia="Arial" w:hAnsi="Arial"/>
          <w:sz w:val="18"/>
          <w:szCs w:val="18"/>
          <w:color w:val="auto"/>
        </w:rPr>
        <w:t>” means any Lien in favor of the Collateral Trustee or any Permitted Notes Secured Party, including any Lien granted by a Permitted Notes Collateral Document to the Collateral Trustee, at any time, upon any property of any Grantor, in each case, only to the extent securing Permitted Notes Obligations.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Notes Obligations</w:t>
      </w:r>
      <w:r>
        <w:rPr>
          <w:rFonts w:ascii="Arial" w:cs="Arial" w:eastAsia="Arial" w:hAnsi="Arial"/>
          <w:sz w:val="18"/>
          <w:szCs w:val="18"/>
          <w:color w:val="auto"/>
        </w:rPr>
        <w:t>” means the Permitted Notes Debt and all other obligations in respect thereof and shall include all principal, interest, fees and other amounts payable in connection therewith (including all interest and fees that, but for the filing of a petition in Insolvency or Liquidation Proceeding with respect to any Grantor, would have accrued on any such obligations, whether or not a claim is allowed against such Grantor in such Insolvency or Liquidation Proceeding).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Notes Representative</w:t>
      </w:r>
      <w:r>
        <w:rPr>
          <w:rFonts w:ascii="Arial" w:cs="Arial" w:eastAsia="Arial" w:hAnsi="Arial"/>
          <w:sz w:val="18"/>
          <w:szCs w:val="18"/>
          <w:color w:val="auto"/>
        </w:rPr>
        <w:t>” means:</w:t>
      </w:r>
    </w:p>
    <w:p>
      <w:pPr>
        <w:spacing w:after="0" w:line="225" w:lineRule="exact"/>
        <w:rPr>
          <w:sz w:val="20"/>
          <w:szCs w:val="20"/>
          <w:color w:val="auto"/>
        </w:rPr>
      </w:pPr>
    </w:p>
    <w:p>
      <w:pPr>
        <w:ind w:left="920" w:hanging="264"/>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the Notes, the Trustee; and</w:t>
      </w:r>
    </w:p>
    <w:p>
      <w:pPr>
        <w:spacing w:after="0" w:line="225" w:lineRule="exact"/>
        <w:rPr>
          <w:rFonts w:ascii="Arial" w:cs="Arial" w:eastAsia="Arial" w:hAnsi="Arial"/>
          <w:sz w:val="18"/>
          <w:szCs w:val="18"/>
          <w:color w:val="auto"/>
        </w:rPr>
      </w:pPr>
    </w:p>
    <w:p>
      <w:pPr>
        <w:ind w:right="180" w:firstLine="656"/>
        <w:spacing w:after="0" w:line="257" w:lineRule="auto"/>
        <w:tabs>
          <w:tab w:leader="none" w:pos="9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any other Series of Permitted Notes Debt, the trustee, agent or representative of the holders of such Series of Permitted Notes Debt who maintains the transfer register for such Series of Permitted Notes Debt and is appointed as a representative of the Permitted Notes Debt (for purposes related to the administration of the Permitted Notes Collateral Documents) pursuant to the credit agreement or other agreement governing such Series of Permitted Notes Debt; it being understood that the Collateral Trustee may rely on representations from such party that it has the power and authority to act as a Permitted Notes Representative.</w:t>
      </w:r>
    </w:p>
    <w:p>
      <w:pPr>
        <w:spacing w:after="0" w:line="18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Notes Secured Parties</w:t>
      </w:r>
      <w:r>
        <w:rPr>
          <w:rFonts w:ascii="Arial" w:cs="Arial" w:eastAsia="Arial" w:hAnsi="Arial"/>
          <w:sz w:val="18"/>
          <w:szCs w:val="18"/>
          <w:color w:val="auto"/>
        </w:rPr>
        <w:t>” means, at any time, (a) the Trustee, (b) each Permitted Notes Representative, (c) the Holders, (d) the beneficiaries of each indemnification obligation undertaken by any Grantor under any Permitted Notes Documents and (e) the successors and assigns of each of the foregoing.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Purchase Money Debt</w:t>
      </w:r>
      <w:r>
        <w:rPr>
          <w:rFonts w:ascii="Arial" w:cs="Arial" w:eastAsia="Arial" w:hAnsi="Arial"/>
          <w:sz w:val="17"/>
          <w:szCs w:val="17"/>
          <w:color w:val="auto"/>
        </w:rPr>
        <w:t>” means Purchase Money Debt which is either unsecured or secured by only a Purchase Money Lien.</w:t>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57" w:name="page58"/>
    <w:bookmarkEnd w:id="57"/>
    <w:p>
      <w:pPr>
        <w:ind w:right="1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Disqualified Stock or Preferred Stock of the Company or any of its Restricted Subsidiaries that serves to extend, replace, refund, refinance, renew, defease or retire any Indebtedness (other than intercompany Indebtedness), provided that:</w:t>
      </w:r>
    </w:p>
    <w:p>
      <w:pPr>
        <w:spacing w:after="0" w:line="184" w:lineRule="exact"/>
        <w:rPr>
          <w:sz w:val="20"/>
          <w:szCs w:val="20"/>
          <w:color w:val="auto"/>
        </w:rPr>
      </w:pPr>
    </w:p>
    <w:p>
      <w:pPr>
        <w:ind w:right="80" w:firstLine="656"/>
        <w:spacing w:after="0" w:line="259" w:lineRule="auto"/>
        <w:tabs>
          <w:tab w:leader="none" w:pos="13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principal amount of such Permitted Refinancing Indebtedness (or accreted value) does not exceed the principal amount (or accreted value) of the Indebtedness, Disqualified Stock or Preferred Stock extended, replaced, refunded, refinanced, renewed, defeased or retired (plus all accrued interest on the Indebtedness, Disqualified Stock or Preferred Stock and the amount of all fees, costs and expenses, including premiums (including tender premiums) and defeasance costs, incurred in connection therewith);</w:t>
      </w:r>
    </w:p>
    <w:p>
      <w:pPr>
        <w:spacing w:after="0" w:line="186" w:lineRule="exact"/>
        <w:rPr>
          <w:rFonts w:ascii="Arial" w:cs="Arial" w:eastAsia="Arial" w:hAnsi="Arial"/>
          <w:sz w:val="18"/>
          <w:szCs w:val="18"/>
          <w:color w:val="auto"/>
        </w:rPr>
      </w:pPr>
    </w:p>
    <w:p>
      <w:pPr>
        <w:ind w:firstLine="656"/>
        <w:spacing w:after="0" w:line="286" w:lineRule="auto"/>
        <w:tabs>
          <w:tab w:leader="none" w:pos="1397" w:val="left"/>
        </w:tabs>
        <w:numPr>
          <w:ilvl w:val="0"/>
          <w:numId w:val="72"/>
        </w:numPr>
        <w:rPr>
          <w:rFonts w:ascii="Arial" w:cs="Arial" w:eastAsia="Arial" w:hAnsi="Arial"/>
          <w:sz w:val="17"/>
          <w:szCs w:val="17"/>
          <w:color w:val="auto"/>
        </w:rPr>
      </w:pPr>
      <w:r>
        <w:rPr>
          <w:rFonts w:ascii="Arial" w:cs="Arial" w:eastAsia="Arial" w:hAnsi="Arial"/>
          <w:sz w:val="17"/>
          <w:szCs w:val="17"/>
          <w:color w:val="auto"/>
        </w:rPr>
        <w:t>such Permitted Refinancing Indebtedness has a Weighted Average Life to Maturity at the time such Permitted Refinancing Indebtedness is incurred which is not less than (x) the remaining Weighted Average Life to Maturity of the Indebtedness, Disqualified Stock or Preferred Stock being extended, replaced, refunded, refinanced, renewed, defeased or retired or (y) after the final stated maturity of the Notes;</w:t>
      </w:r>
    </w:p>
    <w:p>
      <w:pPr>
        <w:spacing w:after="0" w:line="165" w:lineRule="exact"/>
        <w:rPr>
          <w:rFonts w:ascii="Arial" w:cs="Arial" w:eastAsia="Arial" w:hAnsi="Arial"/>
          <w:sz w:val="17"/>
          <w:szCs w:val="17"/>
          <w:color w:val="auto"/>
        </w:rPr>
      </w:pPr>
    </w:p>
    <w:p>
      <w:pPr>
        <w:ind w:right="80" w:firstLine="656"/>
        <w:spacing w:after="0" w:line="301" w:lineRule="auto"/>
        <w:tabs>
          <w:tab w:leader="none" w:pos="138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the extent such Permitted Refinancing Indebtedness extends, replaces, refunds, refinances, renews or defeases (i) Indebtedness subordinated in right of payment to the Notes or any Guarantee, such Permitted Refinancing Indebtedness is subordinated in right of payment to the Notes or such Guarantee at least to the same extent as the Indebtedness being extended, replaced, refunded, refinanced, renewed or defeased or (ii) Disqualified Stock or Preferred Stock, such Permitted Refinancing Indebtedness must be Disqualified Stock or Preferred Stock, respectively; and</w:t>
      </w:r>
    </w:p>
    <w:p>
      <w:pPr>
        <w:spacing w:after="0" w:line="157" w:lineRule="exact"/>
        <w:rPr>
          <w:rFonts w:ascii="Arial" w:cs="Arial" w:eastAsia="Arial" w:hAnsi="Arial"/>
          <w:sz w:val="16"/>
          <w:szCs w:val="16"/>
          <w:color w:val="auto"/>
        </w:rPr>
      </w:pPr>
    </w:p>
    <w:p>
      <w:pPr>
        <w:ind w:left="1400" w:hanging="744"/>
        <w:spacing w:after="0"/>
        <w:tabs>
          <w:tab w:leader="none" w:pos="1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shall not include:</w:t>
      </w:r>
    </w:p>
    <w:p>
      <w:pPr>
        <w:spacing w:after="0" w:line="225" w:lineRule="exact"/>
        <w:rPr>
          <w:sz w:val="20"/>
          <w:szCs w:val="20"/>
          <w:color w:val="auto"/>
        </w:rPr>
      </w:pPr>
    </w:p>
    <w:p>
      <w:pPr>
        <w:ind w:right="200" w:firstLine="656"/>
        <w:spacing w:after="0" w:line="277" w:lineRule="auto"/>
        <w:tabs>
          <w:tab w:leader="none" w:pos="14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that is not a Guarantor that refinances Indebtedness, Disqualified Stock or Preferred Stock of the Company;</w:t>
      </w:r>
    </w:p>
    <w:p>
      <w:pPr>
        <w:spacing w:after="0" w:line="170" w:lineRule="exact"/>
        <w:rPr>
          <w:rFonts w:ascii="Arial" w:cs="Arial" w:eastAsia="Arial" w:hAnsi="Arial"/>
          <w:sz w:val="18"/>
          <w:szCs w:val="18"/>
          <w:color w:val="auto"/>
        </w:rPr>
      </w:pPr>
    </w:p>
    <w:p>
      <w:pPr>
        <w:ind w:right="240" w:firstLine="656"/>
        <w:spacing w:after="0" w:line="277" w:lineRule="auto"/>
        <w:tabs>
          <w:tab w:leader="none" w:pos="13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that is not a Guarantor that refinances Indebtedness, Disqualified Stock or Preferred Stock of a Guarantor; or</w:t>
      </w:r>
    </w:p>
    <w:p>
      <w:pPr>
        <w:spacing w:after="0" w:line="170" w:lineRule="exact"/>
        <w:rPr>
          <w:rFonts w:ascii="Arial" w:cs="Arial" w:eastAsia="Arial" w:hAnsi="Arial"/>
          <w:sz w:val="18"/>
          <w:szCs w:val="18"/>
          <w:color w:val="auto"/>
        </w:rPr>
      </w:pPr>
    </w:p>
    <w:p>
      <w:pPr>
        <w:ind w:right="840" w:firstLine="656"/>
        <w:spacing w:after="0" w:line="277" w:lineRule="auto"/>
        <w:tabs>
          <w:tab w:leader="none" w:pos="13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the Company or a Restricted Subsidiary that refinances Indebtedness, Disqualified Stock or Preferred Stock of an Unrestricted Subsidiary.</w:t>
      </w:r>
    </w:p>
    <w:p>
      <w:pPr>
        <w:spacing w:after="0" w:line="17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Warrant Transaction</w:t>
      </w:r>
      <w:r>
        <w:rPr>
          <w:rFonts w:ascii="Arial" w:cs="Arial" w:eastAsia="Arial" w:hAnsi="Arial"/>
          <w:sz w:val="18"/>
          <w:szCs w:val="18"/>
          <w:color w:val="auto"/>
        </w:rPr>
        <w:t>” means any call option, warrant or right to purchase (or substantively equivalent derivative transaction) on the Company’s common stock sold by the Company substantially concurrently with any purchase by the Company of a related Permitted Bond Hedge Transaction.</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government or any agency or political subdivision thereof or any other entity.</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8" w:name="page59"/>
    <w:bookmarkEnd w:id="58"/>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Predecessor Note</w:t>
      </w:r>
      <w:r>
        <w:rPr>
          <w:rFonts w:ascii="Arial" w:cs="Arial" w:eastAsia="Arial" w:hAnsi="Arial"/>
          <w:sz w:val="17"/>
          <w:szCs w:val="17"/>
          <w:color w:val="auto"/>
        </w:rPr>
        <w:t>” of any particular Note means every previous Note evidencing all or a portion of the same debt as that evidenced by such particular Note; and, for the purposes of this definition, any Note authenticated and delivered under Section 3.05 in exchange for a mutilated Note or in lieu of a lost, destroyed or stolen Note shall be deemed to evidence the same debt as the mutilated, lost, destroyed or stolen Note.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Preferred Stock</w:t>
      </w:r>
      <w:r>
        <w:rPr>
          <w:rFonts w:ascii="Arial" w:cs="Arial" w:eastAsia="Arial" w:hAnsi="Arial"/>
          <w:sz w:val="17"/>
          <w:szCs w:val="17"/>
          <w:color w:val="auto"/>
        </w:rPr>
        <w:t>” means any Equity Interest with preferential rights of payment of dividends or upon liquidation, dissolution or winding up.</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Premises</w:t>
      </w:r>
      <w:r>
        <w:rPr>
          <w:rFonts w:ascii="Arial" w:cs="Arial" w:eastAsia="Arial" w:hAnsi="Arial"/>
          <w:sz w:val="18"/>
          <w:szCs w:val="18"/>
          <w:color w:val="auto"/>
        </w:rPr>
        <w:t>” means owned real properties required to be subject to a mortgage lien that form a portion of the Collateral (including all after-acquired real property that is not an Excluded Asset).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ABL Collateral</w:t>
      </w:r>
      <w:r>
        <w:rPr>
          <w:rFonts w:ascii="Arial" w:cs="Arial" w:eastAsia="Arial" w:hAnsi="Arial"/>
          <w:sz w:val="18"/>
          <w:szCs w:val="18"/>
          <w:color w:val="auto"/>
        </w:rPr>
        <w:t>” means all Collateral consisting of the following:</w:t>
      </w:r>
    </w:p>
    <w:p>
      <w:pPr>
        <w:spacing w:after="0" w:line="225" w:lineRule="exact"/>
        <w:rPr>
          <w:sz w:val="20"/>
          <w:szCs w:val="20"/>
          <w:color w:val="auto"/>
        </w:rPr>
      </w:pPr>
    </w:p>
    <w:p>
      <w:pPr>
        <w:ind w:left="1400" w:hanging="744"/>
        <w:spacing w:after="0"/>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accounts and credit card receivables;</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cash and cash equivalents;</w:t>
      </w:r>
    </w:p>
    <w:p>
      <w:pPr>
        <w:spacing w:after="0" w:line="225" w:lineRule="exact"/>
        <w:rPr>
          <w:rFonts w:ascii="Arial" w:cs="Arial" w:eastAsia="Arial" w:hAnsi="Arial"/>
          <w:sz w:val="18"/>
          <w:szCs w:val="18"/>
          <w:color w:val="auto"/>
        </w:rPr>
      </w:pPr>
    </w:p>
    <w:p>
      <w:pPr>
        <w:ind w:right="140" w:firstLine="656"/>
        <w:spacing w:after="0" w:line="259" w:lineRule="auto"/>
        <w:tabs>
          <w:tab w:leader="none" w:pos="139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the extent evidencing or governing any of the items referred to in the preceding clauses (1), (2), (3) and (4), all chattel paper, documents, instruments, general intangibles and securities accounts related thereto; provided that to the extent any of the foregoing also relates to Priority Fixed Asset Collateral only that portion related to the items referred to in the preceding clauses (1), (2), (3) and (4) shall be included in the Priority ABL Collateral;</w:t>
      </w:r>
    </w:p>
    <w:p>
      <w:pPr>
        <w:spacing w:after="0" w:line="186" w:lineRule="exact"/>
        <w:rPr>
          <w:rFonts w:ascii="Arial" w:cs="Arial" w:eastAsia="Arial" w:hAnsi="Arial"/>
          <w:sz w:val="18"/>
          <w:szCs w:val="18"/>
          <w:color w:val="auto"/>
        </w:rPr>
      </w:pPr>
    </w:p>
    <w:p>
      <w:pPr>
        <w:ind w:right="260" w:firstLine="656"/>
        <w:spacing w:after="0" w:line="277" w:lineRule="auto"/>
        <w:tabs>
          <w:tab w:leader="none" w:pos="139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books and records relating to the foregoing (including without limitation all books, databases, customer lists and records, whether tangible or electronic which contain any information relating to any of the foregoing); and</w:t>
      </w:r>
    </w:p>
    <w:p>
      <w:pPr>
        <w:spacing w:after="0" w:line="170" w:lineRule="exact"/>
        <w:rPr>
          <w:rFonts w:ascii="Arial" w:cs="Arial" w:eastAsia="Arial" w:hAnsi="Arial"/>
          <w:sz w:val="18"/>
          <w:szCs w:val="18"/>
          <w:color w:val="auto"/>
        </w:rPr>
      </w:pPr>
    </w:p>
    <w:p>
      <w:pPr>
        <w:ind w:right="120" w:firstLine="656"/>
        <w:spacing w:after="0" w:line="308" w:lineRule="auto"/>
        <w:tabs>
          <w:tab w:leader="none" w:pos="1397"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proceeds of and supporting obligations, including, without limitation, letter of credit rights, with respect to any of the foregoing and all collateral security and guarantees given by any Person in favor of the Company or any Guarantor with respect to any of the foregoing.</w:t>
      </w:r>
    </w:p>
    <w:p>
      <w:pPr>
        <w:spacing w:after="0" w:line="14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ABL Collateral Transition Date</w:t>
      </w:r>
      <w:r>
        <w:rPr>
          <w:rFonts w:ascii="Arial" w:cs="Arial" w:eastAsia="Arial" w:hAnsi="Arial"/>
          <w:sz w:val="18"/>
          <w:szCs w:val="18"/>
          <w:color w:val="auto"/>
        </w:rPr>
        <w:t>” means the earlier of (a) the date on which all the Permitted ABL Obligations shall have been paid in full or all commitments to extend credit thereunder are terminated or have otherwise expired and (b) the date on which all Senior Liens on the Priority ABL Collateral shall have been released from the Permitted ABL Liens.</w:t>
      </w:r>
    </w:p>
    <w:p>
      <w:pPr>
        <w:spacing w:after="0" w:line="18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Priority Fixed Assets Collateral</w:t>
      </w:r>
      <w:r>
        <w:rPr>
          <w:rFonts w:ascii="Arial" w:cs="Arial" w:eastAsia="Arial" w:hAnsi="Arial"/>
          <w:sz w:val="16"/>
          <w:szCs w:val="16"/>
          <w:color w:val="auto"/>
        </w:rPr>
        <w:t xml:space="preserve">” shall mean all Collateral (other than the Priority ABL Collateral) and all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“Priority Fixed Asset Collateral” shall not include proceeds from the disposition of any Priority Fixed Asset Collateral that otherwise constitute Priority ABL Collateral (such as, but not limited to, cash proceeds) to the extent such proceeds are not required to be applied to the mandatory prepayment of the Fixed Asset Obligations, unless such proceeds either (x) arise from a disposition of Priority Fixed Assets Collateral resulting from an enforcement action taken by the Permitted Notes Secured Parties permitted by the Intercreditor Agreement or (y) are deposited in a segregated cash collateral account with the Collateral Trustee (in its capacity as an agent in respect of the Notes) to the extent required by the Notes Collateral Documents.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9" w:name="page60"/>
    <w:bookmarkEnd w:id="59"/>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w:t>
      </w:r>
      <w:r>
        <w:rPr>
          <w:rFonts w:ascii="Arial" w:cs="Arial" w:eastAsia="Arial" w:hAnsi="Arial"/>
          <w:sz w:val="18"/>
          <w:szCs w:val="18"/>
          <w:color w:val="auto"/>
        </w:rPr>
        <w:t>” means a Lien granted, or purported to be granted, by a Collateral Document to the Collateral Trustee, at any time, upon any property of any Grantor to secure Priority Lien Notes Obligations.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Priority Lien Collateral Documents</w:t>
      </w:r>
      <w:r>
        <w:rPr>
          <w:rFonts w:ascii="Arial" w:cs="Arial" w:eastAsia="Arial" w:hAnsi="Arial"/>
          <w:sz w:val="17"/>
          <w:szCs w:val="17"/>
          <w:color w:val="auto"/>
        </w:rPr>
        <w:t>” means all security agreements, pledge agreements, collateral assignments, mortgages, deeds of trust, collateral agency agreements, control agreements or other grants or transfers for security executed and delivered by any Grantor creating (or purporting to create) a Lien upon Collateral in favor of the Collateral Trustee, for the benefit of any of the Priority Lien Secured Parties, in each case, as amended, modified, renewed, restated or replaced, in whole or in part, from time to time, in accordance with its terms and the Collateral Trust Agreement. In no event shall “Priority Lien Collateral Documents” refer to or include any document to which the Collateral Trustee is not a party as collateral trustee, collateral agent or similar title or, with the knowledge of the Collateral Trustee, a named beneficiary of a document or instrument which the Company or any other Grantor is required to deliver or cause to be delivered pursuant to a Collateral Document or this Indenture.</w:t>
      </w:r>
    </w:p>
    <w:p>
      <w:pPr>
        <w:spacing w:after="0" w:line="17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Documents</w:t>
      </w:r>
      <w:r>
        <w:rPr>
          <w:rFonts w:ascii="Arial" w:cs="Arial" w:eastAsia="Arial" w:hAnsi="Arial"/>
          <w:sz w:val="18"/>
          <w:szCs w:val="18"/>
          <w:color w:val="auto"/>
        </w:rPr>
        <w:t>” means, collectively, the Note Documents and any other indenture, credit agreement or other agreement pursuant to which any Priority Lien Notes Debt is incurred and the Priority Lien Collateral Documents. In no event shall “Priority Lien Documents” refer to or include any document to which the Collateral Trustee is not a party as collateral trustee, collateral agent or similar title or, with the knowledge of the Collateral Trustee, a named beneficiary of a document or instrument which the Company or any other Grantor is required to deliver or cause to be delivered pursuant to a Collateral Document or this Indenture.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Notes Debt</w:t>
      </w:r>
      <w:r>
        <w:rPr>
          <w:rFonts w:ascii="Arial" w:cs="Arial" w:eastAsia="Arial" w:hAnsi="Arial"/>
          <w:sz w:val="18"/>
          <w:szCs w:val="18"/>
          <w:color w:val="auto"/>
        </w:rPr>
        <w:t>” means:</w:t>
      </w:r>
    </w:p>
    <w:p>
      <w:pPr>
        <w:spacing w:after="0" w:line="225" w:lineRule="exact"/>
        <w:rPr>
          <w:sz w:val="20"/>
          <w:szCs w:val="20"/>
          <w:color w:val="auto"/>
        </w:rPr>
      </w:pPr>
    </w:p>
    <w:p>
      <w:pPr>
        <w:ind w:left="920" w:hanging="264"/>
        <w:spacing w:after="0"/>
        <w:tabs>
          <w:tab w:leader="none" w:pos="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Notes issued on the Issue Date and all other obligations under this Indenture owed to the Trustee and the Holders of the Notes; and</w:t>
      </w:r>
    </w:p>
    <w:p>
      <w:pPr>
        <w:spacing w:after="0" w:line="236" w:lineRule="exact"/>
        <w:rPr>
          <w:rFonts w:ascii="Arial" w:cs="Arial" w:eastAsia="Arial" w:hAnsi="Arial"/>
          <w:sz w:val="17"/>
          <w:szCs w:val="17"/>
          <w:color w:val="auto"/>
        </w:rPr>
      </w:pPr>
    </w:p>
    <w:p>
      <w:pPr>
        <w:ind w:firstLine="656"/>
        <w:spacing w:after="0" w:line="273" w:lineRule="auto"/>
        <w:tabs>
          <w:tab w:leader="none" w:pos="893" w:val="left"/>
        </w:tabs>
        <w:numPr>
          <w:ilvl w:val="0"/>
          <w:numId w:val="75"/>
        </w:numPr>
        <w:rPr>
          <w:rFonts w:ascii="Arial" w:cs="Arial" w:eastAsia="Arial" w:hAnsi="Arial"/>
          <w:sz w:val="17"/>
          <w:szCs w:val="17"/>
          <w:color w:val="auto"/>
        </w:rPr>
      </w:pPr>
      <w:r>
        <w:rPr>
          <w:rFonts w:ascii="Arial" w:cs="Arial" w:eastAsia="Arial" w:hAnsi="Arial"/>
          <w:sz w:val="17"/>
          <w:szCs w:val="17"/>
          <w:color w:val="auto"/>
        </w:rPr>
        <w:t>Additional Notes and any other Indebtedness of the Grantors under any Credit Facility (excluding Permitted ABL Debt) that is secured by (or is secured equally and ratably with) Priority Liens securing Obligations in respect of a Series of Priority Lien Notes Debt, in each case that was permitted to be incurred and so secured under each applicable Permitted Notes Document; provided that either (a) such Indebtedness constituted “Permitted Additional Pari Passu Obligations” or (b) such Indebtedness is Permitted Refinancing Indebtedness the net proceeds of which are used to refund, refinance, replace, defease, discharge or otherwise acquire or retire such Permitted Additional Pari Passu Obligations (or to pay related fees, expenses, premiums and accrued interest); provided further, in the case of any Indebtedness referred to in clause (2) hereof, that:</w:t>
      </w:r>
    </w:p>
    <w:p>
      <w:pPr>
        <w:spacing w:after="0" w:line="178" w:lineRule="exact"/>
        <w:rPr>
          <w:sz w:val="20"/>
          <w:szCs w:val="20"/>
          <w:color w:val="auto"/>
        </w:rPr>
      </w:pPr>
    </w:p>
    <w:p>
      <w:pPr>
        <w:ind w:right="60" w:firstLine="656"/>
        <w:spacing w:after="0" w:line="259" w:lineRule="auto"/>
        <w:tabs>
          <w:tab w:leader="none" w:pos="893"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or before the date on which such Indebtedness is incurred by the Grantors, such Indebtedness is designated by the Company, in an Additional Permitted Notes Debt Designation executed and delivered in accordance with the Intercreditor Agreement hereof, as “Priority Lien Notes Debt” for the purposes of the Permitted Notes Documents; provided, that no Indebtedness may be designated as both Priority Lien Notes Debt and Parity Lien Notes Debt;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firstLine="656"/>
        <w:spacing w:after="0" w:line="263" w:lineRule="auto"/>
        <w:tabs>
          <w:tab w:leader="none" w:pos="903"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such Indebtedness is issued under an existing Permitted Notes Document for any Series of Priority Lien Notes Debt whose Priority Lien Representative is already party to the Collateral Trust Agreement, the Priority Lien Representative for such Indebtedness executes and delivers a collateral trust joinder in accordance with the Collateral Trust Agreement;</w:t>
      </w:r>
    </w:p>
    <w:p>
      <w:pPr>
        <w:spacing w:after="0" w:line="183" w:lineRule="exact"/>
        <w:rPr>
          <w:rFonts w:ascii="Arial" w:cs="Arial" w:eastAsia="Arial" w:hAnsi="Arial"/>
          <w:sz w:val="18"/>
          <w:szCs w:val="18"/>
          <w:color w:val="auto"/>
        </w:rPr>
      </w:pPr>
    </w:p>
    <w:p>
      <w:pPr>
        <w:ind w:right="420" w:firstLine="656"/>
        <w:spacing w:after="0" w:line="277" w:lineRule="auto"/>
        <w:tabs>
          <w:tab w:leader="none" w:pos="8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Indebtedness is governed by an indenture, credit agreement or other agreement that includes a lien sharing and priority confirmation contemplated by the Collateral Trust Agreement; and</w:t>
      </w:r>
    </w:p>
    <w:p>
      <w:pPr>
        <w:spacing w:after="0" w:line="170" w:lineRule="exact"/>
        <w:rPr>
          <w:rFonts w:ascii="Arial" w:cs="Arial" w:eastAsia="Arial" w:hAnsi="Arial"/>
          <w:sz w:val="18"/>
          <w:szCs w:val="18"/>
          <w:color w:val="auto"/>
        </w:rPr>
      </w:pPr>
    </w:p>
    <w:p>
      <w:pPr>
        <w:ind w:right="60" w:firstLine="656"/>
        <w:spacing w:after="0" w:line="259" w:lineRule="auto"/>
        <w:tabs>
          <w:tab w:leader="none" w:pos="903"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relevant requirements set forth in the Collateral Trust Agreement have been complied with (the satisfaction of which will be conclusively established if the Company delivers an officer’s certificate to the Permitted Notes Representatives and the Collateral Trustee stating that such requirements and other provisions of the Collateral Trust Agreement have been satisfied and that such Indebtedness is “Priority Lien Notes Debt” under the Permitted Notes Documents).</w:t>
      </w:r>
    </w:p>
    <w:p>
      <w:pPr>
        <w:spacing w:after="0" w:line="187"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Priority Lien Notes Obligations</w:t>
      </w:r>
      <w:r>
        <w:rPr>
          <w:rFonts w:ascii="Arial" w:cs="Arial" w:eastAsia="Arial" w:hAnsi="Arial"/>
          <w:sz w:val="16"/>
          <w:szCs w:val="16"/>
          <w:color w:val="auto"/>
        </w:rPr>
        <w:t>” means Priority Lien Notes Debt and all other Obligations in respect thereof, including, without limitation interest and premium (if any) (including post-petition interest whether or not allowable), together with all guarantees of any of the foregoing.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Representative</w:t>
      </w:r>
      <w:r>
        <w:rPr>
          <w:rFonts w:ascii="Arial" w:cs="Arial" w:eastAsia="Arial" w:hAnsi="Arial"/>
          <w:sz w:val="18"/>
          <w:szCs w:val="18"/>
          <w:color w:val="auto"/>
        </w:rPr>
        <w:t>” means,</w:t>
      </w:r>
    </w:p>
    <w:p>
      <w:pPr>
        <w:spacing w:after="0" w:line="225" w:lineRule="exact"/>
        <w:rPr>
          <w:sz w:val="20"/>
          <w:szCs w:val="20"/>
          <w:color w:val="auto"/>
        </w:rPr>
      </w:pPr>
    </w:p>
    <w:p>
      <w:pPr>
        <w:ind w:left="920" w:hanging="264"/>
        <w:spacing w:after="0"/>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the Notes, the Trustee; and</w:t>
      </w:r>
    </w:p>
    <w:p>
      <w:pPr>
        <w:spacing w:after="0" w:line="225" w:lineRule="exact"/>
        <w:rPr>
          <w:rFonts w:ascii="Arial" w:cs="Arial" w:eastAsia="Arial" w:hAnsi="Arial"/>
          <w:sz w:val="18"/>
          <w:szCs w:val="18"/>
          <w:color w:val="auto"/>
        </w:rPr>
      </w:pPr>
    </w:p>
    <w:p>
      <w:pPr>
        <w:ind w:firstLine="656"/>
        <w:spacing w:after="0" w:line="257" w:lineRule="auto"/>
        <w:tabs>
          <w:tab w:leader="none" w:pos="90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any other Series of Priority Lien Notes Debt, the trustee, agent or representative of the holders of such Series of Priority Lien Notes Debt who maintains the transfer register for such Series of Priority Lien Notes Debt and (A) is appointed as a Priority Lien Representative (for purposes related to the administration of the Collateral Documents) pursuant to the indenture, credit agreement or other agreement governing such Series of Priority Lien Notes Debt, together with its successors in such capacity, and (B) who has executed a collateral trust joinder contemplated by the Collateral Trust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Secured Parties</w:t>
      </w:r>
      <w:r>
        <w:rPr>
          <w:rFonts w:ascii="Arial" w:cs="Arial" w:eastAsia="Arial" w:hAnsi="Arial"/>
          <w:sz w:val="18"/>
          <w:szCs w:val="18"/>
          <w:color w:val="auto"/>
        </w:rPr>
        <w:t>” means the holders of Priority Lien Notes Obligations, each Priority Lien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Proceeds</w:t>
      </w:r>
      <w:r>
        <w:rPr>
          <w:rFonts w:ascii="Arial" w:cs="Arial" w:eastAsia="Arial" w:hAnsi="Arial"/>
          <w:sz w:val="17"/>
          <w:szCs w:val="17"/>
          <w:color w:val="auto"/>
        </w:rPr>
        <w:t>” has the meaning specified in the UCC, and if defined in more than one Article of the UCC, the meaning given in Article 9 thereof.</w:t>
      </w:r>
    </w:p>
    <w:p>
      <w:pPr>
        <w:spacing w:after="0" w:line="23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Debt</w:t>
      </w:r>
      <w:r>
        <w:rPr>
          <w:rFonts w:ascii="Arial" w:cs="Arial" w:eastAsia="Arial" w:hAnsi="Arial"/>
          <w:sz w:val="18"/>
          <w:szCs w:val="18"/>
          <w:color w:val="auto"/>
        </w:rPr>
        <w:t>” means Indebtedness (other than the Permitted ABL Debt and Permitted Notes Debt), including Capitalized Lease Obligations, for the purpose of financing all or a portion of the purchase price of any Real Estate Asset or Equipment, which Indebtedness does not exceed the cost of acquiring such Real Estate Asset or Equipment, including any related transaction costs.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1" w:name="page62"/>
    <w:bookmarkEnd w:id="61"/>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Lien</w:t>
      </w:r>
      <w:r>
        <w:rPr>
          <w:rFonts w:ascii="Arial" w:cs="Arial" w:eastAsia="Arial" w:hAnsi="Arial"/>
          <w:sz w:val="18"/>
          <w:szCs w:val="18"/>
          <w:color w:val="auto"/>
        </w:rPr>
        <w:t>” means a Lien which secures Purchase Money Debt, encumbering only the fixed assets acquired with such Indebtedness and constituting a capital lease or a purchase money security interest under the UCC.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Protected Purchaser</w:t>
      </w:r>
      <w:r>
        <w:rPr>
          <w:rFonts w:ascii="Arial" w:cs="Arial" w:eastAsia="Arial" w:hAnsi="Arial"/>
          <w:sz w:val="18"/>
          <w:szCs w:val="18"/>
          <w:color w:val="auto"/>
        </w:rPr>
        <w:t>” has the meaning specified in Section 3.05.</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Proceeds</w:t>
      </w:r>
      <w:r>
        <w:rPr>
          <w:rFonts w:ascii="Arial" w:cs="Arial" w:eastAsia="Arial" w:hAnsi="Arial"/>
          <w:sz w:val="18"/>
          <w:szCs w:val="18"/>
          <w:color w:val="auto"/>
        </w:rPr>
        <w:t xml:space="preserve">” means assets that are used or useful in, or Capital Stock of any Person engaged in, a Similar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fair market value of any such assets or Capital Stock shall be determined by the Company in good faith.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Trustee</w:t>
      </w:r>
      <w:r>
        <w:rPr>
          <w:rFonts w:ascii="Arial" w:cs="Arial" w:eastAsia="Arial" w:hAnsi="Arial"/>
          <w:sz w:val="18"/>
          <w:szCs w:val="18"/>
          <w:color w:val="auto"/>
        </w:rPr>
        <w:t>” has the meaning specified in Section 13.05.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Real Estate Asset</w:t>
      </w:r>
      <w:r>
        <w:rPr>
          <w:rFonts w:ascii="Arial" w:cs="Arial" w:eastAsia="Arial" w:hAnsi="Arial"/>
          <w:sz w:val="16"/>
          <w:szCs w:val="16"/>
          <w:color w:val="auto"/>
        </w:rPr>
        <w:t>” means, at any time of determination, any interest (fee, leasehold or otherwise) then owned by any Grantor in any real property.</w:t>
      </w:r>
    </w:p>
    <w:p>
      <w:pPr>
        <w:spacing w:after="0" w:line="2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Facility</w:t>
      </w:r>
      <w:r>
        <w:rPr>
          <w:rFonts w:ascii="Arial" w:cs="Arial" w:eastAsia="Arial" w:hAnsi="Arial"/>
          <w:sz w:val="18"/>
          <w:szCs w:val="18"/>
          <w:color w:val="auto"/>
        </w:rPr>
        <w:t>” means one or more receivables financing facilities, as amended, supplemented, modified, extended, renewed, restated, refunded, replaced or refinanced from time to time, the Indebtedness of which is non-recourse (except for standard representations, warranties, covenants and indemnities made in connection with such facilities) to the Company and its Restricted Subsidiaries pursuant to which the Company or any of its Restricted Subsidiaries sells its accounts receivable to either (a) a Person that is not a Restricted Subsidiary or (b) a Receivables Subsidiary that in turn sells its accounts receivable to a Person that is not a Restricted Subsidiary.</w:t>
      </w:r>
    </w:p>
    <w:p>
      <w:pPr>
        <w:spacing w:after="0" w:line="188"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Receivables Fees</w:t>
      </w:r>
      <w:r>
        <w:rPr>
          <w:rFonts w:ascii="Arial" w:cs="Arial" w:eastAsia="Arial" w:hAnsi="Arial"/>
          <w:sz w:val="17"/>
          <w:szCs w:val="17"/>
          <w:color w:val="auto"/>
        </w:rPr>
        <w:t>” means distributions or payments made directly or by means of discounts with respect to any participation interest issued or sold in connection with, and other fees paid to a Person that is not a Restricted Subsidiary in connection with, any Receivables Facility.</w:t>
      </w:r>
    </w:p>
    <w:p>
      <w:pPr>
        <w:spacing w:after="0" w:line="14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Subsidiary</w:t>
      </w:r>
      <w:r>
        <w:rPr>
          <w:rFonts w:ascii="Arial" w:cs="Arial" w:eastAsia="Arial" w:hAnsi="Arial"/>
          <w:sz w:val="18"/>
          <w:szCs w:val="18"/>
          <w:color w:val="auto"/>
        </w:rPr>
        <w:t>” means any Subsidiary formed solely for the purpose of engaging, and that engages only, in one or more Receivables Facilities.</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 when used with respect to any Note to be redeemed, in whole or in part, means the date fixed for such redemption by or pursuant to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Price</w:t>
      </w:r>
      <w:r>
        <w:rPr>
          <w:rFonts w:ascii="Arial" w:cs="Arial" w:eastAsia="Arial" w:hAnsi="Arial"/>
          <w:sz w:val="16"/>
          <w:szCs w:val="16"/>
          <w:color w:val="auto"/>
        </w:rPr>
        <w:t>” when used with respect to any Note to be redeemed, means the price at which it is to be redeemed pursuant to this Indenture.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Regular Record Date</w:t>
      </w:r>
      <w:r>
        <w:rPr>
          <w:rFonts w:ascii="Arial" w:cs="Arial" w:eastAsia="Arial" w:hAnsi="Arial"/>
          <w:sz w:val="18"/>
          <w:szCs w:val="18"/>
          <w:color w:val="auto"/>
        </w:rPr>
        <w:t>” has the meaning specified in Section 3.01.</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Business Assets</w:t>
      </w:r>
      <w:r>
        <w:rPr>
          <w:rFonts w:ascii="Arial" w:cs="Arial" w:eastAsia="Arial" w:hAnsi="Arial"/>
          <w:sz w:val="18"/>
          <w:szCs w:val="18"/>
          <w:color w:val="auto"/>
        </w:rPr>
        <w:t xml:space="preserve">” means assets (other than cash or Cash Equivalents) used or useful in a Similar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assets received by the Company or a Restricted Subsidiary in exchange for assets transferred by the Company or a Restricted Subsidiary shall not be deemed to be Related Business Assets if they consist of securities of a Person, unless upon receipt of the securities of such Person, such Person would become a Restricted Subsidiary.</w:t>
      </w:r>
    </w:p>
    <w:p>
      <w:pPr>
        <w:spacing w:after="0" w:line="18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Parity Lien Debtholders</w:t>
      </w:r>
      <w:r>
        <w:rPr>
          <w:rFonts w:ascii="Arial" w:cs="Arial" w:eastAsia="Arial" w:hAnsi="Arial"/>
          <w:sz w:val="17"/>
          <w:szCs w:val="17"/>
          <w:color w:val="auto"/>
        </w:rPr>
        <w:t>” means, at any time, the holders of a majority in aggregate principal amount of all Parity Lien Notes Debt then outstanding, calculated in accordance with the provisions of Collateral Trust Agreement. For purposes of this definition, Parity Lien Notes Debt registered in the name of, or beneficially owned by, the Company or any Subsidiary of the Company will be deemed not to be outstanding.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right="8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Priority Lien Debtholders</w:t>
      </w:r>
      <w:r>
        <w:rPr>
          <w:rFonts w:ascii="Arial" w:cs="Arial" w:eastAsia="Arial" w:hAnsi="Arial"/>
          <w:sz w:val="16"/>
          <w:szCs w:val="16"/>
          <w:color w:val="auto"/>
        </w:rPr>
        <w:t>” means, at any time, the holders of a majority in aggregate principal amount of all Priority Lien Notes Debt then outstanding, calculated in accordance with the provisions of the Collateral Trust Agreement. For purposes of this definition, Priority Lien Notes Debt registered in the name of, or beneficially owned by, the Company or any Subsidiary of the Company will be deemed not to be outstanding.</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or the Collateral Trustee, means any vice president, any assistant treasurer, any trust officer or assistant trust officer, or any other officer of the Trustee or Collateral Trustee (or any successor group of the Trustee or Collateral Trustee) customarily performing functions similar to those performed by any of the above-designated officers, and also means, with respect to a particular corporate trust matter, any other officer to whom such matter is referred because of his knowledge of and familiarity with the particular subject, and who in each case shall have direct responsibility for the administration of this Indenture.</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Cash</w:t>
      </w:r>
      <w:r>
        <w:rPr>
          <w:rFonts w:ascii="Arial" w:cs="Arial" w:eastAsia="Arial" w:hAnsi="Arial"/>
          <w:sz w:val="18"/>
          <w:szCs w:val="18"/>
          <w:color w:val="auto"/>
        </w:rPr>
        <w:t>” means cash and Cash Equivalents held by the Company or any Restricted Subsidiary that would appear as “restricted” on a consolidated balance sheet of the Company or any Restricted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 has the meaning specified in Section 10.08(a)(4).</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xml:space="preserve">” means, at any time, any direct or indirect Subsidiary of the Company (including any Foreign Subsidiary) that is not then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occurrence of an Unrestricted Subsidiary ceasing to be an Unrestricted Subsidiary, such Subsidiary shall be included in the definition of “Restricted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Retired Capital Stock</w:t>
      </w:r>
      <w:r>
        <w:rPr>
          <w:rFonts w:ascii="Arial" w:cs="Arial" w:eastAsia="Arial" w:hAnsi="Arial"/>
          <w:sz w:val="18"/>
          <w:szCs w:val="18"/>
          <w:color w:val="auto"/>
        </w:rPr>
        <w:t>” has the meaning specified in Section 10.08(b)(2).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Reversion Date</w:t>
      </w:r>
      <w:r>
        <w:rPr>
          <w:rFonts w:ascii="Arial" w:cs="Arial" w:eastAsia="Arial" w:hAnsi="Arial"/>
          <w:sz w:val="18"/>
          <w:szCs w:val="18"/>
          <w:color w:val="auto"/>
        </w:rPr>
        <w:t>” has the meaning specified in Section 10.19.</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and Poor’s Ratings Services, a division of the McGraw-Hill Companies, Inc., and any successor to its rating agency business.</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any arrangement with any Person providing for the leasing by the Company or any Restricted Subsidiary of any real or tangible personal property, which property has been or is to be sold or transferred by the Company or such Restricted Subsidiary to such Person in contemplation of such leasing.</w:t>
      </w:r>
    </w:p>
    <w:p>
      <w:pPr>
        <w:spacing w:after="0" w:line="184" w:lineRule="exact"/>
        <w:rPr>
          <w:sz w:val="20"/>
          <w:szCs w:val="20"/>
          <w:color w:val="auto"/>
        </w:rPr>
      </w:pPr>
    </w:p>
    <w:p>
      <w:pPr>
        <w:jc w:val="both"/>
        <w:ind w:righ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Sanctioned Assets</w:t>
      </w:r>
      <w:r>
        <w:rPr>
          <w:rFonts w:ascii="Arial" w:cs="Arial" w:eastAsia="Arial" w:hAnsi="Arial"/>
          <w:sz w:val="16"/>
          <w:szCs w:val="16"/>
          <w:color w:val="auto"/>
        </w:rPr>
        <w:t>” means (a) any Account, Instrument, Chattel Paper, or other obligation or property of any kind due from, owed by, or belonging to, a Sanctioned Person or Sanctioned Country and (b) any lease under which the lessee is a Sanctioned Person or Sanctioned Country.</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3" w:name="page64"/>
    <w:bookmarkEnd w:id="63"/>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Sanctioned Country</w:t>
      </w:r>
      <w:r>
        <w:rPr>
          <w:rFonts w:ascii="Arial" w:cs="Arial" w:eastAsia="Arial" w:hAnsi="Arial"/>
          <w:sz w:val="16"/>
          <w:szCs w:val="16"/>
          <w:color w:val="auto"/>
        </w:rPr>
        <w:t>” means (a) a country, territory or a government of a country or territory, (b) an agency of the government of a country or territory, or (c) an organization directly or indirectly owned or controlled by a country, territory or its government, that is subject to Sanctions.</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Person</w:t>
      </w:r>
      <w:r>
        <w:rPr>
          <w:rFonts w:ascii="Arial" w:cs="Arial" w:eastAsia="Arial" w:hAnsi="Arial"/>
          <w:sz w:val="18"/>
          <w:szCs w:val="18"/>
          <w:color w:val="auto"/>
        </w:rPr>
        <w:t>” means (a) a Person named on the list of “Specially Designated Nationals” or any other Sanctions related list of designated Persons maintained by OFAC, the U.S. Department of State, the United Nations Security Council, the European Union or any European Union member state, (b) any Person operating, organized or resident in a Sanctioned Country or (c) any Person owned or controlled by any such Person or Persons described in the foregoing clauses (a) or (b).</w:t>
      </w:r>
    </w:p>
    <w:p>
      <w:pPr>
        <w:spacing w:after="0" w:line="187"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Sanctions</w:t>
      </w:r>
      <w:r>
        <w:rPr>
          <w:rFonts w:ascii="Arial" w:cs="Arial" w:eastAsia="Arial" w:hAnsi="Arial"/>
          <w:sz w:val="16"/>
          <w:szCs w:val="16"/>
          <w:color w:val="auto"/>
        </w:rPr>
        <w:t>” means economic or financial sanctions or trade embargoes imposed, administered or enforced from time to time by (a) the U.S. government, including those administered by OFAC or the U.S. Department of State, (b) the United Nations Security Council, (c) the European Union,</w:t>
      </w:r>
    </w:p>
    <w:p>
      <w:pPr>
        <w:ind w:left="660" w:right="1360" w:hanging="652"/>
        <w:spacing w:after="0" w:line="492" w:lineRule="auto"/>
        <w:tabs>
          <w:tab w:leader="none" w:pos="26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European Union member state, (e) Her Majesty’s Treasury of the United Kingdom or (f) any other relevant sanctions authority. “</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w:t>
      </w:r>
      <w:r>
        <w:rPr>
          <w:rFonts w:ascii="Arial" w:cs="Arial" w:eastAsia="Arial" w:hAnsi="Arial"/>
          <w:sz w:val="18"/>
          <w:szCs w:val="18"/>
          <w:color w:val="auto"/>
        </w:rPr>
        <w:t>” means Permitted ABL Debt and Permitted Notes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 Documents</w:t>
      </w:r>
      <w:r>
        <w:rPr>
          <w:rFonts w:ascii="Arial" w:cs="Arial" w:eastAsia="Arial" w:hAnsi="Arial"/>
          <w:sz w:val="18"/>
          <w:szCs w:val="18"/>
          <w:color w:val="auto"/>
        </w:rPr>
        <w:t>” means, collectively, the Permitted ABL Documents and the Permitted Notes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Indebtedness</w:t>
      </w:r>
      <w:r>
        <w:rPr>
          <w:rFonts w:ascii="Arial" w:cs="Arial" w:eastAsia="Arial" w:hAnsi="Arial"/>
          <w:sz w:val="18"/>
          <w:szCs w:val="18"/>
          <w:color w:val="auto"/>
        </w:rPr>
        <w:t>” means any Indebtedness secured by a Lien.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Secured Net Leverage Ratio</w:t>
      </w:r>
      <w:r>
        <w:rPr>
          <w:rFonts w:ascii="Arial" w:cs="Arial" w:eastAsia="Arial" w:hAnsi="Arial"/>
          <w:sz w:val="17"/>
          <w:szCs w:val="17"/>
          <w:color w:val="auto"/>
        </w:rPr>
        <w:t>” means, with respect to any Person, at any date, the ratio of (i) Consolidated Total Secured Indebtedness of the Company and its Restricted Subsidiaries as of such date of calculation (determined on a consolidated basis in accordance with GAAP) less the amount of cash and Cash Equivalents in excess of any Restricted Cash and Permitted Investments that would be stated on the balance sheet of such Person and its Restricted Subsidiaries and held by such Person and its Restricted Subsidiaries as of such date of determination (other than cash proceeds of Secured Indebtedness incurred on the date of determination to be held on the balance sheet for working capital or general corporate purposes) to (ii) EBITDA of such Person for the four full fiscal quarters for which financial statements have been delivered to the Trustee immediately preceding such date on which such additional Indebtedness is incurred, in each case on a pro forma basis with such pro forma adjustments as are appropriate and consistent with the pro forma provisions set forth in the definition of Fixed Charge Coverage Ratio.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Obligations</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means the ABL Secured Parties and the Permitted Notes Secured Parties.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has the meaning specified in the UCC, and if defined in more than one Article of the UCC, the meaning given in Article 9 thereof.</w:t>
      </w: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8" w:right="499" w:bottom="1440" w:gutter="0" w:footer="0" w:header="0"/>
        </w:sectPr>
      </w:pPr>
    </w:p>
    <w:bookmarkStart w:id="64" w:name="page65"/>
    <w:bookmarkEnd w:id="6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Account</w:t>
      </w:r>
      <w:r>
        <w:rPr>
          <w:rFonts w:ascii="Arial" w:cs="Arial" w:eastAsia="Arial" w:hAnsi="Arial"/>
          <w:sz w:val="16"/>
          <w:szCs w:val="16"/>
          <w:color w:val="auto"/>
        </w:rPr>
        <w:t>” has the meaning specified in the UCC, and if defined in more than one Article of the UCC, the meaning given in Article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w:t>
      </w:r>
      <w:r>
        <w:rPr>
          <w:rFonts w:ascii="Arial" w:cs="Arial" w:eastAsia="Arial" w:hAnsi="Arial"/>
          <w:sz w:val="18"/>
          <w:szCs w:val="18"/>
          <w:color w:val="auto"/>
        </w:rPr>
        <w:t>” means the Priority Lien Security Agreement, dated as of the Issue Date by and among the Company, the Guarantors and the Collateral Trustee, as the same may be amended, modified, restated, supplemented or replaced from time to time.</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Security Documents</w:t>
      </w:r>
      <w:r>
        <w:rPr>
          <w:rFonts w:ascii="Arial" w:cs="Arial" w:eastAsia="Arial" w:hAnsi="Arial"/>
          <w:sz w:val="16"/>
          <w:szCs w:val="16"/>
          <w:color w:val="auto"/>
        </w:rPr>
        <w:t>” means the Security Agreement, the mortgages, the Intercreditor Agreement, the Collateral Trust Agreement and all of the security agreements, pledges, collateral assignments, mortgages, deeds of trust, trust deeds or other instruments evidencing or creating or purporting to create any security interests in favor of the Collateral Trustee for its benefit and for the benefit of the Trustee and the Holders of the Notes and the holders of any Parity Lien Notes Debt, in all or any portion of the Collateral, as amended, modified, restated, supplemented or replaced from time to time. For purposes of the Collateral Trust Agreement, in no event shall “Security Documents” refer to any document to which the Collateral Trustee is not a party as collateral trustee, collateral agent or similar title, or, with the knowledge of the Collateral Trustee, a named beneficiary of a document or instrument which the Company or any other Grantor is required to deliver or cause to be delivered pursuant to a Collateral Document or this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Security Entitlement</w:t>
      </w:r>
      <w:r>
        <w:rPr>
          <w:rFonts w:ascii="Arial" w:cs="Arial" w:eastAsia="Arial" w:hAnsi="Arial"/>
          <w:sz w:val="16"/>
          <w:szCs w:val="16"/>
          <w:color w:val="auto"/>
        </w:rPr>
        <w:t>” has the meaning specified in the UCC, and if defined in more than one Article of the UCC, the meaning given in Article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Collateral</w:t>
      </w:r>
      <w:r>
        <w:rPr>
          <w:rFonts w:ascii="Arial" w:cs="Arial" w:eastAsia="Arial" w:hAnsi="Arial"/>
          <w:sz w:val="18"/>
          <w:szCs w:val="18"/>
          <w:color w:val="auto"/>
        </w:rPr>
        <w:t>” means with respect to any Senior Secured Party, any Collateral on which it has a Senior Lien.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Documents</w:t>
      </w:r>
      <w:r>
        <w:rPr>
          <w:rFonts w:ascii="Arial" w:cs="Arial" w:eastAsia="Arial" w:hAnsi="Arial"/>
          <w:sz w:val="18"/>
          <w:szCs w:val="18"/>
          <w:color w:val="auto"/>
        </w:rPr>
        <w:t>” means (a) in respect of the Priority Fixed Assets Collateral, the Permitted Notes Documents, and (b) in respect of the Priority ABL Collateral, the Permitted ABL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Indebtedness</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1400" w:hanging="744"/>
        <w:spacing w:after="0"/>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Indebtedness of such Person, whether outstanding on the Issue Date or thereafter incurred; and</w:t>
      </w:r>
    </w:p>
    <w:p>
      <w:pPr>
        <w:spacing w:after="0" w:line="225" w:lineRule="exact"/>
        <w:rPr>
          <w:rFonts w:ascii="Arial" w:cs="Arial" w:eastAsia="Arial" w:hAnsi="Arial"/>
          <w:sz w:val="18"/>
          <w:szCs w:val="18"/>
          <w:color w:val="auto"/>
        </w:rPr>
      </w:pPr>
    </w:p>
    <w:p>
      <w:pPr>
        <w:ind w:firstLine="656"/>
        <w:spacing w:after="0" w:line="257" w:lineRule="auto"/>
        <w:tabs>
          <w:tab w:leader="none" w:pos="13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all other Obligations of such Person (including interest accruing on or after the filing of any petition in bankruptcy or for reorganization relating to such Person whether or not post-filing interest is allowed in such proceeding) in respect of Indebtedness set forth in clause (1) above unless, in the case of clauses (1) and (2), the instrument creating or evidencing the same or pursuant to which the same is outstanding expressly provides that such Indebtedness or other Obligations are subordinate in right of payment to the Notes or the Guarantee of such Person,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Senior Indebtedness shall not include:</w:t>
      </w:r>
    </w:p>
    <w:p>
      <w:pPr>
        <w:spacing w:after="0" w:line="188" w:lineRule="exact"/>
        <w:rPr>
          <w:sz w:val="20"/>
          <w:szCs w:val="20"/>
          <w:color w:val="auto"/>
        </w:rPr>
      </w:pPr>
    </w:p>
    <w:p>
      <w:pPr>
        <w:ind w:right="520" w:firstLine="656"/>
        <w:spacing w:after="0" w:line="277" w:lineRule="auto"/>
        <w:tabs>
          <w:tab w:leader="none" w:pos="139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obligation of such Person to the Company or any Subsidiary or to any joint venture in which the Company or any Restricted Subsidiary has an interest;</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5" w:name="page66"/>
    <w:bookmarkEnd w:id="65"/>
    <w:p>
      <w:pPr>
        <w:ind w:left="1400" w:hanging="744"/>
        <w:spacing w:after="0"/>
        <w:tabs>
          <w:tab w:leader="none" w:pos="1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such Person;</w:t>
      </w:r>
    </w:p>
    <w:p>
      <w:pPr>
        <w:spacing w:after="0" w:line="225" w:lineRule="exact"/>
        <w:rPr>
          <w:rFonts w:ascii="Arial" w:cs="Arial" w:eastAsia="Arial" w:hAnsi="Arial"/>
          <w:sz w:val="18"/>
          <w:szCs w:val="18"/>
          <w:color w:val="auto"/>
        </w:rPr>
      </w:pPr>
    </w:p>
    <w:p>
      <w:pPr>
        <w:ind w:right="100" w:firstLine="656"/>
        <w:spacing w:after="0" w:line="277" w:lineRule="auto"/>
        <w:tabs>
          <w:tab w:leader="none" w:pos="139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accounts payable or other liability to trade creditors in the ordinary course of business (including guarantees thereof as instruments evidencing such liabilities);</w:t>
      </w:r>
    </w:p>
    <w:p>
      <w:pPr>
        <w:spacing w:after="0" w:line="170" w:lineRule="exact"/>
        <w:rPr>
          <w:rFonts w:ascii="Arial" w:cs="Arial" w:eastAsia="Arial" w:hAnsi="Arial"/>
          <w:sz w:val="18"/>
          <w:szCs w:val="18"/>
          <w:color w:val="auto"/>
        </w:rPr>
      </w:pPr>
    </w:p>
    <w:p>
      <w:pPr>
        <w:ind w:right="760" w:firstLine="656"/>
        <w:spacing w:after="0" w:line="277" w:lineRule="auto"/>
        <w:tabs>
          <w:tab w:leader="none" w:pos="139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Indebtedness or other Obligation of such Person that is subordinate or junior in right of payment with respect to any other Indebtedness or other Obligation of such Person; or</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portion of any Indebtedness that at the time of incurrence is incurred in violation of this Indenture.</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Liens</w:t>
      </w:r>
      <w:r>
        <w:rPr>
          <w:rFonts w:ascii="Arial" w:cs="Arial" w:eastAsia="Arial" w:hAnsi="Arial"/>
          <w:sz w:val="18"/>
          <w:szCs w:val="18"/>
          <w:color w:val="auto"/>
        </w:rPr>
        <w:t>” means (a) with respect to the Priority ABL Collateral, all Liens securing the ABL Obligations and (b) with respect to the Priority Fixed Asset Collateral, all Liens securing the Fixed Asset Obligations. “</w:t>
      </w:r>
      <w:r>
        <w:rPr>
          <w:rFonts w:ascii="Arial" w:cs="Arial" w:eastAsia="Arial" w:hAnsi="Arial"/>
          <w:sz w:val="18"/>
          <w:szCs w:val="18"/>
          <w:i w:val="1"/>
          <w:iCs w:val="1"/>
          <w:color w:val="auto"/>
        </w:rPr>
        <w:t>Senior Obligations</w:t>
      </w:r>
      <w:r>
        <w:rPr>
          <w:rFonts w:ascii="Arial" w:cs="Arial" w:eastAsia="Arial" w:hAnsi="Arial"/>
          <w:sz w:val="18"/>
          <w:szCs w:val="18"/>
          <w:color w:val="auto"/>
        </w:rPr>
        <w:t>” means, (a) with respect to any Priority ABL Collateral, all ABL Obligations and (b) with respect to any Priority Fixed Asset Collateral, all Fixed Asset Obligations.</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Secured Parties</w:t>
      </w:r>
      <w:r>
        <w:rPr>
          <w:rFonts w:ascii="Arial" w:cs="Arial" w:eastAsia="Arial" w:hAnsi="Arial"/>
          <w:sz w:val="18"/>
          <w:szCs w:val="18"/>
          <w:color w:val="auto"/>
        </w:rPr>
        <w:t>” will mean (a) with respect to the Priority ABL Collateral, the ABL Secured Parties and (b) with respect to the Priority Fixed Asset Collateral, the Permitted Notes Secured Parties.</w:t>
      </w:r>
    </w:p>
    <w:p>
      <w:pPr>
        <w:spacing w:after="0" w:line="170"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of Parity Lien Notes Debt</w:t>
      </w:r>
      <w:r>
        <w:rPr>
          <w:rFonts w:ascii="Arial" w:cs="Arial" w:eastAsia="Arial" w:hAnsi="Arial"/>
          <w:sz w:val="18"/>
          <w:szCs w:val="18"/>
          <w:color w:val="auto"/>
        </w:rPr>
        <w:t>” means, severally, each issue or series of Parity Lien Notes Debt for which a single transfer register is maintained.</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of Permitted ABL Debt</w:t>
      </w:r>
      <w:r>
        <w:rPr>
          <w:rFonts w:ascii="Arial" w:cs="Arial" w:eastAsia="Arial" w:hAnsi="Arial"/>
          <w:sz w:val="18"/>
          <w:szCs w:val="18"/>
          <w:color w:val="auto"/>
        </w:rPr>
        <w:t>” means, severally, the Indebtedness outstanding under the ABL Facility and, if the ABL Facility is no longer outstanding, each other issue or series of Permitted ABL Debt for which a single transfer register is maintained.</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of Permitted Notes Debt</w:t>
      </w:r>
      <w:r>
        <w:rPr>
          <w:rFonts w:ascii="Arial" w:cs="Arial" w:eastAsia="Arial" w:hAnsi="Arial"/>
          <w:sz w:val="18"/>
          <w:szCs w:val="18"/>
          <w:color w:val="auto"/>
        </w:rPr>
        <w:t>” means, severally, the Notes and each other issue or series of Permitted Notes Debt for which a single transfer register is maintained.</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“Series of Priority Lien Notes Debt” means, severally, each issue or series of Priority Lien Notes Debt for which a single transfer register is maintained.</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Restricted Subsidiary of the Company that would be a “significant subsidiary” as defined in Article One, Rule 1-02 of Regulation S-X, promulgated pursuant to the Securities Act, as such regulation is in effect on the date hereof.</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Similar Business</w:t>
      </w:r>
      <w:r>
        <w:rPr>
          <w:rFonts w:ascii="Arial" w:cs="Arial" w:eastAsia="Arial" w:hAnsi="Arial"/>
          <w:sz w:val="16"/>
          <w:szCs w:val="16"/>
          <w:color w:val="auto"/>
        </w:rPr>
        <w:t>” means any business or other activities conducted, or proposed to be conducted (as described in the Offering Memorandum or in the documents incorporated by reference therein), by the Company and its Subsidiaries on the Issue Date or any business or other activities conducted by any entity that is similar, reasonably related, complementary, incidental or ancillary thereto or a reasonable extension, development or expansion thereof.</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Record Date</w:t>
      </w:r>
      <w:r>
        <w:rPr>
          <w:rFonts w:ascii="Arial" w:cs="Arial" w:eastAsia="Arial" w:hAnsi="Arial"/>
          <w:sz w:val="18"/>
          <w:szCs w:val="18"/>
          <w:color w:val="auto"/>
        </w:rPr>
        <w:t>” for the payment of any Defaulted Interest means a date fixed by the Trustee pursuant to Section 3.06.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6" w:name="page67"/>
    <w:bookmarkEnd w:id="66"/>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Note or any installment of principal thereof or interest thereon, means the date specified in such Note as the fixed date on which the principal of such Note or such installment of principal or interest is due and payable.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w:t>
      </w:r>
    </w:p>
    <w:p>
      <w:pPr>
        <w:spacing w:after="0" w:line="225" w:lineRule="exact"/>
        <w:rPr>
          <w:sz w:val="20"/>
          <w:szCs w:val="20"/>
          <w:color w:val="auto"/>
        </w:rPr>
      </w:pPr>
    </w:p>
    <w:p>
      <w:pPr>
        <w:ind w:left="1400" w:hanging="744"/>
        <w:spacing w:after="0"/>
        <w:tabs>
          <w:tab w:leader="none" w:pos="14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with respect to the Company, any Indebtedness of the Company that is by its terms subordinated in right of payment to the Notes, and</w:t>
      </w:r>
    </w:p>
    <w:p>
      <w:pPr>
        <w:spacing w:after="0" w:line="248" w:lineRule="exact"/>
        <w:rPr>
          <w:rFonts w:ascii="Arial" w:cs="Arial" w:eastAsia="Arial" w:hAnsi="Arial"/>
          <w:sz w:val="16"/>
          <w:szCs w:val="16"/>
          <w:color w:val="auto"/>
        </w:rPr>
      </w:pPr>
    </w:p>
    <w:p>
      <w:pPr>
        <w:ind w:left="1400" w:hanging="744"/>
        <w:spacing w:after="0"/>
        <w:tabs>
          <w:tab w:leader="none" w:pos="14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with respect to any Guarantor, any Indebtedness of such Guarantor that is by its terms subordinated in right of payment to the Guarantee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Guarantor.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right="120" w:firstLine="656"/>
        <w:spacing w:after="0" w:line="259" w:lineRule="auto"/>
        <w:tabs>
          <w:tab w:leader="none" w:pos="13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225" w:lineRule="exact"/>
        <w:rPr>
          <w:rFonts w:ascii="Arial" w:cs="Arial" w:eastAsia="Arial" w:hAnsi="Arial"/>
          <w:sz w:val="18"/>
          <w:szCs w:val="18"/>
          <w:color w:val="auto"/>
        </w:rPr>
      </w:pPr>
    </w:p>
    <w:p>
      <w:pPr>
        <w:ind w:left="660" w:right="140" w:firstLine="644"/>
        <w:spacing w:after="0" w:line="286" w:lineRule="auto"/>
        <w:tabs>
          <w:tab w:leader="none" w:pos="2057" w:val="left"/>
        </w:tabs>
        <w:numPr>
          <w:ilvl w:val="1"/>
          <w:numId w:val="84"/>
        </w:numPr>
        <w:rPr>
          <w:rFonts w:ascii="Arial" w:cs="Arial" w:eastAsia="Arial" w:hAnsi="Arial"/>
          <w:sz w:val="17"/>
          <w:szCs w:val="17"/>
          <w:color w:val="auto"/>
        </w:rPr>
      </w:pPr>
      <w:r>
        <w:rPr>
          <w:rFonts w:ascii="Arial" w:cs="Arial" w:eastAsia="Arial" w:hAnsi="Arial"/>
          <w:sz w:val="17"/>
          <w:szCs w:val="17"/>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spacing w:after="0" w:line="165" w:lineRule="exact"/>
        <w:rPr>
          <w:rFonts w:ascii="Arial" w:cs="Arial" w:eastAsia="Arial" w:hAnsi="Arial"/>
          <w:sz w:val="17"/>
          <w:szCs w:val="17"/>
          <w:color w:val="auto"/>
        </w:rPr>
      </w:pPr>
    </w:p>
    <w:p>
      <w:pPr>
        <w:ind w:left="2060" w:hanging="756"/>
        <w:spacing w:after="0"/>
        <w:tabs>
          <w:tab w:leader="none" w:pos="20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such Person or any Restricted Subsidiary of such Person is a controlling general partner or otherwise controls such entity.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Company</w:t>
      </w:r>
      <w:r>
        <w:rPr>
          <w:rFonts w:ascii="Arial" w:cs="Arial" w:eastAsia="Arial" w:hAnsi="Arial"/>
          <w:sz w:val="18"/>
          <w:szCs w:val="18"/>
          <w:color w:val="auto"/>
        </w:rPr>
        <w:t>” has the meaning specified in Section 8.01(a)(1).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Guarantor</w:t>
      </w:r>
      <w:r>
        <w:rPr>
          <w:rFonts w:ascii="Arial" w:cs="Arial" w:eastAsia="Arial" w:hAnsi="Arial"/>
          <w:sz w:val="18"/>
          <w:szCs w:val="18"/>
          <w:color w:val="auto"/>
        </w:rPr>
        <w:t>” has the meaning specified in Section 8.02(1)(A).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Suspended Covenants</w:t>
      </w:r>
      <w:r>
        <w:rPr>
          <w:rFonts w:ascii="Arial" w:cs="Arial" w:eastAsia="Arial" w:hAnsi="Arial"/>
          <w:sz w:val="18"/>
          <w:szCs w:val="18"/>
          <w:color w:val="auto"/>
        </w:rPr>
        <w:t>” has the meaning specified in Section 10.19.</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Net Leverage Ratio</w:t>
      </w:r>
      <w:r>
        <w:rPr>
          <w:rFonts w:ascii="Arial" w:cs="Arial" w:eastAsia="Arial" w:hAnsi="Arial"/>
          <w:sz w:val="16"/>
          <w:szCs w:val="16"/>
          <w:color w:val="auto"/>
        </w:rPr>
        <w:t>” means, as of any date of determination, the ratio of (a) an amount equal to (i) Consolidated Total Indebtedness as of such date of calculation (determined on a consolidated basis in accordance with GAAP), minus (ii) the aggregate amount of unrestricted and unencumbered cash and Permitted Investments included in the consolidated balance sheet of the Company and its Subsidiaries as of such date of determination to</w:t>
      </w:r>
    </w:p>
    <w:p>
      <w:pPr>
        <w:spacing w:after="0" w:line="2" w:lineRule="exact"/>
        <w:rPr>
          <w:sz w:val="20"/>
          <w:szCs w:val="20"/>
          <w:color w:val="auto"/>
        </w:rPr>
      </w:pPr>
    </w:p>
    <w:p>
      <w:pPr>
        <w:ind w:firstLine="8"/>
        <w:spacing w:after="0" w:line="260"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EBITDA for the most recently ended four full fiscal quarters for which internal financial statements are available, all calculated for the Company and its Subsidiaries on a consolidated basis in accordance with GAAP.</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xml:space="preserve">” means, as of any Redemption Date or date of deposit, the yield to maturity as of such Redemption Date or date of deposit of United States Treasury securities with a constant maturity (as compiled and published in the most recent Federal Reserve Statistical Release Hl 5 (519) that has become publicly available at least two Business Days prior to the Redemption Date or date of deposit (or, if such Statistical Release is no longer published, any publicly available source of similar market data)) most nearly equal to the period from the Redemption Date or date of deposit to July 15, 2023;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the Redemption Date or date of deposit to July 15, 2023, is less than one year, the weekly average yield on actually traded United States Treasury securities adjusted to a constant maturity of one year shall be used.</w:t>
      </w:r>
    </w:p>
    <w:p>
      <w:pPr>
        <w:spacing w:after="0" w:line="178"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Services Agreement</w:t>
      </w:r>
      <w:r>
        <w:rPr>
          <w:rFonts w:ascii="Arial" w:cs="Arial" w:eastAsia="Arial" w:hAnsi="Arial"/>
          <w:sz w:val="18"/>
          <w:szCs w:val="18"/>
          <w:color w:val="auto"/>
        </w:rPr>
        <w:t>” means any agreement between the Company or any Subsidiary and any approved counterparty relating to treasury, depository, credit card, debit card, stored value cards, purchasing or procurement cards and cash management services or automated clearinghouse transfer of funds or any similar services.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or “</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as in force at the date as of which this Indenture was executed.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Estates</w:t>
      </w:r>
      <w:r>
        <w:rPr>
          <w:rFonts w:ascii="Arial" w:cs="Arial" w:eastAsia="Arial" w:hAnsi="Arial"/>
          <w:sz w:val="18"/>
          <w:szCs w:val="18"/>
          <w:color w:val="auto"/>
        </w:rPr>
        <w:t>” means, collectively, the Junior Trust Estate together with the Senior Trust Estate.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Monies</w:t>
      </w:r>
      <w:r>
        <w:rPr>
          <w:rFonts w:ascii="Arial" w:cs="Arial" w:eastAsia="Arial" w:hAnsi="Arial"/>
          <w:sz w:val="18"/>
          <w:szCs w:val="18"/>
          <w:color w:val="auto"/>
        </w:rPr>
        <w:t>” means, subject to the Intercreditor Agreement, all cash and Cash Equivalents:</w:t>
      </w:r>
    </w:p>
    <w:p>
      <w:pPr>
        <w:spacing w:after="0" w:line="225" w:lineRule="exact"/>
        <w:rPr>
          <w:sz w:val="20"/>
          <w:szCs w:val="20"/>
          <w:color w:val="auto"/>
        </w:rPr>
      </w:pPr>
    </w:p>
    <w:p>
      <w:pPr>
        <w:ind w:firstLine="656"/>
        <w:spacing w:after="0" w:line="263" w:lineRule="auto"/>
        <w:tabs>
          <w:tab w:leader="none" w:pos="1397"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received by the Company upon the release of Collateral from the Lien of this Indenture or the Security Documents in connection with any Asset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cash or Cash Equivalents remaining after consummation of an Asset Sale Offer pursuant to Section 10.16 shall cease to be Trust Monies; or</w:t>
      </w:r>
    </w:p>
    <w:p>
      <w:pPr>
        <w:spacing w:after="0" w:line="183" w:lineRule="exact"/>
        <w:rPr>
          <w:rFonts w:ascii="Arial" w:cs="Arial" w:eastAsia="Arial" w:hAnsi="Arial"/>
          <w:sz w:val="18"/>
          <w:szCs w:val="18"/>
          <w:color w:val="auto"/>
        </w:rPr>
      </w:pPr>
    </w:p>
    <w:p>
      <w:pPr>
        <w:ind w:right="200" w:firstLine="656"/>
        <w:spacing w:after="0" w:line="263" w:lineRule="auto"/>
        <w:tabs>
          <w:tab w:leader="none" w:pos="1397"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received by the Collateral Trustee as proceeds of any sale or other disposition of all or any part of the Collateral by or on behalf of the Collateral Trustee or any collection, recovery, receipt, appropriation or other realization of or from all or any part of the Collateral pursuant to this Indenture or any of the Security Documents;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Trust Monies shall in no event include (i) any property deposited with the Trustee for any redemption, legal defeasance or covenant</w:t>
      </w:r>
      <w:r>
        <w:rPr>
          <w:rFonts w:ascii="Arial" w:cs="Arial" w:eastAsia="Arial" w:hAnsi="Arial"/>
          <w:sz w:val="17"/>
          <w:szCs w:val="17"/>
          <w:i w:val="1"/>
          <w:iCs w:val="1"/>
          <w:color w:val="auto"/>
        </w:rPr>
        <w:t xml:space="preserve"> </w:t>
      </w:r>
      <w:r>
        <w:rPr>
          <w:rFonts w:ascii="Arial" w:cs="Arial" w:eastAsia="Arial" w:hAnsi="Arial"/>
          <w:sz w:val="17"/>
          <w:szCs w:val="17"/>
          <w:color w:val="auto"/>
        </w:rPr>
        <w:t>defeasance of Notes, for the satisfaction and discharge of this Indenture or to pay the purchase price of the Notes and any Parity Lien Notes Debt pursuant to an Asset Sale Offer in accordance with the terms of this Indenture, (ii) any cash received or applicable by the Trustee or Collateral Trustee in payment of its fees and expenses or (iii) prior to the Priority ABL Collateral Transition Date, any amounts that constitute Priority ABL Collateral or identifiable Proceeds of Priority ABL Collateral, or are otherwise directly attributable to Priority ABL Collateral. (it being understood and agreed no cash received in payment of fees and expenses described in the preceding clause (ii) shall be deemed amounts that constitute Priority ABL Collateral or identifiable Proceeds of Priority ABL Collateral, or are otherwise directly attributable to Priority ABL Collateral).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U.S. Bank National Association, until a successor replaces it and, thereafter, means the successor.</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xml:space="preserve">” means the Uniform Commercial Code as in effect from time to time in the State of New York;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any time, if by reason of mandatory provisions of law, any or all of the perfection or priority of the Collateral Trustee’s security interest in any item or portion of the Collateral is 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w:t>
      </w:r>
    </w:p>
    <w:p>
      <w:pPr>
        <w:spacing w:after="0" w:line="225" w:lineRule="exact"/>
        <w:rPr>
          <w:sz w:val="20"/>
          <w:szCs w:val="20"/>
          <w:color w:val="auto"/>
        </w:rPr>
      </w:pPr>
    </w:p>
    <w:p>
      <w:pPr>
        <w:ind w:right="520" w:firstLine="656"/>
        <w:spacing w:after="0" w:line="277" w:lineRule="auto"/>
        <w:tabs>
          <w:tab w:leader="none" w:pos="1342"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Subsidiary of the Company that at the time of determination is an Unrestricted Subsidiary (as designated by the Company, as provided below); and</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The Company may designate any Subsidiary of the Company (including any existing Subsidiary and any newly acquired or newly formed Subsidiary) to be an Unrestricted Subsidiary unless such Subsidiary or any of its Subsidiaries owns any Equity Interests or Indebtedness of, or owns or holds any Lien on, any property of, the Company or any Restricted Subsidiary of the Company (other than any Subsidiary of the Subsidiary to be so designated);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ind w:firstLine="656"/>
        <w:spacing w:after="0" w:line="263" w:lineRule="auto"/>
        <w:tabs>
          <w:tab w:leader="none" w:pos="1342"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Unrestricted Subsidiary must be an entity of which shares of the Capital Stock or other Equity Interests (including partnership interests) entitled to cast at least a majority of the votes that may be cast by all shares of Capital Stock or Equity Interests having ordinary voting power for the election of directors or other governing body are owned, directly or indirectly, by the Company,</w:t>
      </w:r>
    </w:p>
    <w:p>
      <w:pPr>
        <w:spacing w:after="0" w:line="183" w:lineRule="exact"/>
        <w:rPr>
          <w:rFonts w:ascii="Arial" w:cs="Arial" w:eastAsia="Arial" w:hAnsi="Arial"/>
          <w:sz w:val="18"/>
          <w:szCs w:val="18"/>
          <w:color w:val="auto"/>
        </w:rPr>
      </w:pPr>
    </w:p>
    <w:p>
      <w:pPr>
        <w:ind w:left="1360" w:hanging="704"/>
        <w:spacing w:after="0"/>
        <w:tabs>
          <w:tab w:leader="none" w:pos="1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designation complies with Section 10.08,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Subsidiary to be so designated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its Subsidiaries</w:t>
      </w:r>
    </w:p>
    <w:p>
      <w:pPr>
        <w:spacing w:after="0" w:line="225"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color w:val="auto"/>
        </w:rPr>
        <w:t>has not at the time of designation, and does not thereafter, create, incur, issue, assume, guarantee or otherwise become directly or indirectly liable with respect to any Indebtedness pursuant to which the lender has recourse to any of the assets of the Company or any Restricted Subsidiary.</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9" w:name="page70"/>
    <w:bookmarkEnd w:id="69"/>
    <w:p>
      <w:pPr>
        <w:ind w:right="360" w:firstLine="648"/>
        <w:spacing w:after="0" w:line="277" w:lineRule="auto"/>
        <w:rPr>
          <w:sz w:val="20"/>
          <w:szCs w:val="20"/>
          <w:color w:val="auto"/>
        </w:rPr>
      </w:pPr>
      <w:r>
        <w:rPr>
          <w:rFonts w:ascii="Arial" w:cs="Arial" w:eastAsia="Arial" w:hAnsi="Arial"/>
          <w:sz w:val="18"/>
          <w:szCs w:val="18"/>
          <w:color w:val="auto"/>
        </w:rPr>
        <w:t xml:space="preserve">The Company may designate any Unrestricted Subsidiary to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immediately after giving effect to such designation no Default shall have occurred and be continuing and either:</w:t>
      </w:r>
    </w:p>
    <w:p>
      <w:pPr>
        <w:spacing w:after="0" w:line="170" w:lineRule="exact"/>
        <w:rPr>
          <w:sz w:val="20"/>
          <w:szCs w:val="20"/>
          <w:color w:val="auto"/>
        </w:rPr>
      </w:pPr>
    </w:p>
    <w:p>
      <w:pPr>
        <w:ind w:left="1400" w:hanging="744"/>
        <w:spacing w:after="0"/>
        <w:tabs>
          <w:tab w:leader="none" w:pos="14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 could incur at least $1.00 of additional Indebtedness pursuant to the Fixed Charge Coverage Ratio test set forth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10.09(a) or</w:t>
      </w:r>
    </w:p>
    <w:p>
      <w:pPr>
        <w:spacing w:after="0" w:line="210" w:lineRule="exact"/>
        <w:rPr>
          <w:rFonts w:ascii="Arial" w:cs="Arial" w:eastAsia="Arial" w:hAnsi="Arial"/>
          <w:sz w:val="17"/>
          <w:szCs w:val="17"/>
          <w:color w:val="auto"/>
        </w:rPr>
      </w:pPr>
    </w:p>
    <w:p>
      <w:pPr>
        <w:ind w:right="220" w:firstLine="656"/>
        <w:spacing w:after="0" w:line="342" w:lineRule="auto"/>
        <w:tabs>
          <w:tab w:leader="none" w:pos="139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Fixed Charge Coverage Ratio for the Company and its Restricted Subsidiaries would be equal to or greater than such ratio for the Company and its Restricted Subsidiaries immediately prior to such designation, in each case on a pro forma basis taking into account such designation.</w:t>
      </w:r>
    </w:p>
    <w:p>
      <w:pPr>
        <w:spacing w:after="0" w:line="124"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Any such designation by the Company shall be notified by the Company to the Trustee by promptly filing with the Trustee a copy of any applicable Board Resolution giving effect to such designation and an Officer’s Certificate certifying that such designation complied with the foregoing provisions.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Voting Equity Interest</w:t>
      </w:r>
      <w:r>
        <w:rPr>
          <w:rFonts w:ascii="Arial" w:cs="Arial" w:eastAsia="Arial" w:hAnsi="Arial"/>
          <w:sz w:val="17"/>
          <w:szCs w:val="17"/>
          <w:color w:val="auto"/>
        </w:rPr>
        <w:t>” means, with respect to any Person, those classes of Equity Interests issued by such Person (however designated), the holders of which are at the time entitled, as such holders, to vote for the election of a majority of the directors or managers (or persons performing similar functions) of such Person, whether or not the right so to vote exists by reason of the happening of a contingency.</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Disqualified Stock or Preferred Stock, as the case may be, at any date, the quotient obtained by dividing</w:t>
      </w:r>
    </w:p>
    <w:p>
      <w:pPr>
        <w:spacing w:after="0" w:line="170" w:lineRule="exact"/>
        <w:rPr>
          <w:sz w:val="20"/>
          <w:szCs w:val="20"/>
          <w:color w:val="auto"/>
        </w:rPr>
      </w:pPr>
    </w:p>
    <w:p>
      <w:pPr>
        <w:ind w:right="260" w:firstLine="656"/>
        <w:spacing w:after="0" w:line="263" w:lineRule="auto"/>
        <w:tabs>
          <w:tab w:leader="none" w:pos="139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sum of all such payments.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Person means a Subsidiary of such Person, 100% of the outstanding Capital Stock or other ownership interests of which (other than directors’ qualifying shares) shall at the time be owned by such Person or by one or more Wholly Owned Subsidiaries of such Person.</w:t>
      </w:r>
    </w:p>
    <w:p>
      <w:pPr>
        <w:spacing w:after="0" w:line="12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Compliance Certificates and Opinions</w:t>
      </w:r>
      <w:r>
        <w:rPr>
          <w:rFonts w:ascii="Arial" w:cs="Arial" w:eastAsia="Arial" w:hAnsi="Arial"/>
          <w:sz w:val="17"/>
          <w:szCs w:val="17"/>
          <w:color w:val="auto"/>
        </w:rPr>
        <w:t>. Upon any application or request by the Company to the Trustee to take or refrain from taking any action under this Indenture, the Company shall furnish to the Trustee an Officer’s Certificate stating that all conditions precedent, if any, provided for in this Indenture (including any covenant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0" w:name="page71"/>
    <w:bookmarkEnd w:id="70"/>
    <w:p>
      <w:pPr>
        <w:ind w:left="660"/>
        <w:spacing w:after="0"/>
        <w:rPr>
          <w:sz w:val="20"/>
          <w:szCs w:val="20"/>
          <w:color w:val="auto"/>
        </w:rPr>
      </w:pPr>
      <w:r>
        <w:rPr>
          <w:rFonts w:ascii="Arial" w:cs="Arial" w:eastAsia="Arial" w:hAnsi="Arial"/>
          <w:sz w:val="17"/>
          <w:szCs w:val="17"/>
          <w:color w:val="auto"/>
        </w:rPr>
        <w:t>Every certificate or opinion with respect to compliance with a condition or covenant provided for in this Indenture (other than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10.06(a)) shall include:</w:t>
      </w:r>
    </w:p>
    <w:p>
      <w:pPr>
        <w:spacing w:after="0" w:line="211" w:lineRule="exact"/>
        <w:rPr>
          <w:sz w:val="20"/>
          <w:szCs w:val="20"/>
          <w:color w:val="auto"/>
        </w:rPr>
      </w:pPr>
    </w:p>
    <w:p>
      <w:pPr>
        <w:ind w:left="1400" w:hanging="744"/>
        <w:spacing w:after="0"/>
        <w:tabs>
          <w:tab w:leader="none" w:pos="14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statement that each individual signing such certificate or opinion has read such covenant or condition and the definitions herein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ind w:right="40" w:firstLine="656"/>
        <w:spacing w:after="0" w:line="277" w:lineRule="auto"/>
        <w:tabs>
          <w:tab w:leader="none" w:pos="139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140" w:firstLine="656"/>
        <w:spacing w:after="0" w:line="308" w:lineRule="auto"/>
        <w:tabs>
          <w:tab w:leader="none" w:pos="1397"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46" w:lineRule="exact"/>
        <w:rPr>
          <w:rFonts w:ascii="Arial" w:cs="Arial" w:eastAsia="Arial" w:hAnsi="Arial"/>
          <w:sz w:val="17"/>
          <w:szCs w:val="17"/>
          <w:color w:val="auto"/>
        </w:rPr>
      </w:pPr>
    </w:p>
    <w:p>
      <w:pPr>
        <w:ind w:left="1400" w:hanging="744"/>
        <w:spacing w:after="0"/>
        <w:tabs>
          <w:tab w:leader="none" w:pos="1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that the certificate or opinion or representations with respect to the matters upon which his certificate or opinion is based are erroneous. Any such certificate or opinion may be based, insofar as it relates to factual matters, upon a certificate or opinion of, or representations by, an officer or officers of the Company stating that the information with respect to such factual matters is in the possession of the Company, unless such counsel knows that the certificate or opinion or representations with respect to such matters are erroneous.</w:t>
      </w:r>
    </w:p>
    <w:p>
      <w:pPr>
        <w:spacing w:after="0" w:line="17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Acts of Holders</w:t>
      </w:r>
      <w:r>
        <w:rPr>
          <w:rFonts w:ascii="Arial" w:cs="Arial" w:eastAsia="Arial" w:hAnsi="Arial"/>
          <w:sz w:val="16"/>
          <w:szCs w:val="16"/>
          <w:color w:val="auto"/>
        </w:rPr>
        <w:t>. Any request, demand, authorization, direction, notice, consent, waiver or other action provided by this Indenture to be given or taken by Holders may be embodied in and evidenced by one or more instruments of substantially similar tenor signed by such Holders in person or by agents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1" w:name="page72"/>
    <w:bookmarkEnd w:id="71"/>
    <w:p>
      <w:pPr>
        <w:ind w:right="80" w:firstLine="648"/>
        <w:spacing w:after="0" w:line="296" w:lineRule="auto"/>
        <w:rPr>
          <w:sz w:val="20"/>
          <w:szCs w:val="20"/>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or her individual capacity, such certificate or affidavit shall also constitute sufficient proof of authority. The fact and date of the execution of any such instrument or writing, or the authority of the Person executing the same, may also be proved in any other manner that the Trustee deems sufficient.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principal amount and serial numbers of Notes held by any Person, and the date of holding the same, shall be proved by the Note Register.</w:t>
      </w:r>
    </w:p>
    <w:p>
      <w:pPr>
        <w:spacing w:after="0" w:line="24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If the Company shall solicit from the Holders any request, demand, authorization, direction, notice, consent, waiver or other Act, the Company may, at its option, fix in advance a record date for the determination of Holders entitled to give such request, demand, authorization, direction, notice, consent, waiver or other Act, but the Company shall have no obligation to do so. Such record date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eleven months after the record date. Any request, demand, authorization, direction, notice, consent, waiver or other Act of the Holder of any Note shall bind every future Holder of the same Note and the Holder of every Note issued upon the registration of transfer thereof or in exchange therefor or in lieu thereof in respect of anything done, omitted or suffered to be done by the Trustee, the Company or any Guarantor in reliance thereon, whether or not notation of such action is made upon such Note.</w:t>
      </w:r>
    </w:p>
    <w:p>
      <w:pPr>
        <w:spacing w:after="0" w:line="18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right="120" w:firstLine="648"/>
        <w:spacing w:after="0" w:line="279" w:lineRule="auto"/>
        <w:rPr>
          <w:sz w:val="20"/>
          <w:szCs w:val="20"/>
          <w:color w:val="auto"/>
        </w:rPr>
      </w:pPr>
      <w:r>
        <w:rPr>
          <w:rFonts w:ascii="Arial" w:cs="Arial" w:eastAsia="Arial" w:hAnsi="Arial"/>
          <w:sz w:val="17"/>
          <w:szCs w:val="17"/>
          <w:color w:val="auto"/>
        </w:rPr>
        <w:t>Without limiting the generality of the foregoing, a Holder, including the Depository that is the Holder of a Global Note, may make, give or take, by a proxy or proxies duly appointed in writing, any request, demand, authorization, direction, notice, consent, waiver or other action provided in this Indenture to be made, given or taken by Holders, and the Depository that is the Holder of a Global Note may provide its proxy or proxies to the beneficial owners of interests in any such Global Note through such depositary’s standing instructions and customary practices.</w:t>
      </w:r>
    </w:p>
    <w:p>
      <w:pPr>
        <w:spacing w:after="0" w:line="17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 may fix a record date for the purpose of determining the Persons who are beneficial owners of interests in any Global Note held by the Depository entitled under the procedures of such depositary to make, give or take, by a proxy or proxies duly appointed in writing, any request, demand, authorization, direction, notice, consent, waiver or other action provided in this Indenture to be made, given or taken by Holders.</w:t>
      </w:r>
    </w:p>
    <w:p>
      <w:pPr>
        <w:spacing w:after="0" w:line="16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Notices, Etc., to Trustee, Company, Any Guarantor and Agent</w:t>
      </w:r>
      <w:r>
        <w:rPr>
          <w:rFonts w:ascii="Arial" w:cs="Arial" w:eastAsia="Arial" w:hAnsi="Arial"/>
          <w:sz w:val="17"/>
          <w:szCs w:val="17"/>
          <w:color w:val="auto"/>
        </w:rPr>
        <w:t>. Any request, demand, authorization, direction, notice, consent, waiver or Act of Holders or other document provided or permitted by this Indenture to be made upon, given or furnished to, or filed with.</w:t>
      </w:r>
    </w:p>
    <w:p>
      <w:pPr>
        <w:spacing w:after="0" w:line="146" w:lineRule="exact"/>
        <w:rPr>
          <w:sz w:val="20"/>
          <w:szCs w:val="20"/>
          <w:color w:val="auto"/>
        </w:rPr>
      </w:pPr>
    </w:p>
    <w:p>
      <w:pPr>
        <w:ind w:firstLine="656"/>
        <w:spacing w:after="0" w:line="292" w:lineRule="auto"/>
        <w:tabs>
          <w:tab w:leader="none" w:pos="1397"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Trustee by any Holder or by the Company or any Guarantor shall be sufficient for every purpose hereunder if made, given, furnished or delivered in writing or mailed, first-class postage prepaid, or delivered by recognized overnight courier to or with the Trustee at U.S. Bank National Association, 190 S. LaSalle Street,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Chicago, Illinois 60603, Attention: Corporate Trust - Winnebago Industries; or</w:t>
      </w:r>
    </w:p>
    <w:p>
      <w:pPr>
        <w:spacing w:after="0" w:line="37" w:lineRule="exact"/>
        <w:rPr>
          <w:rFonts w:ascii="Arial" w:cs="Arial" w:eastAsia="Arial" w:hAnsi="Arial"/>
          <w:sz w:val="17"/>
          <w:szCs w:val="17"/>
          <w:color w:val="auto"/>
        </w:rPr>
      </w:pPr>
    </w:p>
    <w:p>
      <w:pPr>
        <w:jc w:val="both"/>
        <w:ind w:right="40" w:firstLine="656"/>
        <w:spacing w:after="0" w:line="279" w:lineRule="auto"/>
        <w:tabs>
          <w:tab w:leader="none" w:pos="1397"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Company or any Guarantor by the Trustee or by any Holder shall be sufficient for every purpose hereunder (unless otherwise herein expressly provided) if made, given, furnished or delivered in writing or mailed, first-class postage prepaid, or delivered by recognized overnight courier, to the Company or such Guarantor addressed to it at Winnebago Industries, Inc., 13200 Pioneer Trail, Eden Prairie, Minnesota 55347, Attention: General Counsel, or at any other address previously furnished in writing to the Trustee by the Company or such Guarantor.</w:t>
      </w:r>
    </w:p>
    <w:p>
      <w:pPr>
        <w:spacing w:after="0" w:line="1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 Where this Indenture provides for notice of any event to Holders by the Company or the Trustee, such notice shall be sufficiently given (unless otherwise herein expressly provided) if in writing and either (1) provided or mailed, first-class postage prepaid, to each Holder affected by such event, at his address as it appears in the Note Register, within the time prescribed for the giving of such notice, or (2) in the case of Notes held through the Depository sent or transmitted to Holders in any manner that is in accordance with the procedures of the Depository. In any case where notice to Holders is given by mail, neither the failure to mail such notice, nor any defect in any notice so mailed, to any particular Holder shall affect the sufficiency of such notice with respect to other Holders. Notices given by publication shall be deemed given on the first date on which publication is made and notices given by first-class mail, postage prepaid, shall be deemed given five calendar days after mailing.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3" w:name="page74"/>
    <w:bookmarkEnd w:id="73"/>
    <w:p>
      <w:pPr>
        <w:jc w:val="both"/>
        <w:ind w:firstLine="648"/>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Notwithstanding anything herein to the contrary where this Indenture provides for notice in any manner, such notice may be sent or transmitted to Holders in any manner that is in accordance with the procedures of the Depository and shall be deemed to be a sufficient giving of such notice for every purpose hereunder.</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 The Article and Section headings herein and the Table of Contents are for convenience of reference only, are not intended to be considered a part hereof and shall in no way affect the construction of, or modify or restrict, any of the terms or provisions hereof.</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agreements of the Company in this Indenture and the Notes shall bind its successors. All agreements of the Trustee in this Indenture shall bind its successors. All agreements of each Guarantor in this Indenture shall bind its successors, except as otherwise provided in Section 12.08 hereof.</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Notes, express or implied, shall give to any Person, other than the parties hereto, any Paying Agent, any Note Registrar and their successors hereunder and the Holders any benefit or any legal or equitable right, remedy or claim under this Indenture.</w:t>
      </w:r>
    </w:p>
    <w:p>
      <w:pPr>
        <w:spacing w:after="0" w:line="18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Governing Law; Submission to Jurisdiction</w:t>
      </w:r>
      <w:r>
        <w:rPr>
          <w:rFonts w:ascii="Arial" w:cs="Arial" w:eastAsia="Arial" w:hAnsi="Arial"/>
          <w:sz w:val="17"/>
          <w:szCs w:val="17"/>
          <w:color w:val="auto"/>
        </w:rPr>
        <w:t>. This Indenture, the Notes and any Guarantee shall be governed by and construed in accordance with the laws of the State of New York. This Indenture is not subject to the provisions of the Trust Indenture Act that are required to be part of this Indenture and shall not be governed by such provisions unless expressly incorporated. THE PARTIES HERETO AGREE TO SUBMIT TO THE JURISDICTION OF ANY UNITED STATES FEDERAL OR STATE COURT LOCATED IN THE BOROUGH OF MANHATTAN, IN THE CITY OF NEW YORK IN ANY ACTION OR PROCEEDING ARISING OUT OF OR RELATING TO THIS INDENTURE OR THE NOTES.</w:t>
      </w:r>
    </w:p>
    <w:p>
      <w:pPr>
        <w:spacing w:after="0" w:line="17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u w:val="single" w:color="auto"/>
          <w:color w:val="auto"/>
        </w:rPr>
        <w:t>Legal Holidays</w:t>
      </w:r>
      <w:r>
        <w:rPr>
          <w:rFonts w:ascii="Arial" w:cs="Arial" w:eastAsia="Arial" w:hAnsi="Arial"/>
          <w:sz w:val="17"/>
          <w:szCs w:val="17"/>
          <w:color w:val="auto"/>
        </w:rPr>
        <w:t xml:space="preserve">. In any case where any Interest Payment Date, Redemption Date or Stated Maturity or Maturity of any Note shall not be a Business Day, then (notwithstanding any other provision of this Indenture or of the Notes) payment of principal (or premium, if any) or interest need not be made on such date, but may be made on the next succeeding Business Day with the same force and effect as if made on the Interest Payment Date, Redemption Date, or at the Stated Maturity or Maturity;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interest shall accrue for purposes of such payment for the period from and after such Interest Payment Date, Redemption Date, Stated Maturity or Maturity, as the case may be.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4" w:name="page75"/>
    <w:bookmarkEnd w:id="74"/>
    <w:p>
      <w:pPr>
        <w:ind w:firstLine="648"/>
        <w:spacing w:after="0" w:line="275"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No Personal Liability of Directors, Officers, Employees and Stockholders</w:t>
      </w:r>
      <w:r>
        <w:rPr>
          <w:rFonts w:ascii="Arial" w:cs="Arial" w:eastAsia="Arial" w:hAnsi="Arial"/>
          <w:sz w:val="17"/>
          <w:szCs w:val="17"/>
          <w:color w:val="auto"/>
        </w:rPr>
        <w:t>. No past, present or future director, officer, employee, incorporator or stockholder of the Company or any Guarantor (other than in the case of stock-holders of any Guarantor, the Company or another Guarantor) or any of their parent companies shall have any liability for any obligations of the Company or the Guarantors under the Notes, the Guarantees and this Indenture or for any claim based on, in respect of, or by reason of such obligations or their creation. Each Holder by accepting a Note waives and releases all such liability. The waiver and release are part of the consideration for issuance of the Notes and the Guarantees.</w:t>
      </w:r>
    </w:p>
    <w:p>
      <w:pPr>
        <w:spacing w:after="0" w:line="1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EACH GUARANTOR AND THE TRUSTEE HEREBY IRREVOCABLY AND UNCONDITIONALLY WAIVES, TO THE FULLEST EXTENT PERMITTED BY APPLICABLE LAW, ANY AND ALL RIGHT TO TRIAL BY JURY IN ANY LEGAL ACTION OR PROCEEDING ARISING OUT OF OR RELATING TO THIS INDENTURE, THE NOTES OR THE GUARANTEES AND FOR ANY COUNTERCLAIM THEREIN.</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Indenture may be executed in any number of counterparts, each of which shall be original; but such counterparts shall together constitute but one and the same instrument. One signed copy is enough to prove this Indenture. The exchange of copies of this Indenture and of signature pages by facsimile, .pdf transmission or other electronic means shall constitute effective execution and delivery of this Indenture for all purposes. Signatures of the parties hereto transmitted by facsimile or .pdf transmission or other electronic means shall be deemed to be their original signatures for all purposes.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notices, approvals, consents, requests and any communications hereunder must be in writing (provided that any communications sent to Trustee hereunder must be in the form of a document that is signed manually or by way of a digital signature (as long as such digital signature provider has been specified in writing to the Trustee by the authorized representative), in English.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88"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pandemics or epidemics,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6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USA PATRIOT Act</w:t>
      </w:r>
      <w:r>
        <w:rPr>
          <w:rFonts w:ascii="Arial" w:cs="Arial" w:eastAsia="Arial" w:hAnsi="Arial"/>
          <w:sz w:val="18"/>
          <w:szCs w:val="18"/>
          <w:color w:val="auto"/>
        </w:rPr>
        <w:t>. The parties hereto acknowledge that in accordance with Section 326 of the USA PATRIOT Act, the Trustee and Collateral Trustee, like all financial institutions and in order to help fight the funding of terrorism and money laundering, is required to obtain, verify, and record information that identifies each person or legal entity that establishes a relationship or opens an account. The Company agrees that it will provide the Trustee and Collateral Trustee with information about the Company as the Trustee may reasonably request in order for the Trustee and Collateral Trustee to satisfy the requirements of the USA PATRIOT Act.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ARTICLE TWO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FORMS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Form and Dating</w:t>
      </w:r>
      <w:r>
        <w:rPr>
          <w:rFonts w:ascii="Arial" w:cs="Arial" w:eastAsia="Arial" w:hAnsi="Arial"/>
          <w:sz w:val="17"/>
          <w:szCs w:val="17"/>
          <w:color w:val="auto"/>
        </w:rPr>
        <w:t>. Provisions relating to the Initial Notes are set forth in the Rule 144A / Regulation S Appendix attached hereto (the “</w:t>
      </w:r>
      <w:r>
        <w:rPr>
          <w:rFonts w:ascii="Arial" w:cs="Arial" w:eastAsia="Arial" w:hAnsi="Arial"/>
          <w:sz w:val="17"/>
          <w:szCs w:val="17"/>
          <w:i w:val="1"/>
          <w:iCs w:val="1"/>
          <w:color w:val="auto"/>
        </w:rPr>
        <w:t>Appendix</w:t>
      </w:r>
      <w:r>
        <w:rPr>
          <w:rFonts w:ascii="Arial" w:cs="Arial" w:eastAsia="Arial" w:hAnsi="Arial"/>
          <w:sz w:val="17"/>
          <w:szCs w:val="17"/>
          <w:color w:val="auto"/>
        </w:rPr>
        <w:t>”) which is hereby incorporated in, and expressly made part of, this Indenture. The Initial Notes and the Trustee’s certificate of authentication shall be substantially in the form of Exhibit 1 to the Appendix which is hereby incorporated in, and expressly made a part of, this Indenture. The Notes may have notations, legends or endorsements required by law, stock exchange rule, agreements to which the Company is subject, if any, or usage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notation, legend or endorsement is in a form reasonably acceptable to the Company). Each Note shall be dated the date of its authentication. The terms of the Note set forth in the Appendix are part of the terms of this Indenture.</w:t>
      </w:r>
    </w:p>
    <w:p>
      <w:pPr>
        <w:spacing w:after="0" w:line="178"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 The Notes shall be executed on behalf of the Company by any Officer. The signature of an Officer on the Notes may be manual or via facsimile, .pdf transmission or other electronic means of the present or any future such authorized officer and may be imprinted or otherwise reproduced on the Notes.</w:t>
      </w:r>
    </w:p>
    <w:p>
      <w:pPr>
        <w:spacing w:after="0" w:line="18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Notes bearing the signature of an individual who was at any time a proper Officer of the Company shall bind the Company, notwithstanding that such individual ceased to hold such office prior to the authentication and delivery of such Notes or did not hold such office at the date of such Notes.</w:t>
      </w:r>
    </w:p>
    <w:p>
      <w:pPr>
        <w:spacing w:after="0" w:line="12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the Issue Date, the Company shall deliver the Initial Notes in the aggregate principal amount of $300,000,000 executed by the Company to the Trustee for authentication, together with a Company Order directing the Trustee to authenticate the Notes and certifying in an Officer’s Certificate that all conditions precedent to the issuance of Notes contained herein have been fully complied with, and the Trustee in accordance with such Company Order shall authenticate and deliver such Initial Notes. At any time and from time to time after the Issue Date, the Company may deliver Additional Notes executed by the Company to the Trustee for authentication, together with a Company Order for the authentication and delivery of such Additional Notes, directing the Trustee to authenticate the Additional Notes and certifying that the issuance of such Additional Notes is in compliance with Article Ten hereof and that all other conditions precedent to the issuance of Notes contained herein have been fully complied with, and the Trustee in accordance with such Company Order shall authenticate and deliver such Additional Notes.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Each Note shall be dated the date of its authentication.</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No Note shall be entitled to any benefit under this Indenture or be valid or obligatory for any purpose unless there appears on such Note a certificate of authentication substantially in the form provided for in Exhibit 1 to the Appendix, duly executed by the Trustee by manual or electronic signature of an authorized officer, and such certificate upon any Note shall be conclusive evidence, and the only evidence, that such Note has been duly authenticated and delivered hereunder and is entitled to the benefits of this Indenture.</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case the Company or any Guarantor, pursuant to Article Eight, shall be consolidated or merged with or into any other Person or shall convey, transfer, lease or otherwise dispose of its properties and assets substantially as an entirety to any Person, and the successor Person resulting from such consolidation, or surviving such merger, or into which the Company or such Guarantor shall have been merged, or the Person which shall have received a conveyance, transfer, lease or other disposition as aforesaid, shall have executed a supplemental indenture hereto with the Trustee pursuant to Article Eight, any of the Notes authenticated or delivered prior to such consolidation, merger, conveyance, transfer, lease or other disposition may, from time to time, at the request of the successor Person, be exchanged for other Notes executed in the name of the successor Person with such changes in phraseology and form as may be appropriate, but otherwise in substance of like tenor as the Notes surrendered for such exchange and of like principal amount; and the Trustee, upon Company Request of the successor Person, shall authenticate and deliver Notes as specified in such request for the purpose of such exchange. If Notes shall at any time be authenticated and delivered in any new name of a successor Person pursuant to this Section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THREE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jc w:val="both"/>
        <w:ind w:right="340" w:firstLine="648"/>
        <w:spacing w:after="0" w:line="30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Title and Terms</w:t>
      </w:r>
      <w:r>
        <w:rPr>
          <w:rFonts w:ascii="Arial" w:cs="Arial" w:eastAsia="Arial" w:hAnsi="Arial"/>
          <w:sz w:val="16"/>
          <w:szCs w:val="16"/>
          <w:color w:val="auto"/>
        </w:rPr>
        <w:t xml:space="preserve">. The aggregate principal amount of Notes which may be authenticated and issued under this Indenture is not limited;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Additional Notes issued under this Indenture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Initial Notes, are issued in accordance with Section 2.02, Section 3.12 and Section 10.09 hereof, form a single class with the Initial Notes and shall have the same terms as to status, redemption or otherwise as the Initial Notes. Any Additional Notes shall be issued pursuant to a supplemental indenture to this Indenture.</w:t>
      </w:r>
    </w:p>
    <w:p>
      <w:pPr>
        <w:spacing w:after="0" w:line="15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Notes shall be known and designated as the “6.250% Senior Secured Notes Due 2028” of the Company. The Stated Maturity of the Notes shall be July 15, 2028, and the Notes shall bear interest at the rate set forth below from July 8, 2020, or from the most recent Interest Payment Date to which interest has been paid or duly provided for, payable on January 15, 2021 and semi-annually thereafter on July 15 and January 15 in each year (although Additional Notes may accrue interest from another date, to the extent permitted herein) and at said Stated Maturity, until the principal thereof is paid or duly provided for and to the Person in whose name the Note (or any predecessor Note) is registered at the close of business on the January 1 and July 1 immediately preceding such Interest Payment Date (each, a “</w:t>
      </w:r>
      <w:r>
        <w:rPr>
          <w:rFonts w:ascii="Arial" w:cs="Arial" w:eastAsia="Arial" w:hAnsi="Arial"/>
          <w:sz w:val="17"/>
          <w:szCs w:val="17"/>
          <w:i w:val="1"/>
          <w:iCs w:val="1"/>
          <w:color w:val="auto"/>
        </w:rPr>
        <w:t>Regular Record Date</w:t>
      </w:r>
      <w:r>
        <w:rPr>
          <w:rFonts w:ascii="Arial" w:cs="Arial" w:eastAsia="Arial" w:hAnsi="Arial"/>
          <w:sz w:val="17"/>
          <w:szCs w:val="17"/>
          <w:color w:val="auto"/>
        </w:rPr>
        <w: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7" w:name="page78"/>
    <w:bookmarkEnd w:id="77"/>
    <w:p>
      <w:pPr>
        <w:ind w:right="120" w:firstLine="648"/>
        <w:spacing w:after="0" w:line="275" w:lineRule="auto"/>
        <w:rPr>
          <w:sz w:val="20"/>
          <w:szCs w:val="20"/>
          <w:color w:val="auto"/>
        </w:rPr>
      </w:pPr>
      <w:r>
        <w:rPr>
          <w:rFonts w:ascii="Arial" w:cs="Arial" w:eastAsia="Arial" w:hAnsi="Arial"/>
          <w:sz w:val="17"/>
          <w:szCs w:val="17"/>
          <w:color w:val="auto"/>
        </w:rPr>
        <w:t xml:space="preserve">The principal of (and premium, if any), and interest on the Notes shall be payable at the office or agency of the Company maintained for such purpose in the contiguous United States or, at the option of the Company, payment of interest may be made by check mailed to the Holders of the Notes at their respective addresses set forth in the Note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payments of principal, premium, if any, and interest, if any, with respect to Notes represented by one or more permanent global notes registered in the name of or held by the Depository or its nominee shall be made by wire transfer of immediately available funds to the accounts specified by the Holder or Holders thereof.</w:t>
      </w:r>
    </w:p>
    <w:p>
      <w:pPr>
        <w:spacing w:after="0" w:line="17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Holders shall have the right to require the Company to purchase their Notes, in whole or in part, in the event of a Change of Control pursuant to Section 10.15. The Notes shall be subject to repurchase pursuant to an Asset Sale Offer as provided in Section 10.16.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shall be redeemable as provided in Article Eleven and Paragraph 6 of the Notes.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due and punctual payment of principal of, premium, if any, and interest on the Notes payable by the Company is irrevocably unconditionally guaranteed, to the extent set forth herein, by each of the Guarantors.</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The Notes shall be issuable only in registered form without coupons and only in minimum denominations of $2,000 and any integral multiple of $1,000 in excess thereof.</w:t>
      </w:r>
    </w:p>
    <w:p>
      <w:pPr>
        <w:spacing w:after="0" w:line="170"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Temporary Notes</w:t>
      </w:r>
      <w:r>
        <w:rPr>
          <w:rFonts w:ascii="Arial" w:cs="Arial" w:eastAsia="Arial" w:hAnsi="Arial"/>
          <w:sz w:val="16"/>
          <w:szCs w:val="16"/>
          <w:color w:val="auto"/>
        </w:rPr>
        <w:t>. Pending the preparation of definitive Notes, the Company may execute, and upon receipt of a Company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conclusively evidenced by their execution of such Notes.</w:t>
      </w:r>
    </w:p>
    <w:p>
      <w:pPr>
        <w:spacing w:after="0" w:line="15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temporary Notes are issued, the Company shall cause definitive Notes to be prepared without unreasonable delay. After the preparation of definitive Notes, the temporary Notes shall be exchangeable for definitive Notes upon surrender of the temporary Notes at the office or agency of the Company designated for such purpose pursuant to Section 10.02, without charge to the Holder. Upon surrender for cancellation of any one or more temporary Notes, the Company shall execute and the Trustee shall authenticate and deliver in exchange therefor a like principal amount of definitive Notes of authorized denominations. Until so exchanged, the temporary Notes shall in all respects be entitled to the same benefits under this Indenture as definitive Notes.</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Note Registrar; Paying Agent; Registration of Transfer and Exchange</w:t>
      </w:r>
      <w:r>
        <w:rPr>
          <w:rFonts w:ascii="Arial" w:cs="Arial" w:eastAsia="Arial" w:hAnsi="Arial"/>
          <w:sz w:val="17"/>
          <w:szCs w:val="17"/>
          <w:color w:val="auto"/>
        </w:rPr>
        <w:t>. The Company shall cause to be kept at the Corporate Trust Office of the Trustee a register (the register maintained in such office and in any other office or agency designated pursuant to Section 10.02 being herein sometimes referred to as the (“</w:t>
      </w:r>
      <w:r>
        <w:rPr>
          <w:rFonts w:ascii="Arial" w:cs="Arial" w:eastAsia="Arial" w:hAnsi="Arial"/>
          <w:sz w:val="17"/>
          <w:szCs w:val="17"/>
          <w:i w:val="1"/>
          <w:iCs w:val="1"/>
          <w:color w:val="auto"/>
        </w:rPr>
        <w:t>Note Register</w:t>
      </w:r>
      <w:r>
        <w:rPr>
          <w:rFonts w:ascii="Arial" w:cs="Arial" w:eastAsia="Arial" w:hAnsi="Arial"/>
          <w:sz w:val="17"/>
          <w:szCs w:val="17"/>
          <w:color w:val="auto"/>
        </w:rPr>
        <w:t>”) in which, subject to such reasonable regulations as it may prescribe, the Company shall provide for the registration of Notes and of transfers of Notes. The Note Register shall be in written form or any other form capable of being converted into written form within a reasonable time. At all reasonable times, the Note Register shall be open to inspection by the Trustee. The Trustee is hereby initially appointed as note registrar (the “</w:t>
      </w:r>
      <w:r>
        <w:rPr>
          <w:rFonts w:ascii="Arial" w:cs="Arial" w:eastAsia="Arial" w:hAnsi="Arial"/>
          <w:sz w:val="17"/>
          <w:szCs w:val="17"/>
          <w:i w:val="1"/>
          <w:iCs w:val="1"/>
          <w:color w:val="auto"/>
        </w:rPr>
        <w:t>Note Registrar</w:t>
      </w:r>
      <w:r>
        <w:rPr>
          <w:rFonts w:ascii="Arial" w:cs="Arial" w:eastAsia="Arial" w:hAnsi="Arial"/>
          <w:sz w:val="17"/>
          <w:szCs w:val="17"/>
          <w:color w:val="auto"/>
        </w:rPr>
        <w:t>”) for the purpose of registering Notes and transfers of Notes as herein provided. The Trustee is hereby initially appointed to act as the Paying Agent and to act as Custodian with respect to the Global Notes.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right="20" w:firstLine="648"/>
        <w:spacing w:after="0" w:line="263" w:lineRule="auto"/>
        <w:rPr>
          <w:sz w:val="20"/>
          <w:szCs w:val="20"/>
          <w:color w:val="auto"/>
        </w:rPr>
      </w:pPr>
      <w:r>
        <w:rPr>
          <w:rFonts w:ascii="Arial" w:cs="Arial" w:eastAsia="Arial" w:hAnsi="Arial"/>
          <w:sz w:val="18"/>
          <w:szCs w:val="18"/>
          <w:color w:val="auto"/>
        </w:rPr>
        <w:t>Upon surrender for registration of transfer of any Note at the office or agency of the Company designated pursuant to Section 10.02, the Company shall execute, and the Trustee shall authenticate and deliver, in the name of the designated transferee or transferees, one or more new Notes of any authorized denomination or denominations of a like aggregate principal amount.</w:t>
      </w:r>
    </w:p>
    <w:p>
      <w:pPr>
        <w:spacing w:after="0" w:line="184"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At the option of the Holder, Notes may be exchanged for other Notes of any authorized denomination and of a like aggregate principal amount, upon surrender of the Notes to be exchanged at such office or agency. Whenever any Notes are so surrendered for exchange, the Company shall execute, and the Trustee shall authenticate and deliver, the Notes which the Holder making the exchange is entitled to receive.</w:t>
      </w:r>
    </w:p>
    <w:p>
      <w:pPr>
        <w:spacing w:after="0" w:line="16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All Notes issued upon any registration of transfer or exchange of Notes shall be the valid obligations of the Company, evidencing the same debt, and entitled to the same benefits under this Indenture, as the Notes surrendered upon such registration of transfer or exchange.</w:t>
      </w:r>
    </w:p>
    <w:p>
      <w:pPr>
        <w:spacing w:after="0" w:line="146"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Every Note presented or surrendered for registration of transfer or for exchange shall (if so required by the Company or the Note Registrar) be duly endorsed, or be accompanied by written instruments of transfer, in form satisfactory to the Company and the Note Registrar, duly executed by the Holder thereof or his attorney duly authorized in writing.</w:t>
      </w:r>
    </w:p>
    <w:p>
      <w:pPr>
        <w:spacing w:after="0" w:line="18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No service charge shall be made for any registration of transfer or exchange or redemption of Notes, but the Company may require payment of a sum sufficient to cover any taxes, fees or other governmental charge that may be imposed in connection with any registration of transfer or exchange of Notes, other than exchanges pursuant to Section 2.02, 3.03, 9.06, 10.15, 10.16, or 10.18 not involving any transfer.</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case the Company, pursuant to Article Eight, shall, in one or more related transactions, be consolidated or merged with or into any other Person or shall sell, assign, transfer, lease, convey or otherwise dispose of all or substantially all the assets of the Company and its Restricted Subsidiaries taken as a whole to any Person, and the surviving Person resulting from such consolidation or surviving such merger, or into which the Company shall have been merged, or the surviving Person which shall have participated in the sale, assignment, transfer, conveyance or other disposition as aforesaid, shall have assumed all of the obligations of the Company under the Notes and this Indenture pursuant to agreements pursuant to Article Eight, any of the Notes authenticated or delivered prior to such consolidation, merger, sale, assignment, transfer, conveyance or other disposition may, from time to time, at the request of the surviving Person, be exchanged for other Notes executed in the name of the surviving Person with such changes in phraseology and form as may be appropriate, but otherwise in substance of like tenor as the Notes surrendered for such exchange and of like principal amount; and the Trustee, upon the request of the surviving Person, shall authenticate and deliver Notes as specified in such request for the purpose of such exchange. If Notes shall at any time be authenticated and delivered in any new name of a surviving Person pursuant to this Section 3.04 in exchange or substitution for or upon registration of transfer of any Notes, such Successor Company, at the option of the Holders but without expense to them, shall provide for the exchange of all Notes at the time outstanding for Notes authenticated and delivered in such new name.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9" w:name="page80"/>
    <w:bookmarkEnd w:id="79"/>
    <w:p>
      <w:pPr>
        <w:ind w:right="60" w:firstLine="648"/>
        <w:spacing w:after="0" w:line="272"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Mutilated, Destroyed, Lost and Stolen Notes</w:t>
      </w:r>
      <w:r>
        <w:rPr>
          <w:rFonts w:ascii="Arial" w:cs="Arial" w:eastAsia="Arial" w:hAnsi="Arial"/>
          <w:sz w:val="17"/>
          <w:szCs w:val="17"/>
          <w:color w:val="auto"/>
        </w:rPr>
        <w:t xml:space="preserve">. If (1) any mutilated Note is surrendered to the Trustee or (2) the Company and the Trustee receive evidence to their satisfaction of the destruction, loss or theft of any Note, and there is delivered to the Company and the Trustee such security or indemnity as may be required to protect the Company, the Trustee, any agent and any authenticating agent from any loss that any of them may suffer if a Note is replaced, then, in the absence of notice to the Company or the Trustee that such Note has been acquired by a Protected Purchaser (as defined in Section 8-303 of the UCC) </w:t>
      </w:r>
      <w:r>
        <w:rPr>
          <w:rFonts w:ascii="Arial" w:cs="Arial" w:eastAsia="Arial" w:hAnsi="Arial"/>
          <w:sz w:val="17"/>
          <w:szCs w:val="17"/>
          <w:i w:val="1"/>
          <w:iCs w:val="1"/>
          <w:color w:val="auto"/>
        </w:rPr>
        <w:t>(a</w:t>
      </w:r>
      <w:r>
        <w:rPr>
          <w:rFonts w:ascii="Arial" w:cs="Arial" w:eastAsia="Arial" w:hAnsi="Arial"/>
          <w:sz w:val="17"/>
          <w:szCs w:val="17"/>
          <w:color w:val="auto"/>
        </w:rPr>
        <w:t xml:space="preserve"> “</w:t>
      </w:r>
      <w:r>
        <w:rPr>
          <w:rFonts w:ascii="Arial" w:cs="Arial" w:eastAsia="Arial" w:hAnsi="Arial"/>
          <w:sz w:val="17"/>
          <w:szCs w:val="17"/>
          <w:i w:val="1"/>
          <w:iCs w:val="1"/>
          <w:color w:val="auto"/>
        </w:rPr>
        <w:t>Protected Purchaser</w:t>
      </w:r>
      <w:r>
        <w:rPr>
          <w:rFonts w:ascii="Arial" w:cs="Arial" w:eastAsia="Arial" w:hAnsi="Arial"/>
          <w:sz w:val="17"/>
          <w:szCs w:val="17"/>
          <w:color w:val="auto"/>
        </w:rPr>
        <w:t>”), the Company shall execute and upon Company Order the Trustee shall authenticate and deliver, in exchange for any such mutilated Note or in lieu of any such destroyed, lost or stolen Note, a new Note of like tenor and principal amount, bearing a number not contemporaneously outstanding.</w:t>
      </w:r>
    </w:p>
    <w:p>
      <w:pPr>
        <w:spacing w:after="0" w:line="17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case any such mutilated, destroyed, lost or stolen Note has become or is about to become due and payable, the Company in its discretion may, instead of issuing a new Note, pay such Note.</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Upon the issuance of any new Note under this Section, the Company may require the payment of a sum sufficient to cover any tax or other governmental charge that may be imposed in relation thereto and any other expenses (including the fees and expenses of the Trustee) in replacing a Note.</w:t>
      </w:r>
    </w:p>
    <w:p>
      <w:pPr>
        <w:spacing w:after="0" w:line="12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Every new Note issued pursuant to this Section in lieu of any mutilated, destroyed, lost or stolen Note shall constitute an original additional contractual obligation of the Company and each Guarantor, whether or not the mutilated, destroyed, lost or stolen Note shall be at any time enforceable by anyone, and shall be entitled to all benefits of this Indenture equally and proportionately with any and all other Notes duly issued hereunder.</w:t>
      </w:r>
    </w:p>
    <w:p>
      <w:pPr>
        <w:spacing w:after="0" w:line="1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55" w:lineRule="auto"/>
        <w:tabs>
          <w:tab w:leader="none" w:pos="13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Interest on any Note which is payable, and is punctually paid or duly provided for, on any Interest Payment Date shall be paid to the Person in whose name such Note (or one or more Predecessor Notes) is registered at the close of business on the Regular Record Date for such interest at the office or agency of the Company maintained for such purpose pursuant to Section 10.02;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subject to Section 3.01 hereof, each installment of interest may at the Company’s option be paid by (1) mailing a check for such interest, payable to or upon the written order of the Person entitled thereto pursuant to Section 3.07, to the address of such Person as it appears in the Note Register or (2) transfer to an account located in the United States maintained by the payee.</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80" w:name="page81"/>
    <w:bookmarkEnd w:id="80"/>
    <w:p>
      <w:pPr>
        <w:ind w:left="-40" w:right="20" w:firstLine="656"/>
        <w:spacing w:after="0" w:line="279" w:lineRule="auto"/>
        <w:tabs>
          <w:tab w:leader="none" w:pos="1312"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interest on any Note which is payable, but is not punctually paid or duly provided for, on any Interest Payment Date shall forthwith cease to be payable to the Holder on the Regular Record Date by virtue of having been such Holder, and such defaulted interest and (to the extent lawful) interest on such defaulted interest at the rate borne by the Notes (such defaulted interest and interest thereon herein collectively called “</w:t>
      </w:r>
      <w:r>
        <w:rPr>
          <w:rFonts w:ascii="Arial" w:cs="Arial" w:eastAsia="Arial" w:hAnsi="Arial"/>
          <w:sz w:val="17"/>
          <w:szCs w:val="17"/>
          <w:i w:val="1"/>
          <w:iCs w:val="1"/>
          <w:color w:val="auto"/>
        </w:rPr>
        <w:t>Defaulted Interest</w:t>
      </w:r>
      <w:r>
        <w:rPr>
          <w:rFonts w:ascii="Arial" w:cs="Arial" w:eastAsia="Arial" w:hAnsi="Arial"/>
          <w:sz w:val="17"/>
          <w:szCs w:val="17"/>
          <w:color w:val="auto"/>
        </w:rPr>
        <w:t>”) may be paid by the Company, at its election in each case, as provided in clause (1) or (2) below:</w:t>
      </w:r>
    </w:p>
    <w:p>
      <w:pPr>
        <w:spacing w:after="0" w:line="171" w:lineRule="exact"/>
        <w:rPr>
          <w:rFonts w:ascii="Arial" w:cs="Arial" w:eastAsia="Arial" w:hAnsi="Arial"/>
          <w:sz w:val="17"/>
          <w:szCs w:val="17"/>
          <w:color w:val="auto"/>
        </w:rPr>
      </w:pPr>
    </w:p>
    <w:p>
      <w:pPr>
        <w:ind w:left="620" w:firstLine="644"/>
        <w:spacing w:after="0" w:line="286" w:lineRule="auto"/>
        <w:tabs>
          <w:tab w:leader="none" w:pos="2017"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in the manner provided for in Section 1.07, not less than 10 days prior to such Special Record Date. Notice of the proposed payment of such Defaulted Interest and the Special Record Date therefor having been so given, such Defaulted Interest shall be paid to the Persons in whose names the Notes (or their respective Predecessor Notes) are registered at the close of business on such Special Record Date and shall no longer be payable pursuant to the following clause (2).</w:t>
      </w:r>
    </w:p>
    <w:p>
      <w:pPr>
        <w:spacing w:after="0" w:line="170" w:lineRule="exact"/>
        <w:rPr>
          <w:rFonts w:ascii="Arial" w:cs="Arial" w:eastAsia="Arial" w:hAnsi="Arial"/>
          <w:sz w:val="16"/>
          <w:szCs w:val="16"/>
          <w:color w:val="auto"/>
        </w:rPr>
      </w:pPr>
    </w:p>
    <w:p>
      <w:pPr>
        <w:jc w:val="both"/>
        <w:ind w:left="620" w:right="60" w:firstLine="644"/>
        <w:spacing w:after="0" w:line="311" w:lineRule="auto"/>
        <w:tabs>
          <w:tab w:leader="none" w:pos="2017"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in any other lawful manner not inconsistent with the requirements of any securities exchange on which the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8" w:lineRule="exact"/>
        <w:rPr>
          <w:rFonts w:ascii="Arial" w:cs="Arial" w:eastAsia="Arial" w:hAnsi="Arial"/>
          <w:sz w:val="16"/>
          <w:szCs w:val="16"/>
          <w:color w:val="auto"/>
        </w:rPr>
      </w:pPr>
    </w:p>
    <w:p>
      <w:pPr>
        <w:ind w:left="-40" w:firstLine="656"/>
        <w:spacing w:after="0" w:line="342" w:lineRule="auto"/>
        <w:tabs>
          <w:tab w:leader="none" w:pos="1302" w:val="left"/>
        </w:tabs>
        <w:numPr>
          <w:ilvl w:val="0"/>
          <w:numId w:val="94"/>
        </w:numPr>
        <w:rPr>
          <w:rFonts w:ascii="Arial" w:cs="Arial" w:eastAsia="Arial" w:hAnsi="Arial"/>
          <w:sz w:val="16"/>
          <w:szCs w:val="16"/>
          <w:color w:val="auto"/>
        </w:rPr>
      </w:pPr>
      <w:r>
        <w:rPr>
          <w:rFonts w:ascii="Arial" w:cs="Arial" w:eastAsia="Arial" w:hAnsi="Arial"/>
          <w:sz w:val="16"/>
          <w:szCs w:val="16"/>
          <w:color w:val="auto"/>
        </w:rPr>
        <w:t>Subject to the foregoing provisions of this Section, each Note delivered under this Indenture upon registration of transfer of or in exchange for or in lieu of any other Note shall carry the rights to interest accrued and unpaid, and to accrue interest, which were carried by such other Note.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81" w:name="page82"/>
    <w:bookmarkEnd w:id="81"/>
    <w:p>
      <w:pPr>
        <w:ind w:firstLine="648"/>
        <w:spacing w:after="0" w:line="25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Prior to the due presentment of a Note for registration of transfer, the Company, any Guarantor, the Trustee and any agent of the Company or the Trustee may treat the Person in whose name such Note is registered as the owner of such Note for the purpose of receiving payment of principal of (and premium, if any) and (subject to Section 3.04 and Section 3.06) interest on such Note and for all other purposes whatsoever, whether or not such Note be overdue, and none of the Company, the Trustee or any agent of the Company or the Trustee shall be affected by notice to the contrary.</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Cancellation</w:t>
      </w:r>
      <w:r>
        <w:rPr>
          <w:rFonts w:ascii="Arial" w:cs="Arial" w:eastAsia="Arial" w:hAnsi="Arial"/>
          <w:sz w:val="17"/>
          <w:szCs w:val="17"/>
          <w:color w:val="auto"/>
        </w:rPr>
        <w:t>. All Notes surrendered for payment, redemption, registration of transfer or exchange shall, if surrendered to any Person other than the Trustee, be delivered to the Trustee and shall be promptly cancelled by it. The Company may at any time deliver to the Trustee for cancellation any Notes previously authenticated and delivered hereunder which the Company may have acquired in any manner whatsoever, and may deliver to the Trustee (or to any other Person for delivery to the Trustee) for cancellation any Notes previously authenticated hereunder which the Company has not issued and sold, and all Notes so delivered shall be promptly cancelled by the Trustee. If the Company shall so acquire any of the Notes, however, such acquisition shall not operate as a redemption or satisfaction of the indebtedness represented by such Notes unless and until the same are surrendered to the Trustee for cancellation. No Notes shall be authenticated in lieu of or in exchange for any Notes cancelled as provided in this Section, except as expressly permitted by this Indenture. All cancelled Notes held by the Trustee shall be disposed of by the Trustee in accordance with its customary procedures (subject to the record retention requirements of the Exchange Act). Upon request, certification of the destruction or disposition of all cancelled Notes shall be delivered to the Company by the Trustee. The Trustee shall maintain a record of all cancelled Notes. The Trustee shall provide the Company a list of all Notes that have been cancelled from time to time as requested by the Company.</w:t>
      </w:r>
    </w:p>
    <w:p>
      <w:pPr>
        <w:spacing w:after="0" w:line="18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 Interest on the Notes shall be computed on the basis of a 360-day year of twelve 30-day months.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 The Notes shall be issued in registered form and shall be transferable only upon the surrender of a Note for registration of transfer. When a Note is presented to the Note Registrar or a co-registrar with a request to register a transfer, the Note Registrar shall register the transfer as requested if the requirements of this Indenture and Section 8-401(a) of the UCC are met. When Notes are presented to the Note Registrar or a co-registrar with a request to exchange them for an equal principal amount of Notes of other denominations, the Note Registrar shall make the exchange as requested if the same requirements are met.</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shall not be required and without the prior written consent of the Company, the Note Registrar shall not be required to register the transfer of or exchange of any Note (i) during a period beginning at the opening of business 15 days before providing of a notice of redemption of Notes and ending at the close of business on the day such notice is provided, (ii) selected for redemption in whole or in part, (iii) that has been tendered in a Change of Control Offer and (iv) beginning at the opening of business on any record date and ending on the close of business on the related Interest Payment Date.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2" w:name="page83"/>
    <w:bookmarkEnd w:id="82"/>
    <w:p>
      <w:pPr>
        <w:ind w:right="40" w:firstLine="648"/>
        <w:spacing w:after="0" w:line="291"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CUSIP Numbers</w:t>
      </w:r>
      <w:r>
        <w:rPr>
          <w:rFonts w:ascii="Arial" w:cs="Arial" w:eastAsia="Arial" w:hAnsi="Arial"/>
          <w:sz w:val="16"/>
          <w:szCs w:val="16"/>
          <w:color w:val="auto"/>
        </w:rPr>
        <w:t xml:space="preserve">. The Company in issuing the Notes may use “CUSIP” numbers, ISINs and “Common Code” numbers (in each case, if then generally in use) in addition to serial numbers, and, if so, the Trustee shall use such “CUSIP” numbers, ISINs and “Common Code” numbers in addition to serial numbers in notices of redemption, repurchase or other notices to Holders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notice may state that no representation is made as to the correctness of such “CUSIP” numbers, ISINs and “Common Code” numbers either as printed on the Notes or as contained in any notice of a redemption or repurchase and that reliance may be placed only on the serial or other identification numbers printed on the Notes, and any such redemption or repurchase shall not be affected by any defect in or omission of such numbers. The Company shall promptly notify the Trustee in writing of any change in the “CUSIP” numbers, ISINs and “Common Code” numbers applicable to the Notes.</w:t>
      </w:r>
    </w:p>
    <w:p>
      <w:pPr>
        <w:spacing w:after="0" w:line="16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 The Company may, subject to Section 10.09, issue additional Notes having identical terms and conditions to the Initial Notes issued on the Issue Date, other than with respect to the date of issuance, the issue price and the date from which interest first begins to accrue (the “</w:t>
      </w:r>
      <w:r>
        <w:rPr>
          <w:rFonts w:ascii="Arial" w:cs="Arial" w:eastAsia="Arial" w:hAnsi="Arial"/>
          <w:sz w:val="18"/>
          <w:szCs w:val="18"/>
          <w:i w:val="1"/>
          <w:iCs w:val="1"/>
          <w:color w:val="auto"/>
        </w:rPr>
        <w:t>Additional Notes</w:t>
      </w:r>
      <w:r>
        <w:rPr>
          <w:rFonts w:ascii="Arial" w:cs="Arial" w:eastAsia="Arial" w:hAnsi="Arial"/>
          <w:sz w:val="18"/>
          <w:szCs w:val="18"/>
          <w:color w:val="auto"/>
        </w:rPr>
        <w:t>”). The Initial Notes issued on the Issue Date and any Additional Notes subsequently issued shall be treated as a single class for all purposes under this Indenture, including waivers, amendments, redemptions and offers to purchase, (except that any series of Notes that is not fungible with the Initial Notes for U.S. federal income tax purposes may be treated for purposes of provisions of this Indenture relating to transfer and exchange as a separate class that does not trade fungibly with Notes that have differing treatment under U.S. federal income tax law and will be assigned a different CUSIP or other identification number).</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FOUR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This Indenture shall upon Company Request and at the Company’s expense cease to be of further effect as to all Notes issued hereunder and then outstanding (except as set forth in the last paragraph of this Section and as to surviving rights of registration of transfer or exchange of Notes expressly provided for herein or pursuant hereto) and all the Note Liens granted under the Security Documents will be automatically released and the Trustee, at the expense of the Company, shall execute such instruments reasonably requested by the Company acknowledging satisfaction and discharge of this Indenture when:</w:t>
      </w:r>
    </w:p>
    <w:p>
      <w:pPr>
        <w:spacing w:after="0" w:line="188" w:lineRule="exact"/>
        <w:rPr>
          <w:sz w:val="20"/>
          <w:szCs w:val="20"/>
          <w:color w:val="auto"/>
        </w:rPr>
      </w:pPr>
    </w:p>
    <w:p>
      <w:pPr>
        <w:ind w:left="2000" w:hanging="696"/>
        <w:spacing w:after="0"/>
        <w:tabs>
          <w:tab w:leader="none" w:pos="2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right="80" w:firstLine="652"/>
        <w:spacing w:after="0" w:line="279" w:lineRule="auto"/>
        <w:tabs>
          <w:tab w:leader="none" w:pos="2738"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Notes theretofore authenticated and delivered (other than (i) Notes which have been destroyed, lost or stolen and which have been replaced or paid as provided in Section 3.05 and (ii) Notes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3" w:name="page84"/>
    <w:bookmarkEnd w:id="83"/>
    <w:p>
      <w:pPr>
        <w:ind w:left="1980" w:hanging="688"/>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such Notes not theretofore delivered to the Trustee for cancellation,</w:t>
      </w:r>
    </w:p>
    <w:p>
      <w:pPr>
        <w:spacing w:after="0" w:line="225" w:lineRule="exact"/>
        <w:rPr>
          <w:rFonts w:ascii="Arial" w:cs="Arial" w:eastAsia="Arial" w:hAnsi="Arial"/>
          <w:sz w:val="18"/>
          <w:szCs w:val="18"/>
          <w:color w:val="auto"/>
        </w:rPr>
      </w:pPr>
    </w:p>
    <w:p>
      <w:pPr>
        <w:ind w:left="2700" w:hanging="760"/>
        <w:spacing w:after="0"/>
        <w:tabs>
          <w:tab w:leader="none" w:pos="27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have become due and payable by reason of the making of a notice of redemption pursuant to Section 11.06 or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otherwise, or</w:t>
      </w:r>
    </w:p>
    <w:p>
      <w:pPr>
        <w:spacing w:after="0" w:line="210" w:lineRule="exact"/>
        <w:rPr>
          <w:rFonts w:ascii="Arial" w:cs="Arial" w:eastAsia="Arial" w:hAnsi="Arial"/>
          <w:sz w:val="16"/>
          <w:szCs w:val="16"/>
          <w:color w:val="auto"/>
        </w:rPr>
      </w:pPr>
    </w:p>
    <w:p>
      <w:pPr>
        <w:ind w:left="2700" w:hanging="760"/>
        <w:spacing w:after="0"/>
        <w:tabs>
          <w:tab w:leader="none" w:pos="27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shall become due and payable at their Stated Maturity within one year, or</w:t>
      </w:r>
    </w:p>
    <w:p>
      <w:pPr>
        <w:spacing w:after="0" w:line="225" w:lineRule="exact"/>
        <w:rPr>
          <w:rFonts w:ascii="Arial" w:cs="Arial" w:eastAsia="Arial" w:hAnsi="Arial"/>
          <w:sz w:val="18"/>
          <w:szCs w:val="18"/>
          <w:color w:val="auto"/>
        </w:rPr>
      </w:pPr>
    </w:p>
    <w:p>
      <w:pPr>
        <w:ind w:left="1300" w:right="100" w:firstLine="640"/>
        <w:spacing w:after="0" w:line="277" w:lineRule="auto"/>
        <w:tabs>
          <w:tab w:leader="none" w:pos="2712" w:val="left"/>
        </w:tabs>
        <w:numPr>
          <w:ilvl w:val="1"/>
          <w:numId w:val="96"/>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the Company or any Guarantor, in the case of (i), (ii) or (iii) of this clause (B),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such Notes not theretofore delivered to the Trustee for cancellation for principal, premium, if any, and accrued interest to the date of maturity or redemption, as the case may be (for the avoidance of doubt, in the case of a discharge that occurs in connection with a redemption that is to occur on a Redemption Date, the amount to be deposited shall be the amount that, as of the date of such deposit, is deemed reasonably sufficient to make such payment and discharge on the redemption date, in the good faith determination of the Board of Directors of the Company pursuant to a resolution of the Board of Directors of the Company and as evidenced by an Officer’s Certificate);</w:t>
      </w:r>
    </w:p>
    <w:p>
      <w:pPr>
        <w:spacing w:after="0" w:line="165" w:lineRule="exact"/>
        <w:rPr>
          <w:sz w:val="20"/>
          <w:szCs w:val="20"/>
          <w:color w:val="auto"/>
        </w:rPr>
      </w:pPr>
    </w:p>
    <w:p>
      <w:pPr>
        <w:ind w:right="180" w:firstLine="644"/>
        <w:spacing w:after="0" w:line="255" w:lineRule="auto"/>
        <w:tabs>
          <w:tab w:leader="none" w:pos="1397"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Default (other than that resulting from borrowing funds to be applied to make such deposit and the granting of Liens in connection therewith) with respect to this Indenture or the Notes issued hereunder shall have occurred and be continuing on the date of such deposit or shall occur as a result of such deposit and such deposit shall not result in a breach or violation of, or constitute a default under, any Credit Facility or any other material agreement or instrument (other than this Indenture) to which the Company or any Guarantor is a party or by which the Company or any Guarantor is bound (other than resulting from any borrowing of funds to be applied to make such deposit and the granting of Liens in connection therewith);</w:t>
      </w:r>
    </w:p>
    <w:p>
      <w:pPr>
        <w:spacing w:after="0" w:line="192" w:lineRule="exact"/>
        <w:rPr>
          <w:rFonts w:ascii="Arial" w:cs="Arial" w:eastAsia="Arial" w:hAnsi="Arial"/>
          <w:sz w:val="18"/>
          <w:szCs w:val="18"/>
          <w:color w:val="auto"/>
        </w:rPr>
      </w:pPr>
    </w:p>
    <w:p>
      <w:pPr>
        <w:ind w:right="20" w:firstLine="644"/>
        <w:spacing w:after="0" w:line="277" w:lineRule="auto"/>
        <w:tabs>
          <w:tab w:leader="none" w:pos="139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has paid or caused to be paid all sums payable by it to the Trustee and Collateral Trustee under this Indenture and the Security Documents;</w:t>
      </w:r>
    </w:p>
    <w:p>
      <w:pPr>
        <w:spacing w:after="0" w:line="170" w:lineRule="exact"/>
        <w:rPr>
          <w:rFonts w:ascii="Arial" w:cs="Arial" w:eastAsia="Arial" w:hAnsi="Arial"/>
          <w:sz w:val="18"/>
          <w:szCs w:val="18"/>
          <w:color w:val="auto"/>
        </w:rPr>
      </w:pPr>
    </w:p>
    <w:p>
      <w:pPr>
        <w:ind w:right="260" w:firstLine="644"/>
        <w:spacing w:after="0" w:line="277" w:lineRule="auto"/>
        <w:tabs>
          <w:tab w:leader="none" w:pos="139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such Notes at Maturity or the Redemption Date, as the case may be; and</w:t>
      </w:r>
    </w:p>
    <w:p>
      <w:pPr>
        <w:spacing w:after="0" w:line="170" w:lineRule="exact"/>
        <w:rPr>
          <w:rFonts w:ascii="Arial" w:cs="Arial" w:eastAsia="Arial" w:hAnsi="Arial"/>
          <w:sz w:val="18"/>
          <w:szCs w:val="18"/>
          <w:color w:val="auto"/>
        </w:rPr>
      </w:pPr>
    </w:p>
    <w:p>
      <w:pPr>
        <w:ind w:right="220" w:firstLine="644"/>
        <w:spacing w:after="0" w:line="277" w:lineRule="auto"/>
        <w:tabs>
          <w:tab w:leader="none" w:pos="139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to the satisfaction and discharge of this Indenture have been satisfied.</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4" w:name="page85"/>
    <w:bookmarkEnd w:id="84"/>
    <w:p>
      <w:pPr>
        <w:ind w:right="20" w:firstLine="648"/>
        <w:spacing w:after="0" w:line="257" w:lineRule="auto"/>
        <w:rPr>
          <w:sz w:val="20"/>
          <w:szCs w:val="20"/>
          <w:color w:val="auto"/>
        </w:rPr>
      </w:pPr>
      <w:r>
        <w:rPr>
          <w:rFonts w:ascii="Arial" w:cs="Arial" w:eastAsia="Arial" w:hAnsi="Arial"/>
          <w:sz w:val="18"/>
          <w:szCs w:val="18"/>
          <w:color w:val="auto"/>
        </w:rPr>
        <w:t>Notwithstanding the satisfaction and discharge of this Indenture, if money or Government Securities shall have been deposited with the Trustee pursuant to sub-clause (B) of clause (1) of this Section, the obligations of the Trustee under Section 4.02 and the last paragraph of Section 10.03 shall survive such satisfaction and discharge. In addition, nothing in this Section 4.01 shall be deemed to discharge the obligations of the Company to the Trustee under Section 6.07 and the obligations of the Company to any Authenticating Agent under Section 6.12 that, by their terms, survive the satisfaction and discharge of this Indenture.</w:t>
      </w:r>
    </w:p>
    <w:p>
      <w:pPr>
        <w:spacing w:after="0" w:line="188"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 Subject to the provisions of the last paragraph of Section 10.03, all money or Government Securities deposited with the Trustee pursuant to Section 4.01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and interest for whose payment such money or Government Securities has been deposited with the Trustee, but such money or Government Securities need not be segregated from other funds except to the extent required by law.</w:t>
      </w:r>
    </w:p>
    <w:p>
      <w:pPr>
        <w:spacing w:after="0" w:line="16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If the Trustee or Paying Agent is unable to apply any money or Government Securities in accordance with Section 4.01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4.01 until such time as the Trustee or Paying Agent is permitted to apply all such money or Government Securities in accordance with Section 4.01;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Company has made any payment of principal of, premium, if 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left="660" w:right="740" w:firstLine="644"/>
        <w:spacing w:after="0" w:line="277" w:lineRule="auto"/>
        <w:tabs>
          <w:tab w:leader="none" w:pos="2012"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payment when due and payable, upon redemption, acceleration or otherwise, of payments of principal of, or premium, if any, on the Notes issued under this Indenture;</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default for 30 days or more in the payment when due of interest on or with respect to the Notes issued under this Indenture;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left="-460" w:right="40" w:firstLine="644"/>
        <w:spacing w:after="0" w:line="286" w:lineRule="auto"/>
        <w:tabs>
          <w:tab w:leader="none" w:pos="847" w:val="left"/>
        </w:tabs>
        <w:numPr>
          <w:ilvl w:val="0"/>
          <w:numId w:val="99"/>
        </w:numPr>
        <w:rPr>
          <w:rFonts w:ascii="Arial" w:cs="Arial" w:eastAsia="Arial" w:hAnsi="Arial"/>
          <w:sz w:val="17"/>
          <w:szCs w:val="17"/>
          <w:color w:val="auto"/>
        </w:rPr>
      </w:pPr>
      <w:r>
        <w:rPr>
          <w:rFonts w:ascii="Arial" w:cs="Arial" w:eastAsia="Arial" w:hAnsi="Arial"/>
          <w:sz w:val="17"/>
          <w:szCs w:val="17"/>
          <w:color w:val="auto"/>
        </w:rPr>
        <w:t>failure by the Company or any Guarantor for 60 days (or 120 days with respect to a default under Section 10.07) after receipt of written notice given by the Trustee or the Holders of at least 25.0% in principal amount of the then Outstanding Notes issued under this Indenture to comply with any of its other obligations, covenants or agreements contained in this Indenture or the Notes;</w:t>
      </w:r>
    </w:p>
    <w:p>
      <w:pPr>
        <w:spacing w:after="0" w:line="165" w:lineRule="exact"/>
        <w:rPr>
          <w:rFonts w:ascii="Arial" w:cs="Arial" w:eastAsia="Arial" w:hAnsi="Arial"/>
          <w:sz w:val="17"/>
          <w:szCs w:val="17"/>
          <w:color w:val="auto"/>
        </w:rPr>
      </w:pPr>
    </w:p>
    <w:p>
      <w:pPr>
        <w:ind w:left="-460" w:right="80" w:firstLine="644"/>
        <w:spacing w:after="0" w:line="259" w:lineRule="auto"/>
        <w:tabs>
          <w:tab w:leader="none" w:pos="892"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is issued or by which there is secured or evidenced any Indebtedness for money borrowed by the Company or any Restricted Subsidiary or the payment of which is guaranteed by the Company or any Restricted Subsidiary, other than Indebtedness owed to the Company or a Restricted Subsidiary, whether such Indebtedness or guarantee now exists or is created after the issuance of the Notes, if both:</w:t>
      </w:r>
    </w:p>
    <w:p>
      <w:pPr>
        <w:spacing w:after="0" w:line="186" w:lineRule="exact"/>
        <w:rPr>
          <w:rFonts w:ascii="Arial" w:cs="Arial" w:eastAsia="Arial" w:hAnsi="Arial"/>
          <w:sz w:val="18"/>
          <w:szCs w:val="18"/>
          <w:color w:val="auto"/>
        </w:rPr>
      </w:pPr>
    </w:p>
    <w:p>
      <w:pPr>
        <w:ind w:left="1540" w:hanging="708"/>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such default either:</w:t>
      </w:r>
    </w:p>
    <w:p>
      <w:pPr>
        <w:spacing w:after="0" w:line="225" w:lineRule="exact"/>
        <w:rPr>
          <w:rFonts w:ascii="Arial" w:cs="Arial" w:eastAsia="Arial" w:hAnsi="Arial"/>
          <w:sz w:val="18"/>
          <w:szCs w:val="18"/>
          <w:color w:val="auto"/>
        </w:rPr>
      </w:pPr>
    </w:p>
    <w:p>
      <w:pPr>
        <w:ind w:left="840" w:right="400" w:firstLine="640"/>
        <w:spacing w:after="0" w:line="277" w:lineRule="auto"/>
        <w:tabs>
          <w:tab w:leader="none" w:pos="2198" w:val="left"/>
        </w:tabs>
        <w:numPr>
          <w:ilvl w:val="2"/>
          <w:numId w:val="99"/>
        </w:numPr>
        <w:rPr>
          <w:rFonts w:ascii="Arial" w:cs="Arial" w:eastAsia="Arial" w:hAnsi="Arial"/>
          <w:sz w:val="18"/>
          <w:szCs w:val="18"/>
          <w:color w:val="auto"/>
        </w:rPr>
      </w:pPr>
      <w:r>
        <w:rPr>
          <w:rFonts w:ascii="Arial" w:cs="Arial" w:eastAsia="Arial" w:hAnsi="Arial"/>
          <w:sz w:val="18"/>
          <w:szCs w:val="18"/>
          <w:color w:val="auto"/>
        </w:rPr>
        <w:t>results from the failure to pay any principal of such Indebtedness at its stated final maturity (after giving effect to any applicable grace periods); or</w:t>
      </w:r>
    </w:p>
    <w:p>
      <w:pPr>
        <w:spacing w:after="0" w:line="170" w:lineRule="exact"/>
        <w:rPr>
          <w:rFonts w:ascii="Arial" w:cs="Arial" w:eastAsia="Arial" w:hAnsi="Arial"/>
          <w:sz w:val="18"/>
          <w:szCs w:val="18"/>
          <w:color w:val="auto"/>
        </w:rPr>
      </w:pPr>
    </w:p>
    <w:p>
      <w:pPr>
        <w:ind w:left="840" w:right="120" w:firstLine="640"/>
        <w:spacing w:after="0" w:line="263" w:lineRule="auto"/>
        <w:tabs>
          <w:tab w:leader="none" w:pos="2248" w:val="left"/>
        </w:tabs>
        <w:numPr>
          <w:ilvl w:val="2"/>
          <w:numId w:val="99"/>
        </w:numPr>
        <w:rPr>
          <w:rFonts w:ascii="Arial" w:cs="Arial" w:eastAsia="Arial" w:hAnsi="Arial"/>
          <w:sz w:val="18"/>
          <w:szCs w:val="18"/>
          <w:color w:val="auto"/>
        </w:rPr>
      </w:pPr>
      <w:r>
        <w:rPr>
          <w:rFonts w:ascii="Arial" w:cs="Arial" w:eastAsia="Arial" w:hAnsi="Arial"/>
          <w:sz w:val="18"/>
          <w:szCs w:val="18"/>
          <w:color w:val="auto"/>
        </w:rPr>
        <w:t>relates to an obligation other than the obligation to pay principal of any such Indebtedness at its stated final maturity and results in the holder or holders of such Indebtedness causing such Indebtedness to become due prior to its stated maturity; and</w:t>
      </w:r>
    </w:p>
    <w:p>
      <w:pPr>
        <w:spacing w:after="0" w:line="183" w:lineRule="exact"/>
        <w:rPr>
          <w:rFonts w:ascii="Arial" w:cs="Arial" w:eastAsia="Arial" w:hAnsi="Arial"/>
          <w:sz w:val="18"/>
          <w:szCs w:val="18"/>
          <w:color w:val="auto"/>
        </w:rPr>
      </w:pPr>
    </w:p>
    <w:p>
      <w:pPr>
        <w:ind w:left="180" w:right="220" w:firstLine="652"/>
        <w:spacing w:after="0" w:line="286" w:lineRule="auto"/>
        <w:tabs>
          <w:tab w:leader="none" w:pos="1518"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principal amount of such Indebtedness, together with the principal amount of any other such Indebtedness in default for failure to pay principal at stated final maturity (after giving effect to any applicable grace periods), or the maturity of which has been so accelerated, aggregates to $35.0 million or more at any one time outstanding;</w:t>
      </w:r>
    </w:p>
    <w:p>
      <w:pPr>
        <w:spacing w:after="0" w:line="165" w:lineRule="exact"/>
        <w:rPr>
          <w:rFonts w:ascii="Arial" w:cs="Arial" w:eastAsia="Arial" w:hAnsi="Arial"/>
          <w:sz w:val="17"/>
          <w:szCs w:val="17"/>
          <w:color w:val="auto"/>
        </w:rPr>
      </w:pPr>
    </w:p>
    <w:p>
      <w:pPr>
        <w:ind w:left="-460" w:firstLine="644"/>
        <w:spacing w:after="0" w:line="257" w:lineRule="auto"/>
        <w:tabs>
          <w:tab w:leader="none" w:pos="892" w:val="left"/>
        </w:tabs>
        <w:numPr>
          <w:ilvl w:val="0"/>
          <w:numId w:val="99"/>
        </w:numPr>
        <w:rPr>
          <w:rFonts w:ascii="Arial" w:cs="Arial" w:eastAsia="Arial" w:hAnsi="Arial"/>
          <w:sz w:val="18"/>
          <w:szCs w:val="18"/>
          <w:color w:val="auto"/>
        </w:rPr>
      </w:pPr>
      <w:r>
        <w:rPr>
          <w:rFonts w:ascii="Arial" w:cs="Arial" w:eastAsia="Arial" w:hAnsi="Arial"/>
          <w:sz w:val="18"/>
          <w:szCs w:val="18"/>
          <w:color w:val="auto"/>
        </w:rPr>
        <w:t>failure by the Company or any Significant Subsidiary (or any group of Subsidiaries that together would constitute a Significant Subsidiary) to pay final judgments entered by a court of competent jurisdiction aggregating in excess of $35.0 million,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p>
    <w:p>
      <w:pPr>
        <w:spacing w:after="0" w:line="187" w:lineRule="exact"/>
        <w:rPr>
          <w:rFonts w:ascii="Arial" w:cs="Arial" w:eastAsia="Arial" w:hAnsi="Arial"/>
          <w:sz w:val="18"/>
          <w:szCs w:val="18"/>
          <w:color w:val="auto"/>
        </w:rPr>
      </w:pPr>
    </w:p>
    <w:p>
      <w:pPr>
        <w:ind w:left="880" w:hanging="696"/>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of the following events with respect to the Company or any Significant Subsidiary:</w:t>
      </w:r>
    </w:p>
    <w:p>
      <w:pPr>
        <w:spacing w:after="0" w:line="225" w:lineRule="exact"/>
        <w:rPr>
          <w:rFonts w:ascii="Arial" w:cs="Arial" w:eastAsia="Arial" w:hAnsi="Arial"/>
          <w:sz w:val="18"/>
          <w:szCs w:val="18"/>
          <w:color w:val="auto"/>
        </w:rPr>
      </w:pPr>
    </w:p>
    <w:p>
      <w:pPr>
        <w:ind w:left="1540" w:hanging="708"/>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225" w:lineRule="exact"/>
        <w:rPr>
          <w:rFonts w:ascii="Arial" w:cs="Arial" w:eastAsia="Arial" w:hAnsi="Arial"/>
          <w:sz w:val="18"/>
          <w:szCs w:val="18"/>
          <w:color w:val="auto"/>
        </w:rPr>
      </w:pPr>
    </w:p>
    <w:p>
      <w:pPr>
        <w:ind w:left="2180" w:hanging="700"/>
        <w:spacing w:after="0"/>
        <w:tabs>
          <w:tab w:leader="none" w:pos="21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240" w:hanging="760"/>
        <w:spacing w:after="0"/>
        <w:tabs>
          <w:tab w:leader="none" w:pos="2240" w:val="left"/>
        </w:tabs>
        <w:numPr>
          <w:ilvl w:val="2"/>
          <w:numId w:val="9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86" w:name="page87"/>
    <w:bookmarkEnd w:id="86"/>
    <w:p>
      <w:pPr>
        <w:ind w:left="3400" w:hanging="800"/>
        <w:spacing w:after="0"/>
        <w:tabs>
          <w:tab w:leader="none" w:pos="34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225" w:lineRule="exact"/>
        <w:rPr>
          <w:rFonts w:ascii="Arial" w:cs="Arial" w:eastAsia="Arial" w:hAnsi="Arial"/>
          <w:sz w:val="18"/>
          <w:szCs w:val="18"/>
          <w:color w:val="auto"/>
        </w:rPr>
      </w:pPr>
    </w:p>
    <w:p>
      <w:pPr>
        <w:ind w:left="3400" w:hanging="800"/>
        <w:spacing w:after="0"/>
        <w:tabs>
          <w:tab w:leader="none" w:pos="34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takes any comparable action under any foreign laws relating to insolvency; or</w:t>
      </w:r>
    </w:p>
    <w:p>
      <w:pPr>
        <w:spacing w:after="0" w:line="225" w:lineRule="exact"/>
        <w:rPr>
          <w:rFonts w:ascii="Arial" w:cs="Arial" w:eastAsia="Arial" w:hAnsi="Arial"/>
          <w:sz w:val="18"/>
          <w:szCs w:val="18"/>
          <w:color w:val="auto"/>
        </w:rPr>
      </w:pPr>
    </w:p>
    <w:p>
      <w:pPr>
        <w:ind w:left="2640" w:hanging="688"/>
        <w:spacing w:after="0"/>
        <w:tabs>
          <w:tab w:leader="none" w:pos="2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3400" w:hanging="800"/>
        <w:spacing w:after="0"/>
        <w:tabs>
          <w:tab w:leader="none" w:pos="34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225" w:lineRule="exact"/>
        <w:rPr>
          <w:rFonts w:ascii="Arial" w:cs="Arial" w:eastAsia="Arial" w:hAnsi="Arial"/>
          <w:sz w:val="18"/>
          <w:szCs w:val="18"/>
          <w:color w:val="auto"/>
        </w:rPr>
      </w:pPr>
    </w:p>
    <w:p>
      <w:pPr>
        <w:ind w:left="3360" w:hanging="760"/>
        <w:spacing w:after="0"/>
        <w:tabs>
          <w:tab w:leader="none" w:pos="336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appoints a custodian of the Company or any Significant Subsidiary or for any substantial part of its property;</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3360" w:hanging="760"/>
        <w:spacing w:after="0"/>
        <w:tabs>
          <w:tab w:leader="none" w:pos="33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for the purposes of this clause (6), a Significant Subsidiary shall include any group of Subsidiaries that together would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Subsidiary;</w:t>
      </w:r>
    </w:p>
    <w:p>
      <w:pPr>
        <w:spacing w:after="0" w:line="170" w:lineRule="exact"/>
        <w:rPr>
          <w:sz w:val="20"/>
          <w:szCs w:val="20"/>
          <w:color w:val="auto"/>
        </w:rPr>
      </w:pPr>
    </w:p>
    <w:p>
      <w:pPr>
        <w:ind w:left="660" w:right="100" w:firstLine="644"/>
        <w:spacing w:after="0" w:line="273" w:lineRule="auto"/>
        <w:tabs>
          <w:tab w:leader="none" w:pos="205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Guarantee of any Significant Subsidiary (or any group of Subsidiaries that together would constitute a Significant Subsidiary) shall for any reason (except as contemplated by the terms thereof or of this Indenture) cease to be in full force and effect or be declared null and void or any responsible officer of any Guarantor that is a Significant Subsidiary (or the responsible officers of any group of Subsidiaries that together would constitute a Significant Subsidiary), as the case may be, denies in writing that it has any further liability under its Guarantee or gives notice to such effect, other than by reason of the termination of this Indenture or the release of any such Guarantee in accordance with this Indenture, and such Default continues for 30 days; or</w:t>
      </w:r>
    </w:p>
    <w:p>
      <w:pPr>
        <w:spacing w:after="0" w:line="177" w:lineRule="exact"/>
        <w:rPr>
          <w:rFonts w:ascii="Arial" w:cs="Arial" w:eastAsia="Arial" w:hAnsi="Arial"/>
          <w:sz w:val="17"/>
          <w:szCs w:val="17"/>
          <w:color w:val="auto"/>
        </w:rPr>
      </w:pPr>
    </w:p>
    <w:p>
      <w:pPr>
        <w:ind w:left="660" w:firstLine="644"/>
        <w:spacing w:after="0" w:line="287" w:lineRule="auto"/>
        <w:tabs>
          <w:tab w:leader="none" w:pos="205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unless all of the Collateral has been released from the Note Liens in accordance with the provisions of this Indenture and the Security Documents, (x) default by the Company or any Subsidiary in the performance of their obligations under of the Security Documents which materially adversely affects the enforceability, validity, perfection or priority of the Note Liens on a material portion of the Collateral, (y) the repudiation or disaffirmation by the Company or any Guarantor of its material obligations under the Security Documents or (z) the determination in a judicial proceeding that the Security Documents are unenforceable or invalid against the Company or any Guarantor party thereto for any reason with respect to a material portion of the Collateral and, in the case of any event set forth in sub-clauses (x) through (z), such default, repudiation, disaffirmation or determination is not rescinded, stayed, or waived by the Persons having such authority pursuant to the Security Documents or otherwise cured within 60 days after the Company receives written notice thereof specifying such occurrence from the Trustee or the Holders of at least 25% of the outstanding principal amount of the Notes and demanding that such default be remedied and, in the case of any event described in subclauses (x) through (z), other than (a) to the extent that any such loss of perfection or priority results from the failure of the Collateral Trustee to maintain possession of certificates or instruments actually delivered to it representing securities pledged under the Security Documents or (b) to the extent any such loss is covered by title insurance for which the insurer has not denied coverage.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600"/>
        <w:spacing w:after="0"/>
        <w:tabs>
          <w:tab w:leader="none" w:pos="174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ind w:left="-60" w:right="60" w:firstLine="656"/>
        <w:spacing w:after="0" w:line="301" w:lineRule="auto"/>
        <w:tabs>
          <w:tab w:leader="none" w:pos="132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any Event of Default (other than an Event of Default specified in Section 5.01(6) with respect to the Company) occurs and is continuing under this Indenture, the Trustee or the Holders of at least 25.0% in principal amount of the Outstanding Notes issued under this Indenture may declare the principal, premium, if any, interest and any other monetary Obligations on all the Outstanding Notes issued under this Indenture to be due and payable immediately by a notice in writing to the Company (and to the Trustee and the Collateral Trustee if given by the Holders).</w:t>
      </w:r>
    </w:p>
    <w:p>
      <w:pPr>
        <w:spacing w:after="0" w:line="157" w:lineRule="exact"/>
        <w:rPr>
          <w:rFonts w:ascii="Arial" w:cs="Arial" w:eastAsia="Arial" w:hAnsi="Arial"/>
          <w:sz w:val="16"/>
          <w:szCs w:val="16"/>
          <w:color w:val="auto"/>
        </w:rPr>
      </w:pPr>
    </w:p>
    <w:p>
      <w:pPr>
        <w:ind w:left="-60" w:firstLine="656"/>
        <w:spacing w:after="0" w:line="259" w:lineRule="auto"/>
        <w:tabs>
          <w:tab w:leader="none" w:pos="13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Upon the effectiveness of such declaration, such principal of and premium, if any, and interest on the Notes shall be due and payable immediately. Notwithstanding the foregoing, if an Event of Default specified in Section 5.01(6) with respect to the Company occurs and is continuing, then the principal amount of all Outstanding Notes shall ipso facto become and be immediately due and payable without any notice, declaration or other act on the part of the Trustee or any Holder.</w:t>
      </w:r>
    </w:p>
    <w:p>
      <w:pPr>
        <w:spacing w:after="0" w:line="186" w:lineRule="exact"/>
        <w:rPr>
          <w:rFonts w:ascii="Arial" w:cs="Arial" w:eastAsia="Arial" w:hAnsi="Arial"/>
          <w:sz w:val="18"/>
          <w:szCs w:val="18"/>
          <w:color w:val="auto"/>
        </w:rPr>
      </w:pPr>
    </w:p>
    <w:p>
      <w:pPr>
        <w:jc w:val="both"/>
        <w:ind w:left="-60" w:right="140" w:firstLine="656"/>
        <w:spacing w:after="0" w:line="263" w:lineRule="auto"/>
        <w:tabs>
          <w:tab w:leader="none" w:pos="13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any time after a declaration of acceleration has been made and before a judgment or decree for payment of the money due has been obtained by the Trustee as hereinafter provided in this Article Five, the Holders of a majority in aggregate principal amount of the Outstanding Notes, by written notice to the Trustee, may rescind and annul such declaration and its consequences if:</w:t>
      </w:r>
    </w:p>
    <w:p>
      <w:pPr>
        <w:spacing w:after="0" w:line="183" w:lineRule="exact"/>
        <w:rPr>
          <w:rFonts w:ascii="Arial" w:cs="Arial" w:eastAsia="Arial" w:hAnsi="Arial"/>
          <w:sz w:val="18"/>
          <w:szCs w:val="18"/>
          <w:color w:val="auto"/>
        </w:rPr>
      </w:pPr>
    </w:p>
    <w:p>
      <w:pPr>
        <w:ind w:left="1940" w:hanging="696"/>
        <w:spacing w:after="0"/>
        <w:tabs>
          <w:tab w:leader="none" w:pos="19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2680" w:hanging="788"/>
        <w:spacing w:after="0"/>
        <w:tabs>
          <w:tab w:leader="none" w:pos="26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all overdue interest on all Outstanding Notes,</w:t>
      </w:r>
    </w:p>
    <w:p>
      <w:pPr>
        <w:spacing w:after="0" w:line="225" w:lineRule="exact"/>
        <w:rPr>
          <w:rFonts w:ascii="Arial" w:cs="Arial" w:eastAsia="Arial" w:hAnsi="Arial"/>
          <w:sz w:val="18"/>
          <w:szCs w:val="18"/>
          <w:color w:val="auto"/>
        </w:rPr>
      </w:pPr>
    </w:p>
    <w:p>
      <w:pPr>
        <w:ind w:left="1240" w:right="300" w:firstLine="652"/>
        <w:spacing w:after="0" w:line="277" w:lineRule="auto"/>
        <w:tabs>
          <w:tab w:leader="none" w:pos="2668"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all unpaid principal of (and premium, if any, on) any Outstanding Notes which has become due otherwise than by such declaration of acceleration, and interest on such unpaid principal at the rate borne by the Notes,</w:t>
      </w:r>
    </w:p>
    <w:p>
      <w:pPr>
        <w:spacing w:after="0" w:line="170" w:lineRule="exact"/>
        <w:rPr>
          <w:rFonts w:ascii="Arial" w:cs="Arial" w:eastAsia="Arial" w:hAnsi="Arial"/>
          <w:sz w:val="18"/>
          <w:szCs w:val="18"/>
          <w:color w:val="auto"/>
        </w:rPr>
      </w:pPr>
    </w:p>
    <w:p>
      <w:pPr>
        <w:ind w:left="2680" w:hanging="788"/>
        <w:spacing w:after="0"/>
        <w:tabs>
          <w:tab w:leader="none" w:pos="268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on overdue interest at the rate borne by the Notes, and</w:t>
      </w:r>
    </w:p>
    <w:p>
      <w:pPr>
        <w:spacing w:after="0" w:line="248" w:lineRule="exact"/>
        <w:rPr>
          <w:rFonts w:ascii="Arial" w:cs="Arial" w:eastAsia="Arial" w:hAnsi="Arial"/>
          <w:sz w:val="16"/>
          <w:szCs w:val="16"/>
          <w:color w:val="auto"/>
        </w:rPr>
      </w:pPr>
    </w:p>
    <w:p>
      <w:pPr>
        <w:ind w:left="1240" w:right="160" w:firstLine="652"/>
        <w:spacing w:after="0" w:line="277" w:lineRule="auto"/>
        <w:tabs>
          <w:tab w:leader="none" w:pos="2678"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left="600" w:right="200" w:firstLine="644"/>
        <w:spacing w:after="0" w:line="277" w:lineRule="auto"/>
        <w:tabs>
          <w:tab w:leader="none" w:pos="195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Events of Default, other than the non-payment of amounts of principal of (or premium, if any, on) or interest on Notes which have become due solely by such declaration of acceleration, have been cured or waived as provided in Section 5.13.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right="40" w:firstLine="656"/>
        <w:spacing w:after="0" w:line="263" w:lineRule="auto"/>
        <w:tabs>
          <w:tab w:leader="none" w:pos="139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the preceding clause (c), in the event of any Event of Default specified in Section 5.01(4) above, such Event of Default and all consequences thereof (excluding any resulting payment default) shall be annulled, waived and rescinded automatically and without any action by the Trustee or the Holders if, within 20 days after such Event of Default arose,</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Indebtedness or guarantee that is the basis for such Event of Default has been discharged;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holders thereof have rescinded or waived the acceleration, notice or action (as the case may be) giving rise to such Event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Default; or</w:t>
      </w:r>
    </w:p>
    <w:p>
      <w:pPr>
        <w:spacing w:after="0" w:line="210" w:lineRule="exact"/>
        <w:rPr>
          <w:rFonts w:ascii="Arial" w:cs="Arial" w:eastAsia="Arial" w:hAnsi="Arial"/>
          <w:sz w:val="16"/>
          <w:szCs w:val="16"/>
          <w:color w:val="auto"/>
        </w:rPr>
      </w:pPr>
    </w:p>
    <w:p>
      <w:pPr>
        <w:ind w:left="2060" w:hanging="756"/>
        <w:spacing w:after="0"/>
        <w:tabs>
          <w:tab w:leader="none" w:pos="2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default that is the basis for such Event of Default has been cured.</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Collection of Indebtedness and Suits for Enforcement by Trustee</w:t>
      </w:r>
      <w:r>
        <w:rPr>
          <w:rFonts w:ascii="Arial" w:cs="Arial" w:eastAsia="Arial" w:hAnsi="Arial"/>
          <w:sz w:val="17"/>
          <w:szCs w:val="17"/>
          <w:color w:val="auto"/>
        </w:rPr>
        <w:t>. Subject to the terms of the Intercreditor Agreement, if an Event of Default specified in Section 5.01(1) or (2) occurs and is continuing, the Trustee, in its own name as trustee of an express trust, may institute a judicial proceeding for the collection of the sums due hereunder pursuant to this Article Five and unpaid, and, in addition thereto, such further amount as shall be sufficient to cover the costs and expenses of collection, including the reasonable compensation, expenses, disbursements and advances of the Trustee, its agents and counsel. The Trustee may prosecute such proceeding to judgment or final decree and may enforce the same against the Company, any Guarantor or any other obligor upon the Notes and collect the moneys adjudged or decreed to be payable in the manner provided by law out of the property of the Company, any Guarantor or any other obligor upon the Notes, wherever situated.</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If an Event of Default occurs and is continuing, the Trustee may in its discretion proceed to protect and enforce its rights and the rights of the Holders under this Indenture and the Guarantees by the judicial proceedings discussed above as the Trustee shall deem necessary to protect and enforce any such rights, including seeking recourse against any Guarantor.</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Subject to the terms of the Intercreditor Agreement, in case of the pendency of any receivership, insolvency, liquidation, bankruptcy, reorganization, arrangement, adjustment, composition or other judicial proceeding relative to the Company or any other obligor including any Guarantor, upon the Notes or the property of the Company or of such other obligor or their creditors, the Trustee (irrespective of whether the principal of the Notes shall then be due and payable as therein expressed or by declaration or otherwise and irrespective of whether the Trustee shall have made any demand on the Company for the payment of overdue principal, premium, if any, or interest) shall be entitled and empowered, by intervention in such proceeding or otherwise,</w:t>
      </w:r>
    </w:p>
    <w:p>
      <w:pPr>
        <w:spacing w:after="0" w:line="192" w:lineRule="exact"/>
        <w:rPr>
          <w:sz w:val="20"/>
          <w:szCs w:val="20"/>
          <w:color w:val="auto"/>
        </w:rPr>
      </w:pPr>
    </w:p>
    <w:p>
      <w:pPr>
        <w:ind w:left="660" w:right="140" w:firstLine="644"/>
        <w:spacing w:after="0" w:line="259" w:lineRule="auto"/>
        <w:tabs>
          <w:tab w:leader="none" w:pos="205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premium, if any) and interest owing and unpaid in respect of the Notes and to file such other papers or documents as may be necessary or advisable in order to have the claims of the Trustee (including any claim for the reasonable compensation, expenses, disbursements and advances of the Trustee, Collateral Trustee, their agents and counsel) and of the Holders allowed in such judicial proceeding,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left="2060" w:hanging="756"/>
        <w:spacing w:after="0"/>
        <w:tabs>
          <w:tab w:leader="none" w:pos="20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collect, receive and distribute any moneys or other property payable or deliverable on any such claims and to distribute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any custodian, receiver, assignee, trustee, liquidator, sequestrator or similar official in any such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Collateral Trustee, their agents and counsel, and any other amounts due the Trustee or Collateral Trustee under Section 6.07.</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84"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Trustee May Enforce Claims Without Possession of Notes</w:t>
      </w:r>
      <w:r>
        <w:rPr>
          <w:rFonts w:ascii="Arial" w:cs="Arial" w:eastAsia="Arial" w:hAnsi="Arial"/>
          <w:sz w:val="17"/>
          <w:szCs w:val="17"/>
          <w:color w:val="auto"/>
        </w:rPr>
        <w:t>. 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spacing w:after="0" w:line="176"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 Subject to the terms of the Intercreditor Agreement and the Security Agreement, any money or property collected by the Trustee pursuant to this Article Five (including any amounts received from the Collateral Trustee) shall be applied in the following order, at the date or dates fixed by the Trustee and, in case of the distribution of such money on account of principal (or premium, if any) or interest, upon presentation of the Notes and the notation thereon of the payment if only partially paid and upon surrender thereof if fully paid:</w:t>
      </w:r>
    </w:p>
    <w:p>
      <w:pPr>
        <w:spacing w:after="0" w:line="15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the payment of all amounts due the Trustee and the Collateral Trustee, and their agents and attorneys, under Section 6.07;</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payment of the amounts then due and unpaid for principal of (and premium, if any) and interest on the Notes in respect of which or for the benefit of which such money has been collected, ratably, without preference or priority of any kind, according to the amounts due and payable on such Notes for principal (and premium, if any) and interest, respectively; and</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The balance, if any, to the Company or as a court of competent jurisdiction may direct in writing;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sums due and owing to the Holders, the Collateral Trustee and the Trustee have been paid in full as required by this Indenture.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5.06.</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Subject to Section 5.08 and subject to compliance with the Intercreditor Agreement, no Holder of any Notes shall have any right to institute any proceeding, judicial or otherwise, with respect to this Indenture, or for the appointment of a receiver or trustee, or for any other remedy hereunder, unless:</w:t>
      </w:r>
    </w:p>
    <w:p>
      <w:pPr>
        <w:spacing w:after="0" w:line="184" w:lineRule="exact"/>
        <w:rPr>
          <w:sz w:val="20"/>
          <w:szCs w:val="20"/>
          <w:color w:val="auto"/>
        </w:rPr>
      </w:pPr>
    </w:p>
    <w:p>
      <w:pPr>
        <w:ind w:left="2060" w:hanging="756"/>
        <w:spacing w:after="0"/>
        <w:tabs>
          <w:tab w:leader="none" w:pos="2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such Holder has previously given the Trustee and the Collateral Trustee notice that an Event of Default is continuing;</w:t>
      </w:r>
    </w:p>
    <w:p>
      <w:pPr>
        <w:spacing w:after="0" w:line="236" w:lineRule="exact"/>
        <w:rPr>
          <w:rFonts w:ascii="Arial" w:cs="Arial" w:eastAsia="Arial" w:hAnsi="Arial"/>
          <w:sz w:val="17"/>
          <w:szCs w:val="17"/>
          <w:color w:val="auto"/>
        </w:rPr>
      </w:pPr>
    </w:p>
    <w:p>
      <w:pPr>
        <w:ind w:left="2060" w:hanging="756"/>
        <w:spacing w:after="0"/>
        <w:tabs>
          <w:tab w:leader="none" w:pos="20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Holders of at least 25% in principal amount of the Outstanding Notes have requested the Trustee and the Collateral Trustee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pursue the remedy;</w:t>
      </w:r>
    </w:p>
    <w:p>
      <w:pPr>
        <w:spacing w:after="0" w:line="210" w:lineRule="exact"/>
        <w:rPr>
          <w:rFonts w:ascii="Arial" w:cs="Arial" w:eastAsia="Arial" w:hAnsi="Arial"/>
          <w:sz w:val="16"/>
          <w:szCs w:val="16"/>
          <w:color w:val="auto"/>
        </w:rPr>
      </w:pPr>
    </w:p>
    <w:p>
      <w:pPr>
        <w:ind w:left="660" w:right="240" w:firstLine="644"/>
        <w:spacing w:after="0" w:line="277" w:lineRule="auto"/>
        <w:tabs>
          <w:tab w:leader="none" w:pos="205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such Holders have offered the Trustee and the Collateral Trustee reasonable security or indemnity satisfactory to each of the Trustee and Collateral Trustee, as applicable, in its sole discretion, against any loss, liability or expense;</w:t>
      </w:r>
    </w:p>
    <w:p>
      <w:pPr>
        <w:spacing w:after="0" w:line="170" w:lineRule="exact"/>
        <w:rPr>
          <w:rFonts w:ascii="Arial" w:cs="Arial" w:eastAsia="Arial" w:hAnsi="Arial"/>
          <w:sz w:val="18"/>
          <w:szCs w:val="18"/>
          <w:color w:val="auto"/>
        </w:rPr>
      </w:pPr>
    </w:p>
    <w:p>
      <w:pPr>
        <w:ind w:left="660" w:firstLine="644"/>
        <w:spacing w:after="0" w:line="277" w:lineRule="auto"/>
        <w:tabs>
          <w:tab w:leader="none" w:pos="205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and the Collateral Trustee have not complied with such request within 60 days after the receipt thereof and the offer of security or indemnity; and</w:t>
      </w:r>
    </w:p>
    <w:p>
      <w:pPr>
        <w:spacing w:after="0" w:line="170" w:lineRule="exact"/>
        <w:rPr>
          <w:rFonts w:ascii="Arial" w:cs="Arial" w:eastAsia="Arial" w:hAnsi="Arial"/>
          <w:sz w:val="18"/>
          <w:szCs w:val="18"/>
          <w:color w:val="auto"/>
        </w:rPr>
      </w:pPr>
    </w:p>
    <w:p>
      <w:pPr>
        <w:ind w:left="660" w:right="340" w:firstLine="644"/>
        <w:spacing w:after="0" w:line="277" w:lineRule="auto"/>
        <w:tabs>
          <w:tab w:leader="none" w:pos="205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Holders of a majority in principal amount of the Outstanding Notes have not given the Trustee and the Collateral Trustee a direction inconsistent with such request within such 60-day period,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it being understood and intended that no one or more Holders shall have any right in any manner whatever by virtue of, or by availing of, any provision of this Indenture or the Guarantees to affect, disturb or prejudice the rights of any other Holders, or to obtain or to seek to obtain priority or preference over any other Holders or to enforce any right under this Indenture or the Guarantees, except in the manner herein provided and for the equal and ratable benefit of all the Holders (it being further understood that the Trustee does not have an affirmative duty to ascertain whether or not such actions or forbearances are unduly prejudicial to such Holders).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Unconditional Right of Holders to Receive Principal Premium and Interest</w:t>
      </w:r>
      <w:r>
        <w:rPr>
          <w:rFonts w:ascii="Arial" w:cs="Arial" w:eastAsia="Arial" w:hAnsi="Arial"/>
          <w:sz w:val="16"/>
          <w:szCs w:val="16"/>
          <w:color w:val="auto"/>
        </w:rPr>
        <w:t>. Notwithstanding any other provision in this Indenture, the Holder of any Note shall have the right, which is absolute and unconditional, to receive payment, as provided herein (including, if applicable,</w:t>
      </w:r>
    </w:p>
    <w:p>
      <w:pPr>
        <w:ind w:right="20"/>
        <w:spacing w:after="0" w:line="277" w:lineRule="auto"/>
        <w:rPr>
          <w:sz w:val="20"/>
          <w:szCs w:val="20"/>
          <w:color w:val="auto"/>
        </w:rPr>
      </w:pPr>
      <w:r>
        <w:rPr>
          <w:rFonts w:ascii="Arial" w:cs="Arial" w:eastAsia="Arial" w:hAnsi="Arial"/>
          <w:sz w:val="17"/>
          <w:szCs w:val="17"/>
          <w:color w:val="auto"/>
        </w:rPr>
        <w:t>Article Eleven) and in such Note of the principal of (and premium, if any) and (subject to Section 3.06) interest on such Note on the respective Stated Maturities expressed in such Note (or, in the case of redemption, on the Redemption Date), and to institute suit for the enforcement of any such payment on or after such respective dates, and such rights shall not be impaired without the consent of such Holder.</w:t>
      </w:r>
    </w:p>
    <w:p>
      <w:pPr>
        <w:spacing w:after="0" w:line="173"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Restoration of Rights and Remedies</w:t>
      </w:r>
      <w:r>
        <w:rPr>
          <w:rFonts w:ascii="Arial" w:cs="Arial" w:eastAsia="Arial" w:hAnsi="Arial"/>
          <w:sz w:val="17"/>
          <w:szCs w:val="17"/>
          <w:color w:val="auto"/>
        </w:rPr>
        <w:t>. If the Trustee or any Holder has instituted any proceeding to enforce any right or remedy under this Indenture or the Guarantees and such proceeding has been discontinued or abandoned for any reason, or has been determined adversely to the Trustee or to such Holder, then and in every such case, subject to any determination in such proceeding, the Company, any Guarantor, any other obligor of the Notes,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1" w:name="page92"/>
    <w:bookmarkEnd w:id="91"/>
    <w:p>
      <w:pPr>
        <w:ind w:firstLine="648"/>
        <w:spacing w:after="0" w:line="29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Except as otherwise provided with respect to the replacement or payment of mutilated, destroyed, lost or stolen Notes in the last paragraph of Section 3.05,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 xml:space="preserve">. Subject to the terms of the Intercreditor Agreement and the Collateral Trust Agreement, the Holders of not less than a majority in principal amount of the Outstanding Notes shall have the right to direct the time, method and place of conducting any proceeding for any remedy available to the Trustee, or exercising any trust or power conferred on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left="1960" w:hanging="656"/>
        <w:spacing w:after="0"/>
        <w:tabs>
          <w:tab w:leader="none" w:pos="1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or the Security Documents,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which is not inconsistent with such direction, and</w:t>
      </w:r>
    </w:p>
    <w:p>
      <w:pPr>
        <w:spacing w:after="0" w:line="236" w:lineRule="exact"/>
        <w:rPr>
          <w:rFonts w:ascii="Arial" w:cs="Arial" w:eastAsia="Arial" w:hAnsi="Arial"/>
          <w:sz w:val="17"/>
          <w:szCs w:val="17"/>
          <w:color w:val="auto"/>
        </w:rPr>
      </w:pPr>
    </w:p>
    <w:p>
      <w:pPr>
        <w:ind w:left="1960" w:hanging="656"/>
        <w:spacing w:after="0"/>
        <w:tabs>
          <w:tab w:leader="none" w:pos="19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Trustee need not take any action which might involve it in personal liability or be unduly prejudicial to any Holders not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consenting.</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Default</w:t>
      </w:r>
      <w:r>
        <w:rPr>
          <w:rFonts w:ascii="Arial" w:cs="Arial" w:eastAsia="Arial" w:hAnsi="Arial"/>
          <w:sz w:val="18"/>
          <w:szCs w:val="18"/>
          <w:color w:val="auto"/>
        </w:rPr>
        <w:t>. Subject to Section 5.08 and Section 9.02, the Holders of not less than a majority in principal amount of the Outstanding Notes may on behalf of the Holders of all such Notes waive any Default hereunder and its consequences, except a continuing Default or Event of Default (1) in respect of the payment of interest on, premium, if any, or the principal of any such Note held by a non-consenting Holder, or (2) in respect of a covenant or provision hereof which under Article Nine cannot be modified or amended without the consent of the Holder of each Outstanding Note affected.</w:t>
      </w:r>
    </w:p>
    <w:p>
      <w:pPr>
        <w:spacing w:after="0" w:line="18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Waiver of Stay or Extension Laws</w:t>
      </w:r>
      <w:r>
        <w:rPr>
          <w:rFonts w:ascii="Arial" w:cs="Arial" w:eastAsia="Arial" w:hAnsi="Arial"/>
          <w:sz w:val="18"/>
          <w:szCs w:val="18"/>
          <w:color w:val="auto"/>
        </w:rPr>
        <w:t>. Each of the Company, the Guarantors and any other obligor on the Notes covenants (to the extent that it may lawfully do so) that it shall not at any time insist upon, or plead, or in any manner whatsoever claim or take the benefit or advantage of, any stay or extension law wherever enacted, now or at any time hereafter in force that would prohibit or forgive the Company or a Guarantor from paying any portion of the principal of, and premium, if any, and interest on the Notes.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2" w:name="page93"/>
    <w:bookmarkEnd w:id="92"/>
    <w:p>
      <w:pPr>
        <w:ind w:firstLine="648"/>
        <w:spacing w:after="0" w:line="255"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5.15 does not apply to a suit by the Trustee, a suit by a Holder of a Note pursuant to Section 5.08 hereof, or a suit by Holders of more than 10% in principal amount of the then outstanding Notes.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SIX</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Duties of the Trustee</w:t>
      </w:r>
      <w:r>
        <w:rPr>
          <w:rFonts w:ascii="Arial" w:cs="Arial" w:eastAsia="Arial" w:hAnsi="Arial"/>
          <w:sz w:val="16"/>
          <w:szCs w:val="16"/>
          <w:color w:val="auto"/>
        </w:rPr>
        <w:t>.</w:t>
      </w:r>
    </w:p>
    <w:p>
      <w:pPr>
        <w:spacing w:after="0" w:line="225" w:lineRule="exact"/>
        <w:rPr>
          <w:sz w:val="20"/>
          <w:szCs w:val="20"/>
          <w:color w:val="auto"/>
        </w:rPr>
      </w:pPr>
    </w:p>
    <w:p>
      <w:pPr>
        <w:ind w:left="1400" w:hanging="744"/>
        <w:spacing w:after="0"/>
        <w:tabs>
          <w:tab w:leader="none" w:pos="14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right="120" w:firstLine="644"/>
        <w:spacing w:after="0" w:line="263" w:lineRule="auto"/>
        <w:tabs>
          <w:tab w:leader="none" w:pos="205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undertakes to perform such duties and only such duties as are specifically set forth in this Indenture, and no implied covenants or obligations shall be read into this Indenture against the Trustee; and</w:t>
      </w:r>
    </w:p>
    <w:p>
      <w:pPr>
        <w:spacing w:after="0" w:line="183" w:lineRule="exact"/>
        <w:rPr>
          <w:rFonts w:ascii="Arial" w:cs="Arial" w:eastAsia="Arial" w:hAnsi="Arial"/>
          <w:sz w:val="18"/>
          <w:szCs w:val="18"/>
          <w:color w:val="auto"/>
        </w:rPr>
      </w:pPr>
    </w:p>
    <w:p>
      <w:pPr>
        <w:ind w:left="660" w:firstLine="644"/>
        <w:spacing w:after="0" w:line="257" w:lineRule="auto"/>
        <w:tabs>
          <w:tab w:leader="none" w:pos="205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the absence of bad faith or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specifically required by any provision hereof to be provided to it, the Trustee shall be under a duty to examine the same to determine whether or not they conform on their face to the requirements of this Indenture, but not to verify the contents thereof.</w:t>
      </w:r>
    </w:p>
    <w:p>
      <w:pPr>
        <w:spacing w:after="0" w:line="187" w:lineRule="exact"/>
        <w:rPr>
          <w:rFonts w:ascii="Arial" w:cs="Arial" w:eastAsia="Arial" w:hAnsi="Arial"/>
          <w:sz w:val="18"/>
          <w:szCs w:val="18"/>
          <w:color w:val="auto"/>
        </w:rPr>
      </w:pPr>
    </w:p>
    <w:p>
      <w:pPr>
        <w:jc w:val="both"/>
        <w:ind w:right="120" w:firstLine="656"/>
        <w:spacing w:after="0" w:line="263" w:lineRule="auto"/>
        <w:tabs>
          <w:tab w:leader="none" w:pos="139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83" w:lineRule="exact"/>
        <w:rPr>
          <w:rFonts w:ascii="Arial" w:cs="Arial" w:eastAsia="Arial" w:hAnsi="Arial"/>
          <w:sz w:val="18"/>
          <w:szCs w:val="18"/>
          <w:color w:val="auto"/>
        </w:rPr>
      </w:pPr>
    </w:p>
    <w:p>
      <w:pPr>
        <w:ind w:right="500" w:firstLine="656"/>
        <w:spacing w:after="0" w:line="277" w:lineRule="auto"/>
        <w:tabs>
          <w:tab w:leader="none" w:pos="138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this paragraph (c) shall not be construed to limit the effect of paragraph (a) of this Section;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93" w:name="page94"/>
    <w:bookmarkEnd w:id="93"/>
    <w:p>
      <w:pPr>
        <w:ind w:left="660" w:right="80" w:firstLine="644"/>
        <w:spacing w:after="0" w:line="277" w:lineRule="auto"/>
        <w:tabs>
          <w:tab w:leader="none" w:pos="205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grossly negligent in ascertaining the pertinent facts;</w:t>
      </w:r>
    </w:p>
    <w:p>
      <w:pPr>
        <w:spacing w:after="0" w:line="170" w:lineRule="exact"/>
        <w:rPr>
          <w:rFonts w:ascii="Arial" w:cs="Arial" w:eastAsia="Arial" w:hAnsi="Arial"/>
          <w:sz w:val="18"/>
          <w:szCs w:val="18"/>
          <w:color w:val="auto"/>
        </w:rPr>
      </w:pPr>
    </w:p>
    <w:p>
      <w:pPr>
        <w:ind w:left="660" w:right="200" w:firstLine="644"/>
        <w:spacing w:after="0" w:line="277" w:lineRule="auto"/>
        <w:tabs>
          <w:tab w:leader="none" w:pos="205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a direction received by it pursuant to the terms of this Indenture;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205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w:t>
      </w:r>
    </w:p>
    <w:p>
      <w:pPr>
        <w:spacing w:after="0" w:line="170" w:lineRule="exact"/>
        <w:rPr>
          <w:rFonts w:ascii="Arial" w:cs="Arial" w:eastAsia="Arial" w:hAnsi="Arial"/>
          <w:sz w:val="18"/>
          <w:szCs w:val="18"/>
          <w:color w:val="auto"/>
        </w:rPr>
      </w:pPr>
    </w:p>
    <w:p>
      <w:pPr>
        <w:ind w:right="280" w:firstLine="656"/>
        <w:spacing w:after="0" w:line="277" w:lineRule="auto"/>
        <w:tabs>
          <w:tab w:leader="none" w:pos="139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Notice of Defaults</w:t>
      </w:r>
      <w:r>
        <w:rPr>
          <w:rFonts w:ascii="Arial" w:cs="Arial" w:eastAsia="Arial" w:hAnsi="Arial"/>
          <w:sz w:val="18"/>
          <w:szCs w:val="18"/>
          <w:color w:val="auto"/>
        </w:rPr>
        <w:t>. If a Default or Event of Default occurs and is continuing and if it is known to a Responsible Officer of the Trustee, the Trustee shall transmit notice of such Default or Event of Default within 90 days after receipt of notice of the Event of Default unless such Default or Event of Default shall have been cured or waived. Except in the case of a Default or Event of Default in the payment of the principal of (or premium, if any, on) or interest on any Note, the Trustee shall be protected in withholding such notice if it determines that the withholding of such notice is in the interest of the Holders.</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w:t>
      </w:r>
    </w:p>
    <w:p>
      <w:pPr>
        <w:spacing w:after="0" w:line="225" w:lineRule="exact"/>
        <w:rPr>
          <w:sz w:val="20"/>
          <w:szCs w:val="20"/>
          <w:color w:val="auto"/>
        </w:rPr>
      </w:pPr>
    </w:p>
    <w:p>
      <w:pPr>
        <w:ind w:left="660" w:right="120" w:firstLine="644"/>
        <w:spacing w:after="0" w:line="259" w:lineRule="auto"/>
        <w:tabs>
          <w:tab w:leader="none" w:pos="205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original, facsimile or .pdf form) believed by it to be genuine and to have been signed or presented by the proper party or parties;</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205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70" w:lineRule="exact"/>
        <w:rPr>
          <w:rFonts w:ascii="Arial" w:cs="Arial" w:eastAsia="Arial" w:hAnsi="Arial"/>
          <w:sz w:val="18"/>
          <w:szCs w:val="18"/>
          <w:color w:val="auto"/>
        </w:rPr>
      </w:pPr>
    </w:p>
    <w:p>
      <w:pPr>
        <w:ind w:left="660" w:right="20" w:firstLine="644"/>
        <w:spacing w:after="0" w:line="263" w:lineRule="auto"/>
        <w:tabs>
          <w:tab w:leader="none" w:pos="205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 an Opinion of Counsel;</w:t>
      </w:r>
    </w:p>
    <w:p>
      <w:pPr>
        <w:spacing w:after="0" w:line="183" w:lineRule="exact"/>
        <w:rPr>
          <w:rFonts w:ascii="Arial" w:cs="Arial" w:eastAsia="Arial" w:hAnsi="Arial"/>
          <w:sz w:val="18"/>
          <w:szCs w:val="18"/>
          <w:color w:val="auto"/>
        </w:rPr>
      </w:pPr>
    </w:p>
    <w:p>
      <w:pPr>
        <w:ind w:left="660" w:right="120" w:firstLine="644"/>
        <w:spacing w:after="0" w:line="263" w:lineRule="auto"/>
        <w:tabs>
          <w:tab w:leader="none" w:pos="205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may consult with counsel of its own selection and the advice of such counsel or any Opinion of Counsel shall be full and complete authorization and protection in respect of any action taken, suffered or omitted by it hereunder in good faith and in accordance with the advice or opinion of such counsel;</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94" w:name="page95"/>
    <w:bookmarkEnd w:id="94"/>
    <w:p>
      <w:pPr>
        <w:ind w:right="240" w:firstLine="644"/>
        <w:spacing w:after="0" w:line="301" w:lineRule="auto"/>
        <w:tabs>
          <w:tab w:leader="none" w:pos="139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the Security Documents or any related documents at the request or direction of any of the Holders pursuant to this Indenture, unless such Holders shall have offered to the Trustee and/or the Collateral Trustee security or indemnity satisfactory to the Trustee or Collateral Trustee, as the case may be, against the costs, expenses, losses and liabilities which might be incurred by it in compliance with such request or direction;</w:t>
      </w:r>
    </w:p>
    <w:p>
      <w:pPr>
        <w:spacing w:after="0" w:line="157" w:lineRule="exact"/>
        <w:rPr>
          <w:rFonts w:ascii="Arial" w:cs="Arial" w:eastAsia="Arial" w:hAnsi="Arial"/>
          <w:sz w:val="16"/>
          <w:szCs w:val="16"/>
          <w:color w:val="auto"/>
        </w:rPr>
      </w:pPr>
    </w:p>
    <w:p>
      <w:pPr>
        <w:ind w:firstLine="644"/>
        <w:spacing w:after="0" w:line="255" w:lineRule="auto"/>
        <w:tabs>
          <w:tab w:leader="none" w:pos="139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92" w:lineRule="exact"/>
        <w:rPr>
          <w:rFonts w:ascii="Arial" w:cs="Arial" w:eastAsia="Arial" w:hAnsi="Arial"/>
          <w:sz w:val="18"/>
          <w:szCs w:val="18"/>
          <w:color w:val="auto"/>
        </w:rPr>
      </w:pPr>
    </w:p>
    <w:p>
      <w:pPr>
        <w:ind w:right="60" w:firstLine="644"/>
        <w:spacing w:after="0" w:line="263" w:lineRule="auto"/>
        <w:tabs>
          <w:tab w:leader="none" w:pos="139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ind w:right="40" w:firstLine="644"/>
        <w:spacing w:after="0" w:line="263" w:lineRule="auto"/>
        <w:tabs>
          <w:tab w:leader="none" w:pos="139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Trustee shall not be liable for any action taken, suffered or omitted by it in good faith and believed by it to be authorized or within the discretion or rights or powers conferred upon it by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Trustee’s conduct does not constitute willful misconduct or gross negligence;</w:t>
      </w:r>
    </w:p>
    <w:p>
      <w:pPr>
        <w:spacing w:after="0" w:line="183" w:lineRule="exact"/>
        <w:rPr>
          <w:rFonts w:ascii="Arial" w:cs="Arial" w:eastAsia="Arial" w:hAnsi="Arial"/>
          <w:sz w:val="18"/>
          <w:szCs w:val="18"/>
          <w:color w:val="auto"/>
        </w:rPr>
      </w:pPr>
    </w:p>
    <w:p>
      <w:pPr>
        <w:ind w:right="60" w:firstLine="644"/>
        <w:spacing w:after="0" w:line="263" w:lineRule="auto"/>
        <w:tabs>
          <w:tab w:leader="none" w:pos="139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pursuant to this Indenture, including its right to be indemnified, are extended to, and shall be enforceable by, the Trustee in each of its capacities hereunder, and each agent, custodian and other Person employed to act hereunder;</w:t>
      </w:r>
    </w:p>
    <w:p>
      <w:pPr>
        <w:spacing w:after="0" w:line="183" w:lineRule="exact"/>
        <w:rPr>
          <w:rFonts w:ascii="Arial" w:cs="Arial" w:eastAsia="Arial" w:hAnsi="Arial"/>
          <w:sz w:val="18"/>
          <w:szCs w:val="18"/>
          <w:color w:val="auto"/>
        </w:rPr>
      </w:pPr>
    </w:p>
    <w:p>
      <w:pPr>
        <w:ind w:right="60" w:firstLine="644"/>
        <w:spacing w:after="0" w:line="263" w:lineRule="auto"/>
        <w:tabs>
          <w:tab w:leader="none" w:pos="14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jc w:val="both"/>
        <w:ind w:right="240" w:firstLine="644"/>
        <w:spacing w:after="0" w:line="259" w:lineRule="auto"/>
        <w:tabs>
          <w:tab w:leader="none" w:pos="148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fact, Default or Event of Default with respect to the Notes unless written notice of such fact, Default or Event of Default shall have been received by a Responsible Officer of the Trustee at its Corporate Trust Office from an Officer of the Company, any other obligor of the Notes or from Holders of at least 25% of the aggregate principal amount of the Notes and references this Indenture and the Notes;</w:t>
      </w:r>
    </w:p>
    <w:p>
      <w:pPr>
        <w:spacing w:after="0" w:line="186" w:lineRule="exact"/>
        <w:rPr>
          <w:rFonts w:ascii="Arial" w:cs="Arial" w:eastAsia="Arial" w:hAnsi="Arial"/>
          <w:sz w:val="18"/>
          <w:szCs w:val="18"/>
          <w:color w:val="auto"/>
        </w:rPr>
      </w:pPr>
    </w:p>
    <w:p>
      <w:pPr>
        <w:ind w:left="1480" w:hanging="836"/>
        <w:spacing w:after="0"/>
        <w:tabs>
          <w:tab w:leader="none" w:pos="14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permissive right of the Trustee to take actions permitted by this Indenture shall not be construed as an obligation or duty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do so; and</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95" w:name="page96"/>
    <w:bookmarkEnd w:id="95"/>
    <w:p>
      <w:pPr>
        <w:ind w:left="660" w:right="20" w:firstLine="644"/>
        <w:spacing w:after="0" w:line="259" w:lineRule="auto"/>
        <w:tabs>
          <w:tab w:leader="none" w:pos="21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shall be entitled to receive from the Company such reasonable information as the Company has in its possession to enable the Trustee to determine whether any payments pursuant to the Indenture are subject to the withholding requirements described in Section 1471(b) of the US Internal Revenue Code of 1986 (the “Code”) or otherwise imposed pursuant to Sections 1471 through 1474 of the Code and any regulations, or agreements thereunder or official interpretations thereof.</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Trustee Not Responsible for Recitals or Issuance of Notes</w:t>
      </w:r>
      <w:r>
        <w:rPr>
          <w:rFonts w:ascii="Arial" w:cs="Arial" w:eastAsia="Arial" w:hAnsi="Arial"/>
          <w:sz w:val="18"/>
          <w:szCs w:val="18"/>
          <w:color w:val="auto"/>
        </w:rPr>
        <w:t>. The recitals contained herein and in the Notes, except for the Trustee’s certificates of authentication, shall be taken as the statements of the Company, and the Trustee assumes no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 The Trustee shall not be accountable for the use or application by the Company of Notes or the proceeds thereof.</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May Hold Notes</w:t>
      </w:r>
      <w:r>
        <w:rPr>
          <w:rFonts w:ascii="Arial" w:cs="Arial" w:eastAsia="Arial" w:hAnsi="Arial"/>
          <w:sz w:val="18"/>
          <w:szCs w:val="18"/>
          <w:color w:val="auto"/>
        </w:rPr>
        <w:t xml:space="preserve">. The Trustee, any Paying Agent, any Note Registrar or any other agent of the Company or of the Trustee, in its individual or any other capacity, may become the owner or pledgee of Notes and may otherwise deal with the Company with the same rights it would have if it were not the Trustee, Paying Agent, Note Registrar or such other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it acquires any conflicting interest, it must eliminate such conflict within 90 days, or apply to the SEC for permission to continue or resign.</w:t>
      </w:r>
    </w:p>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Compensation and Reimbursement</w:t>
      </w:r>
      <w:r>
        <w:rPr>
          <w:rFonts w:ascii="Arial" w:cs="Arial" w:eastAsia="Arial" w:hAnsi="Arial"/>
          <w:sz w:val="16"/>
          <w:szCs w:val="16"/>
          <w:color w:val="auto"/>
        </w:rPr>
        <w:t>. The Company and the Guarantors, jointly and severally, agree:</w:t>
      </w:r>
    </w:p>
    <w:p>
      <w:pPr>
        <w:spacing w:after="0" w:line="225" w:lineRule="exact"/>
        <w:rPr>
          <w:sz w:val="20"/>
          <w:szCs w:val="20"/>
          <w:color w:val="auto"/>
        </w:rPr>
      </w:pPr>
    </w:p>
    <w:p>
      <w:pPr>
        <w:ind w:left="660" w:right="200" w:firstLine="644"/>
        <w:spacing w:after="0" w:line="263" w:lineRule="auto"/>
        <w:tabs>
          <w:tab w:leader="none" w:pos="196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pay to the Trustee from time to time such compensation as shall be agreed in writing between the Company and the Trustee for all services rendered by it hereunder (which compensation shall not be limited by any provision of law in regard to the compensation of a trustee of an express trust);</w:t>
      </w:r>
    </w:p>
    <w:p>
      <w:pPr>
        <w:spacing w:after="0" w:line="183" w:lineRule="exact"/>
        <w:rPr>
          <w:rFonts w:ascii="Arial" w:cs="Arial" w:eastAsia="Arial" w:hAnsi="Arial"/>
          <w:sz w:val="18"/>
          <w:szCs w:val="18"/>
          <w:color w:val="auto"/>
        </w:rPr>
      </w:pPr>
    </w:p>
    <w:p>
      <w:pPr>
        <w:ind w:left="660" w:right="320" w:firstLine="644"/>
        <w:spacing w:after="0" w:line="279" w:lineRule="auto"/>
        <w:tabs>
          <w:tab w:leader="none" w:pos="1922"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except as otherwise expressly provided herein, to reimburse the Trustee upon its request for all reasonable out-of-pocket expenses, disbursements and advances incurred or made by the Trustee in accordance with any provision of this Indenture (including the reasonable compensation and the expenses and disbursements of its agents and counsel), except any such expense, disbursement or advance as shall be determined to have been caused by its own gross negligence or willful misconduct; and</w:t>
      </w:r>
    </w:p>
    <w:p>
      <w:pPr>
        <w:spacing w:after="0" w:line="171" w:lineRule="exact"/>
        <w:rPr>
          <w:rFonts w:ascii="Arial" w:cs="Arial" w:eastAsia="Arial" w:hAnsi="Arial"/>
          <w:sz w:val="17"/>
          <w:szCs w:val="17"/>
          <w:color w:val="auto"/>
        </w:rPr>
      </w:pPr>
    </w:p>
    <w:p>
      <w:pPr>
        <w:ind w:left="660" w:right="80" w:firstLine="644"/>
        <w:spacing w:after="0" w:line="254" w:lineRule="auto"/>
        <w:tabs>
          <w:tab w:leader="none" w:pos="192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indemnify the Trustee and any predecessor Trustee for, and to hold it harmless against, any and all loss, liability, claim, damage or reasonable out-of-pocket expenses, including taxes (other than the taxes based on the income of the Trustee) incurred without gross negligence or willful misconduct on its part, arising out of or in connection with the acceptance or administration of this trust, including the costs and expenses of defending itself against any claim regardless of whether the claim is asserted by the Company, a Guarantor, a Holder or any other Person or liability in connection with the exercise or performance of any of its powers or duties hereunder. The Company will defend any such claim, and the Trustee will cooperate in the defense. The Trustee may have separate counsel, and the Company will pay the reasonable costs and expenses of such counsel.</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right="20" w:firstLine="648"/>
        <w:spacing w:after="0" w:line="273" w:lineRule="auto"/>
        <w:rPr>
          <w:sz w:val="20"/>
          <w:szCs w:val="20"/>
          <w:color w:val="auto"/>
        </w:rPr>
      </w:pPr>
      <w:r>
        <w:rPr>
          <w:rFonts w:ascii="Arial" w:cs="Arial" w:eastAsia="Arial" w:hAnsi="Arial"/>
          <w:sz w:val="17"/>
          <w:szCs w:val="17"/>
          <w:color w:val="auto"/>
        </w:rPr>
        <w:t>The obligations of the Company under this Section to compensate the Trustee, to pay or reimburse the Trustee for reasonable out-of-pocket expenses, disbursements and advances and to indemnify and hold harmless the Trustee shall constitute additional indebtedness hereunder and shall survive the satisfaction and discharge of this Indenture, including any termination or rejection hereof under any Bankruptcy Law, and resignation or removal of the Trustee. As security for the performance of such obligations of the Company, the Trustee shall have a lien prior to the Notes upon all property and funds held or collected by the Trustee as such, except funds held in trust for the payment of principal of (and premium, if any) or interest on particular Notes. Any such claim will survive the satisfaction and discharge of this Indenture.</w:t>
      </w:r>
    </w:p>
    <w:p>
      <w:pPr>
        <w:spacing w:after="0" w:line="17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5.01(6), the expenses (including the reasonable charges and expenses of its counsel) of and the compensation for such services are intended to constitute expenses of administration under any applicable Bankruptcy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Section shall survive the termination of this Indenture and resignation or removal of the Trustee.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Corporate Trustee Required; Eligibility</w:t>
      </w:r>
      <w:r>
        <w:rPr>
          <w:rFonts w:ascii="Arial" w:cs="Arial" w:eastAsia="Arial" w:hAnsi="Arial"/>
          <w:sz w:val="17"/>
          <w:szCs w:val="17"/>
          <w:color w:val="auto"/>
        </w:rPr>
        <w:t>. There shall be at all times a Trustee hereunder which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Six.</w:t>
      </w:r>
    </w:p>
    <w:p>
      <w:pPr>
        <w:spacing w:after="0" w:line="17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Resignation and Removal; Appointment of Successor</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308" w:lineRule="auto"/>
        <w:tabs>
          <w:tab w:leader="none" w:pos="138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 resignation or removal of the Trustee and no appointment of a successor Trustee pursuant to this Article Six shall become effective until the acceptance of appointment by the successor Trustee in accordance with the applicable requirements of Section 6.10.</w:t>
      </w:r>
    </w:p>
    <w:p>
      <w:pPr>
        <w:spacing w:after="0" w:line="146" w:lineRule="exact"/>
        <w:rPr>
          <w:rFonts w:ascii="Arial" w:cs="Arial" w:eastAsia="Arial" w:hAnsi="Arial"/>
          <w:sz w:val="17"/>
          <w:szCs w:val="17"/>
          <w:color w:val="auto"/>
        </w:rPr>
      </w:pPr>
    </w:p>
    <w:p>
      <w:pPr>
        <w:ind w:right="160" w:firstLine="656"/>
        <w:spacing w:after="0" w:line="255" w:lineRule="auto"/>
        <w:tabs>
          <w:tab w:leader="none" w:pos="139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may resign at any time by giving written notice thereof within 30 days of such resignation to the Company and be discharged from the trust created hereby by so notifying the Company. Upon receiving such notice of resignation, the Company shall promptly appoint a successor trustee by written instrument executed by authority of the Board of Directors, a copy of which shall be delivered to the resigning Trustee and a copy to the successor Trustee. If the instrument of acceptance by a successor Trustee required by Section 6.10 shall not have been delivered to the Trustee within 30 days after the giving of such notice of resignation, the resigning Trustee may petition, at the expense of the Company, any court of competent jurisdiction for the appointment of a successor Trustee.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firstLine="656"/>
        <w:spacing w:after="0" w:line="259" w:lineRule="auto"/>
        <w:tabs>
          <w:tab w:leader="none" w:pos="138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Trustee may be removed at any time by Act of the Holders of not less than a majority in principal amount of the Outstanding Notes, delivered to the Trustee and to the Company. If the instrument of acceptance by a successor Trustee required by Section 6.10 shall not have been delivered to the Trustee within 30 days after the giving of such notice of resignation, the resigning Trustee may petition, at the expense of the Company, any court of competent jurisdiction for the appointment of a successor Trustee.</w:t>
      </w:r>
    </w:p>
    <w:p>
      <w:pPr>
        <w:spacing w:after="0" w:line="186" w:lineRule="exact"/>
        <w:rPr>
          <w:rFonts w:ascii="Arial" w:cs="Arial" w:eastAsia="Arial" w:hAnsi="Arial"/>
          <w:sz w:val="18"/>
          <w:szCs w:val="18"/>
          <w:color w:val="auto"/>
        </w:rPr>
      </w:pPr>
    </w:p>
    <w:p>
      <w:pPr>
        <w:ind w:left="1400" w:hanging="744"/>
        <w:spacing w:after="0"/>
        <w:tabs>
          <w:tab w:leader="none" w:pos="14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The Trustee shall comply with TIA Section 3.10(b);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there shall be excluded from the operation of TIA</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Section 3.10(b)(1) any indenture or indentures under which other securities or certificates of interest or participation in other securities of the Company are outstanding if the requirements for such exclusion set forth in TIA Section 3.10(b)(1) are met.</w:t>
      </w:r>
    </w:p>
    <w:p>
      <w:pPr>
        <w:spacing w:after="0" w:line="185" w:lineRule="exact"/>
        <w:rPr>
          <w:sz w:val="20"/>
          <w:szCs w:val="20"/>
          <w:color w:val="auto"/>
        </w:rPr>
      </w:pPr>
    </w:p>
    <w:p>
      <w:pPr>
        <w:ind w:firstLine="656"/>
        <w:spacing w:after="0" w:line="291" w:lineRule="auto"/>
        <w:tabs>
          <w:tab w:leader="none" w:pos="138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the Company, by a Board Resolution, shall promptly appoint a successor Trustee. If, within one year after such resignation, removal or incapability, or the occurrence of such vacancy, a successor Trustee shall be appointed by Act of the Holders of a majority in principal amount of the Outstanding Notes delivered to the Company and the retiring Trustee, the successor Trustee so appointed shall, forthwith upon its acceptance of such appointment, become the successor Trustee and supersede the successor Trustee appointed by the Company. If no successor Trustee shall have been so appointed by the Company or the Holders and accepted appointment in the manner hereinafter provided, any Holder who has been a bona fide Holder of a Note for at least six months may, on behalf of himself and all others similarly situated, petition any court of competent jurisdiction for the appointment of a successor Trustee.</w:t>
      </w:r>
    </w:p>
    <w:p>
      <w:pPr>
        <w:spacing w:after="0" w:line="166" w:lineRule="exact"/>
        <w:rPr>
          <w:rFonts w:ascii="Arial" w:cs="Arial" w:eastAsia="Arial" w:hAnsi="Arial"/>
          <w:sz w:val="16"/>
          <w:szCs w:val="16"/>
          <w:color w:val="auto"/>
        </w:rPr>
      </w:pPr>
    </w:p>
    <w:p>
      <w:pPr>
        <w:ind w:right="100" w:firstLine="656"/>
        <w:spacing w:after="0" w:line="263" w:lineRule="auto"/>
        <w:tabs>
          <w:tab w:leader="none" w:pos="136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and each appointment of a successor Trustee to the Holders in the manner provided for in Section 1.07. Each notice shall include the name of the successor Trustee and the address of its Corporate Trust Office.</w:t>
      </w:r>
    </w:p>
    <w:p>
      <w:pPr>
        <w:spacing w:after="0" w:line="18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1" w:lineRule="auto"/>
        <w:tabs>
          <w:tab w:leader="none" w:pos="138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8" w:name="page99"/>
    <w:bookmarkEnd w:id="98"/>
    <w:p>
      <w:pPr>
        <w:ind w:right="280" w:firstLine="656"/>
        <w:spacing w:after="0" w:line="277" w:lineRule="auto"/>
        <w:tabs>
          <w:tab w:leader="none" w:pos="139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 Six.</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Merger, Conversion, Consolidation or Succession to Business</w:t>
      </w:r>
      <w:r>
        <w:rPr>
          <w:rFonts w:ascii="Arial" w:cs="Arial" w:eastAsia="Arial" w:hAnsi="Arial"/>
          <w:sz w:val="17"/>
          <w:szCs w:val="17"/>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corporation shall be otherwise qualified and eligible under this Article Six, without the execution or filing of any paper or any further act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 In case at that time any of the Notes shall not have been authenticated, any successor Trustee may authenticate such Notes either in the name of any predecessor hereunder or in the name of the successor Trustee. In all such cases such certificates shall have the full force and effect which this Indenture provides for the certificate of authentication of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8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Notes remain Outstanding, the Trustee may appoint an authenticating agent or agents with respect to the Notes which shall be authorized to act on behalf of the Trustee to authenticate Notes (an “</w:t>
      </w:r>
      <w:r>
        <w:rPr>
          <w:rFonts w:ascii="Arial" w:cs="Arial" w:eastAsia="Arial" w:hAnsi="Arial"/>
          <w:sz w:val="16"/>
          <w:szCs w:val="16"/>
          <w:i w:val="1"/>
          <w:iCs w:val="1"/>
          <w:color w:val="auto"/>
        </w:rPr>
        <w:t>Authenticating</w:t>
      </w:r>
      <w:r>
        <w:rPr>
          <w:rFonts w:ascii="Arial" w:cs="Arial" w:eastAsia="Arial" w:hAnsi="Arial"/>
          <w:sz w:val="16"/>
          <w:szCs w:val="16"/>
          <w:color w:val="auto"/>
        </w:rPr>
        <w:t xml:space="preserve"> </w:t>
      </w:r>
      <w:r>
        <w:rPr>
          <w:rFonts w:ascii="Arial" w:cs="Arial" w:eastAsia="Arial" w:hAnsi="Arial"/>
          <w:sz w:val="16"/>
          <w:szCs w:val="16"/>
          <w:i w:val="1"/>
          <w:iCs w:val="1"/>
          <w:color w:val="auto"/>
        </w:rPr>
        <w:t>Agent</w:t>
      </w:r>
      <w:r>
        <w:rPr>
          <w:rFonts w:ascii="Arial" w:cs="Arial" w:eastAsia="Arial" w:hAnsi="Arial"/>
          <w:sz w:val="16"/>
          <w:szCs w:val="16"/>
          <w:color w:val="auto"/>
        </w:rPr>
        <w:t>”) and the Trustee shall give written notice of such appointment to all Holders of Notes with respect to which such Authenticating Agent shall serve,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manner provided for in Section 1.07. Notes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and a copy of such instrument shall be promptly furnished to the Company. Wherever reference is made in this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it shall resign immediately in the manner and with the effect specified in this Section.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ind w:right="140" w:firstLine="648"/>
        <w:spacing w:after="0" w:line="257" w:lineRule="auto"/>
        <w:rPr>
          <w:sz w:val="20"/>
          <w:szCs w:val="20"/>
          <w:color w:val="auto"/>
        </w:rPr>
      </w:pPr>
      <w:r>
        <w:rPr>
          <w:rFonts w:ascii="Arial" w:cs="Arial" w:eastAsia="Arial" w:hAnsi="Arial"/>
          <w:sz w:val="18"/>
          <w:szCs w:val="18"/>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corporation shall be otherwise eligible under this Section, without the execution or filing of any paper or any further act on the part of the Trustee or the Authenticating Agent.</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written notice of such appointment to all Holders of Notes, in the manner provided for in Section 1.07.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6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such compensation for its services under this Section as shall be agreed in writing between the Company and such Authenticating Agent.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an appointment is made pursuant to this Section, the Notes may have endorsed thereon, in addition to the Trustee’s certificate of authentication, an alternate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Notes designated therein referred to in the within-mentioned Indenture.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Authenticating Agent</w:t>
      </w: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Authorized Officer</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Holder Lists</w:t>
      </w:r>
      <w:r>
        <w:rPr>
          <w:rFonts w:ascii="Arial" w:cs="Arial" w:eastAsia="Arial" w:hAnsi="Arial"/>
          <w:sz w:val="18"/>
          <w:szCs w:val="18"/>
          <w:color w:val="auto"/>
        </w:rPr>
        <w:t>. The Trustee shall preserve in as current a form as is reasonably practicable the most recent list available to it of the names and addresses of all Holders. If the Trustee is not the Note Registrar, the Company shall furnish to the Trustee at least two Business Days before each Interest Payment Date and at such other times as the Trustee may request in writing, a list in such form and as of such date as the Trustee may require of the names and addresses of the Holders of Notes.</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Disclosure of Names and Addresses of Holders</w:t>
      </w:r>
      <w:r>
        <w:rPr>
          <w:rFonts w:ascii="Arial" w:cs="Arial" w:eastAsia="Arial" w:hAnsi="Arial"/>
          <w:sz w:val="17"/>
          <w:szCs w:val="17"/>
          <w:color w:val="auto"/>
        </w:rPr>
        <w:t>. Every Holder, by receiving and holding Notes, agrees with the Company and the Trustee that none of the Company or the Trustee or any agent of either of them shall be held accountable by reason of the disclosure of any such information as to the names and addresses of the Holders, regardless of the source from which such information was derived.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CONSOLIDATION OR SALE OF ALL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 SUBSTANTIALLY ALL ASSETS</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Company May Consolidate, Etc., Only on Certain Terms</w:t>
      </w:r>
      <w:r>
        <w:rPr>
          <w:rFonts w:ascii="Arial" w:cs="Arial" w:eastAsia="Arial" w:hAnsi="Arial"/>
          <w:sz w:val="16"/>
          <w:szCs w:val="16"/>
          <w:color w:val="auto"/>
        </w:rPr>
        <w:t>.</w:t>
      </w:r>
    </w:p>
    <w:p>
      <w:pPr>
        <w:spacing w:after="0" w:line="225" w:lineRule="exact"/>
        <w:rPr>
          <w:sz w:val="20"/>
          <w:szCs w:val="20"/>
          <w:color w:val="auto"/>
        </w:rPr>
      </w:pPr>
    </w:p>
    <w:p>
      <w:pPr>
        <w:ind w:right="180" w:firstLine="656"/>
        <w:spacing w:after="0" w:line="263" w:lineRule="auto"/>
        <w:tabs>
          <w:tab w:leader="none" w:pos="13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may not consolidate or merge with or into or wind up into (whether or not the Company is the surviving entity), or sell, assign, transfer, lease, convey or otherwise dispose of all or substantially all of its properties or assets, in one or more related transactions, to any Person unless:</w:t>
      </w:r>
    </w:p>
    <w:p>
      <w:pPr>
        <w:spacing w:after="0" w:line="183" w:lineRule="exact"/>
        <w:rPr>
          <w:rFonts w:ascii="Arial" w:cs="Arial" w:eastAsia="Arial" w:hAnsi="Arial"/>
          <w:sz w:val="18"/>
          <w:szCs w:val="18"/>
          <w:color w:val="auto"/>
        </w:rPr>
      </w:pPr>
    </w:p>
    <w:p>
      <w:pPr>
        <w:ind w:left="660" w:right="40" w:firstLine="644"/>
        <w:spacing w:after="0" w:line="275" w:lineRule="auto"/>
        <w:tabs>
          <w:tab w:leader="none" w:pos="2057"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Company is the surviving corporation or the Person formed by or surviving any such consolidation or merger (if other than the Company) or to which such sale, assignment, transfer, lease, conveyance or other disposition shall have been made is (i) a corporation or (ii) a limited partnership or a limited liability company and is (or has previously been) joined by a corporation as a co-issuer of the Notes, in each case organized or existing under the laws of the United States of America, any state thereof, the District of Columbia, or any territory thereof (the Company or such Person, as the case may be, being herein called the “</w:t>
      </w:r>
      <w:r>
        <w:rPr>
          <w:rFonts w:ascii="Arial" w:cs="Arial" w:eastAsia="Arial" w:hAnsi="Arial"/>
          <w:sz w:val="17"/>
          <w:szCs w:val="17"/>
          <w:i w:val="1"/>
          <w:iCs w:val="1"/>
          <w:color w:val="auto"/>
        </w:rPr>
        <w:t>Successor Company</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660" w:firstLine="644"/>
        <w:spacing w:after="0" w:line="277" w:lineRule="auto"/>
        <w:tabs>
          <w:tab w:leader="none" w:pos="205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Successor Company, if other than the Company, expressly assumes all the obligations of the Company under this Indenture, the Notes, the Security Documents pursuant to supplemental indentures or other documents or instruments;</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immediately after such transaction, no Default exists;</w:t>
      </w:r>
    </w:p>
    <w:p>
      <w:pPr>
        <w:spacing w:after="0" w:line="225" w:lineRule="exact"/>
        <w:rPr>
          <w:rFonts w:ascii="Arial" w:cs="Arial" w:eastAsia="Arial" w:hAnsi="Arial"/>
          <w:sz w:val="18"/>
          <w:szCs w:val="18"/>
          <w:color w:val="auto"/>
        </w:rPr>
      </w:pPr>
    </w:p>
    <w:p>
      <w:pPr>
        <w:ind w:left="660" w:right="40" w:firstLine="644"/>
        <w:spacing w:after="0" w:line="277" w:lineRule="auto"/>
        <w:tabs>
          <w:tab w:leader="none" w:pos="205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immediately after giving pro forma effect to such transaction and any related financing transactions, as if such transactions had occurred at the beginning of the applicable four-quarter period; and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1" w:name="page102"/>
    <w:bookmarkEnd w:id="101"/>
    <w:p>
      <w:pPr>
        <w:ind w:left="1300" w:right="220" w:firstLine="652"/>
        <w:spacing w:after="0" w:line="277" w:lineRule="auto"/>
        <w:tabs>
          <w:tab w:leader="none" w:pos="2738"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Successor Company would be permitted to incur at least $1.00 of additional Indebtedness pursuant to the Fixed Charge Coverage Ratio test set forth in Section 10.09(a); or</w:t>
      </w:r>
    </w:p>
    <w:p>
      <w:pPr>
        <w:spacing w:after="0" w:line="170" w:lineRule="exact"/>
        <w:rPr>
          <w:rFonts w:ascii="Arial" w:cs="Arial" w:eastAsia="Arial" w:hAnsi="Arial"/>
          <w:sz w:val="18"/>
          <w:szCs w:val="18"/>
          <w:color w:val="auto"/>
        </w:rPr>
      </w:pPr>
    </w:p>
    <w:p>
      <w:pPr>
        <w:ind w:left="1300" w:right="100" w:firstLine="652"/>
        <w:spacing w:after="0" w:line="342" w:lineRule="auto"/>
        <w:tabs>
          <w:tab w:leader="none" w:pos="2728" w:val="left"/>
        </w:tabs>
        <w:numPr>
          <w:ilvl w:val="2"/>
          <w:numId w:val="122"/>
        </w:numPr>
        <w:rPr>
          <w:rFonts w:ascii="Arial" w:cs="Arial" w:eastAsia="Arial" w:hAnsi="Arial"/>
          <w:sz w:val="16"/>
          <w:szCs w:val="16"/>
          <w:color w:val="auto"/>
        </w:rPr>
      </w:pPr>
      <w:r>
        <w:rPr>
          <w:rFonts w:ascii="Arial" w:cs="Arial" w:eastAsia="Arial" w:hAnsi="Arial"/>
          <w:sz w:val="16"/>
          <w:szCs w:val="16"/>
          <w:color w:val="auto"/>
        </w:rPr>
        <w:t>the Fixed Charge Coverage Ratio for the Successor Company and the Restricted Subsidiaries on a consolidated basis would be equal to or greater than such ratio for the Company and the Restricted Subsidiaries immediately prior to such transaction;</w:t>
      </w:r>
    </w:p>
    <w:p>
      <w:pPr>
        <w:spacing w:after="0" w:line="123" w:lineRule="exact"/>
        <w:rPr>
          <w:rFonts w:ascii="Arial" w:cs="Arial" w:eastAsia="Arial" w:hAnsi="Arial"/>
          <w:sz w:val="16"/>
          <w:szCs w:val="16"/>
          <w:color w:val="auto"/>
        </w:rPr>
      </w:pPr>
    </w:p>
    <w:p>
      <w:pPr>
        <w:ind w:left="660" w:right="80" w:firstLine="644"/>
        <w:spacing w:after="0" w:line="263" w:lineRule="auto"/>
        <w:tabs>
          <w:tab w:leader="none" w:pos="205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each Guarantor, unless it is the other party to the transactions set forth above, in which case Section 8.02(1)(B) shall apply, shall have by supplemental indenture confirmed that its Guarantee shall apply to such Person’s obligations under this Indenture, the Notes and the Security Documents; and</w:t>
      </w:r>
    </w:p>
    <w:p>
      <w:pPr>
        <w:spacing w:after="0" w:line="183" w:lineRule="exact"/>
        <w:rPr>
          <w:rFonts w:ascii="Arial" w:cs="Arial" w:eastAsia="Arial" w:hAnsi="Arial"/>
          <w:sz w:val="18"/>
          <w:szCs w:val="18"/>
          <w:color w:val="auto"/>
        </w:rPr>
      </w:pPr>
    </w:p>
    <w:p>
      <w:pPr>
        <w:ind w:left="660" w:right="380" w:firstLine="644"/>
        <w:spacing w:after="0" w:line="277" w:lineRule="auto"/>
        <w:tabs>
          <w:tab w:leader="none" w:pos="205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such consolidation, merger or transfer and such supplemental indentures, if any, are permitted by this Indenture.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clauses (a)(3) and (a)(4) above,</w:t>
      </w:r>
    </w:p>
    <w:p>
      <w:pPr>
        <w:spacing w:after="0" w:line="225" w:lineRule="exact"/>
        <w:rPr>
          <w:rFonts w:ascii="Arial" w:cs="Arial" w:eastAsia="Arial" w:hAnsi="Arial"/>
          <w:sz w:val="18"/>
          <w:szCs w:val="18"/>
          <w:color w:val="auto"/>
        </w:rPr>
      </w:pPr>
    </w:p>
    <w:p>
      <w:pPr>
        <w:ind w:left="660" w:firstLine="644"/>
        <w:spacing w:after="0" w:line="277" w:lineRule="auto"/>
        <w:tabs>
          <w:tab w:leader="none" w:pos="205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Restricted Subsidiary may consolidate with, liquidate or dissolve into, merge into or transfer all or part of its properties and assets to the Company and</w:t>
      </w:r>
    </w:p>
    <w:p>
      <w:pPr>
        <w:spacing w:after="0" w:line="170" w:lineRule="exact"/>
        <w:rPr>
          <w:rFonts w:ascii="Arial" w:cs="Arial" w:eastAsia="Arial" w:hAnsi="Arial"/>
          <w:sz w:val="18"/>
          <w:szCs w:val="18"/>
          <w:color w:val="auto"/>
        </w:rPr>
      </w:pPr>
    </w:p>
    <w:p>
      <w:pPr>
        <w:ind w:left="660" w:right="20" w:firstLine="644"/>
        <w:spacing w:after="0" w:line="263" w:lineRule="auto"/>
        <w:tabs>
          <w:tab w:leader="none" w:pos="205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Company may merge with an Affiliate of the Company incorporated solely for the purpose of reincorporating the Company in another State of the United States, the District of Columbia or any territory thereof, so long as the amount of Indebtedness of the Company and the Restricted Subsidiaries is not increased thereby.</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 xml:space="preserve">The foregoing covenant shall not apply to any sale, assignment, transfer, lease, conveyance or other disposition of assets between or among the Company and the Guarantors;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Guarantor that is a transferee under this provision may not subsequently release its Guarantee unless such Guarantor has consolidated with or merged into the Company.</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Guarantors May Consolidate, Etc., Only on Certain Terms</w:t>
      </w:r>
      <w:r>
        <w:rPr>
          <w:rFonts w:ascii="Arial" w:cs="Arial" w:eastAsia="Arial" w:hAnsi="Arial"/>
          <w:sz w:val="18"/>
          <w:szCs w:val="18"/>
          <w:color w:val="auto"/>
        </w:rPr>
        <w:t>. Subject to Sections 10.16 and 12.08, each Guarantor shall not, and the Company shall not permit any Guarantor to, consolidate or merge with or into or wind up into (whether or not such Guarantor is the surviving Person), or sell, assign, transfer, lease, convey or otherwise dispose of all or substantially all of its properties or assets in one or more related transactions to, any Person unless:</w:t>
      </w:r>
    </w:p>
    <w:p>
      <w:pPr>
        <w:spacing w:after="0" w:line="187" w:lineRule="exact"/>
        <w:rPr>
          <w:sz w:val="20"/>
          <w:szCs w:val="20"/>
          <w:color w:val="auto"/>
        </w:rPr>
      </w:pPr>
    </w:p>
    <w:p>
      <w:pPr>
        <w:ind w:left="660" w:right="180" w:firstLine="644"/>
        <w:spacing w:after="0" w:line="257" w:lineRule="auto"/>
        <w:tabs>
          <w:tab w:leader="none" w:pos="205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such Guarantor is the surviving Person or the Person formed by or surviving any such consolidation or merger (if other than such Guarantor) or to which such sale, assignment, transfer, lease, conveyance or other disposition shall have been made is a corporation, a limited partnership, a limited liability company or similar entity organized or existing under the laws of the United States of America, any state thereof, the District of Columbia, or any territory thereof (such Guarantor or such Person, as the case may be, being herein called the “</w:t>
      </w:r>
      <w:r>
        <w:rPr>
          <w:rFonts w:ascii="Arial" w:cs="Arial" w:eastAsia="Arial" w:hAnsi="Arial"/>
          <w:sz w:val="18"/>
          <w:szCs w:val="18"/>
          <w:i w:val="1"/>
          <w:iCs w:val="1"/>
          <w:color w:val="auto"/>
        </w:rPr>
        <w:t>Successor</w:t>
      </w:r>
      <w:r>
        <w:rPr>
          <w:rFonts w:ascii="Arial" w:cs="Arial" w:eastAsia="Arial" w:hAnsi="Arial"/>
          <w:sz w:val="18"/>
          <w:szCs w:val="18"/>
          <w:color w:val="auto"/>
        </w:rPr>
        <w:t xml:space="preserve"> </w:t>
      </w:r>
      <w:r>
        <w:rPr>
          <w:rFonts w:ascii="Arial" w:cs="Arial" w:eastAsia="Arial" w:hAnsi="Arial"/>
          <w:sz w:val="18"/>
          <w:szCs w:val="18"/>
          <w:i w:val="1"/>
          <w:iCs w:val="1"/>
          <w:color w:val="auto"/>
        </w:rPr>
        <w:t>Guarantor</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left="1300" w:right="100" w:firstLine="652"/>
        <w:spacing w:after="0" w:line="263" w:lineRule="auto"/>
        <w:tabs>
          <w:tab w:leader="none" w:pos="272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Successor Guarantor, if other than such Guarantor, expressly assumes all the obligations of such Guarantor under this Indenture, such Guarantor’s Guarantee and the Security Documents, pursuant to supplemental indentures or other documents or instruments;</w:t>
      </w:r>
    </w:p>
    <w:p>
      <w:pPr>
        <w:spacing w:after="0" w:line="183" w:lineRule="exact"/>
        <w:rPr>
          <w:rFonts w:ascii="Arial" w:cs="Arial" w:eastAsia="Arial" w:hAnsi="Arial"/>
          <w:sz w:val="18"/>
          <w:szCs w:val="18"/>
          <w:color w:val="auto"/>
        </w:rPr>
      </w:pPr>
    </w:p>
    <w:p>
      <w:pPr>
        <w:ind w:left="2740" w:hanging="788"/>
        <w:spacing w:after="0"/>
        <w:tabs>
          <w:tab w:leader="none" w:pos="27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immediately after such transaction, no Default exists; and</w:t>
      </w:r>
    </w:p>
    <w:p>
      <w:pPr>
        <w:spacing w:after="0" w:line="225" w:lineRule="exact"/>
        <w:rPr>
          <w:rFonts w:ascii="Arial" w:cs="Arial" w:eastAsia="Arial" w:hAnsi="Arial"/>
          <w:sz w:val="18"/>
          <w:szCs w:val="18"/>
          <w:color w:val="auto"/>
        </w:rPr>
      </w:pPr>
    </w:p>
    <w:p>
      <w:pPr>
        <w:ind w:left="1300" w:right="80" w:firstLine="652"/>
        <w:spacing w:after="0" w:line="308" w:lineRule="auto"/>
        <w:tabs>
          <w:tab w:leader="none" w:pos="2738"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such consolidation, merger or transfer and such supplemental indentures, if any, are permitted under this Indenture; or</w:t>
      </w:r>
    </w:p>
    <w:p>
      <w:pPr>
        <w:spacing w:after="0" w:line="146" w:lineRule="exact"/>
        <w:rPr>
          <w:rFonts w:ascii="Arial" w:cs="Arial" w:eastAsia="Arial" w:hAnsi="Arial"/>
          <w:sz w:val="17"/>
          <w:szCs w:val="17"/>
          <w:color w:val="auto"/>
        </w:rPr>
      </w:pPr>
    </w:p>
    <w:p>
      <w:pPr>
        <w:ind w:left="2060" w:hanging="756"/>
        <w:spacing w:after="0"/>
        <w:tabs>
          <w:tab w:leader="none" w:pos="2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transaction is made in compliance with Section 10.16.</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Notwithstanding the foregoing, (a) any Guarantor may consolidate with, liquidate or dissolve into, merge into or transfer all or part of its properties and assets to another Guarantor or the Company and (b) any Guarantor may convert into a corporation, partnership, limited partnership, limited liability company or trust organized under the laws of the jurisdiction of organization of such Guarantor.</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Successor Substituted</w:t>
      </w:r>
      <w:r>
        <w:rPr>
          <w:rFonts w:ascii="Arial" w:cs="Arial" w:eastAsia="Arial" w:hAnsi="Arial"/>
          <w:sz w:val="17"/>
          <w:szCs w:val="17"/>
          <w:color w:val="auto"/>
        </w:rPr>
        <w:t xml:space="preserve">. Subject to Section 12.08 hereof (with respect to any Guarantor only), upon any consolidation or merger, or any sale, assignment, conveyance, transfer, lease or disposition of all or substantially all of the assets of the Company or any Guarantor in accordance with Section 8.01 and Section 8.02 hereof, the successor Person formed by such consolidation or into which the Company or such Guarantor, as the case may be, is merged or the successor Person to which such sale, assignment, conveyance, transfer, lease or disposition is made, shall succeed to, and be substituted for, and may exercise every right and power of, the Company or such Guarantor, as the case may be, under this Indenture or the Guarantees, as the case may be, and the Security Documents, with the same effect as if such successor Person had been named as the Company or such Guarantor, as the case may be, under this Indenture or the Guarantees, as the case may be, and the Security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predecessor Company or any Guarantor shall not be relieved from the obligation to pay the principal of and interest, if any, on the Notes except in the case of a sale, assignment, transfer, conveyance or other disposition of all of the assets of the Company or such Guarantor, as the case may be, that meets the requirements of Section 8.01 and Section 8.02 hereof, as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NINE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Amendments or Supplements Without Consent of Holders</w:t>
      </w:r>
      <w:r>
        <w:rPr>
          <w:rFonts w:ascii="Arial" w:cs="Arial" w:eastAsia="Arial" w:hAnsi="Arial"/>
          <w:sz w:val="16"/>
          <w:szCs w:val="16"/>
          <w:color w:val="auto"/>
        </w:rPr>
        <w:t>. Notwithstanding Section 9.02 hereof, without the consent of any Holder, the Company, any Guarantor (with respect to a Guarantee or this Indenture to which it is a party), the Trustee and the Collateral Trustee, at any time and from time to time, may amend or supplement this Indenture, the Security Documents, any Guarantee or the Notes, for any of the following purposes:</w:t>
      </w:r>
    </w:p>
    <w:p>
      <w:pPr>
        <w:spacing w:after="0" w:line="149" w:lineRule="exact"/>
        <w:rPr>
          <w:sz w:val="20"/>
          <w:szCs w:val="20"/>
          <w:color w:val="auto"/>
        </w:rPr>
      </w:pPr>
    </w:p>
    <w:p>
      <w:pPr>
        <w:ind w:left="5540" w:right="4440" w:hanging="4236"/>
        <w:spacing w:after="0" w:line="905" w:lineRule="auto"/>
        <w:tabs>
          <w:tab w:leader="none" w:pos="205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cure any ambiguity, omission, mistake, defect or inconsistency;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ind w:left="-460" w:right="220" w:firstLine="644"/>
        <w:spacing w:after="0" w:line="277" w:lineRule="auto"/>
        <w:tabs>
          <w:tab w:leader="none" w:pos="9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provided, that the uncertificated Notes are issued in registered form for purposes of Section 163(f) of the Code;</w:t>
      </w:r>
    </w:p>
    <w:p>
      <w:pPr>
        <w:spacing w:after="0" w:line="170" w:lineRule="exact"/>
        <w:rPr>
          <w:rFonts w:ascii="Arial" w:cs="Arial" w:eastAsia="Arial" w:hAnsi="Arial"/>
          <w:sz w:val="18"/>
          <w:szCs w:val="18"/>
          <w:color w:val="auto"/>
        </w:rPr>
      </w:pPr>
    </w:p>
    <w:p>
      <w:pPr>
        <w:ind w:left="-460" w:right="280" w:firstLine="644"/>
        <w:spacing w:after="0" w:line="277" w:lineRule="auto"/>
        <w:tabs>
          <w:tab w:leader="none" w:pos="9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comply with Article Eight hereof and to provide for the assumption of the Company’s or such Guarantor’s obligations to Holders in connection therewith;</w:t>
      </w:r>
    </w:p>
    <w:p>
      <w:pPr>
        <w:spacing w:after="0" w:line="170" w:lineRule="exact"/>
        <w:rPr>
          <w:rFonts w:ascii="Arial" w:cs="Arial" w:eastAsia="Arial" w:hAnsi="Arial"/>
          <w:sz w:val="18"/>
          <w:szCs w:val="18"/>
          <w:color w:val="auto"/>
        </w:rPr>
      </w:pPr>
    </w:p>
    <w:p>
      <w:pPr>
        <w:ind w:left="-460" w:right="300" w:firstLine="644"/>
        <w:spacing w:after="0" w:line="277" w:lineRule="auto"/>
        <w:tabs>
          <w:tab w:leader="none" w:pos="9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legal rights of any such Holder under this Indenture in any material respect;</w:t>
      </w:r>
    </w:p>
    <w:p>
      <w:pPr>
        <w:spacing w:after="0" w:line="170" w:lineRule="exact"/>
        <w:rPr>
          <w:rFonts w:ascii="Arial" w:cs="Arial" w:eastAsia="Arial" w:hAnsi="Arial"/>
          <w:sz w:val="18"/>
          <w:szCs w:val="18"/>
          <w:color w:val="auto"/>
        </w:rPr>
      </w:pPr>
    </w:p>
    <w:p>
      <w:pPr>
        <w:ind w:left="-460" w:right="680" w:firstLine="644"/>
        <w:spacing w:after="0" w:line="277" w:lineRule="auto"/>
        <w:tabs>
          <w:tab w:leader="none" w:pos="9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add covenants for the benefit of the Holders or to surrender any right or power conferred in this Indenture upon the Company or a Guarantor;</w:t>
      </w:r>
    </w:p>
    <w:p>
      <w:pPr>
        <w:spacing w:after="0" w:line="170" w:lineRule="exact"/>
        <w:rPr>
          <w:rFonts w:ascii="Arial" w:cs="Arial" w:eastAsia="Arial" w:hAnsi="Arial"/>
          <w:sz w:val="18"/>
          <w:szCs w:val="18"/>
          <w:color w:val="auto"/>
        </w:rPr>
      </w:pPr>
    </w:p>
    <w:p>
      <w:pPr>
        <w:ind w:left="-460" w:right="160" w:firstLine="644"/>
        <w:spacing w:after="0" w:line="277" w:lineRule="auto"/>
        <w:tabs>
          <w:tab w:leader="none" w:pos="9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or Collateral Trustee pursuant to the requirements of Section 6.09 and 6.10 hereof;</w:t>
      </w:r>
    </w:p>
    <w:p>
      <w:pPr>
        <w:spacing w:after="0" w:line="170" w:lineRule="exact"/>
        <w:rPr>
          <w:rFonts w:ascii="Arial" w:cs="Arial" w:eastAsia="Arial" w:hAnsi="Arial"/>
          <w:sz w:val="18"/>
          <w:szCs w:val="18"/>
          <w:color w:val="auto"/>
        </w:rPr>
      </w:pPr>
    </w:p>
    <w:p>
      <w:pPr>
        <w:ind w:left="940" w:hanging="756"/>
        <w:spacing w:after="0"/>
        <w:tabs>
          <w:tab w:leader="none" w:pos="9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add a Guarantor or any other obligor under this Indenture;</w:t>
      </w:r>
    </w:p>
    <w:p>
      <w:pPr>
        <w:spacing w:after="0" w:line="225" w:lineRule="exact"/>
        <w:rPr>
          <w:rFonts w:ascii="Arial" w:cs="Arial" w:eastAsia="Arial" w:hAnsi="Arial"/>
          <w:sz w:val="18"/>
          <w:szCs w:val="18"/>
          <w:color w:val="auto"/>
        </w:rPr>
      </w:pPr>
    </w:p>
    <w:p>
      <w:pPr>
        <w:ind w:left="-460" w:firstLine="644"/>
        <w:spacing w:after="0" w:line="311" w:lineRule="auto"/>
        <w:tabs>
          <w:tab w:leader="none" w:pos="93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conform the text of this Indenture, the Guarantees, the Security Documents or the Notes to any provision of the “Description of Notes” section of the Offering Memorandum to the extent that such provision in this Indenture, the Guarantees, the Security Documents or the Notes was intended to be a substantially verbatim recitation of the “Description of Notes” section of the Offering Memorandum;</w:t>
      </w:r>
    </w:p>
    <w:p>
      <w:pPr>
        <w:spacing w:after="0" w:line="148" w:lineRule="exact"/>
        <w:rPr>
          <w:rFonts w:ascii="Arial" w:cs="Arial" w:eastAsia="Arial" w:hAnsi="Arial"/>
          <w:sz w:val="16"/>
          <w:szCs w:val="16"/>
          <w:color w:val="auto"/>
        </w:rPr>
      </w:pPr>
    </w:p>
    <w:p>
      <w:pPr>
        <w:ind w:left="-460" w:right="60" w:firstLine="644"/>
        <w:spacing w:after="0" w:line="259" w:lineRule="auto"/>
        <w:tabs>
          <w:tab w:leader="none" w:pos="9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mortgage, pledge, hypothecate or grant any other Lien in favor of the Collateral Trustee for the benefit of itself, the Trustee, the Holders of the notes (and the holders or lenders of ABL Liens or Parity Lien Notes Debt), as security for the payment and performance of all or any portion of the Indenture Obligations or any Parity Lien Notes Debt in any property or assets and to add any Parity Lien Notes Debt to any Security Document;</w:t>
      </w:r>
    </w:p>
    <w:p>
      <w:pPr>
        <w:spacing w:after="0" w:line="186" w:lineRule="exact"/>
        <w:rPr>
          <w:rFonts w:ascii="Arial" w:cs="Arial" w:eastAsia="Arial" w:hAnsi="Arial"/>
          <w:sz w:val="18"/>
          <w:szCs w:val="18"/>
          <w:color w:val="auto"/>
        </w:rPr>
      </w:pPr>
    </w:p>
    <w:p>
      <w:pPr>
        <w:ind w:left="1020" w:hanging="836"/>
        <w:spacing w:after="0"/>
        <w:tabs>
          <w:tab w:leader="none" w:pos="10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depositary;</w:t>
      </w:r>
    </w:p>
    <w:p>
      <w:pPr>
        <w:spacing w:after="0" w:line="225" w:lineRule="exact"/>
        <w:rPr>
          <w:rFonts w:ascii="Arial" w:cs="Arial" w:eastAsia="Arial" w:hAnsi="Arial"/>
          <w:sz w:val="18"/>
          <w:szCs w:val="18"/>
          <w:color w:val="auto"/>
        </w:rPr>
      </w:pPr>
    </w:p>
    <w:p>
      <w:pPr>
        <w:ind w:left="-460" w:firstLine="644"/>
        <w:spacing w:after="0" w:line="286" w:lineRule="auto"/>
        <w:tabs>
          <w:tab w:leader="none" w:pos="102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to make any amendment to the provisions of this Indenture relating to the transfer and legending of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compliance with this Indenture as so amended would not result in Notes being transferred in violation of the Securities Act or any applicable securities law and (B) such amendment does not materially and adversely affect the rights of Holders to transfer Notes;</w:t>
      </w:r>
    </w:p>
    <w:p>
      <w:pPr>
        <w:spacing w:after="0" w:line="165" w:lineRule="exact"/>
        <w:rPr>
          <w:rFonts w:ascii="Arial" w:cs="Arial" w:eastAsia="Arial" w:hAnsi="Arial"/>
          <w:sz w:val="17"/>
          <w:szCs w:val="17"/>
          <w:color w:val="auto"/>
        </w:rPr>
      </w:pPr>
    </w:p>
    <w:p>
      <w:pPr>
        <w:ind w:left="1020" w:hanging="836"/>
        <w:spacing w:after="0"/>
        <w:tabs>
          <w:tab w:leader="none" w:pos="10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provide for the release of a Guarantor when permitted or required by this Indenture;</w:t>
      </w:r>
    </w:p>
    <w:p>
      <w:pPr>
        <w:spacing w:after="0" w:line="225" w:lineRule="exact"/>
        <w:rPr>
          <w:rFonts w:ascii="Arial" w:cs="Arial" w:eastAsia="Arial" w:hAnsi="Arial"/>
          <w:sz w:val="18"/>
          <w:szCs w:val="18"/>
          <w:color w:val="auto"/>
        </w:rPr>
      </w:pPr>
    </w:p>
    <w:p>
      <w:pPr>
        <w:ind w:left="-460" w:right="60" w:firstLine="644"/>
        <w:spacing w:after="0" w:line="277" w:lineRule="auto"/>
        <w:tabs>
          <w:tab w:leader="none" w:pos="102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provide for the release of Collateral from the Note Lien and the Security Documents when permitted or required by any of the Security Documents or this Indenture; or</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104" w:name="page105"/>
    <w:bookmarkEnd w:id="104"/>
    <w:p>
      <w:pPr>
        <w:ind w:left="2140" w:hanging="836"/>
        <w:spacing w:after="0"/>
        <w:tabs>
          <w:tab w:leader="none" w:pos="2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add customary provisions allowing for the issuance of Additional Notes into escrow.</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avoidance of doubt, the term “all or substantially all,” when applied to the Collateral, as set forth herein shall not be read to mean “any” of the Collateral as a result of the Company or the relevant Subsidiary being in the “zone of insolvency.”</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without the consent of any Holder, the Trustee and the Collateral Trustee will be authorized to amend the Intercreditor Agreement or the Security Documents (i) to add additional secured parties holding, and to secure any, Parity Lien Notes Debt or Permitted ABL Obligations permitted by this Indenture with the same Lien priorities and rights as provided in the Intercreditor Agreement, (ii) to enter into intercreditor arrangements with the holders of any such Indebtedness set forth in clause (i) so long as the terms of such intercreditor arrangements are not less favorable to the Holders of Notes (as evidenced by an officer’s certificate) than the intercreditor provisions contained in the Security Agreement and the Intercreditor Agreement, (iii) to add parties (including collateral agents, administrative and other agents, trustees and lenders) to the Security Documents or Intercreditor Agreement in respect of the incurrence of Indebtedness secured by Permitted Liens set forth in clause (35) of the definition thereof and (iv) to release any Guarantors when such Guarantors are released from their Guarantee.</w:t>
      </w:r>
    </w:p>
    <w:p>
      <w:pPr>
        <w:spacing w:after="0" w:line="17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Upon the request of the Company accompanied by a Board Resolution authorizing the execution of any such amended or supplemental indenture, and upon receipt by the Trustee of the documents set forth in Section 6.03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121212"/>
        </w:rPr>
        <w:t xml:space="preserve">Section 9.02 </w:t>
      </w:r>
      <w:r>
        <w:rPr>
          <w:rFonts w:ascii="Arial" w:cs="Arial" w:eastAsia="Arial" w:hAnsi="Arial"/>
          <w:sz w:val="17"/>
          <w:szCs w:val="17"/>
          <w:u w:val="single" w:color="auto"/>
          <w:color w:val="000000"/>
        </w:rPr>
        <w:t>Amendments or Supplements with Consent of Holders</w:t>
      </w:r>
      <w:r>
        <w:rPr>
          <w:rFonts w:ascii="Arial" w:cs="Arial" w:eastAsia="Arial" w:hAnsi="Arial"/>
          <w:sz w:val="17"/>
          <w:szCs w:val="17"/>
          <w:color w:val="000000"/>
        </w:rPr>
        <w:t>. With the written consent of the Holders of not less than a majority in</w:t>
      </w:r>
      <w:r>
        <w:rPr>
          <w:rFonts w:ascii="Arial" w:cs="Arial" w:eastAsia="Arial" w:hAnsi="Arial"/>
          <w:sz w:val="17"/>
          <w:szCs w:val="17"/>
          <w:color w:val="121212"/>
        </w:rPr>
        <w:t xml:space="preserve"> </w:t>
      </w:r>
      <w:r>
        <w:rPr>
          <w:rFonts w:ascii="Arial" w:cs="Arial" w:eastAsia="Arial" w:hAnsi="Arial"/>
          <w:sz w:val="17"/>
          <w:szCs w:val="17"/>
          <w:color w:val="000000"/>
        </w:rPr>
        <w:t>principal amount of the Outstanding Notes, delivered to the Company and the Trustee, the Company, any Guarantor (with respect to any Guarantee or this Indenture to which it is a party), the Trustee and Collateral Trustee may (a) amend or supplement this Indenture, any Guarantee, the Security Documents or the Notes (including consents obtained in connection with a purchase of, or tender offer or exchange offer for, the Notes) and (b) waive any existing Default or Event of Default or compliance with any provision of this Indenture, any Guarantee, the Notes (including consents obtained in connection with a purchase of, or tender offer or exchange offer for, the Notes) or any Security Document. Notwithstanding the foregoing sentence, no such amendment, supplement or waiver shall, without the consent of each Holder of the Outstanding Notes affected thereby:</w:t>
      </w:r>
    </w:p>
    <w:p>
      <w:pPr>
        <w:spacing w:after="0" w:line="177" w:lineRule="exact"/>
        <w:rPr>
          <w:sz w:val="20"/>
          <w:szCs w:val="20"/>
          <w:color w:val="auto"/>
        </w:rPr>
      </w:pPr>
    </w:p>
    <w:p>
      <w:pPr>
        <w:ind w:left="2180" w:hanging="876"/>
        <w:spacing w:after="0"/>
        <w:tabs>
          <w:tab w:leader="none" w:pos="2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25" w:lineRule="exact"/>
        <w:rPr>
          <w:rFonts w:ascii="Arial" w:cs="Arial" w:eastAsia="Arial" w:hAnsi="Arial"/>
          <w:sz w:val="18"/>
          <w:szCs w:val="18"/>
          <w:color w:val="auto"/>
        </w:rPr>
      </w:pPr>
    </w:p>
    <w:p>
      <w:pPr>
        <w:ind w:left="660" w:right="560" w:firstLine="644"/>
        <w:spacing w:after="0" w:line="311" w:lineRule="auto"/>
        <w:tabs>
          <w:tab w:leader="none" w:pos="219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reduce the principal of or change the Maturity of any such Note or alter or waive the provisions with respect to the redemption of the Notes (other than Section 10.15, Section 10.16 and Section 10.18 or the minimum notice required in connection with the redemption of the notes, which shall only require consent of Holders of a majority of the outstanding principal amount of the Notes),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sectPr>
      </w:pPr>
    </w:p>
    <w:bookmarkStart w:id="105" w:name="page106"/>
    <w:bookmarkEnd w:id="105"/>
    <w:p>
      <w:pPr>
        <w:ind w:left="2180" w:hanging="876"/>
        <w:spacing w:after="0"/>
        <w:tabs>
          <w:tab w:leader="none" w:pos="2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25" w:lineRule="exact"/>
        <w:rPr>
          <w:rFonts w:ascii="Arial" w:cs="Arial" w:eastAsia="Arial" w:hAnsi="Arial"/>
          <w:sz w:val="18"/>
          <w:szCs w:val="18"/>
          <w:color w:val="auto"/>
        </w:rPr>
      </w:pPr>
    </w:p>
    <w:p>
      <w:pPr>
        <w:jc w:val="both"/>
        <w:ind w:left="660" w:right="120" w:firstLine="644"/>
        <w:spacing w:after="0" w:line="279" w:lineRule="auto"/>
        <w:tabs>
          <w:tab w:leader="none" w:pos="219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waive a Default or Event of Default (a) in the payment of principal of or premium, if any, or interest on the Notes issued under this Indenture, except a rescission of acceleration of the Notes by the Holders of at least a majority in aggregate principal amount of the Outstanding Notes and a waiver of the payment default that resulted from such acceleration, or in respect of a covenant or provision contained in this Indenture or (b) any Guarantee that cannot be amended or modified without the consent of all affected Holders,</w:t>
      </w:r>
    </w:p>
    <w:p>
      <w:pPr>
        <w:spacing w:after="0" w:line="171" w:lineRule="exact"/>
        <w:rPr>
          <w:rFonts w:ascii="Arial" w:cs="Arial" w:eastAsia="Arial" w:hAnsi="Arial"/>
          <w:sz w:val="17"/>
          <w:szCs w:val="17"/>
          <w:color w:val="auto"/>
        </w:rPr>
      </w:pPr>
    </w:p>
    <w:p>
      <w:pPr>
        <w:ind w:left="2180" w:hanging="876"/>
        <w:spacing w:after="0"/>
        <w:tabs>
          <w:tab w:leader="none" w:pos="2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any change in the provisions of Section 5.08 or Section 5.13,</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make any change in the ranking of this Indenture and the Notes as to a contractual right of payment that would adversely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affect the Holders,</w:t>
      </w:r>
    </w:p>
    <w:p>
      <w:pPr>
        <w:spacing w:after="0" w:line="210" w:lineRule="exact"/>
        <w:rPr>
          <w:rFonts w:ascii="Arial" w:cs="Arial" w:eastAsia="Arial" w:hAnsi="Arial"/>
          <w:sz w:val="16"/>
          <w:szCs w:val="16"/>
          <w:color w:val="auto"/>
        </w:rPr>
      </w:pPr>
    </w:p>
    <w:p>
      <w:pPr>
        <w:ind w:left="660" w:right="80" w:firstLine="644"/>
        <w:spacing w:after="0" w:line="308" w:lineRule="auto"/>
        <w:tabs>
          <w:tab w:leader="none" w:pos="2192" w:val="left"/>
        </w:tabs>
        <w:numPr>
          <w:ilvl w:val="0"/>
          <w:numId w:val="132"/>
        </w:numPr>
        <w:rPr>
          <w:rFonts w:ascii="Arial" w:cs="Arial" w:eastAsia="Arial" w:hAnsi="Arial"/>
          <w:sz w:val="17"/>
          <w:szCs w:val="17"/>
          <w:color w:val="auto"/>
        </w:rPr>
      </w:pPr>
      <w:r>
        <w:rPr>
          <w:rFonts w:ascii="Arial" w:cs="Arial" w:eastAsia="Arial" w:hAnsi="Arial"/>
          <w:sz w:val="17"/>
          <w:szCs w:val="17"/>
          <w:color w:val="131313"/>
        </w:rPr>
        <w:t xml:space="preserve">except as otherwise expressly permitted by </w:t>
      </w:r>
      <w:r>
        <w:rPr>
          <w:rFonts w:ascii="Arial" w:cs="Arial" w:eastAsia="Arial" w:hAnsi="Arial"/>
          <w:sz w:val="17"/>
          <w:szCs w:val="17"/>
          <w:color w:val="000000"/>
        </w:rPr>
        <w:t>this</w:t>
      </w:r>
      <w:r>
        <w:rPr>
          <w:rFonts w:ascii="Arial" w:cs="Arial" w:eastAsia="Arial" w:hAnsi="Arial"/>
          <w:sz w:val="17"/>
          <w:szCs w:val="17"/>
          <w:color w:val="131313"/>
        </w:rPr>
        <w:t xml:space="preserve"> Indenture, modify or release the Guarantee of any Significant Subsidiary (or any group of Subsidiaries that together would constitute a Significant Subsidiary) in any manner adverse to the Holders,</w:t>
      </w:r>
    </w:p>
    <w:p>
      <w:pPr>
        <w:spacing w:after="0" w:line="146" w:lineRule="exact"/>
        <w:rPr>
          <w:rFonts w:ascii="Arial" w:cs="Arial" w:eastAsia="Arial" w:hAnsi="Arial"/>
          <w:sz w:val="17"/>
          <w:szCs w:val="17"/>
          <w:color w:val="auto"/>
        </w:rPr>
      </w:pPr>
    </w:p>
    <w:p>
      <w:pPr>
        <w:ind w:left="2180" w:hanging="876"/>
        <w:spacing w:after="0"/>
        <w:tabs>
          <w:tab w:leader="none" w:pos="2180" w:val="left"/>
        </w:tabs>
        <w:numPr>
          <w:ilvl w:val="0"/>
          <w:numId w:val="132"/>
        </w:numPr>
        <w:rPr>
          <w:rFonts w:ascii="Arial" w:cs="Arial" w:eastAsia="Arial" w:hAnsi="Arial"/>
          <w:sz w:val="18"/>
          <w:szCs w:val="18"/>
          <w:color w:val="auto"/>
        </w:rPr>
      </w:pPr>
      <w:r>
        <w:rPr>
          <w:rFonts w:ascii="Arial" w:cs="Arial" w:eastAsia="Arial" w:hAnsi="Arial"/>
          <w:sz w:val="18"/>
          <w:szCs w:val="18"/>
          <w:color w:val="131313"/>
        </w:rPr>
        <w:t xml:space="preserve">make any change </w:t>
      </w:r>
      <w:r>
        <w:rPr>
          <w:rFonts w:ascii="Arial" w:cs="Arial" w:eastAsia="Arial" w:hAnsi="Arial"/>
          <w:sz w:val="18"/>
          <w:szCs w:val="18"/>
          <w:color w:val="000000"/>
        </w:rPr>
        <w:t>in</w:t>
      </w:r>
      <w:r>
        <w:rPr>
          <w:rFonts w:ascii="Arial" w:cs="Arial" w:eastAsia="Arial" w:hAnsi="Arial"/>
          <w:sz w:val="18"/>
          <w:szCs w:val="18"/>
          <w:color w:val="131313"/>
        </w:rPr>
        <w:t xml:space="preserve"> these amendment and waiver provisions, or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92" w:val="left"/>
        </w:tabs>
        <w:numPr>
          <w:ilvl w:val="0"/>
          <w:numId w:val="132"/>
        </w:numPr>
        <w:rPr>
          <w:rFonts w:ascii="Arial" w:cs="Arial" w:eastAsia="Arial" w:hAnsi="Arial"/>
          <w:sz w:val="18"/>
          <w:szCs w:val="18"/>
          <w:color w:val="auto"/>
        </w:rPr>
      </w:pPr>
      <w:r>
        <w:rPr>
          <w:rFonts w:ascii="Arial" w:cs="Arial" w:eastAsia="Arial" w:hAnsi="Arial"/>
          <w:sz w:val="18"/>
          <w:szCs w:val="18"/>
          <w:color w:val="131313"/>
        </w:rPr>
        <w:t>impair the right of any Holder to receive payment of principal of, or interest on such Holder’s Notes on or after the due dates therefor or to institute suit for the enforcement of any payment on or with respect to such Holder’s Notes (based on an Officer’s Certificate to such effect).</w:t>
      </w:r>
    </w:p>
    <w:p>
      <w:pPr>
        <w:spacing w:after="0" w:line="184" w:lineRule="exact"/>
        <w:rPr>
          <w:sz w:val="20"/>
          <w:szCs w:val="20"/>
          <w:color w:val="auto"/>
        </w:rPr>
      </w:pPr>
    </w:p>
    <w:p>
      <w:pPr>
        <w:ind w:right="120" w:firstLine="648"/>
        <w:spacing w:after="0" w:line="236" w:lineRule="auto"/>
        <w:rPr>
          <w:sz w:val="20"/>
          <w:szCs w:val="20"/>
          <w:color w:val="auto"/>
        </w:rPr>
      </w:pPr>
      <w:r>
        <w:rPr>
          <w:rFonts w:ascii="Arial" w:cs="Arial" w:eastAsia="Arial" w:hAnsi="Arial"/>
          <w:sz w:val="17"/>
          <w:szCs w:val="17"/>
          <w:color w:val="auto"/>
        </w:rPr>
        <w:t xml:space="preserve">Notwithstanding the foregoing, any amendment to, or waiver of, the provision of this Indenture or any Security Document that has the effect of releasing all or substantially all of the Collateral from the Note Liens will require consent of the Holders of at least 66 </w:t>
      </w:r>
      <w:r>
        <w:rPr>
          <w:rFonts w:ascii="Arial" w:cs="Arial" w:eastAsia="Arial" w:hAnsi="Arial"/>
          <w:sz w:val="28"/>
          <w:szCs w:val="28"/>
          <w:color w:val="auto"/>
          <w:vertAlign w:val="superscript"/>
        </w:rPr>
        <w:t>2/3</w:t>
      </w:r>
      <w:r>
        <w:rPr>
          <w:rFonts w:ascii="Arial" w:cs="Arial" w:eastAsia="Arial" w:hAnsi="Arial"/>
          <w:sz w:val="17"/>
          <w:szCs w:val="17"/>
          <w:color w:val="auto"/>
        </w:rPr>
        <w:t>% in aggregate principal amount of the Notes then outstanding (including consents obtained in connection with a tender offer or exchange offer for the Notes).</w:t>
      </w:r>
    </w:p>
    <w:p>
      <w:pPr>
        <w:spacing w:after="0" w:line="2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determining whether the Holders of the required principal amount of Notes have concurred in any direction, waiver or consent, Notes owned by any affiliate of by the Company or any Guarantor, shall be considered as though not outstanding.</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consent of the Holders is not necessary under this Indenture to approve the particular form of any proposed amendment. It is sufficient if such consent approves the substance of the proposed amendment, waiver or consent. The consent of the Collateral Trustee shall not be necessary for any amendment, supplement or waiver to this Indenture, except for any amendment, supplement, waiver or consent to Article Six, Article Fourteen or Article Fifteen or as to this sentence.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6" w:name="page107"/>
    <w:bookmarkEnd w:id="106"/>
    <w:p>
      <w:pPr>
        <w:ind w:firstLine="648"/>
        <w:spacing w:after="0" w:line="25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Amendments Supplements or Waivers</w:t>
      </w:r>
      <w:r>
        <w:rPr>
          <w:rFonts w:ascii="Arial" w:cs="Arial" w:eastAsia="Arial" w:hAnsi="Arial"/>
          <w:sz w:val="18"/>
          <w:szCs w:val="18"/>
          <w:color w:val="auto"/>
        </w:rPr>
        <w:t>. The Trustee and the Collateral Trustee shall sign any amendment, supplement or waiver authorized pursuant to this Article Nine if the amendment or supplement does not adversely affect the rights, duties, liabilities or immunities of the Trustee or the Collateral Trustee. The Company may not sign an amendment, supplement or waiver that requires consent of Holders until the Board of Directors approves it. In executing any amendment, supplement or waiver, the Trustee or the Collateral Trustee, as applicable, shall be entitled to receive and (subject to Section 6.01 hereof) shall be fully protected in relying upon, in addition to the documents required by Section 1.03 hereof, an Officer’s Certificate and an Opinion of Counsel stating that the execution of such amended or supplemental indenture is authorized or permitted by this Indenture and complies with the provisions hereof.</w:t>
      </w:r>
    </w:p>
    <w:p>
      <w:pPr>
        <w:spacing w:after="0" w:line="19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Effect of Amendments, Supplements or Waivers</w:t>
      </w:r>
      <w:r>
        <w:rPr>
          <w:rFonts w:ascii="Arial" w:cs="Arial" w:eastAsia="Arial" w:hAnsi="Arial"/>
          <w:sz w:val="17"/>
          <w:szCs w:val="17"/>
          <w:color w:val="auto"/>
        </w:rPr>
        <w:t>. Upon the execution of any supplemental indenture under this Article Nine, this Indenture shall be modified in accordance therewith, and such amendment, supplement or waiver shall form a part of this Indenture for all purposes; and every Holder of Notes theretofore or thereafter authenticated and delivered hereunder shall be bound thereby.</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121212"/>
              </w:rPr>
              <w:t>Section 9.05</w:t>
            </w:r>
          </w:p>
        </w:tc>
        <w:tc>
          <w:tcPr>
            <w:tcW w:w="8820" w:type="dxa"/>
            <w:vAlign w:val="bottom"/>
            <w:gridSpan w:val="3"/>
          </w:tcPr>
          <w:p>
            <w:pPr>
              <w:spacing w:after="0"/>
              <w:rPr>
                <w:sz w:val="20"/>
                <w:szCs w:val="20"/>
                <w:color w:val="auto"/>
              </w:rPr>
            </w:pPr>
            <w:r>
              <w:rPr>
                <w:rFonts w:ascii="Arial" w:cs="Arial" w:eastAsia="Arial" w:hAnsi="Arial"/>
                <w:sz w:val="18"/>
                <w:szCs w:val="18"/>
                <w:color w:val="auto"/>
              </w:rPr>
              <w:t>[Reserved].</w:t>
            </w:r>
          </w:p>
        </w:tc>
      </w:tr>
      <w:tr>
        <w:trPr>
          <w:trHeight w:val="20"/>
        </w:trPr>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12"/>
        </w:trPr>
        <w:tc>
          <w:tcPr>
            <w:tcW w:w="1520" w:type="dxa"/>
            <w:vAlign w:val="bottom"/>
          </w:tcPr>
          <w:p>
            <w:pPr>
              <w:spacing w:after="0"/>
              <w:rPr>
                <w:sz w:val="20"/>
                <w:szCs w:val="20"/>
                <w:color w:val="auto"/>
              </w:rPr>
            </w:pPr>
            <w:r>
              <w:rPr>
                <w:rFonts w:ascii="Arial" w:cs="Arial" w:eastAsia="Arial" w:hAnsi="Arial"/>
                <w:sz w:val="18"/>
                <w:szCs w:val="18"/>
                <w:color w:val="auto"/>
              </w:rPr>
              <w:t>Section 9.06</w:t>
            </w:r>
          </w:p>
        </w:tc>
        <w:tc>
          <w:tcPr>
            <w:tcW w:w="8820" w:type="dxa"/>
            <w:vAlign w:val="bottom"/>
            <w:gridSpan w:val="3"/>
          </w:tcPr>
          <w:p>
            <w:pPr>
              <w:spacing w:after="0"/>
              <w:rPr>
                <w:sz w:val="20"/>
                <w:szCs w:val="20"/>
                <w:color w:val="auto"/>
              </w:rPr>
            </w:pPr>
            <w:r>
              <w:rPr>
                <w:rFonts w:ascii="Arial" w:cs="Arial" w:eastAsia="Arial" w:hAnsi="Arial"/>
                <w:sz w:val="18"/>
                <w:szCs w:val="18"/>
                <w:color w:val="auto"/>
                <w:w w:val="89"/>
              </w:rPr>
              <w:t>Reference in Notes to Supplemental Indentures. Notes authenticated and delivered after the execution of any supplemental</w:t>
            </w:r>
          </w:p>
        </w:tc>
      </w:tr>
      <w:tr>
        <w:trPr>
          <w:trHeight w:val="20"/>
        </w:trPr>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indenture pursuant to this Article Nine may, and shall if required by the Trustee, bear a notation in form approved by the Trustee as to any matter provided for in such supplemental indenture. If the Company shall so determine, new Notes so modified as to conform, in the opinion of the Trustee and the Company, to any such supplemental indenture may be prepared and executed by the Company and authenticated and delivered by the Trustee in exchange for Outstanding Notes.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Notice of Supplemental Indentures</w:t>
      </w:r>
      <w:r>
        <w:rPr>
          <w:rFonts w:ascii="Arial" w:cs="Arial" w:eastAsia="Arial" w:hAnsi="Arial"/>
          <w:sz w:val="17"/>
          <w:szCs w:val="17"/>
          <w:color w:val="auto"/>
        </w:rPr>
        <w:t>. Promptly after the execution by the Company, any Guarantor and the Trustee of any supplemental indenture pursuant to the provisions of Section 9.02, the Company shall give notice thereof to the Holders, in the manner provided for in Section 1.07, setting forth in general terms the substance of such supplemental indenture. Any failure of the Company to give such notice to the Holders, or any defect therein, shall not, however, in any way impair or affect the validity of any such supplemental indenture.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Payment of Principal, Premium, if Any, and Interest</w:t>
      </w:r>
      <w:r>
        <w:rPr>
          <w:rFonts w:ascii="Arial" w:cs="Arial" w:eastAsia="Arial" w:hAnsi="Arial"/>
          <w:sz w:val="16"/>
          <w:szCs w:val="16"/>
          <w:color w:val="auto"/>
        </w:rPr>
        <w:t>. The Company shall pay or cause to be paid the principal of, premium, if any, and interest on the Notes on the dates and in the manner provided in the Notes. Principal, premium, if any, and interest shall be considered paid on the date due if the Paying Agent, if other than the Company or a Subsidiary, holds as of 12:00 noon (Eastern Time) on the due date money deposited by the Company in immediately available funds and designated for and sufficient to pay all principal, premium, if any, and interest then due.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7" w:name="page108"/>
    <w:bookmarkEnd w:id="107"/>
    <w:p>
      <w:pPr>
        <w:ind w:right="140" w:firstLine="648"/>
        <w:spacing w:after="0" w:line="277" w:lineRule="auto"/>
        <w:rPr>
          <w:sz w:val="20"/>
          <w:szCs w:val="20"/>
          <w:color w:val="auto"/>
        </w:rPr>
      </w:pPr>
      <w:r>
        <w:rPr>
          <w:rFonts w:ascii="Arial" w:cs="Arial" w:eastAsia="Arial" w:hAnsi="Arial"/>
          <w:sz w:val="18"/>
          <w:szCs w:val="18"/>
          <w:color w:val="auto"/>
        </w:rPr>
        <w:t>The Company shall pay interest on overdue principal at the rate equal to the then applicable interest rate on the Notes, and it shall pay interest on overdue installments of interest at the same rate, in any case to the extent lawful.</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The Company shall maintain an office or agency in the United States where Notes may be presented or surrendered for payment, where Notes may be surrendered for registration of transfer or exchange and where notices and demands to or upon the Company in respect of the Notes and this Indenture may be served. The Corporate Trust Office of the Trustee shall be such office or agency of the Company, unless the Company shall designate and maintain some other office or agency for one or more of such purposes. The Company shall give prompt written notice to the Trustee of any change in the location of any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provided that the Corporate Trust Office of the Trustee shall not be an office or agency of the Company for the purposes of service of legal process against the Company or any Guarantor.</w:t>
      </w:r>
    </w:p>
    <w:p>
      <w:pPr>
        <w:spacing w:after="0" w:line="18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presented or surrendered for any or all such purposes and may from time to time rescind any such designation. The Company shall give prompt written notice to the Trustee of any such designation or rescission and any change in the location of any such other office or agency.</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Paying Agent to Hold Money in Trust</w:t>
      </w:r>
      <w:r>
        <w:rPr>
          <w:rFonts w:ascii="Arial" w:cs="Arial" w:eastAsia="Arial" w:hAnsi="Arial"/>
          <w:sz w:val="17"/>
          <w:szCs w:val="17"/>
          <w:color w:val="auto"/>
        </w:rPr>
        <w:t>. If the Company shall at any time act as its own Paying Agent, it shall, on or before each due date of the principal of (or premium, if any) or interest on any of the Notes, segregate and hold in trust for the benefit of the Persons entitled thereto a sum sufficient to pay the principal of (or premium, if any) or interest so becoming due until such sums shall be paid to such Persons or otherwise disposed of as herein provided and shall promptly notify the Trustee in writing of its action or failure so to act.</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Whenever the Company shall have one or more Paying Agents for the Notes, it shall, on or before each due date of the principal of (or premium, if any) or interest on any Notes, deposit with a Paying Agent a sum sufficient to pay the principal (and premium, if any) or interest so becoming due, such sum to be held in trust for the benefit of the Persons entitled to such principal, premium or interest, and (unless such Paying Agent is the Trustee) the Company shall promptly notify the Trustee in writing of such action or any failure so to act.</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shall cause each Paying Agent (other than the Trustee) to execute and deliver to the Trustee an instrument in which such Paying Agent shall agree with the Trustee, subject to the provisions of this Section, that such Paying Agent shall:</w:t>
      </w:r>
    </w:p>
    <w:p>
      <w:pPr>
        <w:spacing w:after="0" w:line="170" w:lineRule="exact"/>
        <w:rPr>
          <w:sz w:val="20"/>
          <w:szCs w:val="20"/>
          <w:color w:val="auto"/>
        </w:rPr>
      </w:pPr>
    </w:p>
    <w:p>
      <w:pPr>
        <w:ind w:left="660" w:right="120" w:firstLine="644"/>
        <w:spacing w:after="0" w:line="308" w:lineRule="auto"/>
        <w:tabs>
          <w:tab w:leader="none" w:pos="219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hold all sums held by it for the payment of the principal of (and premium, if any) or interest on Notes in trust for the benefit of the Persons entitled thereto until such sums shall be paid to such Persons or otherwise disposed of as herein provided;</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8" w:name="page109"/>
    <w:bookmarkEnd w:id="108"/>
    <w:p>
      <w:pPr>
        <w:ind w:left="660" w:right="80" w:firstLine="644"/>
        <w:spacing w:after="0" w:line="277" w:lineRule="auto"/>
        <w:tabs>
          <w:tab w:leader="none" w:pos="219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Notes) in the making of any payment of principal (and premium, if any) or interest; and</w:t>
      </w:r>
    </w:p>
    <w:p>
      <w:pPr>
        <w:spacing w:after="0" w:line="170" w:lineRule="exact"/>
        <w:rPr>
          <w:rFonts w:ascii="Arial" w:cs="Arial" w:eastAsia="Arial" w:hAnsi="Arial"/>
          <w:sz w:val="18"/>
          <w:szCs w:val="18"/>
          <w:color w:val="auto"/>
        </w:rPr>
      </w:pPr>
    </w:p>
    <w:p>
      <w:pPr>
        <w:ind w:left="660" w:right="60" w:firstLine="644"/>
        <w:spacing w:after="0" w:line="277" w:lineRule="auto"/>
        <w:tabs>
          <w:tab w:leader="none" w:pos="219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Subject to applicable laws relating to abandoned property, any money deposited with the Trustee or any Paying Agent, or then held by the Company, in trust for the payment of the principal of (or premium, if any) or interest on any Note and remaining unclaimed for two years after such principal, premium or interest has become due and payable shall be paid to the Company on Company Request,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121212"/>
        </w:rPr>
        <w:t xml:space="preserve">Section 10.04 </w:t>
      </w:r>
      <w:r>
        <w:rPr>
          <w:rFonts w:ascii="Arial" w:cs="Arial" w:eastAsia="Arial" w:hAnsi="Arial"/>
          <w:sz w:val="18"/>
          <w:szCs w:val="18"/>
          <w:u w:val="single" w:color="auto"/>
          <w:color w:val="000000"/>
        </w:rPr>
        <w:t>Corporate Existence</w:t>
      </w:r>
      <w:r>
        <w:rPr>
          <w:rFonts w:ascii="Arial" w:cs="Arial" w:eastAsia="Arial" w:hAnsi="Arial"/>
          <w:sz w:val="18"/>
          <w:szCs w:val="18"/>
          <w:color w:val="000000"/>
        </w:rPr>
        <w:t>. Subject to Article Eight, the Company shall do or cause to be done all things necessary to preserve and</w:t>
      </w:r>
      <w:r>
        <w:rPr>
          <w:rFonts w:ascii="Arial" w:cs="Arial" w:eastAsia="Arial" w:hAnsi="Arial"/>
          <w:sz w:val="18"/>
          <w:szCs w:val="18"/>
          <w:color w:val="121212"/>
        </w:rPr>
        <w:t xml:space="preserve"> </w:t>
      </w:r>
      <w:r>
        <w:rPr>
          <w:rFonts w:ascii="Arial" w:cs="Arial" w:eastAsia="Arial" w:hAnsi="Arial"/>
          <w:sz w:val="18"/>
          <w:szCs w:val="18"/>
          <w:color w:val="000000"/>
        </w:rPr>
        <w:t xml:space="preserve">keep in full force and effect its corporate existence and the corporate, limited liability company, partnership or other existence of each Guarantor that is a Significant Subsidiary, in accordance with the respective organizational documents (as the same may be amended from time to time) of the Company or any such Guarantor;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the Company shall not be required to preserve any such corporate, limited liability company, partnership or other existence if the Board of Directors of the Company shall determine that the preservation thereof is no longer desirable in the conduct of the business of the Company and its Restricted Subsidiaries as a whole.</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121212"/>
        </w:rPr>
        <w:t xml:space="preserve">Section 10.05 </w:t>
      </w:r>
      <w:r>
        <w:rPr>
          <w:rFonts w:ascii="Arial" w:cs="Arial" w:eastAsia="Arial" w:hAnsi="Arial"/>
          <w:sz w:val="16"/>
          <w:szCs w:val="16"/>
          <w:u w:val="single" w:color="auto"/>
          <w:color w:val="000000"/>
        </w:rPr>
        <w:t>Payment of Taxes and Other Claims</w:t>
      </w:r>
      <w:r>
        <w:rPr>
          <w:rFonts w:ascii="Arial" w:cs="Arial" w:eastAsia="Arial" w:hAnsi="Arial"/>
          <w:sz w:val="16"/>
          <w:szCs w:val="16"/>
          <w:color w:val="000000"/>
        </w:rPr>
        <w:t>. The Company shall pay or discharge or cause to be paid or discharged, before the same</w:t>
      </w:r>
      <w:r>
        <w:rPr>
          <w:rFonts w:ascii="Arial" w:cs="Arial" w:eastAsia="Arial" w:hAnsi="Arial"/>
          <w:sz w:val="16"/>
          <w:szCs w:val="16"/>
          <w:color w:val="121212"/>
        </w:rPr>
        <w:t xml:space="preserve"> </w:t>
      </w:r>
      <w:r>
        <w:rPr>
          <w:rFonts w:ascii="Arial" w:cs="Arial" w:eastAsia="Arial" w:hAnsi="Arial"/>
          <w:sz w:val="16"/>
          <w:szCs w:val="16"/>
          <w:color w:val="000000"/>
        </w:rPr>
        <w:t xml:space="preserve">shall become delinquent, all material taxes, assessments and governmental charges levied or imposed upon the Company or any Restricted Subsidiary or upon the income, profits or property of the Company or any Restricted Subsidiary;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that the Company shall not be required to pay or discharge or cause to be paid or discharged any such tax, assessment or charge whose amount, applicability or validity is being contested in good faith by appropriate proceedings or negotiations or where the failure to effect such payment is not adverse in any material respect to the Holders of the Notes. Notwithstanding anything to the contrary contained in this Indenture, the Company and its Restricted Subsidiaries may, to the extent required to do so by law, deduct or withhold income or other similar taxes imposed by the United States of America from principal or interest payments under this Indenture.</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09" w:name="page110"/>
    <w:bookmarkEnd w:id="109"/>
    <w:p>
      <w:pPr>
        <w:ind w:left="652"/>
        <w:spacing w:after="0"/>
        <w:tabs>
          <w:tab w:leader="none" w:pos="2152"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Statement by Officers as to Default</w:t>
      </w:r>
      <w:r>
        <w:rPr>
          <w:rFonts w:ascii="Arial" w:cs="Arial" w:eastAsia="Arial" w:hAnsi="Arial"/>
          <w:sz w:val="16"/>
          <w:szCs w:val="16"/>
          <w:color w:val="auto"/>
        </w:rPr>
        <w:t>.</w:t>
      </w:r>
    </w:p>
    <w:p>
      <w:pPr>
        <w:spacing w:after="0" w:line="225" w:lineRule="exact"/>
        <w:rPr>
          <w:sz w:val="20"/>
          <w:szCs w:val="20"/>
          <w:color w:val="auto"/>
        </w:rPr>
      </w:pPr>
    </w:p>
    <w:p>
      <w:pPr>
        <w:ind w:left="-8" w:firstLine="656"/>
        <w:spacing w:after="0" w:line="288" w:lineRule="auto"/>
        <w:tabs>
          <w:tab w:leader="none" w:pos="137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an Officer’s Certificate stating that a review of the activities of the Company and its Restricted Subsidiaries during the preceding fiscal year has been made under the supervision of the signing Officers with a view to determining whether it has kept, observed, performed and fulfilled, and has caused each of its Restricted Subsidiaries to keep, observe, perform and fulfill its obligations under this Indenture and further stating, as to each such Officer signing such certificate, that, to the best of his or her knowledge, the Company during such preceding fiscal year has kept, observed, performed and fulfilled, and has caused each of its Restricted Subsidiaries to keep, observe, perform and fulfill each and every such covenant contained in this Indenture and no Default occurred during such year and at the date of such certificate there is no Default which has occurred and is continuing or, if such signers do know of such Default that is continuing, the certificate shall specify such Default and that, to the best of his or her knowledge, no event has occurred and remains by reason of which payments on the account of the principal of or interest, if any, on the Notes is prohibited or if such event has occurred, a description of the event. The Officer’s Certificate shall also notify the Trustee in writing should the Company elect to change the manner in which it fixes its fiscal year-end.</w:t>
      </w:r>
    </w:p>
    <w:p>
      <w:pPr>
        <w:spacing w:after="0" w:line="168" w:lineRule="exact"/>
        <w:rPr>
          <w:rFonts w:ascii="Arial" w:cs="Arial" w:eastAsia="Arial" w:hAnsi="Arial"/>
          <w:sz w:val="16"/>
          <w:szCs w:val="16"/>
          <w:color w:val="auto"/>
        </w:rPr>
      </w:pPr>
    </w:p>
    <w:p>
      <w:pPr>
        <w:ind w:left="-8" w:right="420" w:firstLine="656"/>
        <w:spacing w:after="0" w:line="342" w:lineRule="auto"/>
        <w:tabs>
          <w:tab w:leader="none" w:pos="138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When any Default has occurred and is continuing under this Indenture, the Company shall deliver to the Trustee and the Collateral Trustee an Officer’s Certificate specifying such event, notice or other action within ten Business Days of becoming aware of its occurrence.</w:t>
      </w:r>
    </w:p>
    <w:p>
      <w:pPr>
        <w:spacing w:after="0" w:line="124" w:lineRule="exact"/>
        <w:rPr>
          <w:sz w:val="20"/>
          <w:szCs w:val="20"/>
          <w:color w:val="auto"/>
        </w:rPr>
      </w:pPr>
    </w:p>
    <w:p>
      <w:pPr>
        <w:ind w:left="652"/>
        <w:spacing w:after="0"/>
        <w:tabs>
          <w:tab w:leader="none" w:pos="2152"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Reports and Other Information.</w:t>
      </w:r>
    </w:p>
    <w:p>
      <w:pPr>
        <w:spacing w:after="0" w:line="225" w:lineRule="exact"/>
        <w:rPr>
          <w:sz w:val="20"/>
          <w:szCs w:val="20"/>
          <w:color w:val="auto"/>
        </w:rPr>
      </w:pPr>
    </w:p>
    <w:p>
      <w:pPr>
        <w:ind w:left="-8" w:right="20" w:firstLine="656"/>
        <w:spacing w:after="0" w:line="283" w:lineRule="auto"/>
        <w:tabs>
          <w:tab w:leader="none" w:pos="1379"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If, at any time, the Company is subject to the reporting requirements of Section 13 or 15(d) of the Exchange Act, the Company will file with the SEC, subject to the following sentence, and provide the Trustee (and, upon written request, the holders of the Notes, to the extent not publicly available on the SEC’s EDGAR system (or any successor system) or the Company’s website) such annual and other reports as are specified in Sections 13 and 15(d) of the Exchange Act and applicable to a U.S. corporation subject to such Sections, such reports to be so filed and provided at the times specified for the filings by the Company of such reports under such Sections and containing, in all material respects, the information and audit reports required for such reports. If, at any time, the Company is not subject to the periodic reporting requirements of the Exchange Act for any reason, the Company will provide the Trustee and make available to the holders of the Notes, prospective investors, market makers affiliated with any Initial Purchaser and securities analysts the reports specified in the preceding sentence by posting such reports to its website or on IntraLinks or any comparable password protected online data system, in each case, within 15 days after the time the Company would be required to file such information with the SEC if it were a non accelerated filer subject to Section 13 or 15(d) of the Exchange Act. Notwithstanding the foregoing, (1) none of the foregoing reports (A) will be required to comply with Section 302, Section 404 or Section 906 of the Sarbanes Oxley Act of 2002, or related Items 307 and 308 of Regulation S-K promulgated by the SEC,</w:t>
      </w:r>
    </w:p>
    <w:p>
      <w:pPr>
        <w:spacing w:after="0" w:line="3" w:lineRule="exact"/>
        <w:rPr>
          <w:rFonts w:ascii="Arial" w:cs="Arial" w:eastAsia="Arial" w:hAnsi="Arial"/>
          <w:sz w:val="16"/>
          <w:szCs w:val="16"/>
          <w:color w:val="auto"/>
        </w:rPr>
      </w:pPr>
    </w:p>
    <w:p>
      <w:pPr>
        <w:ind w:left="-8" w:right="20" w:firstLine="8"/>
        <w:spacing w:after="0" w:line="268" w:lineRule="auto"/>
        <w:tabs>
          <w:tab w:leader="none" w:pos="27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will be required to comply with Regulation G or Item 10(e) of Regulation S-K promulgated by the SEC (with respect to any non GAAP financial measures contained therein), (C) will be required to contain the separate financial information for Guarantors and non-Guarantor subsidiaries contemplated by Rule 3 10 of Regulation S-X promulgated by the SEC, (D) will be required to present compensation or beneficial ownership information and (E) will be required to contain information required by Item 601 of Regulation S-K and (2) if any parent of the Company becomes a guarantor of the Notes, the reports, information and other documents required to be filed and provided as described above may be those of the parent, rather than those of the Company, so long as such filings would satisfy the SEC’s requirements; provided that such reports include a reasonable explanation of the material differences between the assets, liabilities and results of operations of such parent and its consolidated Subsidiaries on the one hand, and the Company and its Restricted Subsidiaries on the other hand.</w:t>
      </w:r>
    </w:p>
    <w:p>
      <w:pPr>
        <w:spacing w:after="0" w:line="3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10" w:name="page111"/>
    <w:bookmarkEnd w:id="110"/>
    <w:p>
      <w:pPr>
        <w:ind w:left="-80" w:right="80" w:firstLine="656"/>
        <w:spacing w:after="0" w:line="286" w:lineRule="auto"/>
        <w:tabs>
          <w:tab w:leader="none" w:pos="131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 addition, at any time when the Company is not subject to the reporting requirements of Section 13 or 15(d) of the Exchange Act, the Company will agree that, for so long as any Notes remain outstanding, it will furnish to the holders of the Notes and to prospective investors, upon their written request, the information required to be delivered pursuant to Rule 144A(d)(4) under the Securities Act.</w:t>
      </w:r>
    </w:p>
    <w:p>
      <w:pPr>
        <w:spacing w:after="0" w:line="165" w:lineRule="exact"/>
        <w:rPr>
          <w:rFonts w:ascii="Arial" w:cs="Arial" w:eastAsia="Arial" w:hAnsi="Arial"/>
          <w:sz w:val="17"/>
          <w:szCs w:val="17"/>
          <w:color w:val="auto"/>
        </w:rPr>
      </w:pPr>
    </w:p>
    <w:p>
      <w:pPr>
        <w:ind w:left="-80" w:right="100" w:firstLine="656"/>
        <w:spacing w:after="0" w:line="259" w:lineRule="auto"/>
        <w:tabs>
          <w:tab w:leader="none" w:pos="130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Delivery of reports, information and documents to the Trustee under this Indenture is for informational purposes only and the information and such Trustee’s receipt of the foregoing shall not constitute constructive notice of any information contained therein, or determinable from information contained therein including our compliance with any of its covenants thereunder (as to which such trustee is entitled to rely exclusively on an Officer’s Certificate).</w:t>
      </w:r>
    </w:p>
    <w:p>
      <w:pPr>
        <w:spacing w:after="0" w:line="186" w:lineRule="exact"/>
        <w:rPr>
          <w:rFonts w:ascii="Arial" w:cs="Arial" w:eastAsia="Arial" w:hAnsi="Arial"/>
          <w:sz w:val="18"/>
          <w:szCs w:val="18"/>
          <w:color w:val="auto"/>
        </w:rPr>
      </w:pPr>
    </w:p>
    <w:p>
      <w:pPr>
        <w:ind w:left="-80" w:right="580" w:firstLine="656"/>
        <w:spacing w:after="0" w:line="277" w:lineRule="auto"/>
        <w:tabs>
          <w:tab w:leader="none" w:pos="12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subsequent restatement of financial statements shall have no retroactive effect for purposes of calculations previously made pursuant to the covenants contained in this Indenture.</w:t>
      </w:r>
    </w:p>
    <w:p>
      <w:pPr>
        <w:spacing w:after="0" w:line="170" w:lineRule="exact"/>
        <w:rPr>
          <w:rFonts w:ascii="Arial" w:cs="Arial" w:eastAsia="Arial" w:hAnsi="Arial"/>
          <w:sz w:val="18"/>
          <w:szCs w:val="18"/>
          <w:color w:val="auto"/>
        </w:rPr>
      </w:pPr>
    </w:p>
    <w:p>
      <w:pPr>
        <w:ind w:left="1320" w:hanging="744"/>
        <w:spacing w:after="0"/>
        <w:tabs>
          <w:tab w:leader="none" w:pos="1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w:t>
      </w:r>
    </w:p>
    <w:p>
      <w:pPr>
        <w:spacing w:after="0" w:line="225" w:lineRule="exact"/>
        <w:rPr>
          <w:rFonts w:ascii="Arial" w:cs="Arial" w:eastAsia="Arial" w:hAnsi="Arial"/>
          <w:sz w:val="18"/>
          <w:szCs w:val="18"/>
          <w:color w:val="auto"/>
        </w:rPr>
      </w:pPr>
    </w:p>
    <w:p>
      <w:pPr>
        <w:ind w:left="580" w:firstLine="644"/>
        <w:spacing w:after="0" w:line="279" w:lineRule="auto"/>
        <w:tabs>
          <w:tab w:leader="none" w:pos="211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at any time after the Company releases its earnings for any annual or quarterly period, but in no event later than 10 Business Days after furnishing to the Trustee (or filing with the SEC) the annual and quarterly reports required by clause (a) above, hold a conference call to discuss such reports and the results of operations for the relevant reporting period (which conference call may, at the option of the Company, be the same conference call that the Company’s shareholders and/or equity research analysts are invited to); and</w:t>
      </w:r>
    </w:p>
    <w:p>
      <w:pPr>
        <w:spacing w:after="0" w:line="171" w:lineRule="exact"/>
        <w:rPr>
          <w:rFonts w:ascii="Arial" w:cs="Arial" w:eastAsia="Arial" w:hAnsi="Arial"/>
          <w:sz w:val="17"/>
          <w:szCs w:val="17"/>
          <w:color w:val="auto"/>
        </w:rPr>
      </w:pPr>
    </w:p>
    <w:p>
      <w:pPr>
        <w:jc w:val="both"/>
        <w:ind w:left="580" w:right="120" w:firstLine="644"/>
        <w:spacing w:after="0" w:line="259" w:lineRule="auto"/>
        <w:tabs>
          <w:tab w:leader="none" w:pos="211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issue a press release to an internationally recognized wire service no fewer than three Business Days prior to the date of the conference call required to be held in accordance with this paragraph, announcing the time and date of such conference call and either including all information necessary to access the call or directing noteholders, prospective investors, broker-dealers and securities analysts to contact the appropriate person at the Company to obtain such information.</w:t>
      </w:r>
    </w:p>
    <w:p>
      <w:pPr>
        <w:spacing w:after="0" w:line="186" w:lineRule="exact"/>
        <w:rPr>
          <w:rFonts w:ascii="Arial" w:cs="Arial" w:eastAsia="Arial" w:hAnsi="Arial"/>
          <w:sz w:val="18"/>
          <w:szCs w:val="18"/>
          <w:color w:val="auto"/>
        </w:rPr>
      </w:pPr>
    </w:p>
    <w:p>
      <w:pPr>
        <w:ind w:left="-80" w:right="20" w:firstLine="656"/>
        <w:spacing w:after="0" w:line="257" w:lineRule="auto"/>
        <w:tabs>
          <w:tab w:leader="none" w:pos="128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Trustee shall have no obligation to determine if and when the Company’s financial statements or reports are available to Holders and accessible electronically. Delivery of reports, information and documents to the Trustee under this Indenture is for informational purposes only and the information and the Trustee’s receipt of the foregoing shall not constitute constructive notice of any information contained therein, or determinable from information contained therein, including the Company’s compliance with any of the Company’s covenants set forth herein (as to which the Trustee is entitled to rely exclusively on Officer’s Certificates).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111" w:name="page112"/>
    <w:bookmarkEnd w:id="111"/>
    <w:p>
      <w:pPr>
        <w:ind w:left="-100" w:right="80" w:firstLine="656"/>
        <w:spacing w:after="0" w:line="342" w:lineRule="auto"/>
        <w:tabs>
          <w:tab w:leader="none" w:pos="129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subsequent filing or making available of any materials or conference call required by this covenant shall be deemed automatically to cure any Event of Default resulting from the failure to file or make available such materials or conference call within the required timeframe.</w:t>
      </w:r>
    </w:p>
    <w:p>
      <w:pPr>
        <w:spacing w:after="0" w:line="124" w:lineRule="exact"/>
        <w:rPr>
          <w:sz w:val="20"/>
          <w:szCs w:val="20"/>
          <w:color w:val="auto"/>
        </w:rPr>
      </w:pPr>
    </w:p>
    <w:p>
      <w:pPr>
        <w:ind w:left="560"/>
        <w:spacing w:after="0"/>
        <w:tabs>
          <w:tab w:leader="none" w:pos="206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Limitation on Restricted Payments.</w:t>
      </w:r>
    </w:p>
    <w:p>
      <w:pPr>
        <w:spacing w:after="0" w:line="225" w:lineRule="exact"/>
        <w:rPr>
          <w:sz w:val="20"/>
          <w:szCs w:val="20"/>
          <w:color w:val="auto"/>
        </w:rPr>
      </w:pPr>
    </w:p>
    <w:p>
      <w:pPr>
        <w:ind w:left="1300" w:hanging="7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shall not, and shall not permit any Restricted Subsidiary to, directly or indirectly:</w:t>
      </w:r>
    </w:p>
    <w:p>
      <w:pPr>
        <w:spacing w:after="0" w:line="225" w:lineRule="exact"/>
        <w:rPr>
          <w:rFonts w:ascii="Arial" w:cs="Arial" w:eastAsia="Arial" w:hAnsi="Arial"/>
          <w:sz w:val="18"/>
          <w:szCs w:val="18"/>
          <w:color w:val="auto"/>
        </w:rPr>
      </w:pPr>
    </w:p>
    <w:p>
      <w:pPr>
        <w:ind w:left="560" w:right="280" w:firstLine="644"/>
        <w:spacing w:after="0" w:line="308" w:lineRule="auto"/>
        <w:tabs>
          <w:tab w:leader="none" w:pos="209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declare or pay any dividend or make any distribution on account of the Company’s or any Restricted Subsidiary’s Equity Interests, including any dividend or distribution payable in connection with any merger or consolidation, other than:</w:t>
      </w:r>
    </w:p>
    <w:p>
      <w:pPr>
        <w:spacing w:after="0" w:line="146" w:lineRule="exact"/>
        <w:rPr>
          <w:rFonts w:ascii="Arial" w:cs="Arial" w:eastAsia="Arial" w:hAnsi="Arial"/>
          <w:sz w:val="17"/>
          <w:szCs w:val="17"/>
          <w:color w:val="auto"/>
        </w:rPr>
      </w:pPr>
    </w:p>
    <w:p>
      <w:pPr>
        <w:ind w:left="1400" w:right="440" w:firstLine="646"/>
        <w:spacing w:after="0" w:line="308" w:lineRule="auto"/>
        <w:tabs>
          <w:tab w:leader="none" w:pos="2838" w:val="left"/>
        </w:tabs>
        <w:numPr>
          <w:ilvl w:val="2"/>
          <w:numId w:val="140"/>
        </w:numPr>
        <w:rPr>
          <w:rFonts w:ascii="Arial" w:cs="Arial" w:eastAsia="Arial" w:hAnsi="Arial"/>
          <w:sz w:val="17"/>
          <w:szCs w:val="17"/>
          <w:color w:val="auto"/>
        </w:rPr>
      </w:pPr>
      <w:r>
        <w:rPr>
          <w:rFonts w:ascii="Arial" w:cs="Arial" w:eastAsia="Arial" w:hAnsi="Arial"/>
          <w:sz w:val="17"/>
          <w:szCs w:val="17"/>
          <w:color w:val="auto"/>
        </w:rPr>
        <w:t xml:space="preserve">dividends or distributions by the Company payable in Equity Interests (other than Disqualified Stock) of the Company or in options, warrants </w:t>
      </w:r>
      <w:r>
        <w:rPr>
          <w:rFonts w:ascii="Arial" w:cs="Arial" w:eastAsia="Arial" w:hAnsi="Arial"/>
          <w:sz w:val="17"/>
          <w:szCs w:val="17"/>
          <w:color w:val="151515"/>
        </w:rPr>
        <w:t>or other rights to purchase such Equity Interests (other than Disqualified Stock); or</w:t>
      </w:r>
    </w:p>
    <w:p>
      <w:pPr>
        <w:spacing w:after="0" w:line="146" w:lineRule="exact"/>
        <w:rPr>
          <w:rFonts w:ascii="Arial" w:cs="Arial" w:eastAsia="Arial" w:hAnsi="Arial"/>
          <w:sz w:val="17"/>
          <w:szCs w:val="17"/>
          <w:color w:val="auto"/>
        </w:rPr>
      </w:pPr>
    </w:p>
    <w:p>
      <w:pPr>
        <w:ind w:left="1400" w:firstLine="646"/>
        <w:spacing w:after="0" w:line="259" w:lineRule="auto"/>
        <w:tabs>
          <w:tab w:leader="none" w:pos="2828" w:val="left"/>
        </w:tabs>
        <w:numPr>
          <w:ilvl w:val="2"/>
          <w:numId w:val="140"/>
        </w:numPr>
        <w:rPr>
          <w:rFonts w:ascii="Arial" w:cs="Arial" w:eastAsia="Arial" w:hAnsi="Arial"/>
          <w:sz w:val="18"/>
          <w:szCs w:val="18"/>
          <w:color w:val="auto"/>
        </w:rPr>
      </w:pPr>
      <w:r>
        <w:rPr>
          <w:rFonts w:ascii="Arial" w:cs="Arial" w:eastAsia="Arial" w:hAnsi="Arial"/>
          <w:sz w:val="18"/>
          <w:szCs w:val="18"/>
          <w:color w:val="131313"/>
        </w:rPr>
        <w:t xml:space="preserve">dividends or distributions by </w:t>
      </w:r>
      <w:r>
        <w:rPr>
          <w:rFonts w:ascii="Arial" w:cs="Arial" w:eastAsia="Arial" w:hAnsi="Arial"/>
          <w:sz w:val="18"/>
          <w:szCs w:val="18"/>
          <w:color w:val="000000"/>
        </w:rPr>
        <w:t>a</w:t>
      </w:r>
      <w:r>
        <w:rPr>
          <w:rFonts w:ascii="Arial" w:cs="Arial" w:eastAsia="Arial" w:hAnsi="Arial"/>
          <w:sz w:val="18"/>
          <w:szCs w:val="18"/>
          <w:color w:val="131313"/>
        </w:rPr>
        <w:t xml:space="preserve"> Restricted Subsidiary so long as, in the case of any dividend or distribution payable on or in respect of any class or series of securities issued by a Restricted Subsidiary other than a Wholly Owned Subsidiary, the Company or a Restricted Subsidiary receives at least its pro rata share of such dividend or distribution in accordance with its Equity Interests in such class or series of securities;</w:t>
      </w:r>
    </w:p>
    <w:p>
      <w:pPr>
        <w:spacing w:after="0" w:line="186" w:lineRule="exact"/>
        <w:rPr>
          <w:rFonts w:ascii="Arial" w:cs="Arial" w:eastAsia="Arial" w:hAnsi="Arial"/>
          <w:sz w:val="18"/>
          <w:szCs w:val="18"/>
          <w:color w:val="auto"/>
        </w:rPr>
      </w:pPr>
    </w:p>
    <w:p>
      <w:pPr>
        <w:ind w:left="560" w:firstLine="644"/>
        <w:spacing w:after="0" w:line="277" w:lineRule="auto"/>
        <w:tabs>
          <w:tab w:leader="none" w:pos="209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purchase, redeem, defease or otherwise acquire or retire for value any Equity Interests of the Company or any other direct or indirect parent of the Company, including in connection with any merger or consolidation;</w:t>
      </w:r>
    </w:p>
    <w:p>
      <w:pPr>
        <w:spacing w:after="0" w:line="170" w:lineRule="exact"/>
        <w:rPr>
          <w:rFonts w:ascii="Arial" w:cs="Arial" w:eastAsia="Arial" w:hAnsi="Arial"/>
          <w:sz w:val="18"/>
          <w:szCs w:val="18"/>
          <w:color w:val="auto"/>
        </w:rPr>
      </w:pPr>
    </w:p>
    <w:p>
      <w:pPr>
        <w:ind w:left="560" w:right="20" w:firstLine="644"/>
        <w:spacing w:after="0" w:line="342" w:lineRule="auto"/>
        <w:tabs>
          <w:tab w:leader="none" w:pos="209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make any principal payment on, or redeem, repurchase, defease or otherwise acquire or retire for value in each case, prior to any scheduled repayment, sinking fund payment or maturity, any Subordinated Indebtedness of the Company or a Guarantor, other than:</w:t>
      </w:r>
    </w:p>
    <w:p>
      <w:pPr>
        <w:spacing w:after="0" w:line="124" w:lineRule="exact"/>
        <w:rPr>
          <w:sz w:val="20"/>
          <w:szCs w:val="20"/>
          <w:color w:val="auto"/>
        </w:rPr>
      </w:pPr>
    </w:p>
    <w:p>
      <w:pPr>
        <w:ind w:left="2800" w:hanging="754"/>
        <w:spacing w:after="0"/>
        <w:tabs>
          <w:tab w:leader="none" w:pos="28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Indebtedness permitted under clause (7) or (8) of Section 10.09(b); or</w:t>
      </w:r>
    </w:p>
    <w:p>
      <w:pPr>
        <w:spacing w:after="0" w:line="225" w:lineRule="exact"/>
        <w:rPr>
          <w:rFonts w:ascii="Arial" w:cs="Arial" w:eastAsia="Arial" w:hAnsi="Arial"/>
          <w:sz w:val="18"/>
          <w:szCs w:val="18"/>
          <w:color w:val="auto"/>
        </w:rPr>
      </w:pPr>
    </w:p>
    <w:p>
      <w:pPr>
        <w:jc w:val="both"/>
        <w:ind w:left="1400" w:right="200" w:firstLine="646"/>
        <w:spacing w:after="0" w:line="286" w:lineRule="auto"/>
        <w:tabs>
          <w:tab w:leader="none" w:pos="279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purchase, redemption, defeasance, repurchase, retirement or other acquisition of Subordinated Indebtedness purchased in anticipation of satisfying a sinking fund obligation, principal installment or final maturity, in each case due within one year of the date of purchase, redemption, defeasance, repurchase, retirement or other acquisition; 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420" w:top="908" w:right="419" w:bottom="1440" w:gutter="0" w:footer="0" w:header="0"/>
        </w:sectPr>
      </w:pPr>
    </w:p>
    <w:bookmarkStart w:id="112" w:name="page113"/>
    <w:bookmarkEnd w:id="112"/>
    <w:p>
      <w:pPr>
        <w:ind w:left="-460" w:right="640" w:firstLine="644"/>
        <w:spacing w:after="0" w:line="277" w:lineRule="auto"/>
        <w:tabs>
          <w:tab w:leader="none" w:pos="107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such Restricted Payment:</w:t>
      </w:r>
    </w:p>
    <w:p>
      <w:pPr>
        <w:spacing w:after="0" w:line="170" w:lineRule="exact"/>
        <w:rPr>
          <w:rFonts w:ascii="Arial" w:cs="Arial" w:eastAsia="Arial" w:hAnsi="Arial"/>
          <w:sz w:val="18"/>
          <w:szCs w:val="18"/>
          <w:color w:val="auto"/>
        </w:rPr>
      </w:pPr>
    </w:p>
    <w:p>
      <w:pPr>
        <w:ind w:left="1820" w:hanging="794"/>
        <w:spacing w:after="0"/>
        <w:tabs>
          <w:tab w:leader="none" w:pos="18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occur as a consequence thereof;</w:t>
      </w:r>
    </w:p>
    <w:p>
      <w:pPr>
        <w:spacing w:after="0" w:line="225" w:lineRule="exact"/>
        <w:rPr>
          <w:rFonts w:ascii="Arial" w:cs="Arial" w:eastAsia="Arial" w:hAnsi="Arial"/>
          <w:sz w:val="18"/>
          <w:szCs w:val="18"/>
          <w:color w:val="auto"/>
        </w:rPr>
      </w:pPr>
    </w:p>
    <w:p>
      <w:pPr>
        <w:ind w:left="380" w:right="620" w:firstLine="646"/>
        <w:spacing w:after="0" w:line="277" w:lineRule="auto"/>
        <w:tabs>
          <w:tab w:leader="none" w:pos="180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on a pro forma basis, the Company could incur $1.00 of additional Indebtedness under Section 10.09(a); and</w:t>
      </w:r>
    </w:p>
    <w:p>
      <w:pPr>
        <w:spacing w:after="0" w:line="170" w:lineRule="exact"/>
        <w:rPr>
          <w:rFonts w:ascii="Arial" w:cs="Arial" w:eastAsia="Arial" w:hAnsi="Arial"/>
          <w:sz w:val="18"/>
          <w:szCs w:val="18"/>
          <w:color w:val="auto"/>
        </w:rPr>
      </w:pPr>
    </w:p>
    <w:p>
      <w:pPr>
        <w:ind w:left="380" w:firstLine="646"/>
        <w:spacing w:after="0" w:line="259" w:lineRule="auto"/>
        <w:tabs>
          <w:tab w:leader="none" w:pos="180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the Restricted Subsidiaries after the Issue Date pursuant to this Section 10.08(a) or clauses (1), (2) (with respect to Retired Capital Stock), (6) and (11) of Section 10.08(b) (and excluding, for the avoidance of doubt, all other Restricted Payments made pursuant to Section 10.08(b)), is less than the sum, without duplication, of:</w:t>
      </w:r>
    </w:p>
    <w:p>
      <w:pPr>
        <w:spacing w:after="0" w:line="186" w:lineRule="exact"/>
        <w:rPr>
          <w:rFonts w:ascii="Arial" w:cs="Arial" w:eastAsia="Arial" w:hAnsi="Arial"/>
          <w:sz w:val="18"/>
          <w:szCs w:val="18"/>
          <w:color w:val="auto"/>
        </w:rPr>
      </w:pPr>
    </w:p>
    <w:p>
      <w:pPr>
        <w:ind w:left="1160" w:right="100" w:firstLine="644"/>
        <w:spacing w:after="0" w:line="257" w:lineRule="auto"/>
        <w:tabs>
          <w:tab w:leader="none" w:pos="2557" w:val="left"/>
        </w:tabs>
        <w:numPr>
          <w:ilvl w:val="2"/>
          <w:numId w:val="142"/>
        </w:numPr>
        <w:rPr>
          <w:rFonts w:ascii="Arial" w:cs="Arial" w:eastAsia="Arial" w:hAnsi="Arial"/>
          <w:sz w:val="18"/>
          <w:szCs w:val="18"/>
          <w:color w:val="auto"/>
        </w:rPr>
      </w:pPr>
      <w:r>
        <w:rPr>
          <w:rFonts w:ascii="Arial" w:cs="Arial" w:eastAsia="Arial" w:hAnsi="Arial"/>
          <w:sz w:val="18"/>
          <w:szCs w:val="18"/>
          <w:color w:val="auto"/>
        </w:rPr>
        <w:t xml:space="preserve">(x) $35.0 million plus (y) 50% of the Consolidated Net Income of the Company for the period (taken as one accounting period) from the first day of the fiscal quarter in which the Issue Date occurs to the end of the Company’s most recently ended fiscal quarter for which internal financial statements of the </w:t>
      </w:r>
      <w:r>
        <w:rPr>
          <w:rFonts w:ascii="Arial" w:cs="Arial" w:eastAsia="Arial" w:hAnsi="Arial"/>
          <w:sz w:val="18"/>
          <w:szCs w:val="18"/>
          <w:color w:val="121212"/>
        </w:rPr>
        <w:t>Company are available at</w:t>
      </w:r>
      <w:r>
        <w:rPr>
          <w:rFonts w:ascii="Arial" w:cs="Arial" w:eastAsia="Arial" w:hAnsi="Arial"/>
          <w:sz w:val="18"/>
          <w:szCs w:val="18"/>
          <w:color w:val="auto"/>
        </w:rPr>
        <w:t xml:space="preserve"> the </w:t>
      </w:r>
      <w:r>
        <w:rPr>
          <w:rFonts w:ascii="Arial" w:cs="Arial" w:eastAsia="Arial" w:hAnsi="Arial"/>
          <w:sz w:val="18"/>
          <w:szCs w:val="18"/>
          <w:color w:val="121212"/>
        </w:rPr>
        <w:t>time of such</w:t>
      </w:r>
      <w:r>
        <w:rPr>
          <w:rFonts w:ascii="Arial" w:cs="Arial" w:eastAsia="Arial" w:hAnsi="Arial"/>
          <w:sz w:val="18"/>
          <w:szCs w:val="18"/>
          <w:color w:val="auto"/>
        </w:rPr>
        <w:t xml:space="preserve"> </w:t>
      </w:r>
      <w:r>
        <w:rPr>
          <w:rFonts w:ascii="Arial" w:cs="Arial" w:eastAsia="Arial" w:hAnsi="Arial"/>
          <w:sz w:val="18"/>
          <w:szCs w:val="18"/>
          <w:color w:val="121212"/>
        </w:rPr>
        <w:t xml:space="preserve">Restricted Payment, or, in the case such Consolidated Net Income for such period is a deficit, </w:t>
      </w:r>
      <w:r>
        <w:rPr>
          <w:rFonts w:ascii="Arial" w:cs="Arial" w:eastAsia="Arial" w:hAnsi="Arial"/>
          <w:sz w:val="18"/>
          <w:szCs w:val="18"/>
          <w:i w:val="1"/>
          <w:iCs w:val="1"/>
          <w:color w:val="121212"/>
        </w:rPr>
        <w:t>minus</w:t>
      </w:r>
      <w:r>
        <w:rPr>
          <w:rFonts w:ascii="Arial" w:cs="Arial" w:eastAsia="Arial" w:hAnsi="Arial"/>
          <w:sz w:val="18"/>
          <w:szCs w:val="18"/>
          <w:color w:val="121212"/>
        </w:rPr>
        <w:t xml:space="preserve"> 100% of such deficit, </w:t>
      </w:r>
      <w:r>
        <w:rPr>
          <w:rFonts w:ascii="Arial" w:cs="Arial" w:eastAsia="Arial" w:hAnsi="Arial"/>
          <w:sz w:val="18"/>
          <w:szCs w:val="18"/>
          <w:i w:val="1"/>
          <w:iCs w:val="1"/>
          <w:color w:val="121212"/>
        </w:rPr>
        <w:t>plus</w:t>
      </w:r>
    </w:p>
    <w:p>
      <w:pPr>
        <w:spacing w:after="0" w:line="187" w:lineRule="exact"/>
        <w:rPr>
          <w:rFonts w:ascii="Arial" w:cs="Arial" w:eastAsia="Arial" w:hAnsi="Arial"/>
          <w:sz w:val="18"/>
          <w:szCs w:val="18"/>
          <w:color w:val="auto"/>
        </w:rPr>
      </w:pPr>
    </w:p>
    <w:p>
      <w:pPr>
        <w:ind w:left="1160" w:right="80" w:firstLine="644"/>
        <w:spacing w:after="0" w:line="257" w:lineRule="auto"/>
        <w:tabs>
          <w:tab w:leader="none" w:pos="2557" w:val="left"/>
        </w:tabs>
        <w:numPr>
          <w:ilvl w:val="2"/>
          <w:numId w:val="142"/>
        </w:numPr>
        <w:rPr>
          <w:rFonts w:ascii="Arial" w:cs="Arial" w:eastAsia="Arial" w:hAnsi="Arial"/>
          <w:sz w:val="18"/>
          <w:szCs w:val="18"/>
          <w:color w:val="auto"/>
        </w:rPr>
      </w:pPr>
      <w:r>
        <w:rPr>
          <w:rFonts w:ascii="Arial" w:cs="Arial" w:eastAsia="Arial" w:hAnsi="Arial"/>
          <w:sz w:val="18"/>
          <w:szCs w:val="18"/>
          <w:color w:val="auto"/>
        </w:rPr>
        <w:t>100% of the aggregate net cash proceeds and the fair market value, as determined in good faith by the Company, of marketable securities or other property received by the Company after the Issue Date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amount of such net cash proceeds to the extent such amount has been relied upon to permit (A) the incurrence of Indebtedness, or issuance of Disqualified Stock or Preferred Stock pursuant to Section 10.09(b)(21)(B))) or (B) the payment of Excluded Contributions from the issue or sale of:</w:t>
      </w:r>
    </w:p>
    <w:p>
      <w:pPr>
        <w:spacing w:after="0" w:line="187" w:lineRule="exact"/>
        <w:rPr>
          <w:rFonts w:ascii="Arial" w:cs="Arial" w:eastAsia="Arial" w:hAnsi="Arial"/>
          <w:sz w:val="18"/>
          <w:szCs w:val="18"/>
          <w:color w:val="auto"/>
        </w:rPr>
      </w:pPr>
    </w:p>
    <w:p>
      <w:pPr>
        <w:ind w:left="1800" w:right="160" w:firstLine="652"/>
        <w:spacing w:after="0" w:line="273" w:lineRule="auto"/>
        <w:tabs>
          <w:tab w:leader="none" w:pos="3197" w:val="left"/>
        </w:tabs>
        <w:numPr>
          <w:ilvl w:val="3"/>
          <w:numId w:val="142"/>
        </w:numPr>
        <w:rPr>
          <w:rFonts w:ascii="Arial" w:cs="Arial" w:eastAsia="Arial" w:hAnsi="Arial"/>
          <w:sz w:val="17"/>
          <w:szCs w:val="17"/>
          <w:color w:val="auto"/>
        </w:rPr>
      </w:pPr>
      <w:r>
        <w:rPr>
          <w:rFonts w:ascii="Arial" w:cs="Arial" w:eastAsia="Arial" w:hAnsi="Arial"/>
          <w:sz w:val="17"/>
          <w:szCs w:val="17"/>
          <w:color w:val="auto"/>
        </w:rPr>
        <w:t>(i) Equity Interests of the Company (other than any Permitted Warrant Transactions), but excluding cash proceeds and the fair market value, as determined in good faith by the Company, of marketable securities or other property received from the sale of Equity Interests to any future, present or former employees, directors, managers or consultants of the Company, any direct or indirect parent company of the Company or any of the Company’s Subsidiaries after the Issue Date to the extent such amounts have been applied to Restricted Payments made in accordance with Section 10.08(b)(4); and</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3" w:name="page114"/>
    <w:bookmarkEnd w:id="113"/>
    <w:p>
      <w:pPr>
        <w:ind w:left="1800" w:right="140" w:firstLine="652"/>
        <w:spacing w:after="0" w:line="277" w:lineRule="auto"/>
        <w:tabs>
          <w:tab w:leader="none" w:pos="320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extent actually contributed to the Company, Equity Interests of the Company’s direct or indirect parent companies; or</w:t>
      </w:r>
    </w:p>
    <w:p>
      <w:pPr>
        <w:spacing w:after="0" w:line="170" w:lineRule="exact"/>
        <w:rPr>
          <w:sz w:val="20"/>
          <w:szCs w:val="20"/>
          <w:color w:val="auto"/>
        </w:rPr>
      </w:pPr>
    </w:p>
    <w:p>
      <w:pPr>
        <w:ind w:left="1800" w:right="340" w:firstLine="652"/>
        <w:spacing w:after="0" w:line="342" w:lineRule="auto"/>
        <w:tabs>
          <w:tab w:leader="none" w:pos="319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debt securities of the Company that have been converted into or exchanged for such Equity Interests of the Company or for Equity Interests of the Company’s direct or indirect parent companies;</w:t>
      </w:r>
    </w:p>
    <w:p>
      <w:pPr>
        <w:spacing w:after="0" w:line="124"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(2) shall not include the proceeds from (a) Equity Interests of the Company or debt securities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that have been converted into or exchanged for Equity Interests of the Company sold to a Restricted Subsidiary or the Company, as the case may be, (b) Disqualified Stock or debt securities that have been converted into or exchanged for Disqualified Stock or (c) Excluded Contributions, </w:t>
      </w:r>
      <w:r>
        <w:rPr>
          <w:rFonts w:ascii="Arial" w:cs="Arial" w:eastAsia="Arial" w:hAnsi="Arial"/>
          <w:sz w:val="18"/>
          <w:szCs w:val="18"/>
          <w:i w:val="1"/>
          <w:iCs w:val="1"/>
          <w:color w:val="auto"/>
        </w:rPr>
        <w:t>plus</w:t>
      </w:r>
    </w:p>
    <w:p>
      <w:pPr>
        <w:spacing w:after="0" w:line="187" w:lineRule="exact"/>
        <w:rPr>
          <w:sz w:val="20"/>
          <w:szCs w:val="20"/>
          <w:color w:val="auto"/>
        </w:rPr>
      </w:pPr>
    </w:p>
    <w:p>
      <w:pPr>
        <w:ind w:left="1160" w:right="60" w:firstLine="644"/>
        <w:spacing w:after="0" w:line="275" w:lineRule="auto"/>
        <w:tabs>
          <w:tab w:leader="none" w:pos="255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100% of the aggregate amount of cash and the fair market value, as determined in good faith by the Company, of marketable securities or other property contributed to the capital of the Company after the Issue Date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amount of such net cash proceeds to the extent such amount has been relied upon to permit the incurrence of Indebtedness or issuance of Disqualified Stock or Preferred Stock pursuant to Section 10.09(b)(21)(B) (other than any contribution made by a Restricted Subsidiary and other than any Excluded Contribution), </w:t>
      </w:r>
      <w:r>
        <w:rPr>
          <w:rFonts w:ascii="Arial" w:cs="Arial" w:eastAsia="Arial" w:hAnsi="Arial"/>
          <w:sz w:val="17"/>
          <w:szCs w:val="17"/>
          <w:i w:val="1"/>
          <w:iCs w:val="1"/>
          <w:color w:val="auto"/>
        </w:rPr>
        <w:t>plus</w:t>
      </w:r>
    </w:p>
    <w:p>
      <w:pPr>
        <w:spacing w:after="0" w:line="176" w:lineRule="exact"/>
        <w:rPr>
          <w:rFonts w:ascii="Arial" w:cs="Arial" w:eastAsia="Arial" w:hAnsi="Arial"/>
          <w:sz w:val="17"/>
          <w:szCs w:val="17"/>
          <w:color w:val="auto"/>
        </w:rPr>
      </w:pPr>
    </w:p>
    <w:p>
      <w:pPr>
        <w:ind w:left="1160" w:right="120" w:firstLine="644"/>
        <w:spacing w:after="0" w:line="263" w:lineRule="auto"/>
        <w:tabs>
          <w:tab w:leader="none" w:pos="255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extent not already included in Consolidated Net Income, 100% of the aggregate amount received in cash and the fair market value, as determined in good faith by the Company, of marketable securities or other property received after the Issue Date by means of;</w:t>
      </w:r>
    </w:p>
    <w:p>
      <w:pPr>
        <w:spacing w:after="0" w:line="183" w:lineRule="exact"/>
        <w:rPr>
          <w:rFonts w:ascii="Arial" w:cs="Arial" w:eastAsia="Arial" w:hAnsi="Arial"/>
          <w:sz w:val="18"/>
          <w:szCs w:val="18"/>
          <w:color w:val="auto"/>
        </w:rPr>
      </w:pPr>
    </w:p>
    <w:p>
      <w:pPr>
        <w:ind w:left="1800" w:right="100" w:firstLine="652"/>
        <w:spacing w:after="0" w:line="279" w:lineRule="auto"/>
        <w:tabs>
          <w:tab w:leader="none" w:pos="3238"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sale or other disposition (other than to the Company or a Restricted Subsidiary) of Restricted Investments made by the Company or any Restricted Subsidiary and repurchases and redemptions of such Restricted Investments from the Company or any Restricted Subsidiary and repayments to the Company or a Restricted Subsidiary of loans or advances that constitute Restricted Investments; or</w:t>
      </w:r>
    </w:p>
    <w:p>
      <w:pPr>
        <w:spacing w:after="0" w:line="171" w:lineRule="exact"/>
        <w:rPr>
          <w:rFonts w:ascii="Arial" w:cs="Arial" w:eastAsia="Arial" w:hAnsi="Arial"/>
          <w:sz w:val="17"/>
          <w:szCs w:val="17"/>
          <w:color w:val="auto"/>
        </w:rPr>
      </w:pPr>
    </w:p>
    <w:p>
      <w:pPr>
        <w:ind w:left="1800" w:right="280" w:firstLine="652"/>
        <w:spacing w:after="0" w:line="296" w:lineRule="auto"/>
        <w:tabs>
          <w:tab w:leader="none" w:pos="3228"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sale (other than to the Company or a Restricted Subsidiary) of the Capital Stock of an Unrestricted Subsidiary or a distribution from an Unrestricted Subsidiary or other equity investee (other than in each case to the extent the Investment in such Unrestricted Subsidiary or other equity investee was made by the Company or a Restricted Subsidiary pursuant to Section 10.08(b)(13) or (14) or to the extent such Investment constituted a Permitted Investment) or a dividend from an Unrestricted Subsidiary or other equity investee.</w:t>
      </w:r>
    </w:p>
    <w:p>
      <w:pPr>
        <w:spacing w:after="0" w:line="3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14" w:name="page115"/>
    <w:bookmarkEnd w:id="114"/>
    <w:p>
      <w:pPr>
        <w:ind w:left="704" w:hanging="704"/>
        <w:spacing w:after="0"/>
        <w:tabs>
          <w:tab w:leader="none" w:pos="70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foregoing provisions shall not prohibit:</w:t>
      </w:r>
    </w:p>
    <w:p>
      <w:pPr>
        <w:spacing w:after="0" w:line="225" w:lineRule="exact"/>
        <w:rPr>
          <w:rFonts w:ascii="Arial" w:cs="Arial" w:eastAsia="Arial" w:hAnsi="Arial"/>
          <w:sz w:val="18"/>
          <w:szCs w:val="18"/>
          <w:color w:val="auto"/>
        </w:rPr>
      </w:pPr>
    </w:p>
    <w:p>
      <w:pPr>
        <w:ind w:left="4" w:right="160" w:firstLine="644"/>
        <w:spacing w:after="0" w:line="308" w:lineRule="auto"/>
        <w:tabs>
          <w:tab w:leader="none" w:pos="140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payment of any dividend or distribution or the consummation of any irrevocable redemption within 60 days after the date of declaration thereof, if at the date of declaration such payment would have complied with the provisions of this Indenture;</w:t>
      </w:r>
    </w:p>
    <w:p>
      <w:pPr>
        <w:spacing w:after="0" w:line="146" w:lineRule="exact"/>
        <w:rPr>
          <w:rFonts w:ascii="Arial" w:cs="Arial" w:eastAsia="Arial" w:hAnsi="Arial"/>
          <w:sz w:val="17"/>
          <w:szCs w:val="17"/>
          <w:color w:val="auto"/>
        </w:rPr>
      </w:pPr>
    </w:p>
    <w:p>
      <w:pPr>
        <w:ind w:left="4" w:right="200" w:firstLine="644"/>
        <w:spacing w:after="0" w:line="259" w:lineRule="auto"/>
        <w:tabs>
          <w:tab w:leader="none" w:pos="140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redemption, repurchase, retirement or other acquisition of any Equity Interests (“</w:t>
      </w:r>
      <w:r>
        <w:rPr>
          <w:rFonts w:ascii="Arial" w:cs="Arial" w:eastAsia="Arial" w:hAnsi="Arial"/>
          <w:sz w:val="18"/>
          <w:szCs w:val="18"/>
          <w:i w:val="1"/>
          <w:iCs w:val="1"/>
          <w:color w:val="auto"/>
        </w:rPr>
        <w:t>Retired Capital Stock</w:t>
      </w:r>
      <w:r>
        <w:rPr>
          <w:rFonts w:ascii="Arial" w:cs="Arial" w:eastAsia="Arial" w:hAnsi="Arial"/>
          <w:sz w:val="18"/>
          <w:szCs w:val="18"/>
          <w:color w:val="auto"/>
        </w:rPr>
        <w:t xml:space="preserve">”) or Subordinated Indebtedness of the Company or any Equity Interests of any direct or indirect parent company of the Company, in exchange for, or out of the proceeds of the sale, within 60 days of such redemption, </w:t>
      </w:r>
      <w:r>
        <w:rPr>
          <w:rFonts w:ascii="Arial" w:cs="Arial" w:eastAsia="Arial" w:hAnsi="Arial"/>
          <w:sz w:val="18"/>
          <w:szCs w:val="18"/>
          <w:color w:val="111111"/>
        </w:rPr>
        <w:t>repurchase, retirement or other acquisition (other than to a Restricted Subsidiary) of,</w:t>
      </w:r>
      <w:r>
        <w:rPr>
          <w:rFonts w:ascii="Arial" w:cs="Arial" w:eastAsia="Arial" w:hAnsi="Arial"/>
          <w:sz w:val="18"/>
          <w:szCs w:val="18"/>
          <w:color w:val="auto"/>
        </w:rPr>
        <w:t xml:space="preserve"> </w:t>
      </w:r>
      <w:r>
        <w:rPr>
          <w:rFonts w:ascii="Arial" w:cs="Arial" w:eastAsia="Arial" w:hAnsi="Arial"/>
          <w:sz w:val="18"/>
          <w:szCs w:val="18"/>
          <w:color w:val="111111"/>
        </w:rPr>
        <w:t>Equity Interests of the Company (in each case, other than any Disqualified Stock);</w:t>
      </w:r>
    </w:p>
    <w:p>
      <w:pPr>
        <w:spacing w:after="0" w:line="186" w:lineRule="exact"/>
        <w:rPr>
          <w:rFonts w:ascii="Arial" w:cs="Arial" w:eastAsia="Arial" w:hAnsi="Arial"/>
          <w:sz w:val="18"/>
          <w:szCs w:val="18"/>
          <w:color w:val="auto"/>
        </w:rPr>
      </w:pPr>
    </w:p>
    <w:p>
      <w:pPr>
        <w:ind w:left="4" w:right="60" w:firstLine="644"/>
        <w:spacing w:after="0" w:line="275" w:lineRule="auto"/>
        <w:tabs>
          <w:tab w:leader="none" w:pos="1401" w:val="left"/>
        </w:tabs>
        <w:numPr>
          <w:ilvl w:val="1"/>
          <w:numId w:val="146"/>
        </w:numPr>
        <w:rPr>
          <w:rFonts w:ascii="Arial" w:cs="Arial" w:eastAsia="Arial" w:hAnsi="Arial"/>
          <w:sz w:val="17"/>
          <w:szCs w:val="17"/>
          <w:color w:val="auto"/>
        </w:rPr>
      </w:pPr>
      <w:r>
        <w:rPr>
          <w:rFonts w:ascii="Arial" w:cs="Arial" w:eastAsia="Arial" w:hAnsi="Arial"/>
          <w:sz w:val="17"/>
          <w:szCs w:val="17"/>
          <w:color w:val="111111"/>
        </w:rPr>
        <w:t xml:space="preserve">the defeasance, redemption, repurchase or other acquisition or retirement of (a) Subordinated Indebtedness of the Company or a Restricted Subsidiary made by exchange for, or out of the proceeds of the sale, within 90 days of such, redemption, repurchase, retirement or other acquisition of, new Indebtedness of such Person or (b) Disqualified Stock of the Company or a Restricted Subsidiary made by exchange for, or out of the proceeds of the sale, within 60 days of such redemption, repurchase, retirement or other acquisition of, Disqualified Stock of such Person that, in each case, is incurred in compliance with Section </w:t>
      </w:r>
      <w:r>
        <w:rPr>
          <w:rFonts w:ascii="Arial" w:cs="Arial" w:eastAsia="Arial" w:hAnsi="Arial"/>
          <w:sz w:val="17"/>
          <w:szCs w:val="17"/>
          <w:color w:val="000000"/>
        </w:rPr>
        <w:t>10.09</w:t>
      </w:r>
      <w:r>
        <w:rPr>
          <w:rFonts w:ascii="Arial" w:cs="Arial" w:eastAsia="Arial" w:hAnsi="Arial"/>
          <w:sz w:val="17"/>
          <w:szCs w:val="17"/>
          <w:color w:val="111111"/>
        </w:rPr>
        <w:t xml:space="preserve"> so long as:</w:t>
      </w:r>
    </w:p>
    <w:p>
      <w:pPr>
        <w:spacing w:after="0" w:line="176" w:lineRule="exact"/>
        <w:rPr>
          <w:rFonts w:ascii="Arial" w:cs="Arial" w:eastAsia="Arial" w:hAnsi="Arial"/>
          <w:sz w:val="17"/>
          <w:szCs w:val="17"/>
          <w:color w:val="auto"/>
        </w:rPr>
      </w:pPr>
    </w:p>
    <w:p>
      <w:pPr>
        <w:ind w:left="844" w:right="20" w:firstLine="646"/>
        <w:spacing w:after="0" w:line="293" w:lineRule="auto"/>
        <w:tabs>
          <w:tab w:leader="none" w:pos="2282" w:val="left"/>
        </w:tabs>
        <w:numPr>
          <w:ilvl w:val="2"/>
          <w:numId w:val="146"/>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new Indebtedness or liquidation preference of such new Disqualified Stock does not exceed the principal amount (or accreted value, if applicable) of the Subordinated Indebtedness or the liquidation preference of the Disqualified Stock being so defeased, redeemed, repurchased, acquired or retired for value, plus the amount of any accrued and unpaid interest and premium required to be paid under the terms of the instrument governing the Subordinated Indebtedness or Disqualified Stock being so defeased, redeemed, repurchased, acquired or retired, any tender premiums and any reasonable fees and expenses incurred in connection with the issuance of such new Indebtedness or Disqualified Stock;</w:t>
      </w:r>
    </w:p>
    <w:p>
      <w:pPr>
        <w:spacing w:after="0" w:line="164" w:lineRule="exact"/>
        <w:rPr>
          <w:rFonts w:ascii="Arial" w:cs="Arial" w:eastAsia="Arial" w:hAnsi="Arial"/>
          <w:sz w:val="16"/>
          <w:szCs w:val="16"/>
          <w:color w:val="auto"/>
        </w:rPr>
      </w:pPr>
    </w:p>
    <w:p>
      <w:pPr>
        <w:ind w:left="844" w:right="20" w:firstLine="646"/>
        <w:spacing w:after="0" w:line="277" w:lineRule="auto"/>
        <w:tabs>
          <w:tab w:leader="none" w:pos="2272" w:val="left"/>
        </w:tabs>
        <w:numPr>
          <w:ilvl w:val="2"/>
          <w:numId w:val="146"/>
        </w:numPr>
        <w:rPr>
          <w:rFonts w:ascii="Arial" w:cs="Arial" w:eastAsia="Arial" w:hAnsi="Arial"/>
          <w:sz w:val="18"/>
          <w:szCs w:val="18"/>
          <w:color w:val="auto"/>
        </w:rPr>
      </w:pPr>
      <w:r>
        <w:rPr>
          <w:rFonts w:ascii="Arial" w:cs="Arial" w:eastAsia="Arial" w:hAnsi="Arial"/>
          <w:sz w:val="18"/>
          <w:szCs w:val="18"/>
          <w:color w:val="121212"/>
        </w:rPr>
        <w:t>such Indebtedness is subordinated to the Notes in right of payment at least to the same extent as such Subordinated Indebtedness so defeased, redeemed, repurchased, acquired or retired;</w:t>
      </w:r>
    </w:p>
    <w:p>
      <w:pPr>
        <w:spacing w:after="0" w:line="170" w:lineRule="exact"/>
        <w:rPr>
          <w:rFonts w:ascii="Arial" w:cs="Arial" w:eastAsia="Arial" w:hAnsi="Arial"/>
          <w:sz w:val="18"/>
          <w:szCs w:val="18"/>
          <w:color w:val="auto"/>
        </w:rPr>
      </w:pPr>
    </w:p>
    <w:p>
      <w:pPr>
        <w:ind w:left="844" w:firstLine="646"/>
        <w:spacing w:after="0" w:line="263" w:lineRule="auto"/>
        <w:tabs>
          <w:tab w:leader="none" w:pos="2272" w:val="left"/>
        </w:tabs>
        <w:numPr>
          <w:ilvl w:val="2"/>
          <w:numId w:val="146"/>
        </w:numPr>
        <w:rPr>
          <w:rFonts w:ascii="Arial" w:cs="Arial" w:eastAsia="Arial" w:hAnsi="Arial"/>
          <w:sz w:val="18"/>
          <w:szCs w:val="18"/>
          <w:color w:val="auto"/>
        </w:rPr>
      </w:pPr>
      <w:r>
        <w:rPr>
          <w:rFonts w:ascii="Arial" w:cs="Arial" w:eastAsia="Arial" w:hAnsi="Arial"/>
          <w:sz w:val="18"/>
          <w:szCs w:val="18"/>
          <w:color w:val="121212"/>
        </w:rPr>
        <w:t>such Indebtedness or Disqualified Stock has a final scheduled maturity date equal to or later than (x) the final scheduled maturity date of the Subordinated Indebtedness or Disqualified Stock being so defeased, redeemed, repurchased, acquired or retired or (y) one year after the final stated maturity of the Notes; and</w:t>
      </w:r>
    </w:p>
    <w:p>
      <w:pPr>
        <w:spacing w:after="0" w:line="183" w:lineRule="exact"/>
        <w:rPr>
          <w:rFonts w:ascii="Arial" w:cs="Arial" w:eastAsia="Arial" w:hAnsi="Arial"/>
          <w:sz w:val="18"/>
          <w:szCs w:val="18"/>
          <w:color w:val="auto"/>
        </w:rPr>
      </w:pPr>
    </w:p>
    <w:p>
      <w:pPr>
        <w:ind w:left="844" w:right="160" w:firstLine="646"/>
        <w:spacing w:after="0" w:line="263" w:lineRule="auto"/>
        <w:tabs>
          <w:tab w:leader="none" w:pos="2282" w:val="left"/>
        </w:tabs>
        <w:numPr>
          <w:ilvl w:val="2"/>
          <w:numId w:val="146"/>
        </w:numPr>
        <w:rPr>
          <w:rFonts w:ascii="Arial" w:cs="Arial" w:eastAsia="Arial" w:hAnsi="Arial"/>
          <w:sz w:val="18"/>
          <w:szCs w:val="18"/>
          <w:color w:val="auto"/>
        </w:rPr>
      </w:pPr>
      <w:r>
        <w:rPr>
          <w:rFonts w:ascii="Arial" w:cs="Arial" w:eastAsia="Arial" w:hAnsi="Arial"/>
          <w:sz w:val="18"/>
          <w:szCs w:val="18"/>
          <w:color w:val="121212"/>
        </w:rPr>
        <w:t>such Indebtedness or Disqualified Stock has a Weighted Average Life to Maturity equal to or greater than (x) the remaining Weighted Average Life to Maturity of the Subordinated Indebtedness or Disqualified Stock being so defeased, redeemed, repurchased, acquired or retired or (y) one year after the final stated maturity of the Notes;</w:t>
      </w:r>
    </w:p>
    <w:p>
      <w:pPr>
        <w:spacing w:after="0" w:line="400"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15" w:name="page116"/>
    <w:bookmarkEnd w:id="115"/>
    <w:p>
      <w:pPr>
        <w:ind w:right="60" w:firstLine="644"/>
        <w:spacing w:after="0" w:line="257" w:lineRule="auto"/>
        <w:tabs>
          <w:tab w:leader="none" w:pos="153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Restricted Payment to pay for the repurchase, retirement or other acquisition or retirement for value of Equity Interests (other than Disqualified Stock) of the Company or any of the Company’s direct or indirect parent companies held by any future, present or former employee, director, manager or consultant of the Company, any of its Subsidiaries or any of its direct or indirect parent companies, or their estates or the beneficiaries of such estates, pursuant to any management equity plan or stock option plan or any other management or employee benefit plan or agreement;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aggregate Restricted Payments made under this clause (4) do not exceed in any calendar year $10.0 million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unused amounts in any calendar year being carried over to succeeding calendar years subject to a maximum (without giving effect to the following proviso) of $15.0 million in any calendar year);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xml:space="preserve"> that such amount in any calendar year may be increased by an amount not to exceed</w:t>
      </w:r>
    </w:p>
    <w:p>
      <w:pPr>
        <w:spacing w:after="0" w:line="187" w:lineRule="exact"/>
        <w:rPr>
          <w:sz w:val="20"/>
          <w:szCs w:val="20"/>
          <w:color w:val="auto"/>
        </w:rPr>
      </w:pPr>
    </w:p>
    <w:p>
      <w:pPr>
        <w:ind w:left="840" w:right="80" w:firstLine="646"/>
        <w:spacing w:after="0" w:line="296" w:lineRule="auto"/>
        <w:tabs>
          <w:tab w:leader="none" w:pos="227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the cash proceeds from the sale of Equity Interests (other than Disqualified Stock) of the Company and, to the extent contributed to the Company, Equity Interests of any of the Company’s other direct or indirect parent companies, in each case to members of management, directors, managers or consultants of the Company, any of its Subsidiaries or any of its direct or indirect parent companies that occurs after the Issue Date, to the extent the cash proceeds from the sale of such Equity Interests have not otherwise been applied to the payment of Restricted Payments by virtue of clause (4)(C) of Section 10.08(a); </w:t>
      </w:r>
      <w:r>
        <w:rPr>
          <w:rFonts w:ascii="Arial" w:cs="Arial" w:eastAsia="Arial" w:hAnsi="Arial"/>
          <w:sz w:val="16"/>
          <w:szCs w:val="16"/>
          <w:i w:val="1"/>
          <w:iCs w:val="1"/>
          <w:color w:val="auto"/>
        </w:rPr>
        <w:t>plus</w:t>
      </w:r>
    </w:p>
    <w:p>
      <w:pPr>
        <w:spacing w:after="0" w:line="161" w:lineRule="exact"/>
        <w:rPr>
          <w:rFonts w:ascii="Arial" w:cs="Arial" w:eastAsia="Arial" w:hAnsi="Arial"/>
          <w:sz w:val="16"/>
          <w:szCs w:val="16"/>
          <w:color w:val="auto"/>
        </w:rPr>
      </w:pPr>
    </w:p>
    <w:p>
      <w:pPr>
        <w:ind w:left="840" w:right="20" w:firstLine="646"/>
        <w:spacing w:after="0" w:line="263" w:lineRule="auto"/>
        <w:tabs>
          <w:tab w:leader="none" w:pos="22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amount of cash bonuses otherwise payable to members of management, directors or consultants of the Company that are foregone in exchange for the receipt of Equity Interests of the Company pursuant to any compensation arrangement;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ind w:left="2260" w:hanging="774"/>
        <w:spacing w:after="0"/>
        <w:tabs>
          <w:tab w:leader="none" w:pos="22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cash proceeds of key man life insurance policies received by the Company and the Restricted Subsidiaries after</w:t>
      </w:r>
    </w:p>
    <w:p>
      <w:pPr>
        <w:spacing w:after="0" w:line="4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8"/>
          <w:szCs w:val="18"/>
          <w:color w:val="auto"/>
        </w:rPr>
        <w:t xml:space="preserve">the Issue Date, </w:t>
      </w:r>
      <w:r>
        <w:rPr>
          <w:rFonts w:ascii="Arial" w:cs="Arial" w:eastAsia="Arial" w:hAnsi="Arial"/>
          <w:sz w:val="18"/>
          <w:szCs w:val="18"/>
          <w:i w:val="1"/>
          <w:iCs w:val="1"/>
          <w:color w:val="auto"/>
        </w:rPr>
        <w:t>less</w:t>
      </w:r>
    </w:p>
    <w:p>
      <w:pPr>
        <w:spacing w:after="0" w:line="210" w:lineRule="exact"/>
        <w:rPr>
          <w:rFonts w:ascii="Arial" w:cs="Arial" w:eastAsia="Arial" w:hAnsi="Arial"/>
          <w:sz w:val="16"/>
          <w:szCs w:val="16"/>
          <w:color w:val="auto"/>
        </w:rPr>
      </w:pPr>
    </w:p>
    <w:p>
      <w:pPr>
        <w:ind w:left="2280" w:hanging="794"/>
        <w:spacing w:after="0"/>
        <w:tabs>
          <w:tab w:leader="none" w:pos="22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amount of any Restricted Payments previously made pursuant to sub-clauses (A) and (B) of this clause (4);</w:t>
      </w:r>
    </w:p>
    <w:p>
      <w:pPr>
        <w:spacing w:after="0" w:line="24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and provided, further, that cancellation of Indebtedness owing to the Company from members of management, directors, managers or consultants of the Company, any of its direct or indirect parent companies or any Restricted Subsidiary in connection with a repurchase of Equity Interests of the Company or any of its direct or indirect parent companies will not be deemed to constitute a Restricted Payment for purposes of this covenant or any other provision of this Indenture;</w:t>
      </w:r>
    </w:p>
    <w:p>
      <w:pPr>
        <w:spacing w:after="0" w:line="187" w:lineRule="exact"/>
        <w:rPr>
          <w:sz w:val="20"/>
          <w:szCs w:val="20"/>
          <w:color w:val="auto"/>
        </w:rPr>
      </w:pPr>
    </w:p>
    <w:p>
      <w:pPr>
        <w:jc w:val="both"/>
        <w:ind w:right="420" w:firstLine="644"/>
        <w:spacing w:after="0" w:line="342" w:lineRule="auto"/>
        <w:tabs>
          <w:tab w:leader="none" w:pos="153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declaration and payment of dividends to holders of any class or series of Disqualified Stock of the Company or any Restricted Subsidiary issued in accordance with Section 10.09 to the extent such dividends are included in the definition of “Fixed Charges”;</w:t>
      </w:r>
    </w:p>
    <w:p>
      <w:pPr>
        <w:spacing w:after="0" w:line="34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116" w:name="page117"/>
    <w:bookmarkEnd w:id="116"/>
    <w:p>
      <w:pPr>
        <w:ind w:left="-460" w:right="80" w:firstLine="644"/>
        <w:spacing w:after="0" w:line="263" w:lineRule="auto"/>
        <w:tabs>
          <w:tab w:leader="none" w:pos="107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repurchases of Equity Interests deemed to occur upon exercise of stock options or warrants if such Equity Interests represent a portion of the exercise price of such options or warrants and repurchases of Equity Interests in connection with the exercise of stock options or warrants to the extent necessary to pay applicable withholding or similar taxes;</w:t>
      </w:r>
    </w:p>
    <w:p>
      <w:pPr>
        <w:spacing w:after="0" w:line="183" w:lineRule="exact"/>
        <w:rPr>
          <w:rFonts w:ascii="Arial" w:cs="Arial" w:eastAsia="Arial" w:hAnsi="Arial"/>
          <w:sz w:val="18"/>
          <w:szCs w:val="18"/>
          <w:color w:val="auto"/>
        </w:rPr>
      </w:pPr>
    </w:p>
    <w:p>
      <w:pPr>
        <w:ind w:left="-460" w:right="260" w:firstLine="644"/>
        <w:spacing w:after="0" w:line="342" w:lineRule="auto"/>
        <w:tabs>
          <w:tab w:leader="none" w:pos="1072" w:val="left"/>
        </w:tabs>
        <w:numPr>
          <w:ilvl w:val="0"/>
          <w:numId w:val="150"/>
        </w:numPr>
        <w:rPr>
          <w:rFonts w:ascii="Arial" w:cs="Arial" w:eastAsia="Arial" w:hAnsi="Arial"/>
          <w:sz w:val="16"/>
          <w:szCs w:val="16"/>
          <w:color w:val="auto"/>
        </w:rPr>
      </w:pPr>
      <w:r>
        <w:rPr>
          <w:rFonts w:ascii="Arial" w:cs="Arial" w:eastAsia="Arial" w:hAnsi="Arial"/>
          <w:sz w:val="16"/>
          <w:szCs w:val="16"/>
          <w:color w:val="121212"/>
        </w:rPr>
        <w:t>cash payments in lieu of the issuance of fractional shares in connection with the exercise, conversion, redemption or exchange of warrants, options or other securities convertible into or exchangeable for Capital Stock of the Company or a Restricted Subsidiary;</w:t>
      </w:r>
    </w:p>
    <w:p>
      <w:pPr>
        <w:spacing w:after="0" w:line="123" w:lineRule="exact"/>
        <w:rPr>
          <w:rFonts w:ascii="Arial" w:cs="Arial" w:eastAsia="Arial" w:hAnsi="Arial"/>
          <w:sz w:val="16"/>
          <w:szCs w:val="16"/>
          <w:color w:val="auto"/>
        </w:rPr>
      </w:pPr>
    </w:p>
    <w:p>
      <w:pPr>
        <w:ind w:left="-460" w:right="760" w:firstLine="644"/>
        <w:spacing w:after="0" w:line="277" w:lineRule="auto"/>
        <w:tabs>
          <w:tab w:leader="none" w:pos="107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declaration and payment of dividends by the Company to, or the making of loans to, its direct or indirect parent companies in amounts required for the Company’s direct or indirect parent companies to pay:</w:t>
      </w:r>
    </w:p>
    <w:p>
      <w:pPr>
        <w:spacing w:after="0" w:line="170" w:lineRule="exact"/>
        <w:rPr>
          <w:rFonts w:ascii="Arial" w:cs="Arial" w:eastAsia="Arial" w:hAnsi="Arial"/>
          <w:sz w:val="18"/>
          <w:szCs w:val="18"/>
          <w:color w:val="auto"/>
        </w:rPr>
      </w:pPr>
    </w:p>
    <w:p>
      <w:pPr>
        <w:ind w:left="1820" w:hanging="794"/>
        <w:spacing w:after="0"/>
        <w:tabs>
          <w:tab w:leader="none" w:pos="182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franchise taxes and other fees, taxes and expenses, in each case, required to maintain their corporate existence;</w:t>
      </w:r>
    </w:p>
    <w:p>
      <w:pPr>
        <w:spacing w:after="0" w:line="248" w:lineRule="exact"/>
        <w:rPr>
          <w:rFonts w:ascii="Arial" w:cs="Arial" w:eastAsia="Arial" w:hAnsi="Arial"/>
          <w:sz w:val="16"/>
          <w:szCs w:val="16"/>
          <w:color w:val="auto"/>
        </w:rPr>
      </w:pPr>
    </w:p>
    <w:p>
      <w:pPr>
        <w:ind w:left="380" w:right="80" w:firstLine="646"/>
        <w:spacing w:after="0" w:line="272" w:lineRule="auto"/>
        <w:tabs>
          <w:tab w:leader="none" w:pos="1808"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consolidated, combined or similar federal, state, local and non-U.S. income taxes of any direct or indirect parent company, </w:t>
      </w:r>
      <w:r>
        <w:rPr>
          <w:rFonts w:ascii="Arial" w:cs="Arial" w:eastAsia="Arial" w:hAnsi="Arial"/>
          <w:sz w:val="17"/>
          <w:szCs w:val="17"/>
          <w:color w:val="373737"/>
        </w:rPr>
        <w:t>to</w:t>
      </w:r>
      <w:r>
        <w:rPr>
          <w:rFonts w:ascii="Arial" w:cs="Arial" w:eastAsia="Arial" w:hAnsi="Arial"/>
          <w:sz w:val="17"/>
          <w:szCs w:val="17"/>
          <w:color w:val="auto"/>
        </w:rPr>
        <w:t xml:space="preserve"> the extent such income taxes are attributable to the income of the Company and the Restricted Subsidiaries and, to the extent of the amount actually received from its Unrestricted Subsidiaries, in amounts required to pay such taxes to the extent attributable to the income of such Unrestricted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amount of such payments in any fiscal year does not exceed the amount that the Company and its Restricted Subsidiaries would be required to pay in respect of foreign, federal, state and local taxes for such fiscal year were the Company, its Restricted Subsidiaries and its Unrestricted Subsidiaries (to the </w:t>
      </w:r>
      <w:r>
        <w:rPr>
          <w:rFonts w:ascii="Arial" w:cs="Arial" w:eastAsia="Arial" w:hAnsi="Arial"/>
          <w:sz w:val="17"/>
          <w:szCs w:val="17"/>
          <w:color w:val="121212"/>
        </w:rPr>
        <w:t>extent</w:t>
      </w:r>
      <w:r>
        <w:rPr>
          <w:rFonts w:ascii="Arial" w:cs="Arial" w:eastAsia="Arial" w:hAnsi="Arial"/>
          <w:sz w:val="17"/>
          <w:szCs w:val="17"/>
          <w:color w:val="auto"/>
        </w:rPr>
        <w:t xml:space="preserve"> </w:t>
      </w:r>
      <w:r>
        <w:rPr>
          <w:rFonts w:ascii="Arial" w:cs="Arial" w:eastAsia="Arial" w:hAnsi="Arial"/>
          <w:sz w:val="17"/>
          <w:szCs w:val="17"/>
          <w:color w:val="121212"/>
        </w:rPr>
        <w:t>set forth above) to pay such taxes separately from any such parent company;</w:t>
      </w:r>
    </w:p>
    <w:p>
      <w:pPr>
        <w:spacing w:after="0" w:line="177" w:lineRule="exact"/>
        <w:rPr>
          <w:rFonts w:ascii="Arial" w:cs="Arial" w:eastAsia="Arial" w:hAnsi="Arial"/>
          <w:sz w:val="17"/>
          <w:szCs w:val="17"/>
          <w:color w:val="auto"/>
        </w:rPr>
      </w:pPr>
    </w:p>
    <w:p>
      <w:pPr>
        <w:ind w:left="380" w:right="220" w:firstLine="646"/>
        <w:spacing w:after="0" w:line="263" w:lineRule="auto"/>
        <w:tabs>
          <w:tab w:leader="none" w:pos="1808" w:val="left"/>
        </w:tabs>
        <w:numPr>
          <w:ilvl w:val="1"/>
          <w:numId w:val="150"/>
        </w:numPr>
        <w:rPr>
          <w:rFonts w:ascii="Arial" w:cs="Arial" w:eastAsia="Arial" w:hAnsi="Arial"/>
          <w:sz w:val="18"/>
          <w:szCs w:val="18"/>
          <w:color w:val="auto"/>
        </w:rPr>
      </w:pPr>
      <w:r>
        <w:rPr>
          <w:rFonts w:ascii="Arial" w:cs="Arial" w:eastAsia="Arial" w:hAnsi="Arial"/>
          <w:sz w:val="18"/>
          <w:szCs w:val="18"/>
          <w:color w:val="121212"/>
        </w:rPr>
        <w:t>customary salary, bonus and other benefits payable to officers and employees of any direct or indirect parent company of the Company to the extent such salaries, bonuses and other benefits are attributable to the ownership or operation of the Company and the Restricted Subsidiaries;</w:t>
      </w:r>
    </w:p>
    <w:p>
      <w:pPr>
        <w:spacing w:after="0" w:line="183" w:lineRule="exact"/>
        <w:rPr>
          <w:rFonts w:ascii="Arial" w:cs="Arial" w:eastAsia="Arial" w:hAnsi="Arial"/>
          <w:sz w:val="18"/>
          <w:szCs w:val="18"/>
          <w:color w:val="auto"/>
        </w:rPr>
      </w:pPr>
    </w:p>
    <w:p>
      <w:pPr>
        <w:ind w:left="380" w:right="460" w:firstLine="646"/>
        <w:spacing w:after="0" w:line="286" w:lineRule="auto"/>
        <w:tabs>
          <w:tab w:leader="none" w:pos="1818" w:val="left"/>
        </w:tabs>
        <w:numPr>
          <w:ilvl w:val="1"/>
          <w:numId w:val="150"/>
        </w:numPr>
        <w:rPr>
          <w:rFonts w:ascii="Arial" w:cs="Arial" w:eastAsia="Arial" w:hAnsi="Arial"/>
          <w:sz w:val="17"/>
          <w:szCs w:val="17"/>
          <w:color w:val="auto"/>
        </w:rPr>
      </w:pPr>
      <w:r>
        <w:rPr>
          <w:rFonts w:ascii="Arial" w:cs="Arial" w:eastAsia="Arial" w:hAnsi="Arial"/>
          <w:sz w:val="17"/>
          <w:szCs w:val="17"/>
          <w:color w:val="121212"/>
        </w:rPr>
        <w:t>general corporate overhead expenses of any direct or indirect parent company of the Company (including indemnification claims made by directors or officers of any direct or indirect parent company of the Company) to the extent such expenses are attributable to the ownership or operation of the Company and the Restricted Subsidiaries;</w:t>
      </w:r>
    </w:p>
    <w:p>
      <w:pPr>
        <w:spacing w:after="0" w:line="165" w:lineRule="exact"/>
        <w:rPr>
          <w:rFonts w:ascii="Arial" w:cs="Arial" w:eastAsia="Arial" w:hAnsi="Arial"/>
          <w:sz w:val="17"/>
          <w:szCs w:val="17"/>
          <w:color w:val="auto"/>
        </w:rPr>
      </w:pPr>
    </w:p>
    <w:p>
      <w:pPr>
        <w:ind w:left="380" w:firstLine="646"/>
        <w:spacing w:after="0" w:line="277" w:lineRule="auto"/>
        <w:tabs>
          <w:tab w:leader="none" w:pos="1798" w:val="left"/>
        </w:tabs>
        <w:numPr>
          <w:ilvl w:val="1"/>
          <w:numId w:val="150"/>
        </w:numPr>
        <w:rPr>
          <w:rFonts w:ascii="Arial" w:cs="Arial" w:eastAsia="Arial" w:hAnsi="Arial"/>
          <w:sz w:val="18"/>
          <w:szCs w:val="18"/>
          <w:color w:val="auto"/>
        </w:rPr>
      </w:pPr>
      <w:r>
        <w:rPr>
          <w:rFonts w:ascii="Arial" w:cs="Arial" w:eastAsia="Arial" w:hAnsi="Arial"/>
          <w:sz w:val="18"/>
          <w:szCs w:val="18"/>
          <w:color w:val="121212"/>
        </w:rPr>
        <w:t xml:space="preserve">reasonable fees </w:t>
      </w:r>
      <w:r>
        <w:rPr>
          <w:rFonts w:ascii="Arial" w:cs="Arial" w:eastAsia="Arial" w:hAnsi="Arial"/>
          <w:sz w:val="18"/>
          <w:szCs w:val="18"/>
          <w:color w:val="000000"/>
        </w:rPr>
        <w:t>and</w:t>
      </w:r>
      <w:r>
        <w:rPr>
          <w:rFonts w:ascii="Arial" w:cs="Arial" w:eastAsia="Arial" w:hAnsi="Arial"/>
          <w:sz w:val="18"/>
          <w:szCs w:val="18"/>
          <w:color w:val="121212"/>
        </w:rPr>
        <w:t xml:space="preserve"> expenses incurred </w:t>
      </w:r>
      <w:r>
        <w:rPr>
          <w:rFonts w:ascii="Arial" w:cs="Arial" w:eastAsia="Arial" w:hAnsi="Arial"/>
          <w:sz w:val="18"/>
          <w:szCs w:val="18"/>
          <w:color w:val="000000"/>
        </w:rPr>
        <w:t>in</w:t>
      </w:r>
      <w:r>
        <w:rPr>
          <w:rFonts w:ascii="Arial" w:cs="Arial" w:eastAsia="Arial" w:hAnsi="Arial"/>
          <w:sz w:val="18"/>
          <w:szCs w:val="18"/>
          <w:color w:val="121212"/>
        </w:rPr>
        <w:t xml:space="preserve"> connection with any unsuccessful debt or equity offering by such direct or </w:t>
      </w:r>
      <w:r>
        <w:rPr>
          <w:rFonts w:ascii="Arial" w:cs="Arial" w:eastAsia="Arial" w:hAnsi="Arial"/>
          <w:sz w:val="18"/>
          <w:szCs w:val="18"/>
          <w:color w:val="000000"/>
        </w:rPr>
        <w:t xml:space="preserve">indirect </w:t>
      </w:r>
      <w:r>
        <w:rPr>
          <w:rFonts w:ascii="Arial" w:cs="Arial" w:eastAsia="Arial" w:hAnsi="Arial"/>
          <w:sz w:val="18"/>
          <w:szCs w:val="18"/>
          <w:color w:val="121212"/>
        </w:rPr>
        <w:t>parent company of the Company;</w:t>
      </w:r>
    </w:p>
    <w:p>
      <w:pPr>
        <w:spacing w:after="0" w:line="38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7" w:name="page118"/>
    <w:bookmarkEnd w:id="117"/>
    <w:p>
      <w:pPr>
        <w:ind w:left="380" w:right="160" w:firstLine="646"/>
        <w:spacing w:after="0" w:line="263" w:lineRule="auto"/>
        <w:tabs>
          <w:tab w:leader="none" w:pos="1788" w:val="left"/>
        </w:tabs>
        <w:numPr>
          <w:ilvl w:val="1"/>
          <w:numId w:val="151"/>
        </w:numPr>
        <w:rPr>
          <w:rFonts w:ascii="Arial" w:cs="Arial" w:eastAsia="Arial" w:hAnsi="Arial"/>
          <w:sz w:val="18"/>
          <w:szCs w:val="18"/>
          <w:color w:val="auto"/>
        </w:rPr>
      </w:pPr>
      <w:r>
        <w:rPr>
          <w:rFonts w:ascii="Arial" w:cs="Arial" w:eastAsia="Arial" w:hAnsi="Arial"/>
          <w:sz w:val="18"/>
          <w:szCs w:val="18"/>
          <w:color w:val="121212"/>
        </w:rPr>
        <w:t>reasonable fees and expenses incurred in connection with any unsuccessful merger, acquisition or divestiture by such direct or indirect parent company of the Company (provided that any dividends or loans made pursuant to this clause (F) do not exceed $2.0 million in the aggregate); and</w:t>
      </w:r>
    </w:p>
    <w:p>
      <w:pPr>
        <w:spacing w:after="0" w:line="183" w:lineRule="exact"/>
        <w:rPr>
          <w:rFonts w:ascii="Arial" w:cs="Arial" w:eastAsia="Arial" w:hAnsi="Arial"/>
          <w:sz w:val="18"/>
          <w:szCs w:val="18"/>
          <w:color w:val="auto"/>
        </w:rPr>
      </w:pPr>
    </w:p>
    <w:p>
      <w:pPr>
        <w:ind w:left="380" w:right="20" w:firstLine="646"/>
        <w:spacing w:after="0" w:line="277" w:lineRule="auto"/>
        <w:tabs>
          <w:tab w:leader="none" w:pos="1818" w:val="left"/>
        </w:tabs>
        <w:numPr>
          <w:ilvl w:val="1"/>
          <w:numId w:val="151"/>
        </w:numPr>
        <w:rPr>
          <w:rFonts w:ascii="Arial" w:cs="Arial" w:eastAsia="Arial" w:hAnsi="Arial"/>
          <w:sz w:val="18"/>
          <w:szCs w:val="18"/>
          <w:color w:val="auto"/>
        </w:rPr>
      </w:pPr>
      <w:r>
        <w:rPr>
          <w:rFonts w:ascii="Arial" w:cs="Arial" w:eastAsia="Arial" w:hAnsi="Arial"/>
          <w:sz w:val="18"/>
          <w:szCs w:val="18"/>
          <w:color w:val="121212"/>
        </w:rPr>
        <w:t>any noncash “deemed dividend” resulting from a parent company offsetting income against losses of the Company which does not involve any cash distribution by the Company;</w:t>
      </w:r>
    </w:p>
    <w:p>
      <w:pPr>
        <w:spacing w:after="0" w:line="170" w:lineRule="exact"/>
        <w:rPr>
          <w:rFonts w:ascii="Arial" w:cs="Arial" w:eastAsia="Arial" w:hAnsi="Arial"/>
          <w:sz w:val="18"/>
          <w:szCs w:val="18"/>
          <w:color w:val="auto"/>
        </w:rPr>
      </w:pPr>
    </w:p>
    <w:p>
      <w:pPr>
        <w:ind w:left="-460" w:firstLine="644"/>
        <w:spacing w:after="0" w:line="257" w:lineRule="auto"/>
        <w:tabs>
          <w:tab w:leader="none" w:pos="107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Subordinated Indebtedness in connection with events similar to those set forth under Section 10.15 and Section 10.16;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such repurchase, redemption or other acquisition, the Company (or a third party to the extent permitted by this Indenture) shall have made a Change of Control Offer or Asset Sale Offer, as the case may be, with respect to the Notes and shall have repurchased all Notes validly tendered and not withdrawn in connection with such Change of Control Offer or Asset Sale Offer;</w:t>
      </w:r>
    </w:p>
    <w:p>
      <w:pPr>
        <w:spacing w:after="0" w:line="187" w:lineRule="exact"/>
        <w:rPr>
          <w:rFonts w:ascii="Arial" w:cs="Arial" w:eastAsia="Arial" w:hAnsi="Arial"/>
          <w:sz w:val="18"/>
          <w:szCs w:val="18"/>
          <w:color w:val="auto"/>
        </w:rPr>
      </w:pPr>
    </w:p>
    <w:p>
      <w:pPr>
        <w:ind w:left="1060" w:hanging="876"/>
        <w:spacing w:after="0"/>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distributions or payments of Receivables Fees;</w:t>
      </w:r>
    </w:p>
    <w:p>
      <w:pPr>
        <w:spacing w:after="0" w:line="225" w:lineRule="exact"/>
        <w:rPr>
          <w:rFonts w:ascii="Arial" w:cs="Arial" w:eastAsia="Arial" w:hAnsi="Arial"/>
          <w:sz w:val="18"/>
          <w:szCs w:val="18"/>
          <w:color w:val="auto"/>
        </w:rPr>
      </w:pPr>
    </w:p>
    <w:p>
      <w:pPr>
        <w:jc w:val="both"/>
        <w:ind w:left="-460" w:right="60" w:firstLine="644"/>
        <w:spacing w:after="0" w:line="259" w:lineRule="auto"/>
        <w:tabs>
          <w:tab w:leader="none" w:pos="106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payments or distributions to dissenting stockholders of Capital Stock of the Company pursuant to applicable law, pursuant to or in connection with a consolidation, amalgamation, merger or transfer or assets that complies with the provisions of this Indenture applicable to amalgamations, mergers, consolidations and transfer of all or substantially all of the property and assets of the Company or any of its Restricted Subsidiaries;</w:t>
      </w:r>
    </w:p>
    <w:p>
      <w:pPr>
        <w:spacing w:after="0" w:line="186" w:lineRule="exact"/>
        <w:rPr>
          <w:rFonts w:ascii="Arial" w:cs="Arial" w:eastAsia="Arial" w:hAnsi="Arial"/>
          <w:sz w:val="18"/>
          <w:szCs w:val="18"/>
          <w:color w:val="auto"/>
        </w:rPr>
      </w:pPr>
    </w:p>
    <w:p>
      <w:pPr>
        <w:ind w:left="-460" w:right="20" w:firstLine="644"/>
        <w:spacing w:after="0" w:line="263" w:lineRule="auto"/>
        <w:tabs>
          <w:tab w:leader="none" w:pos="107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other Restricted Payments in an amount which, when taken together with all other Restricted Payments made pursuant to this clause (12) and then outstanding, does not exceed the greater of (x) $40.0 million per fiscal year of the Company and (y) 2.5% of Consolidated Total Assets;</w:t>
      </w:r>
    </w:p>
    <w:p>
      <w:pPr>
        <w:spacing w:after="0" w:line="183" w:lineRule="exact"/>
        <w:rPr>
          <w:rFonts w:ascii="Arial" w:cs="Arial" w:eastAsia="Arial" w:hAnsi="Arial"/>
          <w:sz w:val="18"/>
          <w:szCs w:val="18"/>
          <w:color w:val="auto"/>
        </w:rPr>
      </w:pPr>
    </w:p>
    <w:p>
      <w:pPr>
        <w:ind w:left="1060" w:hanging="876"/>
        <w:spacing w:after="0"/>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225" w:lineRule="exact"/>
        <w:rPr>
          <w:rFonts w:ascii="Arial" w:cs="Arial" w:eastAsia="Arial" w:hAnsi="Arial"/>
          <w:sz w:val="18"/>
          <w:szCs w:val="18"/>
          <w:color w:val="auto"/>
        </w:rPr>
      </w:pPr>
    </w:p>
    <w:p>
      <w:pPr>
        <w:ind w:left="-460" w:right="120" w:firstLine="644"/>
        <w:spacing w:after="0" w:line="308" w:lineRule="auto"/>
        <w:tabs>
          <w:tab w:leader="none" w:pos="107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Restricted Payments; provided, after giving pro forma effect thereto for the most recently ended four full fiscal quarters for which internal financial statements are available, the Total Net Leverage Ratio would be no greater than 3.00 to 1.00;</w:t>
      </w:r>
    </w:p>
    <w:p>
      <w:pPr>
        <w:spacing w:after="0" w:line="146" w:lineRule="exact"/>
        <w:rPr>
          <w:rFonts w:ascii="Arial" w:cs="Arial" w:eastAsia="Arial" w:hAnsi="Arial"/>
          <w:sz w:val="17"/>
          <w:szCs w:val="17"/>
          <w:color w:val="auto"/>
        </w:rPr>
      </w:pPr>
    </w:p>
    <w:p>
      <w:pPr>
        <w:ind w:left="-460" w:firstLine="644"/>
        <w:spacing w:after="0" w:line="259" w:lineRule="auto"/>
        <w:tabs>
          <w:tab w:leader="none" w:pos="107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making of cash payments in connection with any conversion of Convertible Indebtedness in an aggregate amount since the date of the indenture not to exceed the sum of (a) the principal amount of such Convertible Indebtedness plus (b) any payments received by the Company or any of its Restricted Subsidiaries pursuant to the exercise, settlement or termination of any related Permitted Bond Hedge Transaction; and</w:t>
      </w:r>
    </w:p>
    <w:p>
      <w:pPr>
        <w:spacing w:after="0" w:line="186" w:lineRule="exact"/>
        <w:rPr>
          <w:rFonts w:ascii="Arial" w:cs="Arial" w:eastAsia="Arial" w:hAnsi="Arial"/>
          <w:sz w:val="18"/>
          <w:szCs w:val="18"/>
          <w:color w:val="auto"/>
        </w:rPr>
      </w:pPr>
    </w:p>
    <w:p>
      <w:pPr>
        <w:jc w:val="both"/>
        <w:ind w:left="-460" w:right="180" w:firstLine="644"/>
        <w:spacing w:after="0" w:line="311" w:lineRule="auto"/>
        <w:tabs>
          <w:tab w:leader="none" w:pos="107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 any payments in connection with a Permitted Bond Hedge Transaction and (b) the settlement of any related Permitted Warrant Transaction (i) by delivery of shares of the Company’s common stock upon settlement thereof or (ii) by (A) set off against the related Permitted Bond Hedge Transaction or (B) payment of an early termination amount thereof in common stock upon any early termination thereof;</w:t>
      </w:r>
    </w:p>
    <w:p>
      <w:pPr>
        <w:spacing w:after="0" w:line="3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18" w:name="page119"/>
    <w:bookmarkEnd w:id="118"/>
    <w:p>
      <w:pPr>
        <w:ind w:right="2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at the time of, and after giving effect to, any Restricted Payment permitted under clauses (12) and (16) above, no Default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and be continuing or would occur as a consequence thereof.</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In determining whether any Restricted Payment is permitted by this Section 10.08, the Company and its Restricted Subsidiaries may allocate all or any portion of such Restricted Payment among the categories (or portions thereof) set forth in clauses (1) through (16) of Section 10.08(b) or among such categories (or portions thereof) and the types of Restricted Payments set forth in Section 10.08(a) (including categorization in whole or in part as a Permitted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such allocation, all such Restricted Payments, or allocated portions thereof, would be permitted under the various provisions of this Section 10.08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and its Restricted Subsidiaries may reclassify all or a portion of such Restricted Payment or Permitted Investment in any manner that complies with this Section 10.08 (based on circumstances existing at the time of such reclassification), and following such reclassification such Restricted Payment or Permitted Investment shall be treated as having been made pursuant to only the clause or clauses of this Section 10.08 (or portions thereof) to which such Restricted Payment or Permitted Investment has been reclassified.</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the time of issuance of the Notes, none of the Company’s Subsidiaries shall be Unrestricted Subsidiaries. The Company shall not permit any Unrestricted Subsidiary to become a Restricted Subsidiary except pursuant to the penultimate paragraph of the definition of “Unrestricted Subsidiary.” For purposes of designating any Restricted Subsidiary as an Unrestricted Subsidiary, all outstanding Investments by the Company and the Restricted Subsidiaries (except to the extent repaid) in the Subsidiary so designated shall be deemed to be Restricted Payments in an amount determined as set forth in the last sentence of the definition of “Investments.” Such designation shall be permitted only if a Restricted Payment in such amount would be permitted at such time, whether pursuant to Section 10.08(a), Section 10.08(b) or pursuant to the definition of “Permitted Investments,” and if such Subsidiary otherwise meets the definition of an Unrestricted Subsidiary. Unrestricted Subsidiaries shall not be subject to any of the restrictive covenants set forth in this Indenture.</w:t>
      </w:r>
    </w:p>
    <w:p>
      <w:pPr>
        <w:spacing w:after="0" w:line="19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Limitation on Incurrence of Indebtedness and Issuance of Disqualified Stock and Preferred Stock</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3" w:lineRule="auto"/>
        <w:tabs>
          <w:tab w:leader="none" w:pos="1387"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Company shall not, and shall not permit any Restricted Subsidiary to, directly or indirectly, create, incur, issue, assume, guarantee or otherwise become directly or indirectly liable, contingently or otherwise (collectively, “</w:t>
      </w:r>
      <w:r>
        <w:rPr>
          <w:rFonts w:ascii="Arial" w:cs="Arial" w:eastAsia="Arial" w:hAnsi="Arial"/>
          <w:sz w:val="16"/>
          <w:szCs w:val="16"/>
          <w:i w:val="1"/>
          <w:iCs w:val="1"/>
          <w:color w:val="auto"/>
        </w:rPr>
        <w:t>incur</w:t>
      </w:r>
      <w:r>
        <w:rPr>
          <w:rFonts w:ascii="Arial" w:cs="Arial" w:eastAsia="Arial" w:hAnsi="Arial"/>
          <w:sz w:val="16"/>
          <w:szCs w:val="16"/>
          <w:color w:val="auto"/>
        </w:rPr>
        <w:t>” and collectively, an “</w:t>
      </w:r>
      <w:r>
        <w:rPr>
          <w:rFonts w:ascii="Arial" w:cs="Arial" w:eastAsia="Arial" w:hAnsi="Arial"/>
          <w:sz w:val="16"/>
          <w:szCs w:val="16"/>
          <w:i w:val="1"/>
          <w:iCs w:val="1"/>
          <w:color w:val="auto"/>
        </w:rPr>
        <w:t>incurrence</w:t>
      </w:r>
      <w:r>
        <w:rPr>
          <w:rFonts w:ascii="Arial" w:cs="Arial" w:eastAsia="Arial" w:hAnsi="Arial"/>
          <w:sz w:val="16"/>
          <w:szCs w:val="16"/>
          <w:color w:val="auto"/>
        </w:rPr>
        <w:t xml:space="preserve">”) with respect to any Indebtedness (including Acquired Indebtedness), and the Company shall not issue any shares of Disqualified Stock and shall not permit any Restricted Subsidiary to issue any shares of Disqualified Stock or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incur Indebtedness (including Acquired Indebtedness) or issue shares of Disqualified Stock, and any Restricted Subsidiary may incur Indebtedness (including Acquired Indebtedness), issue shares of Disqualified Stock or issue shares of Preferred Stock, in each case if the Fixed Charge Coverage Ratio on a consolidated basis for the Company’s and its Restricted Subsidiaries’ most recently ended four full fiscal quarters for which internal financial statements are available immediately preceding the date on which such additional Indebtedness is incurred or such Disqualified Stock or Preferred Stock is issued would have been at least 2.00 to 1.00 in each case, determined on a pro forma basis (including a pro forma application of the net proceeds therefrom), as if the additional Indebtedness had been incurred, or the Disqualified Stock or Preferred Stock had been issued, as the case may be, and the application of the proceeds therefrom had occurred at the beginning of such four-quarter period;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amount of Indebtedness (including Acquired Indebtedness), Disqualified Stock and Preferred Stock that may be incurred or issued, as applicable, pursuant to the foregoing by Restricted Subsidiaries that are not Guarantors shall not exceed the greater of</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$50.0 million and (ii) 3.5% of the Consolidated Total Assets at any one time outstanding.</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9" w:name="page120"/>
    <w:bookmarkEnd w:id="119"/>
    <w:p>
      <w:pPr>
        <w:ind w:left="744" w:hanging="744"/>
        <w:spacing w:after="0"/>
        <w:tabs>
          <w:tab w:leader="none" w:pos="74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foregoing limitations shall not apply to any of the following items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20" w:firstLine="644"/>
        <w:spacing w:after="0" w:line="287" w:lineRule="auto"/>
        <w:tabs>
          <w:tab w:leader="none" w:pos="1537"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Indebtedness incurred pursuant to Credit Facilities by the Company or any Restricted Subsidiary (i) in an amount such that immediately after giving pro forma effect to any such incurrence (including a pro forma application of the net proceeds therefrom), the aggregate principal amount of all Indebtedness incurred under this clause (1) and then outstanding does not exceed an amount equal to the greater of</w:t>
      </w:r>
    </w:p>
    <w:p>
      <w:pPr>
        <w:spacing w:after="0" w:line="2" w:lineRule="exact"/>
        <w:rPr>
          <w:rFonts w:ascii="Arial" w:cs="Arial" w:eastAsia="Arial" w:hAnsi="Arial"/>
          <w:sz w:val="16"/>
          <w:szCs w:val="16"/>
          <w:color w:val="auto"/>
        </w:rPr>
      </w:pPr>
    </w:p>
    <w:p>
      <w:pPr>
        <w:ind w:left="4" w:right="900" w:hanging="4"/>
        <w:spacing w:after="0" w:line="260" w:lineRule="auto"/>
        <w:tabs>
          <w:tab w:leader="none" w:pos="25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$325.0 million, and (y) the Borrowing Base as of the date of such incurrence and (ii) consisting of Permitted Additional Pari Passu Obligations;</w:t>
      </w:r>
    </w:p>
    <w:p>
      <w:pPr>
        <w:spacing w:after="0" w:line="185" w:lineRule="exact"/>
        <w:rPr>
          <w:rFonts w:ascii="Arial" w:cs="Arial" w:eastAsia="Arial" w:hAnsi="Arial"/>
          <w:sz w:val="18"/>
          <w:szCs w:val="18"/>
          <w:color w:val="auto"/>
        </w:rPr>
      </w:pPr>
    </w:p>
    <w:p>
      <w:pPr>
        <w:ind w:left="1524" w:hanging="876"/>
        <w:spacing w:after="0"/>
        <w:tabs>
          <w:tab w:leader="none" w:pos="152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incurrence by the Company and any Guarantor of Indebtedness represented by the Notes issued on the Issue Date and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Guarantees thereof;</w:t>
      </w:r>
    </w:p>
    <w:p>
      <w:pPr>
        <w:spacing w:after="0" w:line="210" w:lineRule="exact"/>
        <w:rPr>
          <w:rFonts w:ascii="Arial" w:cs="Arial" w:eastAsia="Arial" w:hAnsi="Arial"/>
          <w:sz w:val="16"/>
          <w:szCs w:val="16"/>
          <w:color w:val="auto"/>
        </w:rPr>
      </w:pPr>
    </w:p>
    <w:p>
      <w:pPr>
        <w:ind w:left="1524" w:hanging="876"/>
        <w:spacing w:after="0"/>
        <w:tabs>
          <w:tab w:leader="none" w:pos="152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Existing Indebtedness (other than Indebtedness set forth in clauses (1) and (2) of this Section 10.09(b));</w:t>
      </w:r>
    </w:p>
    <w:p>
      <w:pPr>
        <w:spacing w:after="0" w:line="225" w:lineRule="exact"/>
        <w:rPr>
          <w:rFonts w:ascii="Arial" w:cs="Arial" w:eastAsia="Arial" w:hAnsi="Arial"/>
          <w:sz w:val="18"/>
          <w:szCs w:val="18"/>
          <w:color w:val="auto"/>
        </w:rPr>
      </w:pPr>
    </w:p>
    <w:p>
      <w:pPr>
        <w:ind w:left="4" w:firstLine="644"/>
        <w:spacing w:after="0" w:line="269" w:lineRule="auto"/>
        <w:tabs>
          <w:tab w:leader="none" w:pos="1537"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Indebtedness (including Attributable Debt incurred by the Company or any Restricted Subsidiary pursuant to Sale and Lease-Back Transactions of property (real or personal), and Capitalized Lease Obligations), Disqualified Stock and Preferred Stock incurred by the Company or any of the Restricted Subsidiaries, to finance the development, construction, purchase, lease of property (real or personal), equipment or other fixed or capital assets owned by the Company or any Restricted Subsidiary as of the Issue Date or acquired by the Company or any Restricted Subsidiary after the Issue Date in exchange for, or with the proceeds of the sale of, such assets owned by the Company or any Restricted Subsidiary as of the Issue Date), repairs, additions or improvement of property (real or personal), equipment or other fixed or capital assets that are used or useful in a Similar Business which incurrence occurs within 365 days of such financing, construction, purchase, lease, repair, addition or improvement, whether through the direct purchase of assets or the Capital Stock of any Person owning such assets and any Permitted Refinancing Indebtedness incurred to refund, replace or refinance any Indebtedness, Disqualified Stock and Preferred Stock incurred pursuant to this clause (4);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Indebtedness, Disqualified Stock and Preferred Stock incurred pursuant to this clause (4) (including any such Permitted Refinancing Indebtedness) does not exceed the greater of (x) $50.0 million and (y) 3.5% of Consolidated Total Assets at any one time outstanding;</w:t>
      </w:r>
    </w:p>
    <w:p>
      <w:pPr>
        <w:spacing w:after="0" w:line="395"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20" w:name="page121"/>
    <w:bookmarkEnd w:id="120"/>
    <w:p>
      <w:pPr>
        <w:jc w:val="both"/>
        <w:ind w:left="-460" w:firstLine="644"/>
        <w:spacing w:after="0" w:line="259" w:lineRule="auto"/>
        <w:tabs>
          <w:tab w:leader="none" w:pos="107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Indebtedness incurred by the Company or any Restricted Subsidiary constituting reimbursement obligations with respect to letters of credit and bank guarantees issued in the ordinary course of business, including without limitation letters of credit in respect of workers’ compensation claims, health, disability or other benefits to employees or former employees or their families or property or other Indebtedness with respect to reimbursement type obligations regarding workers’ compensation claims;</w:t>
      </w:r>
    </w:p>
    <w:p>
      <w:pPr>
        <w:spacing w:after="0" w:line="186" w:lineRule="exact"/>
        <w:rPr>
          <w:rFonts w:ascii="Arial" w:cs="Arial" w:eastAsia="Arial" w:hAnsi="Arial"/>
          <w:sz w:val="18"/>
          <w:szCs w:val="18"/>
          <w:color w:val="auto"/>
        </w:rPr>
      </w:pPr>
    </w:p>
    <w:p>
      <w:pPr>
        <w:ind w:left="-460" w:right="60" w:firstLine="644"/>
        <w:spacing w:after="0" w:line="259" w:lineRule="auto"/>
        <w:tabs>
          <w:tab w:leader="none" w:pos="107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Indebtedness arising from agreements of the Company or a Restricted Subsidiary providing for indemnification, adjustment of purchase price or similar obligations, in each case, incurred or assumed in connection with the acquisition or disposition of any business, assets or a Subsidiary, other than guarantees of Indebtedness incurred by any Person acquiring all or any portion of such business, assets or Subsidiary for the purpose of financing such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6" w:lineRule="exact"/>
        <w:rPr>
          <w:rFonts w:ascii="Arial" w:cs="Arial" w:eastAsia="Arial" w:hAnsi="Arial"/>
          <w:sz w:val="18"/>
          <w:szCs w:val="18"/>
          <w:color w:val="auto"/>
        </w:rPr>
      </w:pPr>
    </w:p>
    <w:p>
      <w:pPr>
        <w:ind w:left="380" w:right="120" w:firstLine="646"/>
        <w:spacing w:after="0" w:line="263" w:lineRule="auto"/>
        <w:tabs>
          <w:tab w:leader="none" w:pos="181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such Indebtedness is not reflected on the balance sheet of the Company or any Restricted Subsidiary (contingent obligations referred to in a footnote to financial statements and not otherwise reflected on the balance sheet shall not be deemed to be reflected on such balance sheet for purposes of this clause (6)(A); and</w:t>
      </w:r>
    </w:p>
    <w:p>
      <w:pPr>
        <w:spacing w:after="0" w:line="183" w:lineRule="exact"/>
        <w:rPr>
          <w:rFonts w:ascii="Arial" w:cs="Arial" w:eastAsia="Arial" w:hAnsi="Arial"/>
          <w:sz w:val="18"/>
          <w:szCs w:val="18"/>
          <w:color w:val="auto"/>
        </w:rPr>
      </w:pPr>
    </w:p>
    <w:p>
      <w:pPr>
        <w:ind w:left="380" w:right="140" w:firstLine="646"/>
        <w:spacing w:after="0" w:line="259" w:lineRule="auto"/>
        <w:tabs>
          <w:tab w:leader="none" w:pos="180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maximum assumable liability in respect of all such Indebtedness shall at no time exceed the gross proceeds including noncash proceeds (the fair market value of such noncash proceeds being measured at the time received and without giving effect to any subsequent changes in value) actually received by the Company and the Restricted Subsidiaries in connection with such disposition;</w:t>
      </w:r>
    </w:p>
    <w:p>
      <w:pPr>
        <w:spacing w:after="0" w:line="186" w:lineRule="exact"/>
        <w:rPr>
          <w:rFonts w:ascii="Arial" w:cs="Arial" w:eastAsia="Arial" w:hAnsi="Arial"/>
          <w:sz w:val="18"/>
          <w:szCs w:val="18"/>
          <w:color w:val="auto"/>
        </w:rPr>
      </w:pPr>
    </w:p>
    <w:p>
      <w:pPr>
        <w:ind w:left="-460" w:right="140" w:firstLine="644"/>
        <w:spacing w:after="0" w:line="293" w:lineRule="auto"/>
        <w:tabs>
          <w:tab w:leader="none" w:pos="107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Indebtedness of the Company to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in respect of intercompany current liabilities incurred in the ordinary course of business in connection with the cash management, tax and accounting operations of the Company and its Subsidiaries) any such Indebtedness owing to a Restricted Subsidiary that is not a Guarantor is expressly subordinated in right of payment to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subsequent issuance or transfer of any Capital Stock or any other event which results in any such Restricted Subsidiary ceasing to be a Restricted Subsidiary or any other subsequent transfer of any such Indebtedness (except to the Company or another Restricted Subsidiary) shall be deemed, in each case, to be an incurrence of such Indebtedness not permitted by this clause (7);</w:t>
      </w:r>
    </w:p>
    <w:p>
      <w:pPr>
        <w:spacing w:after="0" w:line="164" w:lineRule="exact"/>
        <w:rPr>
          <w:rFonts w:ascii="Arial" w:cs="Arial" w:eastAsia="Arial" w:hAnsi="Arial"/>
          <w:sz w:val="16"/>
          <w:szCs w:val="16"/>
          <w:color w:val="auto"/>
        </w:rPr>
      </w:pPr>
    </w:p>
    <w:p>
      <w:pPr>
        <w:ind w:left="-460" w:firstLine="644"/>
        <w:spacing w:after="0" w:line="272" w:lineRule="auto"/>
        <w:tabs>
          <w:tab w:leader="none" w:pos="107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Indebtedness of a Restricted Subsidiary to the Company or another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 Guarantor incurs such Indebtedness to a Restricted Subsidiary that is not a Guarantor (except in respect of intercompany current liabilities incurred in the ordinary course of business in connection with the cash management, tax and accounting operations of the Company and its Subsidiaries), such Indebtedness is expressly subordinated in right of payment to the Guarantee of such Guarantor;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subsequent issuance or transfer of Capital Stock or any other event that results in any such Restricted Subsidiary holding such Indebtedness ceasing to be a Restricted Subsidiary or any subsequent transfer of any such Indebtedness (except to the Company or another Restricted Subsidiary) shall be deemed, in each case, to be an incurrence of such Indebtedness not permitted by this clause (8);</w:t>
      </w:r>
    </w:p>
    <w:p>
      <w:pPr>
        <w:spacing w:after="0" w:line="39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21" w:name="page122"/>
    <w:bookmarkEnd w:id="121"/>
    <w:p>
      <w:pPr>
        <w:ind w:left="-460" w:right="160" w:firstLine="644"/>
        <w:spacing w:after="0" w:line="257" w:lineRule="auto"/>
        <w:tabs>
          <w:tab w:leader="none" w:pos="107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Preferred Stock of a Restricted Subsidiary issued to the Company or another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subsequent issuance or transfer of any Capital Stock or any other event which results in any such Restricted Subsidiary that holds such shares of Preferred Stock of another Restricted Subsidiary ceasing to be a Restricted Subsidiary or any other subsequent transfer of any such shares of Preferred Stock (except to the Company or another Restricted Subsidiary) shall be deemed, in each case, to be an issuance of such shares of Preferred Stock not permitted by this clause (9);</w:t>
      </w:r>
    </w:p>
    <w:p>
      <w:pPr>
        <w:spacing w:after="0" w:line="187" w:lineRule="exact"/>
        <w:rPr>
          <w:rFonts w:ascii="Arial" w:cs="Arial" w:eastAsia="Arial" w:hAnsi="Arial"/>
          <w:sz w:val="18"/>
          <w:szCs w:val="18"/>
          <w:color w:val="auto"/>
        </w:rPr>
      </w:pPr>
    </w:p>
    <w:p>
      <w:pPr>
        <w:jc w:val="both"/>
        <w:ind w:left="-460" w:right="40" w:firstLine="644"/>
        <w:spacing w:after="0" w:line="279" w:lineRule="auto"/>
        <w:tabs>
          <w:tab w:leader="none" w:pos="107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Hedging Obligations (excluding Hedging Obligations entered into for speculative purposes) (A) for the purpose of fixing or hedging interest rate risk with respect to any Indebtedness that is permitted by the terms of this Indenture to be outstanding, (B) for the purpose of fixing or hedging currency exchange rate risk with respect to any currency exchange or (C) for the purpose of fixing or hedging commodity pricing risk with respect to any commodity purchases or sales and, in each case, extensions or replacements thereof;</w:t>
      </w:r>
    </w:p>
    <w:p>
      <w:pPr>
        <w:spacing w:after="0" w:line="171" w:lineRule="exact"/>
        <w:rPr>
          <w:rFonts w:ascii="Arial" w:cs="Arial" w:eastAsia="Arial" w:hAnsi="Arial"/>
          <w:sz w:val="17"/>
          <w:szCs w:val="17"/>
          <w:color w:val="auto"/>
        </w:rPr>
      </w:pPr>
    </w:p>
    <w:p>
      <w:pPr>
        <w:ind w:left="-460" w:right="120" w:firstLine="644"/>
        <w:spacing w:after="0" w:line="255" w:lineRule="auto"/>
        <w:tabs>
          <w:tab w:leader="none" w:pos="106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Indebtedness and obligations in respect of (v) the financing of insurance premiums, (w) property, casualty or liability insurance or self-insurance and obligations in respect of performance, bid, appeal and surety bonds and completion guarantees and similar obligations provided by the Company or any Restricted Subsidiary in the ordinary course of business, (x) deferred compensation or other similar arrangements incurred by the Company or any of its Restricted Subsidiaries, (y) unemployment, health, disability or other employee benefits incurred in the ordinary course of business and (z) the financing of insurance premiums or take-or-pay obligations contained in supply arrangements incurred in the ordinary course of business;</w:t>
      </w:r>
    </w:p>
    <w:p>
      <w:pPr>
        <w:spacing w:after="0" w:line="192" w:lineRule="exact"/>
        <w:rPr>
          <w:rFonts w:ascii="Arial" w:cs="Arial" w:eastAsia="Arial" w:hAnsi="Arial"/>
          <w:sz w:val="18"/>
          <w:szCs w:val="18"/>
          <w:color w:val="auto"/>
        </w:rPr>
      </w:pPr>
    </w:p>
    <w:p>
      <w:pPr>
        <w:ind w:left="-460" w:right="120" w:firstLine="644"/>
        <w:spacing w:after="0" w:line="259" w:lineRule="auto"/>
        <w:tabs>
          <w:tab w:leader="none" w:pos="107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(x) any guarantee by the Company or a Restricted Subsidiary of Indebtedness or other Obligations of any Restricted Subsidiary, so long as the incurrence of such Indebtedness by such Restricted Subsidiary is permitted under the terms of this Indenture or (y) any guarantee by a Restricted Subsidiary of Indebtedness of the Company permitted to be incurred under the terms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guarantee is incurred in accordance with Section 10.13;</w:t>
      </w:r>
    </w:p>
    <w:p>
      <w:pPr>
        <w:spacing w:after="0" w:line="186" w:lineRule="exact"/>
        <w:rPr>
          <w:rFonts w:ascii="Arial" w:cs="Arial" w:eastAsia="Arial" w:hAnsi="Arial"/>
          <w:sz w:val="18"/>
          <w:szCs w:val="18"/>
          <w:color w:val="auto"/>
        </w:rPr>
      </w:pPr>
    </w:p>
    <w:p>
      <w:pPr>
        <w:ind w:left="-460" w:firstLine="644"/>
        <w:spacing w:after="0" w:line="259" w:lineRule="auto"/>
        <w:tabs>
          <w:tab w:leader="none" w:pos="107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incurrence by the Company or any Restricted Subsidiary of any Permitted Refinancing Indebtedness in exchange for, or the net proceeds of which are used to extend, replace, refund, refinance, renew, defease or retire any Indebtedness, Disqualified Stock or Preferred Stock incurred as permitted under Section 10.09(a) and clauses (2), (3) and (4) above, this clause (13), and clauses (14), (19) and (21)(B) below of this Section 10.09(b):</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122" w:name="page123"/>
    <w:bookmarkEnd w:id="122"/>
    <w:p>
      <w:pPr>
        <w:ind w:left="-460" w:firstLine="644"/>
        <w:spacing w:after="0" w:line="259" w:lineRule="auto"/>
        <w:tabs>
          <w:tab w:leader="none" w:pos="107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Indebtedness, Disqualified Stock or Preferred Stock (x) of the Company or any of its Restricted Subsidiaries incurred to finance or assumed in connection with the acquisition of any Person or assets or (y) of Persons that are acquired by the Company or any Restricted Subsidiary or merged, consolidated or amalgamated with or into the Company or a Restricted Subsidiary in accordance with the terms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either</w:t>
      </w:r>
    </w:p>
    <w:p>
      <w:pPr>
        <w:spacing w:after="0" w:line="186" w:lineRule="exact"/>
        <w:rPr>
          <w:rFonts w:ascii="Arial" w:cs="Arial" w:eastAsia="Arial" w:hAnsi="Arial"/>
          <w:sz w:val="18"/>
          <w:szCs w:val="18"/>
          <w:color w:val="auto"/>
        </w:rPr>
      </w:pPr>
    </w:p>
    <w:p>
      <w:pPr>
        <w:ind w:left="1820" w:hanging="794"/>
        <w:spacing w:after="0"/>
        <w:tabs>
          <w:tab w:leader="none" w:pos="18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After giving effect to such acquisition or merger, consolidation or amalgamation, either:</w:t>
      </w:r>
    </w:p>
    <w:p>
      <w:pPr>
        <w:spacing w:after="0" w:line="225" w:lineRule="exact"/>
        <w:rPr>
          <w:rFonts w:ascii="Arial" w:cs="Arial" w:eastAsia="Arial" w:hAnsi="Arial"/>
          <w:sz w:val="18"/>
          <w:szCs w:val="18"/>
          <w:color w:val="auto"/>
        </w:rPr>
      </w:pPr>
    </w:p>
    <w:p>
      <w:pPr>
        <w:ind w:left="840" w:right="380" w:firstLine="640"/>
        <w:spacing w:after="0" w:line="277" w:lineRule="auto"/>
        <w:tabs>
          <w:tab w:leader="none" w:pos="2198"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the Company would be permitted to incur at least $1.00 of additional Indebtedness pursuant to the Fixed Charge Coverage Ratio test set forth in Section 10.09(a); or</w:t>
      </w:r>
    </w:p>
    <w:p>
      <w:pPr>
        <w:spacing w:after="0" w:line="170" w:lineRule="exact"/>
        <w:rPr>
          <w:rFonts w:ascii="Arial" w:cs="Arial" w:eastAsia="Arial" w:hAnsi="Arial"/>
          <w:sz w:val="18"/>
          <w:szCs w:val="18"/>
          <w:color w:val="auto"/>
        </w:rPr>
      </w:pPr>
    </w:p>
    <w:p>
      <w:pPr>
        <w:ind w:left="840" w:right="100" w:firstLine="640"/>
        <w:spacing w:after="0" w:line="308" w:lineRule="auto"/>
        <w:tabs>
          <w:tab w:leader="none" w:pos="2248" w:val="left"/>
        </w:tabs>
        <w:numPr>
          <w:ilvl w:val="2"/>
          <w:numId w:val="159"/>
        </w:numPr>
        <w:rPr>
          <w:rFonts w:ascii="Arial" w:cs="Arial" w:eastAsia="Arial" w:hAnsi="Arial"/>
          <w:sz w:val="17"/>
          <w:szCs w:val="17"/>
          <w:color w:val="auto"/>
        </w:rPr>
      </w:pPr>
      <w:r>
        <w:rPr>
          <w:rFonts w:ascii="Arial" w:cs="Arial" w:eastAsia="Arial" w:hAnsi="Arial"/>
          <w:sz w:val="17"/>
          <w:szCs w:val="17"/>
          <w:color w:val="auto"/>
        </w:rPr>
        <w:t>the Fixed Charge Coverage Ratio of the Company and the Restricted Subsidiaries on a consolidated basis is greater than immediately prior to such acquisition or merger, consolidation or amalgamation; or</w:t>
      </w:r>
    </w:p>
    <w:p>
      <w:pPr>
        <w:spacing w:after="0" w:line="146" w:lineRule="exact"/>
        <w:rPr>
          <w:rFonts w:ascii="Arial" w:cs="Arial" w:eastAsia="Arial" w:hAnsi="Arial"/>
          <w:sz w:val="17"/>
          <w:szCs w:val="17"/>
          <w:color w:val="auto"/>
        </w:rPr>
      </w:pPr>
    </w:p>
    <w:p>
      <w:pPr>
        <w:ind w:left="380" w:right="120" w:firstLine="646"/>
        <w:spacing w:after="0" w:line="255" w:lineRule="auto"/>
        <w:tabs>
          <w:tab w:leader="none" w:pos="180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such Indebtedness, Disqualified Stock or Preferred Stock (i) is not Secured Indebtedness and is Subordinated Indebtedness with then current customary subordination terms, as attested to by a Board Resolution, (ii) is incurred at a time when no Default exists and no Default shall result therefrom, (iii) does not mature (and is not mandatorily redeemable in the case of Disqualified Stock or Preferred Stock) and does not require any payment of </w:t>
      </w:r>
      <w:r>
        <w:rPr>
          <w:rFonts w:ascii="Arial" w:cs="Arial" w:eastAsia="Arial" w:hAnsi="Arial"/>
          <w:sz w:val="18"/>
          <w:szCs w:val="18"/>
          <w:color w:val="111111"/>
        </w:rPr>
        <w:t>principal prior to the final maturity of the Notes, (iv) is</w:t>
      </w:r>
      <w:r>
        <w:rPr>
          <w:rFonts w:ascii="Arial" w:cs="Arial" w:eastAsia="Arial" w:hAnsi="Arial"/>
          <w:sz w:val="18"/>
          <w:szCs w:val="18"/>
          <w:color w:val="auto"/>
        </w:rPr>
        <w:t xml:space="preserve"> </w:t>
      </w:r>
      <w:r>
        <w:rPr>
          <w:rFonts w:ascii="Arial" w:cs="Arial" w:eastAsia="Arial" w:hAnsi="Arial"/>
          <w:sz w:val="18"/>
          <w:szCs w:val="18"/>
          <w:color w:val="111111"/>
        </w:rPr>
        <w:t>incurred by the Company or a Guarantor and (v) in the case of sub-clause (y) above only, is not incurred in contemplation of such acquisition or merger, consolidation or amalgamation;</w:t>
      </w:r>
    </w:p>
    <w:p>
      <w:pPr>
        <w:spacing w:after="0" w:line="192" w:lineRule="exact"/>
        <w:rPr>
          <w:rFonts w:ascii="Arial" w:cs="Arial" w:eastAsia="Arial" w:hAnsi="Arial"/>
          <w:sz w:val="18"/>
          <w:szCs w:val="18"/>
          <w:color w:val="auto"/>
        </w:rPr>
      </w:pPr>
    </w:p>
    <w:p>
      <w:pPr>
        <w:ind w:left="-460" w:right="140" w:firstLine="644"/>
        <w:spacing w:after="0" w:line="263" w:lineRule="auto"/>
        <w:tabs>
          <w:tab w:leader="none" w:pos="107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is extinguished within five Business Days of its incurrence;</w:t>
      </w:r>
    </w:p>
    <w:p>
      <w:pPr>
        <w:spacing w:after="0" w:line="183" w:lineRule="exact"/>
        <w:rPr>
          <w:rFonts w:ascii="Arial" w:cs="Arial" w:eastAsia="Arial" w:hAnsi="Arial"/>
          <w:sz w:val="18"/>
          <w:szCs w:val="18"/>
          <w:color w:val="auto"/>
        </w:rPr>
      </w:pPr>
    </w:p>
    <w:p>
      <w:pPr>
        <w:ind w:left="-460" w:right="140" w:firstLine="644"/>
        <w:spacing w:after="0" w:line="277" w:lineRule="auto"/>
        <w:tabs>
          <w:tab w:leader="none" w:pos="107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Indebtedness of the Company or any Restricted Subsidiary supported by a letter of credit or bank guarantee issued pursuant to a Credit Facility, in a principal amount not in excess of the stated amount of such letter of credit;</w:t>
      </w:r>
    </w:p>
    <w:p>
      <w:pPr>
        <w:spacing w:after="0" w:line="170" w:lineRule="exact"/>
        <w:rPr>
          <w:rFonts w:ascii="Arial" w:cs="Arial" w:eastAsia="Arial" w:hAnsi="Arial"/>
          <w:sz w:val="18"/>
          <w:szCs w:val="18"/>
          <w:color w:val="auto"/>
        </w:rPr>
      </w:pPr>
    </w:p>
    <w:p>
      <w:pPr>
        <w:ind w:left="-460" w:right="40" w:firstLine="644"/>
        <w:spacing w:after="0" w:line="290" w:lineRule="auto"/>
        <w:tabs>
          <w:tab w:leader="none" w:pos="107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Indebtedness, Disqualified Stock or Preferred Stock of a Restricted Subsidiary incurred to finance or assumed in connection with an acquisition and any Permitted Refinancing Indebtedness incurred to refund, replace or refinance any Indebtedness, Disqualified Stock and Preferred Stock incurred pursuant to this clause (17) which, when aggregated with the principal amount of all other Indebtedness, Disqualified Stock and Preferred Stock incurred pursuant to this clause (17) and then outstanding (including any such Permitted Refinancing Indebtedness) does not exceed (x) $75.0 million and (y) 3.5% of Consolidated Total Assets (it being understood that any Indebtedness, Disqualified Stock and Preferred Stock incurred pursuant to this clause (17) shall cease to be deemed incurred or outstanding for purposes of this clause (17) but shall be deemed incurred pursuant to Section 10.09(a) from and after the first date on which the Company or such Restricted Subsidiary could have incurred such Indebtedness, Disqualified Stock or Preferred Stock pursuant to Section 10.09(a) without reliance on this clause (17));</w:t>
      </w: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23" w:name="page124"/>
    <w:bookmarkEnd w:id="123"/>
    <w:p>
      <w:pPr>
        <w:ind w:left="-460" w:right="120" w:firstLine="644"/>
        <w:spacing w:after="0" w:line="286" w:lineRule="auto"/>
        <w:tabs>
          <w:tab w:leader="none" w:pos="1072" w:val="left"/>
        </w:tabs>
        <w:numPr>
          <w:ilvl w:val="0"/>
          <w:numId w:val="160"/>
        </w:numPr>
        <w:rPr>
          <w:rFonts w:ascii="Arial" w:cs="Arial" w:eastAsia="Arial" w:hAnsi="Arial"/>
          <w:sz w:val="17"/>
          <w:szCs w:val="17"/>
          <w:color w:val="auto"/>
        </w:rPr>
      </w:pPr>
      <w:r>
        <w:rPr>
          <w:rFonts w:ascii="Arial" w:cs="Arial" w:eastAsia="Arial" w:hAnsi="Arial"/>
          <w:sz w:val="17"/>
          <w:szCs w:val="17"/>
          <w:color w:val="121212"/>
        </w:rPr>
        <w:t>Indebtedness owed on a short-term basis of no longer than 30 days to banks and other financial institutions incurred in the ordinary course of business of the Company and its Restricted Subsidiaries with such banks or financial institutions that arises in connection with ordinary banking arrangements to manage cash balances of the Company and its Restricted Subsidiaries;</w:t>
      </w:r>
    </w:p>
    <w:p>
      <w:pPr>
        <w:spacing w:after="0" w:line="165" w:lineRule="exact"/>
        <w:rPr>
          <w:rFonts w:ascii="Arial" w:cs="Arial" w:eastAsia="Arial" w:hAnsi="Arial"/>
          <w:sz w:val="17"/>
          <w:szCs w:val="17"/>
          <w:color w:val="auto"/>
        </w:rPr>
      </w:pPr>
    </w:p>
    <w:p>
      <w:pPr>
        <w:ind w:left="-460" w:right="180" w:firstLine="644"/>
        <w:spacing w:after="0" w:line="272" w:lineRule="auto"/>
        <w:tabs>
          <w:tab w:leader="none" w:pos="107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Indebtedness incurred by a Foreign Subsidiary and any Permitted Refinancing Indebtedness incurred to refund, replace or refinance any Indebtedness incurred pursuant to this clause which, when aggregated with the principal amount of all other Indebtedness incurred pursuant to this clause (19) and then outstanding, does not exceed the greater of (x) $50.0 million and (y) 3.5% of Consolidated Total Assets (it being understood that any Indebtedness, Disqualified Stock and Preferred Stock incurred pursuant to this clause (19) shall cease to be deemed incurred or outstanding for purposes of this clause (19) but shall be deemed incurred pursuant to Section 10.09(a) from and after the first date on which the Company or such Restricted Subsidiary could have incurred such Indebtedness, Disqualified Stock or Preferred Stock pursuant to Section 10.09(a) without reliance on this clause (19));</w:t>
      </w:r>
    </w:p>
    <w:p>
      <w:pPr>
        <w:spacing w:after="0" w:line="177" w:lineRule="exact"/>
        <w:rPr>
          <w:rFonts w:ascii="Arial" w:cs="Arial" w:eastAsia="Arial" w:hAnsi="Arial"/>
          <w:sz w:val="17"/>
          <w:szCs w:val="17"/>
          <w:color w:val="auto"/>
        </w:rPr>
      </w:pPr>
    </w:p>
    <w:p>
      <w:pPr>
        <w:jc w:val="both"/>
        <w:ind w:left="-460" w:right="200" w:firstLine="644"/>
        <w:spacing w:after="0" w:line="311" w:lineRule="auto"/>
        <w:tabs>
          <w:tab w:leader="none" w:pos="107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Indebtedness issued by the Company or any Restricted Subsidiary to current or former employees, directors, managers and consultants thereof, their respective estates, spouses or former spouses, in each case to finance the purchase or redemption of Equity Interests of the Company, or any direct or indirect parent company of the Company to the extent set forth in Section 10.08(b)(4);</w:t>
      </w:r>
    </w:p>
    <w:p>
      <w:pPr>
        <w:spacing w:after="0" w:line="148" w:lineRule="exact"/>
        <w:rPr>
          <w:rFonts w:ascii="Arial" w:cs="Arial" w:eastAsia="Arial" w:hAnsi="Arial"/>
          <w:sz w:val="16"/>
          <w:szCs w:val="16"/>
          <w:color w:val="auto"/>
        </w:rPr>
      </w:pPr>
    </w:p>
    <w:p>
      <w:pPr>
        <w:ind w:left="-460" w:firstLine="644"/>
        <w:spacing w:after="0" w:line="255" w:lineRule="auto"/>
        <w:tabs>
          <w:tab w:leader="none" w:pos="107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has occurred and is continuing or would result from the incurrence thereof. Indebtedness, Disqualified Stock and Preferred Stock of the Company or any Restricted Subsidiary not otherwise permitted </w:t>
      </w:r>
      <w:r>
        <w:rPr>
          <w:rFonts w:ascii="Arial" w:cs="Arial" w:eastAsia="Arial" w:hAnsi="Arial"/>
          <w:sz w:val="18"/>
          <w:szCs w:val="18"/>
          <w:color w:val="121212"/>
        </w:rPr>
        <w:t>hereunder in an</w:t>
      </w:r>
      <w:r>
        <w:rPr>
          <w:rFonts w:ascii="Arial" w:cs="Arial" w:eastAsia="Arial" w:hAnsi="Arial"/>
          <w:sz w:val="18"/>
          <w:szCs w:val="18"/>
          <w:color w:val="auto"/>
        </w:rPr>
        <w:t xml:space="preserve"> </w:t>
      </w:r>
      <w:r>
        <w:rPr>
          <w:rFonts w:ascii="Arial" w:cs="Arial" w:eastAsia="Arial" w:hAnsi="Arial"/>
          <w:sz w:val="18"/>
          <w:szCs w:val="18"/>
          <w:color w:val="121212"/>
        </w:rPr>
        <w:t xml:space="preserve">aggregate </w:t>
      </w:r>
      <w:r>
        <w:rPr>
          <w:rFonts w:ascii="Arial" w:cs="Arial" w:eastAsia="Arial" w:hAnsi="Arial"/>
          <w:sz w:val="18"/>
          <w:szCs w:val="18"/>
          <w:color w:val="000000"/>
        </w:rPr>
        <w:t>principal</w:t>
      </w:r>
      <w:r>
        <w:rPr>
          <w:rFonts w:ascii="Arial" w:cs="Arial" w:eastAsia="Arial" w:hAnsi="Arial"/>
          <w:sz w:val="18"/>
          <w:szCs w:val="18"/>
          <w:color w:val="121212"/>
        </w:rPr>
        <w:t xml:space="preserve"> amount or liquidation preference, which, when aggregated with the principal amount and liquidation preference of all other Indebtedness, Disqualified Stock and Preferred Stock incurred pursuant to this clause (21) and then outstanding, does not </w:t>
      </w:r>
      <w:r>
        <w:rPr>
          <w:rFonts w:ascii="Arial" w:cs="Arial" w:eastAsia="Arial" w:hAnsi="Arial"/>
          <w:sz w:val="18"/>
          <w:szCs w:val="18"/>
          <w:color w:val="000000"/>
        </w:rPr>
        <w:t>at</w:t>
      </w:r>
      <w:r>
        <w:rPr>
          <w:rFonts w:ascii="Arial" w:cs="Arial" w:eastAsia="Arial" w:hAnsi="Arial"/>
          <w:sz w:val="18"/>
          <w:szCs w:val="18"/>
          <w:color w:val="121212"/>
        </w:rPr>
        <w:t xml:space="preserve"> any one time outstanding exceed the greater of (x) $150.0 million and (y) 10.0% of Consolidated Total Assets, plus the net cash received from the sale of Equity Interests; and</w:t>
      </w:r>
    </w:p>
    <w:p>
      <w:pPr>
        <w:spacing w:after="0" w:line="192" w:lineRule="exact"/>
        <w:rPr>
          <w:rFonts w:ascii="Arial" w:cs="Arial" w:eastAsia="Arial" w:hAnsi="Arial"/>
          <w:sz w:val="18"/>
          <w:szCs w:val="18"/>
          <w:color w:val="auto"/>
        </w:rPr>
      </w:pPr>
    </w:p>
    <w:p>
      <w:pPr>
        <w:ind w:left="-460" w:right="460" w:firstLine="644"/>
        <w:spacing w:after="0" w:line="342" w:lineRule="auto"/>
        <w:tabs>
          <w:tab w:leader="none" w:pos="107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obligations in respect of Treasury Services Agreements and other Indebtedness in respect of netting services, automatic clearinghouse arrangements, overdraft protections and similar arrangements in each case in connection with Deposit Accounts.</w:t>
      </w:r>
    </w:p>
    <w:p>
      <w:pPr>
        <w:spacing w:after="0" w:line="34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4" w:name="page125"/>
    <w:bookmarkEnd w:id="124"/>
    <w:p>
      <w:pPr>
        <w:ind w:left="644" w:hanging="644"/>
        <w:spacing w:after="0"/>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 purposes of determining compliance with this Section 10.09:</w:t>
      </w:r>
    </w:p>
    <w:p>
      <w:pPr>
        <w:spacing w:after="0" w:line="225" w:lineRule="exact"/>
        <w:rPr>
          <w:rFonts w:ascii="Arial" w:cs="Arial" w:eastAsia="Arial" w:hAnsi="Arial"/>
          <w:sz w:val="18"/>
          <w:szCs w:val="18"/>
          <w:color w:val="auto"/>
        </w:rPr>
      </w:pPr>
    </w:p>
    <w:p>
      <w:pPr>
        <w:ind w:left="4" w:right="40" w:firstLine="644"/>
        <w:spacing w:after="0" w:line="270" w:lineRule="auto"/>
        <w:tabs>
          <w:tab w:leader="none" w:pos="1401" w:val="left"/>
        </w:tabs>
        <w:numPr>
          <w:ilvl w:val="1"/>
          <w:numId w:val="161"/>
        </w:numPr>
        <w:rPr>
          <w:rFonts w:ascii="Arial" w:cs="Arial" w:eastAsia="Arial" w:hAnsi="Arial"/>
          <w:sz w:val="17"/>
          <w:szCs w:val="17"/>
          <w:color w:val="auto"/>
        </w:rPr>
      </w:pPr>
      <w:r>
        <w:rPr>
          <w:rFonts w:ascii="Arial" w:cs="Arial" w:eastAsia="Arial" w:hAnsi="Arial"/>
          <w:sz w:val="17"/>
          <w:szCs w:val="17"/>
          <w:color w:val="auto"/>
        </w:rPr>
        <w:t xml:space="preserve">in the event that an item of Indebtedness, Disqualified Stock or Preferred Stock meets the criteria of more than one of the categories (or portions thereof) set forth in clauses (1) through (22) of Section 10.09(b) or is entitled to be incurred pursuant to Section 10.09(a), the Company, in its sole discretion, shall be permitted to classify or reclassify, or later divide, classify or reclassify (based on circumstances existing at the time of such reclassification), such item of Indebtedness, Disqualified Stock or Preferred Stock (or any portion thereof), in each case to any category of Permitted Debt set forth in clauses (1) through (22) of Section 10.09(b) above or Section 10.09(a) in a manner that complies with this Section 10.09, including by allocating the amount and type of such Indebtedness, Disqualified Stock or Preferred Stock in one or more of the above clauses (or portions thereof) or under Section 10.09(a);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Indebtedness outstanding or commitments to extend credit established, in each case, under the ABL Facility on the Issue Date shall be deemed to have been incurred on such date in reliance on the exceptions in Section 10.09(b)(1)(i), (10) and (22), as applicable;</w:t>
      </w:r>
    </w:p>
    <w:p>
      <w:pPr>
        <w:spacing w:after="0" w:line="180" w:lineRule="exact"/>
        <w:rPr>
          <w:rFonts w:ascii="Arial" w:cs="Arial" w:eastAsia="Arial" w:hAnsi="Arial"/>
          <w:sz w:val="17"/>
          <w:szCs w:val="17"/>
          <w:color w:val="auto"/>
        </w:rPr>
      </w:pPr>
    </w:p>
    <w:p>
      <w:pPr>
        <w:ind w:left="4" w:right="520" w:firstLine="644"/>
        <w:spacing w:after="0" w:line="287" w:lineRule="auto"/>
        <w:tabs>
          <w:tab w:leader="none" w:pos="1401" w:val="left"/>
        </w:tabs>
        <w:numPr>
          <w:ilvl w:val="1"/>
          <w:numId w:val="161"/>
        </w:numPr>
        <w:rPr>
          <w:rFonts w:ascii="Arial" w:cs="Arial" w:eastAsia="Arial" w:hAnsi="Arial"/>
          <w:sz w:val="16"/>
          <w:szCs w:val="16"/>
          <w:color w:val="auto"/>
        </w:rPr>
      </w:pPr>
      <w:r>
        <w:rPr>
          <w:rFonts w:ascii="Arial" w:cs="Arial" w:eastAsia="Arial" w:hAnsi="Arial"/>
          <w:sz w:val="16"/>
          <w:szCs w:val="16"/>
          <w:color w:val="auto"/>
        </w:rPr>
        <w:t>with respect to Indebtedness incurred under a Credit Facility pursuant to Section 10.09(b)(1), reborrowings of amounts previously repaid pursuant to “cash sweep” provisions or any similar provisions under such Credit Facility that provide that Indebtedness is deemed to be repaid daily or upon receipt of collateral proceeds (or otherwise periodically) shall only be deemed for purposes of this</w:t>
      </w:r>
    </w:p>
    <w:p>
      <w:pPr>
        <w:spacing w:after="0" w:line="2" w:lineRule="exact"/>
        <w:rPr>
          <w:rFonts w:ascii="Arial" w:cs="Arial" w:eastAsia="Arial" w:hAnsi="Arial"/>
          <w:sz w:val="16"/>
          <w:szCs w:val="16"/>
          <w:color w:val="auto"/>
        </w:rPr>
      </w:pPr>
    </w:p>
    <w:p>
      <w:pPr>
        <w:ind w:left="4"/>
        <w:spacing w:after="0" w:line="323" w:lineRule="auto"/>
        <w:rPr>
          <w:rFonts w:ascii="Arial" w:cs="Arial" w:eastAsia="Arial" w:hAnsi="Arial"/>
          <w:sz w:val="16"/>
          <w:szCs w:val="16"/>
          <w:color w:val="auto"/>
        </w:rPr>
      </w:pPr>
      <w:r>
        <w:rPr>
          <w:rFonts w:ascii="Arial" w:cs="Arial" w:eastAsia="Arial" w:hAnsi="Arial"/>
          <w:sz w:val="16"/>
          <w:szCs w:val="16"/>
          <w:color w:val="auto"/>
        </w:rPr>
        <w:t>Section 10.09 to have been incurred on the date such Indebtedness was first incurred and not on the date of any subsequent reborrowing thereof, in each case unless actually repaid other than pursuant to such “cash sweep”, receipt of collateral proceeds or other similar provisions;</w:t>
      </w:r>
    </w:p>
    <w:p>
      <w:pPr>
        <w:spacing w:after="0" w:line="138" w:lineRule="exact"/>
        <w:rPr>
          <w:rFonts w:ascii="Arial" w:cs="Arial" w:eastAsia="Arial" w:hAnsi="Arial"/>
          <w:sz w:val="16"/>
          <w:szCs w:val="16"/>
          <w:color w:val="auto"/>
        </w:rPr>
      </w:pPr>
    </w:p>
    <w:p>
      <w:pPr>
        <w:ind w:left="4" w:right="40" w:firstLine="644"/>
        <w:spacing w:after="0" w:line="291" w:lineRule="auto"/>
        <w:tabs>
          <w:tab w:leader="none" w:pos="1401"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any Credit Facility incurred under Section 10.09(b)(1) may be refinanced at any time if the aggregate principal amount of such refinancing does not exceed the greater of (i) the aggregate principal amount of Indebtedness permitted to be incurred pursuant to such clause</w:t>
      </w:r>
    </w:p>
    <w:p>
      <w:pPr>
        <w:ind w:left="4"/>
        <w:spacing w:after="0" w:line="255" w:lineRule="auto"/>
        <w:rPr>
          <w:rFonts w:ascii="Arial" w:cs="Arial" w:eastAsia="Arial" w:hAnsi="Arial"/>
          <w:sz w:val="16"/>
          <w:szCs w:val="16"/>
          <w:color w:val="auto"/>
        </w:rPr>
      </w:pPr>
      <w:r>
        <w:rPr>
          <w:rFonts w:ascii="Arial" w:cs="Arial" w:eastAsia="Arial" w:hAnsi="Arial"/>
          <w:sz w:val="18"/>
          <w:szCs w:val="18"/>
          <w:color w:val="auto"/>
        </w:rPr>
        <w:t>(1) and (ii) the aggregate principal amount of the Credit Facility being refinanced (together with accrued and unpaid interests and any premiums or fees associated with such refinancing) and, in the case of a refinancing of Indebtedness outstanding under the ABL Facility in effect on the Issue Date, such refinancing shall be treated for all purposes as incurred under such clause (1)(i);</w:t>
      </w:r>
    </w:p>
    <w:p>
      <w:pPr>
        <w:spacing w:after="0" w:line="189" w:lineRule="exact"/>
        <w:rPr>
          <w:rFonts w:ascii="Arial" w:cs="Arial" w:eastAsia="Arial" w:hAnsi="Arial"/>
          <w:sz w:val="16"/>
          <w:szCs w:val="16"/>
          <w:color w:val="auto"/>
        </w:rPr>
      </w:pPr>
    </w:p>
    <w:p>
      <w:pPr>
        <w:ind w:left="4" w:right="120" w:firstLine="644"/>
        <w:spacing w:after="0" w:line="263" w:lineRule="auto"/>
        <w:tabs>
          <w:tab w:leader="none" w:pos="1401"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principal amount of amount of Indebtedness outstanding under any clause of this covenant will be determined after giving effect to the application of proceeds of such Indebtedness to refinance such other Indebtedness substantially concurrently with or reasonably thereafter;</w:t>
      </w:r>
    </w:p>
    <w:p>
      <w:pPr>
        <w:spacing w:after="0" w:line="183" w:lineRule="exact"/>
        <w:rPr>
          <w:rFonts w:ascii="Arial" w:cs="Arial" w:eastAsia="Arial" w:hAnsi="Arial"/>
          <w:sz w:val="18"/>
          <w:szCs w:val="18"/>
          <w:color w:val="auto"/>
        </w:rPr>
      </w:pPr>
    </w:p>
    <w:p>
      <w:pPr>
        <w:ind w:left="4" w:right="20" w:firstLine="644"/>
        <w:spacing w:after="0" w:line="296" w:lineRule="auto"/>
        <w:tabs>
          <w:tab w:leader="none" w:pos="1401"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at the time of Incurrence, division, classification or reclassification, the Company will be entitled to divide and classify an item of Indebtedness in more than one of the categories of Indebtedness described in the Section 10.09(a) hereof or clauses (1) through (21) above of the definition of “Permitted Debt” (or any portion thereof) without giving pro forma effect to the Indebtedness Incurred, divided, classified or reclassified pursuant to any other clause or paragraph above (or any portion thereof) when calculating the amount of Indebtedness that may be Incurred, divided, classified or reclassified pursuant to any such clause or paragraph (or any portion thereof) at such time; and</w:t>
      </w:r>
    </w:p>
    <w:p>
      <w:pPr>
        <w:spacing w:after="0" w:line="377" w:lineRule="exact"/>
        <w:rPr>
          <w:sz w:val="20"/>
          <w:szCs w:val="20"/>
          <w:color w:val="auto"/>
        </w:rPr>
      </w:pPr>
    </w:p>
    <w:p>
      <w:pPr>
        <w:ind w:left="4804"/>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25" w:name="page126"/>
    <w:bookmarkEnd w:id="125"/>
    <w:p>
      <w:pPr>
        <w:ind w:left="660" w:firstLine="644"/>
        <w:spacing w:after="0" w:line="289" w:lineRule="auto"/>
        <w:tabs>
          <w:tab w:leader="none" w:pos="205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in connection with the Incurrence or issuance, as applicable, of (x) revolving loan Indebtedness, including under the ABL Facility, under this covenant or (y) any commitment relating to the Incurrence or issuance of Indebtedness, Disqualified Stock or Preferred Stock under this Section 10.09 and the granting of any Lien to secure such Indebtedness, the Company or applicable Restricted Subsidiary may designate such Incurrence or issuance and the granting of any Lien therefor as having occurred on the date of first Incurrence of such revolving loan Indebtedness or commitment (such date, the “Deemed Date”), and any related subsequent actual Incurrence or issuance and granting of such Lien therefor will be deemed for all purposes under this Indenture to have been Incurred or issued and granted on such Deemed Date, including, without limitation, for purposes of calculating the Fixed Charge Coverage Ratio, usage of any baskets hereunder (if applicable) and EBITDA (and all such calculations on and after the Deemed Date until the termination or funding of such commitment shall be made on a pro forma basis giving effect to the deemed Incurrence or issuance, the granting of any Lien therefor and related transactions in connection therewith).</w:t>
      </w:r>
    </w:p>
    <w:p>
      <w:pPr>
        <w:spacing w:after="0" w:line="166" w:lineRule="exact"/>
        <w:rPr>
          <w:rFonts w:ascii="Arial" w:cs="Arial" w:eastAsia="Arial" w:hAnsi="Arial"/>
          <w:sz w:val="16"/>
          <w:szCs w:val="16"/>
          <w:color w:val="auto"/>
        </w:rPr>
      </w:pPr>
    </w:p>
    <w:p>
      <w:pPr>
        <w:ind w:right="20" w:firstLine="656"/>
        <w:spacing w:after="0" w:line="342" w:lineRule="auto"/>
        <w:tabs>
          <w:tab w:leader="none" w:pos="126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accrual of interest, the accretion of accreted value and the payment of interest in the form of additional Indebtedness, Disqualified Stock or Preferred Stock shall not be deemed to be an incurrence of Indebtedness, Disqualified Stock or Preferred Stock for purposes of this Section 10.09.</w:t>
      </w:r>
    </w:p>
    <w:p>
      <w:pPr>
        <w:spacing w:after="0" w:line="123" w:lineRule="exact"/>
        <w:rPr>
          <w:rFonts w:ascii="Arial" w:cs="Arial" w:eastAsia="Arial" w:hAnsi="Arial"/>
          <w:sz w:val="16"/>
          <w:szCs w:val="16"/>
          <w:color w:val="auto"/>
        </w:rPr>
      </w:pPr>
    </w:p>
    <w:p>
      <w:pPr>
        <w:ind w:firstLine="656"/>
        <w:spacing w:after="0" w:line="270" w:lineRule="auto"/>
        <w:tabs>
          <w:tab w:leader="none" w:pos="125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or incurred (as determined by the Company), in the case of revolving credit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Indebtedness is incurred to extend, replace, refund, refinance, renew or defease other Indebtedness denominated in a foreign currency, and such extension, replacement, refunding, refinancing, renewal or defeasance would cause the applicable U.S. dollar-denominated restriction to be exceeded if calculated at the relevant currency exchange rate in effect on the date of such extension, replacement, refunding, refinancing, renewal or defeasance, such U.S. dollar-denominated restriction shall be deemed not to have been exceeded so long as the principal amount of such refinancing Indebtedness does not exceed the principal amount of such Indebtedness being extended, replaced, refunded, refinanced, renewed or defeased, plus any premiums and expenses in connection therewith.</w:t>
      </w:r>
    </w:p>
    <w:p>
      <w:pPr>
        <w:spacing w:after="0" w:line="180" w:lineRule="exact"/>
        <w:rPr>
          <w:rFonts w:ascii="Arial" w:cs="Arial" w:eastAsia="Arial" w:hAnsi="Arial"/>
          <w:sz w:val="17"/>
          <w:szCs w:val="17"/>
          <w:color w:val="auto"/>
        </w:rPr>
      </w:pPr>
    </w:p>
    <w:p>
      <w:pPr>
        <w:ind w:right="100" w:firstLine="656"/>
        <w:spacing w:after="0" w:line="259" w:lineRule="auto"/>
        <w:tabs>
          <w:tab w:leader="none" w:pos="123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principal amount of any Indebtedness incurred to extend, replace, refund, refinance, renew or defease other Indebtedness, if incurred in a different currency from the Indebtedness being extended, replaced, refunded, refinanced, renewed or defeased, shall be calculated based on the currency exchange rate applicable to the currencies in which such respective Indebtedness is denominated that is in effect on the date of such extension, replacement, refunding, refinancing, renewal or defeasance.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6" w:name="page127"/>
    <w:bookmarkEnd w:id="126"/>
    <w:p>
      <w:pPr>
        <w:ind w:left="660"/>
        <w:spacing w:after="0"/>
        <w:tabs>
          <w:tab w:leader="none" w:pos="180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7"/>
          <w:szCs w:val="17"/>
          <w:u w:val="single" w:color="auto"/>
          <w:color w:val="auto"/>
        </w:rPr>
        <w:t>Liens</w:t>
      </w:r>
      <w:r>
        <w:rPr>
          <w:rFonts w:ascii="Arial" w:cs="Arial" w:eastAsia="Arial" w:hAnsi="Arial"/>
          <w:sz w:val="17"/>
          <w:szCs w:val="17"/>
          <w:color w:val="auto"/>
        </w:rPr>
        <w:t>.</w:t>
      </w:r>
    </w:p>
    <w:p>
      <w:pPr>
        <w:spacing w:after="0" w:line="225" w:lineRule="exact"/>
        <w:rPr>
          <w:sz w:val="20"/>
          <w:szCs w:val="20"/>
          <w:color w:val="auto"/>
        </w:rPr>
      </w:pPr>
    </w:p>
    <w:p>
      <w:pPr>
        <w:ind w:firstLine="656"/>
        <w:spacing w:after="0" w:line="255" w:lineRule="auto"/>
        <w:tabs>
          <w:tab w:leader="none" w:pos="134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Company shall not, and shall not permit any of its Restricted Subsidiaries, directly or indirectly, to, enter into, create, incur or assume any Liens that secure obligations under any Indebtedness of any kind, on or with respect to the Collateral except Permitted Collateral Liens. Subject to the immediately preceding sentence, the Company will not, and will not permit any of the Restricted Subsidiaries to, directly or indirectly, create, incur, assume or suffer to exist any Lien that secures obligations under any Indebtedness on any asset or property of the Company or any Restricted Subsidiary (other than the Collateral) now owned or hereafter </w:t>
      </w:r>
      <w:r>
        <w:rPr>
          <w:rFonts w:ascii="Arial" w:cs="Arial" w:eastAsia="Arial" w:hAnsi="Arial"/>
          <w:sz w:val="18"/>
          <w:szCs w:val="18"/>
          <w:color w:val="131313"/>
        </w:rPr>
        <w:t>acquired, or any income or profits therefrom, or assign or convey any right to receive income therefrom,</w:t>
      </w:r>
      <w:r>
        <w:rPr>
          <w:rFonts w:ascii="Arial" w:cs="Arial" w:eastAsia="Arial" w:hAnsi="Arial"/>
          <w:sz w:val="18"/>
          <w:szCs w:val="18"/>
          <w:color w:val="auto"/>
        </w:rPr>
        <w:t xml:space="preserve"> </w:t>
      </w:r>
      <w:r>
        <w:rPr>
          <w:rFonts w:ascii="Arial" w:cs="Arial" w:eastAsia="Arial" w:hAnsi="Arial"/>
          <w:sz w:val="18"/>
          <w:szCs w:val="18"/>
          <w:color w:val="131313"/>
        </w:rPr>
        <w:t>except Permitted Liens.</w:t>
      </w:r>
    </w:p>
    <w:p>
      <w:pPr>
        <w:spacing w:after="0" w:line="192" w:lineRule="exact"/>
        <w:rPr>
          <w:rFonts w:ascii="Arial" w:cs="Arial" w:eastAsia="Arial" w:hAnsi="Arial"/>
          <w:sz w:val="18"/>
          <w:szCs w:val="18"/>
          <w:color w:val="auto"/>
        </w:rPr>
      </w:pPr>
    </w:p>
    <w:p>
      <w:pPr>
        <w:ind w:right="300" w:firstLine="656"/>
        <w:spacing w:after="0" w:line="291" w:lineRule="auto"/>
        <w:tabs>
          <w:tab w:leader="none" w:pos="1352" w:val="left"/>
        </w:tabs>
        <w:numPr>
          <w:ilvl w:val="0"/>
          <w:numId w:val="164"/>
        </w:numPr>
        <w:rPr>
          <w:rFonts w:ascii="Arial" w:cs="Arial" w:eastAsia="Arial" w:hAnsi="Arial"/>
          <w:sz w:val="16"/>
          <w:szCs w:val="16"/>
          <w:color w:val="121212"/>
        </w:rPr>
      </w:pPr>
      <w:r>
        <w:rPr>
          <w:rFonts w:ascii="Arial" w:cs="Arial" w:eastAsia="Arial" w:hAnsi="Arial"/>
          <w:sz w:val="16"/>
          <w:szCs w:val="16"/>
          <w:color w:val="auto"/>
        </w:rPr>
        <w:t>For purposes of determining compliance with this Section 10.10, (A) a Lien securing an item of Indebtedness need not be permitted solely by reference to clause (a) above or to one category (or portion thereof) of Permitted Liens set forth in clauses (1) through (36) of the definition of “Permitted Liens” but may be permitted in part under any combination thereof and (B) in the event that a Lien securing an item of Indebtedness, Disqualified Stock or Preferred Stock (or any portion thereof) meets the criteria of the above paragraph or one or more of the categories (or portions thereof) of Permitted Liens set forth in clauses (1) through (36) of the definition of “Permitted Liens,” the Company shall, in its sole discretion, divide, classify or reclassify, or later divide, classify, or reclassify, such Lien securing such item of Indebtedness (or any portion thereof) in any manner that complies (based on circumstances existing at the time of such division, classification or reclassification) with this Section 10.10.</w:t>
      </w:r>
    </w:p>
    <w:p>
      <w:pPr>
        <w:spacing w:after="0" w:line="166" w:lineRule="exact"/>
        <w:rPr>
          <w:rFonts w:ascii="Arial" w:cs="Arial" w:eastAsia="Arial" w:hAnsi="Arial"/>
          <w:sz w:val="16"/>
          <w:szCs w:val="16"/>
          <w:color w:val="121212"/>
        </w:rPr>
      </w:pPr>
    </w:p>
    <w:p>
      <w:pPr>
        <w:ind w:right="40" w:firstLine="656"/>
        <w:spacing w:after="0" w:line="291" w:lineRule="auto"/>
        <w:tabs>
          <w:tab w:leader="none" w:pos="1342" w:val="left"/>
        </w:tabs>
        <w:numPr>
          <w:ilvl w:val="0"/>
          <w:numId w:val="164"/>
        </w:numPr>
        <w:rPr>
          <w:rFonts w:ascii="Arial" w:cs="Arial" w:eastAsia="Arial" w:hAnsi="Arial"/>
          <w:sz w:val="16"/>
          <w:szCs w:val="16"/>
          <w:color w:val="121212"/>
        </w:rPr>
      </w:pPr>
      <w:r>
        <w:rPr>
          <w:rFonts w:ascii="Arial" w:cs="Arial" w:eastAsia="Arial" w:hAnsi="Arial"/>
          <w:sz w:val="16"/>
          <w:szCs w:val="16"/>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16"/>
          <w:szCs w:val="16"/>
          <w:i w:val="1"/>
          <w:iCs w:val="1"/>
          <w:color w:val="auto"/>
        </w:rPr>
        <w:t>Increased Amount</w:t>
      </w:r>
      <w:r>
        <w:rPr>
          <w:rFonts w:ascii="Arial" w:cs="Arial" w:eastAsia="Arial" w:hAnsi="Arial"/>
          <w:sz w:val="16"/>
          <w:szCs w:val="16"/>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or in the form of common equity of the Company or any direct or indirect parent of the Company, the payment of dividends on Preferred Stock in the form of additional shares of Preferred Stock of the same class, accretion of original issue discount or liquidation preference and increases in the amount of Indebtedness outstanding solely as a result of fluctuations in the exchange rate of currencies or increases in the value of property securing Indebtedness set forth in the definition of “Indebtedness.”</w:t>
      </w:r>
    </w:p>
    <w:p>
      <w:pPr>
        <w:spacing w:after="0" w:line="16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121212"/>
        </w:rPr>
        <w:t>Section 10.11</w:t>
      </w:r>
      <w:r>
        <w:rPr>
          <w:sz w:val="20"/>
          <w:szCs w:val="20"/>
          <w:color w:val="auto"/>
        </w:rPr>
        <w:tab/>
      </w:r>
      <w:r>
        <w:rPr>
          <w:rFonts w:ascii="Arial" w:cs="Arial" w:eastAsia="Arial" w:hAnsi="Arial"/>
          <w:sz w:val="16"/>
          <w:szCs w:val="16"/>
          <w:u w:val="single" w:color="auto"/>
          <w:color w:val="121212"/>
        </w:rPr>
        <w:t>Limitations on Transactions with Affiliates</w:t>
      </w:r>
      <w:r>
        <w:rPr>
          <w:rFonts w:ascii="Arial" w:cs="Arial" w:eastAsia="Arial" w:hAnsi="Arial"/>
          <w:sz w:val="16"/>
          <w:szCs w:val="16"/>
          <w:color w:val="121212"/>
        </w:rPr>
        <w:t>.</w:t>
      </w:r>
    </w:p>
    <w:p>
      <w:pPr>
        <w:spacing w:after="0" w:line="225" w:lineRule="exact"/>
        <w:rPr>
          <w:sz w:val="20"/>
          <w:szCs w:val="20"/>
          <w:color w:val="auto"/>
        </w:rPr>
      </w:pPr>
    </w:p>
    <w:p>
      <w:pPr>
        <w:ind w:right="220" w:firstLine="656"/>
        <w:spacing w:after="0" w:line="259" w:lineRule="auto"/>
        <w:tabs>
          <w:tab w:leader="none" w:pos="1342" w:val="left"/>
        </w:tabs>
        <w:numPr>
          <w:ilvl w:val="0"/>
          <w:numId w:val="165"/>
        </w:numPr>
        <w:rPr>
          <w:rFonts w:ascii="Arial" w:cs="Arial" w:eastAsia="Arial" w:hAnsi="Arial"/>
          <w:sz w:val="18"/>
          <w:szCs w:val="18"/>
          <w:color w:val="121212"/>
        </w:rPr>
      </w:pPr>
      <w:r>
        <w:rPr>
          <w:rFonts w:ascii="Arial" w:cs="Arial" w:eastAsia="Arial" w:hAnsi="Arial"/>
          <w:sz w:val="18"/>
          <w:szCs w:val="18"/>
          <w:color w:val="auto"/>
        </w:rPr>
        <w:t>The Company shall not, and shall not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of the foregoing,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payments or consideration in excess of $15.0 million, unless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ind w:left="4" w:right="40" w:firstLine="644"/>
        <w:spacing w:after="0" w:line="263" w:lineRule="auto"/>
        <w:tabs>
          <w:tab w:leader="none" w:pos="140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not materially less favorable to the Company or the relevant Restricted Subsidiary than those that would have been obtained in a comparable transaction by the Company or such Restricted Subsidiary with an unrelated Person, and</w:t>
      </w:r>
    </w:p>
    <w:p>
      <w:pPr>
        <w:spacing w:after="0" w:line="183" w:lineRule="exact"/>
        <w:rPr>
          <w:rFonts w:ascii="Arial" w:cs="Arial" w:eastAsia="Arial" w:hAnsi="Arial"/>
          <w:sz w:val="18"/>
          <w:szCs w:val="18"/>
          <w:color w:val="auto"/>
        </w:rPr>
      </w:pPr>
    </w:p>
    <w:p>
      <w:pPr>
        <w:ind w:left="4" w:right="380" w:firstLine="644"/>
        <w:spacing w:after="0" w:line="259" w:lineRule="auto"/>
        <w:tabs>
          <w:tab w:leader="none" w:pos="140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the Company delivers to the Trustee with respect to any Affiliate Transaction or series of related Affiliate Transactions involving aggregate payments or consideration in excess of $15.0 million, a Board Resolution adopted by the majority of the members of the Board of Directors of the Company approving such Affiliate </w:t>
      </w:r>
      <w:r>
        <w:rPr>
          <w:rFonts w:ascii="Arial" w:cs="Arial" w:eastAsia="Arial" w:hAnsi="Arial"/>
          <w:sz w:val="18"/>
          <w:szCs w:val="18"/>
          <w:color w:val="121212"/>
        </w:rPr>
        <w:t>Transaction and set forth</w:t>
      </w:r>
      <w:r>
        <w:rPr>
          <w:rFonts w:ascii="Arial" w:cs="Arial" w:eastAsia="Arial" w:hAnsi="Arial"/>
          <w:sz w:val="18"/>
          <w:szCs w:val="18"/>
          <w:color w:val="auto"/>
        </w:rPr>
        <w:t xml:space="preserve"> in </w:t>
      </w:r>
      <w:r>
        <w:rPr>
          <w:rFonts w:ascii="Arial" w:cs="Arial" w:eastAsia="Arial" w:hAnsi="Arial"/>
          <w:sz w:val="18"/>
          <w:szCs w:val="18"/>
          <w:color w:val="121212"/>
        </w:rPr>
        <w:t>an Officer’s Certificate certifying that such Affiliate</w:t>
      </w:r>
      <w:r>
        <w:rPr>
          <w:rFonts w:ascii="Arial" w:cs="Arial" w:eastAsia="Arial" w:hAnsi="Arial"/>
          <w:sz w:val="18"/>
          <w:szCs w:val="18"/>
          <w:color w:val="auto"/>
        </w:rPr>
        <w:t xml:space="preserve"> </w:t>
      </w:r>
      <w:r>
        <w:rPr>
          <w:rFonts w:ascii="Arial" w:cs="Arial" w:eastAsia="Arial" w:hAnsi="Arial"/>
          <w:sz w:val="18"/>
          <w:szCs w:val="18"/>
          <w:color w:val="121212"/>
        </w:rPr>
        <w:t>Transaction complies with clause (a) above.</w:t>
      </w:r>
    </w:p>
    <w:p>
      <w:pPr>
        <w:spacing w:after="0" w:line="186" w:lineRule="exact"/>
        <w:rPr>
          <w:rFonts w:ascii="Arial" w:cs="Arial" w:eastAsia="Arial" w:hAnsi="Arial"/>
          <w:sz w:val="18"/>
          <w:szCs w:val="18"/>
          <w:color w:val="auto"/>
        </w:rPr>
      </w:pPr>
    </w:p>
    <w:p>
      <w:pPr>
        <w:ind w:left="664" w:hanging="664"/>
        <w:spacing w:after="0"/>
        <w:tabs>
          <w:tab w:leader="none" w:pos="66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foregoing provisions shall not apply to the following:</w:t>
      </w:r>
    </w:p>
    <w:p>
      <w:pPr>
        <w:spacing w:after="0" w:line="225" w:lineRule="exact"/>
        <w:rPr>
          <w:rFonts w:ascii="Arial" w:cs="Arial" w:eastAsia="Arial" w:hAnsi="Arial"/>
          <w:sz w:val="18"/>
          <w:szCs w:val="18"/>
          <w:color w:val="auto"/>
        </w:rPr>
      </w:pPr>
    </w:p>
    <w:p>
      <w:pPr>
        <w:ind w:left="4" w:right="440" w:firstLine="644"/>
        <w:spacing w:after="0" w:line="277" w:lineRule="auto"/>
        <w:tabs>
          <w:tab w:leader="none" w:pos="140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transactions between or among the Company or any of the Restricted Subsidiaries (or an entity that becomes a Restricted Subsidiary as a result of such transaction):</w:t>
      </w:r>
    </w:p>
    <w:p>
      <w:pPr>
        <w:spacing w:after="0" w:line="170" w:lineRule="exact"/>
        <w:rPr>
          <w:rFonts w:ascii="Arial" w:cs="Arial" w:eastAsia="Arial" w:hAnsi="Arial"/>
          <w:sz w:val="18"/>
          <w:szCs w:val="18"/>
          <w:color w:val="auto"/>
        </w:rPr>
      </w:pPr>
    </w:p>
    <w:p>
      <w:pPr>
        <w:ind w:left="1404" w:hanging="756"/>
        <w:spacing w:after="0"/>
        <w:tabs>
          <w:tab w:leader="none" w:pos="140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Restricted Payments permitted by Section 10.08 and the definition of “Permitted Investments”;</w:t>
      </w:r>
    </w:p>
    <w:p>
      <w:pPr>
        <w:spacing w:after="0" w:line="225" w:lineRule="exact"/>
        <w:rPr>
          <w:rFonts w:ascii="Arial" w:cs="Arial" w:eastAsia="Arial" w:hAnsi="Arial"/>
          <w:sz w:val="18"/>
          <w:szCs w:val="18"/>
          <w:color w:val="auto"/>
        </w:rPr>
      </w:pPr>
    </w:p>
    <w:p>
      <w:pPr>
        <w:ind w:left="4" w:right="320" w:firstLine="644"/>
        <w:spacing w:after="0" w:line="263" w:lineRule="auto"/>
        <w:tabs>
          <w:tab w:leader="none" w:pos="140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transactions pursuant to compensatory, benefit and incentive plans and agreements with officers, directors, managers or employees of the Company or any of its Restricted Subsidiaries approved by a majority of the Board of Directors of the Company (or a parent company thereof) in good faith;</w:t>
      </w:r>
    </w:p>
    <w:p>
      <w:pPr>
        <w:spacing w:after="0" w:line="183" w:lineRule="exact"/>
        <w:rPr>
          <w:rFonts w:ascii="Arial" w:cs="Arial" w:eastAsia="Arial" w:hAnsi="Arial"/>
          <w:sz w:val="18"/>
          <w:szCs w:val="18"/>
          <w:color w:val="auto"/>
        </w:rPr>
      </w:pPr>
    </w:p>
    <w:p>
      <w:pPr>
        <w:ind w:left="4" w:right="260" w:firstLine="644"/>
        <w:spacing w:after="0" w:line="342" w:lineRule="auto"/>
        <w:tabs>
          <w:tab w:leader="none" w:pos="1401"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payment of reasonable and customary fees and reimbursements paid to, and indemnities provided on behalf of, officers, directors, managers, employees or consultants of the Company, any of its direct or indirect parent companies or any Restricted Subsidiary;</w:t>
      </w:r>
    </w:p>
    <w:p>
      <w:pPr>
        <w:spacing w:after="0" w:line="123" w:lineRule="exact"/>
        <w:rPr>
          <w:rFonts w:ascii="Arial" w:cs="Arial" w:eastAsia="Arial" w:hAnsi="Arial"/>
          <w:sz w:val="16"/>
          <w:szCs w:val="16"/>
          <w:color w:val="auto"/>
        </w:rPr>
      </w:pPr>
    </w:p>
    <w:p>
      <w:pPr>
        <w:ind w:left="4" w:right="80" w:firstLine="644"/>
        <w:spacing w:after="0" w:line="263" w:lineRule="auto"/>
        <w:tabs>
          <w:tab w:leader="none" w:pos="140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transactions in which the Company or any Restricted Subsidiary, as the case may be, delivers to the Trustee a letter from an Independent Financial Advisor stating that such transaction is fair to the Company or such Restricted Subsidiary from a financial point of view or meets the requirements of Section 10.11(a)(1);</w:t>
      </w:r>
    </w:p>
    <w:p>
      <w:pPr>
        <w:spacing w:after="0" w:line="183" w:lineRule="exact"/>
        <w:rPr>
          <w:rFonts w:ascii="Arial" w:cs="Arial" w:eastAsia="Arial" w:hAnsi="Arial"/>
          <w:sz w:val="18"/>
          <w:szCs w:val="18"/>
          <w:color w:val="auto"/>
        </w:rPr>
      </w:pPr>
    </w:p>
    <w:p>
      <w:pPr>
        <w:ind w:left="4" w:right="100" w:firstLine="644"/>
        <w:spacing w:after="0" w:line="259" w:lineRule="auto"/>
        <w:tabs>
          <w:tab w:leader="none" w:pos="140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payments or loans (or cancellations of loans) to officers, directors, employees or consultants of the Company, any of its direct or indirect parent companies or any Restricted Subsidiary and employment agreements, employee benefit plans, stock option plans and other compensatory or severance arrangements with such employees or consultants that are, in each case, approved by the Company (or a parent company thereof) in good faith;</w:t>
      </w:r>
    </w:p>
    <w:p>
      <w:pPr>
        <w:spacing w:after="0" w:line="186" w:lineRule="exact"/>
        <w:rPr>
          <w:rFonts w:ascii="Arial" w:cs="Arial" w:eastAsia="Arial" w:hAnsi="Arial"/>
          <w:sz w:val="18"/>
          <w:szCs w:val="18"/>
          <w:color w:val="auto"/>
        </w:rPr>
      </w:pPr>
    </w:p>
    <w:p>
      <w:pPr>
        <w:ind w:left="4" w:firstLine="644"/>
        <w:spacing w:after="0" w:line="263" w:lineRule="auto"/>
        <w:tabs>
          <w:tab w:leader="none" w:pos="140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agreement, instrument or arrangement as in effect as of the Issue Date, or any amendment thereto (so long as any such amendment is not disadvantageous to the Holders in any material respect as compared to the applicable agreement as in effect on the Issue Date as reasonably determined by the Company in good faith, as evidenced by an Officer’s Certificate);</w:t>
      </w:r>
    </w:p>
    <w:p>
      <w:pPr>
        <w:spacing w:after="0" w:line="400" w:lineRule="exact"/>
        <w:rPr>
          <w:sz w:val="20"/>
          <w:szCs w:val="20"/>
          <w:color w:val="auto"/>
        </w:rPr>
      </w:pPr>
    </w:p>
    <w:p>
      <w:pPr>
        <w:ind w:left="4804"/>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128" w:name="page129"/>
    <w:bookmarkEnd w:id="128"/>
    <w:p>
      <w:pPr>
        <w:ind w:left="-460" w:firstLine="644"/>
        <w:spacing w:after="0" w:line="271" w:lineRule="auto"/>
        <w:tabs>
          <w:tab w:leader="none" w:pos="93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the existence of, or the performance by the Company or any of the Restricted Subsidiaries of its obligations under the terms of, any stockholders agreement or its equivalent (including any registration rights agreement or purchase agreement related thereto) to which it is a party as of the Issue Date and any similar agreements which it may enter into thereafter;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existence of, or the performance by the Company or any Restricted Subsidiary of obligations under any future amendment to any such existing agreement or under any similar agreement entered into after the Issue Date shall only be permitted by this clause (8) to the extent that the terms of any such existing agreement together with all amendments thereto, taken as a whole, or new agreement are not otherwise more disadvantageous to the Holders in any material respect than the terms of the original agreement in effect on the Issue Date as reasonably determined in good faith by the Company, as evidenced by an Officer’s Certificate;</w:t>
      </w:r>
    </w:p>
    <w:p>
      <w:pPr>
        <w:spacing w:after="0" w:line="178" w:lineRule="exact"/>
        <w:rPr>
          <w:rFonts w:ascii="Arial" w:cs="Arial" w:eastAsia="Arial" w:hAnsi="Arial"/>
          <w:sz w:val="17"/>
          <w:szCs w:val="17"/>
          <w:color w:val="auto"/>
        </w:rPr>
      </w:pPr>
    </w:p>
    <w:p>
      <w:pPr>
        <w:ind w:left="-460" w:right="20" w:firstLine="644"/>
        <w:spacing w:after="0" w:line="257" w:lineRule="auto"/>
        <w:tabs>
          <w:tab w:leader="none" w:pos="93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transactions with customers, clients, suppliers, joint venture partners or purchasers or sellers of goods or services (including pursuant to joint venture agreements), in each case in the ordinary course of business and otherwise in compliance with the terms of this Indenture that are fair to the Company and the Restricted Subsidiaries, in the reasonable determination of the Board of Directors or the senior management of the Company (or a parent company thereof), or are on terms at least as favorable as might reasonably have been obtained at such time from an unaffiliated party;</w:t>
      </w:r>
    </w:p>
    <w:p>
      <w:pPr>
        <w:spacing w:after="0" w:line="187" w:lineRule="exact"/>
        <w:rPr>
          <w:rFonts w:ascii="Arial" w:cs="Arial" w:eastAsia="Arial" w:hAnsi="Arial"/>
          <w:sz w:val="18"/>
          <w:szCs w:val="18"/>
          <w:color w:val="auto"/>
        </w:rPr>
      </w:pPr>
    </w:p>
    <w:p>
      <w:pPr>
        <w:ind w:left="940" w:hanging="756"/>
        <w:spacing w:after="0"/>
        <w:tabs>
          <w:tab w:leader="none" w:pos="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issuance of Equity Interests (other than Disqualified Stock) of the Company;</w:t>
      </w:r>
    </w:p>
    <w:p>
      <w:pPr>
        <w:spacing w:after="0" w:line="225" w:lineRule="exact"/>
        <w:rPr>
          <w:rFonts w:ascii="Arial" w:cs="Arial" w:eastAsia="Arial" w:hAnsi="Arial"/>
          <w:sz w:val="18"/>
          <w:szCs w:val="18"/>
          <w:color w:val="auto"/>
        </w:rPr>
      </w:pPr>
    </w:p>
    <w:p>
      <w:pPr>
        <w:ind w:left="920" w:hanging="736"/>
        <w:spacing w:after="0"/>
        <w:tabs>
          <w:tab w:leader="none" w:pos="9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sales of accounts receivable, or participations therein, in connection with any Receivables Facility;</w:t>
      </w:r>
    </w:p>
    <w:p>
      <w:pPr>
        <w:spacing w:after="0" w:line="225" w:lineRule="exact"/>
        <w:rPr>
          <w:rFonts w:ascii="Arial" w:cs="Arial" w:eastAsia="Arial" w:hAnsi="Arial"/>
          <w:sz w:val="18"/>
          <w:szCs w:val="18"/>
          <w:color w:val="auto"/>
        </w:rPr>
      </w:pPr>
    </w:p>
    <w:p>
      <w:pPr>
        <w:ind w:left="-460" w:right="80" w:firstLine="644"/>
        <w:spacing w:after="0" w:line="263" w:lineRule="auto"/>
        <w:tabs>
          <w:tab w:leader="none" w:pos="93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transactions with Affiliates solely in their capacity as holders of Indebtedness or Equity Interests of the Company or any of its Subsidiaries, so long as such transaction is with (or is offered to) all holders of such class (and there are such non-Affiliate holders) and such Affiliates are treated no more favorably than all other holders of such class generally;</w:t>
      </w:r>
    </w:p>
    <w:p>
      <w:pPr>
        <w:spacing w:after="0" w:line="183" w:lineRule="exact"/>
        <w:rPr>
          <w:rFonts w:ascii="Arial" w:cs="Arial" w:eastAsia="Arial" w:hAnsi="Arial"/>
          <w:sz w:val="18"/>
          <w:szCs w:val="18"/>
          <w:color w:val="auto"/>
        </w:rPr>
      </w:pPr>
    </w:p>
    <w:p>
      <w:pPr>
        <w:ind w:left="-460" w:right="80" w:firstLine="644"/>
        <w:spacing w:after="0" w:line="277" w:lineRule="auto"/>
        <w:tabs>
          <w:tab w:leader="none" w:pos="93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transaction in which the only consideration paid by the Company or any Restricted Subsidiary consists of Equity Interests (other than Disqualified Stock) of the Company;</w:t>
      </w:r>
    </w:p>
    <w:p>
      <w:pPr>
        <w:spacing w:after="0" w:line="170" w:lineRule="exact"/>
        <w:rPr>
          <w:rFonts w:ascii="Arial" w:cs="Arial" w:eastAsia="Arial" w:hAnsi="Arial"/>
          <w:sz w:val="18"/>
          <w:szCs w:val="18"/>
          <w:color w:val="auto"/>
        </w:rPr>
      </w:pPr>
    </w:p>
    <w:p>
      <w:pPr>
        <w:ind w:left="-460" w:right="20" w:firstLine="644"/>
        <w:spacing w:after="0" w:line="308" w:lineRule="auto"/>
        <w:tabs>
          <w:tab w:leader="none" w:pos="93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transactions with any joint venture engaged in a Similar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the outstanding ownership interests of such joint venture are owned only by the Company, its Restricted Subsidiaries and Persons that are not Affiliates of the Company;</w:t>
      </w:r>
    </w:p>
    <w:p>
      <w:pPr>
        <w:spacing w:after="0" w:line="146" w:lineRule="exact"/>
        <w:rPr>
          <w:rFonts w:ascii="Arial" w:cs="Arial" w:eastAsia="Arial" w:hAnsi="Arial"/>
          <w:sz w:val="17"/>
          <w:szCs w:val="17"/>
          <w:color w:val="auto"/>
        </w:rPr>
      </w:pPr>
    </w:p>
    <w:p>
      <w:pPr>
        <w:ind w:left="-460" w:right="560" w:firstLine="644"/>
        <w:spacing w:after="0" w:line="277" w:lineRule="auto"/>
        <w:tabs>
          <w:tab w:leader="none" w:pos="93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merger, consolidation or reorganization of the Company with an Affiliate of the Company solely for the purpose of reincorporating the Company in a new jurisdiction;</w:t>
      </w:r>
    </w:p>
    <w:p>
      <w:pPr>
        <w:spacing w:after="0" w:line="38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129" w:name="page130"/>
    <w:bookmarkEnd w:id="129"/>
    <w:p>
      <w:pPr>
        <w:ind w:left="660" w:right="120" w:firstLine="644"/>
        <w:spacing w:after="0" w:line="277" w:lineRule="auto"/>
        <w:tabs>
          <w:tab w:leader="none" w:pos="205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agreement that provides customary registration rights to the equityholders of the Company or any parent of the Company and the performance of such agreements;</w:t>
      </w:r>
    </w:p>
    <w:p>
      <w:pPr>
        <w:spacing w:after="0" w:line="170" w:lineRule="exact"/>
        <w:rPr>
          <w:rFonts w:ascii="Arial" w:cs="Arial" w:eastAsia="Arial" w:hAnsi="Arial"/>
          <w:sz w:val="18"/>
          <w:szCs w:val="18"/>
          <w:color w:val="auto"/>
        </w:rPr>
      </w:pPr>
    </w:p>
    <w:p>
      <w:pPr>
        <w:ind w:left="660" w:right="160" w:firstLine="644"/>
        <w:spacing w:after="0" w:line="259" w:lineRule="auto"/>
        <w:tabs>
          <w:tab w:leader="none" w:pos="205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transactions between the Company or any Restricted Subsidiary and any person that is an Affiliate of the Company or any Restricted Subsidiary solely because a director of such Person is also a director of the Company or any direct or indirect parent of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director abstains from voting as a director of the Company or any direct or indirect parent, as the case may be, on any matter</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such other Person; and</w:t>
      </w:r>
    </w:p>
    <w:p>
      <w:pPr>
        <w:spacing w:after="0" w:line="186" w:lineRule="exact"/>
        <w:rPr>
          <w:rFonts w:ascii="Arial" w:cs="Arial" w:eastAsia="Arial" w:hAnsi="Arial"/>
          <w:sz w:val="18"/>
          <w:szCs w:val="18"/>
          <w:color w:val="auto"/>
        </w:rPr>
      </w:pPr>
    </w:p>
    <w:p>
      <w:pPr>
        <w:ind w:left="660" w:right="280" w:firstLine="644"/>
        <w:spacing w:after="0" w:line="277" w:lineRule="auto"/>
        <w:tabs>
          <w:tab w:leader="none" w:pos="205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credit support arrangements where the Company is not required to make cash payments to the credit support provider other than the reimbursement of direct obligations and expenses of the credit support provider.</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Limitations on Dividend and Other Payment Restrictions Affecting Restricted Subsidiaries</w:t>
      </w:r>
      <w:r>
        <w:rPr>
          <w:rFonts w:ascii="Arial" w:cs="Arial" w:eastAsia="Arial" w:hAnsi="Arial"/>
          <w:sz w:val="18"/>
          <w:szCs w:val="18"/>
          <w:color w:val="auto"/>
        </w:rPr>
        <w:t>. The Company shall not, and shall not permit any Restricted Subsidiary that is not a Guarantor to, directly or indirectly, create or otherwise cause or suffer to exist or become effective any consensual encumbrance or consensual restriction on the ability of any such Restricted Subsidiary to:</w:t>
      </w:r>
    </w:p>
    <w:p>
      <w:pPr>
        <w:spacing w:after="0" w:line="184" w:lineRule="exact"/>
        <w:rPr>
          <w:sz w:val="20"/>
          <w:szCs w:val="20"/>
          <w:color w:val="auto"/>
        </w:rPr>
      </w:pPr>
    </w:p>
    <w:p>
      <w:pPr>
        <w:ind w:firstLine="656"/>
        <w:spacing w:after="0" w:line="277" w:lineRule="auto"/>
        <w:tabs>
          <w:tab w:leader="none" w:pos="129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(1) pay dividends or make any other distributions to the Company or any Restricted Subsidiary on its Capital Stock or with respect to any other interest or participation in, or measured by, its profits;</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pay any Indebtedness owed to the Company or any Restricted Subsidiary; or</w:t>
      </w:r>
    </w:p>
    <w:p>
      <w:pPr>
        <w:spacing w:after="0" w:line="225" w:lineRule="exact"/>
        <w:rPr>
          <w:rFonts w:ascii="Arial" w:cs="Arial" w:eastAsia="Arial" w:hAnsi="Arial"/>
          <w:sz w:val="18"/>
          <w:szCs w:val="18"/>
          <w:color w:val="auto"/>
        </w:rPr>
      </w:pPr>
    </w:p>
    <w:p>
      <w:pPr>
        <w:ind w:left="660" w:right="40" w:firstLine="644"/>
        <w:spacing w:after="0" w:line="257" w:lineRule="auto"/>
        <w:tabs>
          <w:tab w:leader="none" w:pos="205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make loans or advances to the Company or any Restricted Subsidiary; provided that (x) the priority of any Preferred Stock in receiving dividends or liquidating distributions prior to dividends or liquidating distributions being paid on common stock and (y) the subordination of (including the application of any standstill period to) loans or advances made to the Company or any Restricted Subsidiary to other Indebtedness incurred by the Company or any Restricted Subsidiary, in each case, shall not be deemed to constitute such an encumbrance or restriction; or</w:t>
      </w:r>
    </w:p>
    <w:p>
      <w:pPr>
        <w:spacing w:after="0" w:line="187" w:lineRule="exact"/>
        <w:rPr>
          <w:rFonts w:ascii="Arial" w:cs="Arial" w:eastAsia="Arial" w:hAnsi="Arial"/>
          <w:sz w:val="18"/>
          <w:szCs w:val="18"/>
          <w:color w:val="auto"/>
        </w:rPr>
      </w:pPr>
    </w:p>
    <w:p>
      <w:pPr>
        <w:ind w:right="740" w:firstLine="656"/>
        <w:spacing w:after="0" w:line="277" w:lineRule="auto"/>
        <w:tabs>
          <w:tab w:leader="none" w:pos="13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Company or any Restricted Subsidiary; except (in each case) for such encumbrances or restrictions existing under or by reason of:</w:t>
      </w:r>
    </w:p>
    <w:p>
      <w:pPr>
        <w:spacing w:after="0" w:line="170" w:lineRule="exact"/>
        <w:rPr>
          <w:rFonts w:ascii="Arial" w:cs="Arial" w:eastAsia="Arial" w:hAnsi="Arial"/>
          <w:sz w:val="18"/>
          <w:szCs w:val="18"/>
          <w:color w:val="auto"/>
        </w:rPr>
      </w:pPr>
    </w:p>
    <w:p>
      <w:pPr>
        <w:ind w:left="660" w:right="320" w:firstLine="644"/>
        <w:spacing w:after="0" w:line="277" w:lineRule="auto"/>
        <w:tabs>
          <w:tab w:leader="none" w:pos="205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Issue Date, including pursuant to the ABL Facility and the related documentation (including security documents and intercreditor agreements) and Hedging Obligations;</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this Indenture, the Notes, any Additional Notes permitted to be incurred under this Indenture and the Guarantees;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0" w:name="page131"/>
    <w:bookmarkEnd w:id="130"/>
    <w:p>
      <w:pPr>
        <w:ind w:right="280" w:firstLine="644"/>
        <w:spacing w:after="0" w:line="277" w:lineRule="auto"/>
        <w:tabs>
          <w:tab w:leader="none" w:pos="139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Capitalized Lease Obligations that impose restrictions of the nature discussed in clause (b) above on the property so acquired;</w:t>
      </w:r>
    </w:p>
    <w:p>
      <w:pPr>
        <w:spacing w:after="0" w:line="170" w:lineRule="exact"/>
        <w:rPr>
          <w:rFonts w:ascii="Arial" w:cs="Arial" w:eastAsia="Arial" w:hAnsi="Arial"/>
          <w:sz w:val="18"/>
          <w:szCs w:val="18"/>
          <w:color w:val="auto"/>
        </w:rPr>
      </w:pPr>
    </w:p>
    <w:p>
      <w:pPr>
        <w:ind w:left="1400" w:hanging="756"/>
        <w:spacing w:after="0"/>
        <w:tabs>
          <w:tab w:leader="none" w:pos="14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applicable law or any applicable rule, regulation or order;</w:t>
      </w:r>
    </w:p>
    <w:p>
      <w:pPr>
        <w:spacing w:after="0" w:line="225" w:lineRule="exact"/>
        <w:rPr>
          <w:rFonts w:ascii="Arial" w:cs="Arial" w:eastAsia="Arial" w:hAnsi="Arial"/>
          <w:sz w:val="18"/>
          <w:szCs w:val="18"/>
          <w:color w:val="auto"/>
        </w:rPr>
      </w:pPr>
    </w:p>
    <w:p>
      <w:pPr>
        <w:ind w:firstLine="644"/>
        <w:spacing w:after="0" w:line="311" w:lineRule="auto"/>
        <w:tabs>
          <w:tab w:leader="none" w:pos="139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any agreement or other instrument of a Person acquired by the Company or any Restricted Subsidiary in existence at the time of such acquisition (but not created in connection therewith or in contemplation thereof), which encumbrance or restriction is not applicable to any Person, or the properties or assets of any Person, other than the Person, or the property or assets of the Person, so acquired;</w:t>
      </w:r>
    </w:p>
    <w:p>
      <w:pPr>
        <w:spacing w:after="0" w:line="148" w:lineRule="exact"/>
        <w:rPr>
          <w:rFonts w:ascii="Arial" w:cs="Arial" w:eastAsia="Arial" w:hAnsi="Arial"/>
          <w:sz w:val="16"/>
          <w:szCs w:val="16"/>
          <w:color w:val="auto"/>
        </w:rPr>
      </w:pPr>
    </w:p>
    <w:p>
      <w:pPr>
        <w:ind w:right="300" w:firstLine="644"/>
        <w:spacing w:after="0" w:line="263" w:lineRule="auto"/>
        <w:tabs>
          <w:tab w:leader="none" w:pos="139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contracts or agreements for the sale of assets, including customary restrictions with respect to a Subsidiary of the Company pursuant to an agreement that has been entered into for the sale or disposition of all or substantially all of the Capital Stock or assets of such Subsidiary;</w:t>
      </w:r>
    </w:p>
    <w:p>
      <w:pPr>
        <w:spacing w:after="0" w:line="183" w:lineRule="exact"/>
        <w:rPr>
          <w:rFonts w:ascii="Arial" w:cs="Arial" w:eastAsia="Arial" w:hAnsi="Arial"/>
          <w:sz w:val="18"/>
          <w:szCs w:val="18"/>
          <w:color w:val="auto"/>
        </w:rPr>
      </w:pPr>
    </w:p>
    <w:p>
      <w:pPr>
        <w:ind w:right="60" w:firstLine="644"/>
        <w:spacing w:after="0" w:line="277" w:lineRule="auto"/>
        <w:tabs>
          <w:tab w:leader="none" w:pos="139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Secured Indebtedness otherwise permitted to be incurred pursuant to Section 10.09 and Section 10.11 that limit the right of the debtor to dispose of the assets securing such Indebtedness;</w:t>
      </w:r>
    </w:p>
    <w:p>
      <w:pPr>
        <w:spacing w:after="0" w:line="170" w:lineRule="exact"/>
        <w:rPr>
          <w:rFonts w:ascii="Arial" w:cs="Arial" w:eastAsia="Arial" w:hAnsi="Arial"/>
          <w:sz w:val="18"/>
          <w:szCs w:val="18"/>
          <w:color w:val="auto"/>
        </w:rPr>
      </w:pPr>
    </w:p>
    <w:p>
      <w:pPr>
        <w:ind w:left="1400" w:hanging="756"/>
        <w:spacing w:after="0"/>
        <w:tabs>
          <w:tab w:leader="none" w:pos="14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right="280" w:firstLine="644"/>
        <w:spacing w:after="0" w:line="277" w:lineRule="auto"/>
        <w:tabs>
          <w:tab w:leader="none" w:pos="139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other Indebtedness, Disqualified Stock or Preferred Stock of Restricted Subsidiaries permitted to be incurred after the Issue Date pursuant to the provisions of Section 10.09;</w:t>
      </w:r>
    </w:p>
    <w:p>
      <w:pPr>
        <w:spacing w:after="0" w:line="170" w:lineRule="exact"/>
        <w:rPr>
          <w:rFonts w:ascii="Arial" w:cs="Arial" w:eastAsia="Arial" w:hAnsi="Arial"/>
          <w:sz w:val="18"/>
          <w:szCs w:val="18"/>
          <w:color w:val="auto"/>
        </w:rPr>
      </w:pPr>
    </w:p>
    <w:p>
      <w:pPr>
        <w:ind w:left="1400" w:hanging="756"/>
        <w:spacing w:after="0"/>
        <w:tabs>
          <w:tab w:leader="none" w:pos="14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customary provisions in joint venture agreements, asset sale agreements, sale and leaseback agreements and other similar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agreements;</w:t>
      </w:r>
    </w:p>
    <w:p>
      <w:pPr>
        <w:spacing w:after="0" w:line="210" w:lineRule="exact"/>
        <w:rPr>
          <w:rFonts w:ascii="Arial" w:cs="Arial" w:eastAsia="Arial" w:hAnsi="Arial"/>
          <w:sz w:val="16"/>
          <w:szCs w:val="16"/>
          <w:color w:val="auto"/>
        </w:rPr>
      </w:pPr>
    </w:p>
    <w:p>
      <w:pPr>
        <w:ind w:left="1380" w:hanging="736"/>
        <w:spacing w:after="0"/>
        <w:tabs>
          <w:tab w:leader="none" w:pos="13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customary provisions contained in leases and other agreements entered into in the ordinary course of business;</w:t>
      </w:r>
    </w:p>
    <w:p>
      <w:pPr>
        <w:spacing w:after="0" w:line="225" w:lineRule="exact"/>
        <w:rPr>
          <w:rFonts w:ascii="Arial" w:cs="Arial" w:eastAsia="Arial" w:hAnsi="Arial"/>
          <w:sz w:val="18"/>
          <w:szCs w:val="18"/>
          <w:color w:val="auto"/>
        </w:rPr>
      </w:pPr>
    </w:p>
    <w:p>
      <w:pPr>
        <w:ind w:right="100" w:firstLine="644"/>
        <w:spacing w:after="0" w:line="263" w:lineRule="auto"/>
        <w:tabs>
          <w:tab w:leader="none" w:pos="139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restrictions created in connection with any Receivables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Receivables Facilities established after the Issue Date, such restrictions are necessary or advisable, in the good faith determination of the Company, to effect such Receivables Facility;</w:t>
      </w:r>
    </w:p>
    <w:p>
      <w:pPr>
        <w:spacing w:after="0" w:line="183" w:lineRule="exact"/>
        <w:rPr>
          <w:rFonts w:ascii="Arial" w:cs="Arial" w:eastAsia="Arial" w:hAnsi="Arial"/>
          <w:sz w:val="18"/>
          <w:szCs w:val="18"/>
          <w:color w:val="auto"/>
        </w:rPr>
      </w:pPr>
    </w:p>
    <w:p>
      <w:pPr>
        <w:ind w:right="40" w:firstLine="644"/>
        <w:spacing w:after="0" w:line="275" w:lineRule="auto"/>
        <w:tabs>
          <w:tab w:leader="none" w:pos="1397" w:val="left"/>
        </w:tabs>
        <w:numPr>
          <w:ilvl w:val="0"/>
          <w:numId w:val="172"/>
        </w:numPr>
        <w:rPr>
          <w:rFonts w:ascii="Arial" w:cs="Arial" w:eastAsia="Arial" w:hAnsi="Arial"/>
          <w:sz w:val="17"/>
          <w:szCs w:val="17"/>
          <w:color w:val="auto"/>
        </w:rPr>
      </w:pPr>
      <w:r>
        <w:rPr>
          <w:rFonts w:ascii="Arial" w:cs="Arial" w:eastAsia="Arial" w:hAnsi="Arial"/>
          <w:sz w:val="17"/>
          <w:szCs w:val="17"/>
          <w:color w:val="121212"/>
        </w:rPr>
        <w:t xml:space="preserve">restrictions or conditions contained in any trading, netting, operating, construction, service, supply, purchase, sale or other agreement to which the Company or any of its Restricted Subsidiaries is a party entered into in the ordinary course of business; </w:t>
      </w:r>
      <w:r>
        <w:rPr>
          <w:rFonts w:ascii="Arial" w:cs="Arial" w:eastAsia="Arial" w:hAnsi="Arial"/>
          <w:sz w:val="17"/>
          <w:szCs w:val="17"/>
          <w:i w:val="1"/>
          <w:iCs w:val="1"/>
          <w:color w:val="121212"/>
        </w:rPr>
        <w:t>provided</w:t>
      </w:r>
      <w:r>
        <w:rPr>
          <w:rFonts w:ascii="Arial" w:cs="Arial" w:eastAsia="Arial" w:hAnsi="Arial"/>
          <w:sz w:val="17"/>
          <w:szCs w:val="17"/>
          <w:color w:val="121212"/>
        </w:rPr>
        <w:t xml:space="preserve"> that such agreement prohibits the encumbrance of solely the property or assets of the Company or such Restricted Subsidiary that are the subject of such agreement, the payment rights arising thereunder or the proceeds thereof and does not extend to any other asset or property of the Company or such Restricted Subsidiary or the assets or property of any other Restricted Subsidiary;</w:t>
      </w:r>
    </w:p>
    <w:p>
      <w:pPr>
        <w:spacing w:after="0" w:line="39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131" w:name="page132"/>
    <w:bookmarkEnd w:id="131"/>
    <w:p>
      <w:pPr>
        <w:ind w:left="2060" w:hanging="756"/>
        <w:spacing w:after="0"/>
        <w:tabs>
          <w:tab w:leader="none" w:pos="20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any Restricted Investment not prohibited by the Section 10.08 and any Permitted Investment; </w:t>
      </w:r>
      <w:r>
        <w:rPr>
          <w:rFonts w:ascii="Arial" w:cs="Arial" w:eastAsia="Arial" w:hAnsi="Arial"/>
          <w:sz w:val="18"/>
          <w:szCs w:val="18"/>
          <w:color w:val="121212"/>
        </w:rPr>
        <w:t>and</w:t>
      </w:r>
    </w:p>
    <w:p>
      <w:pPr>
        <w:spacing w:after="0" w:line="225" w:lineRule="exact"/>
        <w:rPr>
          <w:rFonts w:ascii="Arial" w:cs="Arial" w:eastAsia="Arial" w:hAnsi="Arial"/>
          <w:sz w:val="18"/>
          <w:szCs w:val="18"/>
          <w:color w:val="auto"/>
        </w:rPr>
      </w:pPr>
    </w:p>
    <w:p>
      <w:pPr>
        <w:ind w:left="660" w:firstLine="644"/>
        <w:spacing w:after="0" w:line="270" w:lineRule="auto"/>
        <w:tabs>
          <w:tab w:leader="none" w:pos="2057" w:val="left"/>
        </w:tabs>
        <w:numPr>
          <w:ilvl w:val="0"/>
          <w:numId w:val="173"/>
        </w:numPr>
        <w:rPr>
          <w:rFonts w:ascii="Arial" w:cs="Arial" w:eastAsia="Arial" w:hAnsi="Arial"/>
          <w:sz w:val="17"/>
          <w:szCs w:val="17"/>
          <w:color w:val="auto"/>
        </w:rPr>
      </w:pPr>
      <w:r>
        <w:rPr>
          <w:rFonts w:ascii="Arial" w:cs="Arial" w:eastAsia="Arial" w:hAnsi="Arial"/>
          <w:sz w:val="17"/>
          <w:szCs w:val="17"/>
          <w:color w:val="121212"/>
        </w:rPr>
        <w:t xml:space="preserve">any encumbrances or restrictions of the type referred to in clauses (a) and (b) above imposed by any amendments, modifications, restatements, renewals, increases, supplements, refundings, replacements or refinancings of the contracts, instruments or obligations referred to in clauses (1) through (14) above; </w:t>
      </w:r>
      <w:r>
        <w:rPr>
          <w:rFonts w:ascii="Arial" w:cs="Arial" w:eastAsia="Arial" w:hAnsi="Arial"/>
          <w:sz w:val="17"/>
          <w:szCs w:val="17"/>
          <w:i w:val="1"/>
          <w:iCs w:val="1"/>
          <w:color w:val="121212"/>
        </w:rPr>
        <w:t>provided</w:t>
      </w:r>
      <w:r>
        <w:rPr>
          <w:rFonts w:ascii="Arial" w:cs="Arial" w:eastAsia="Arial" w:hAnsi="Arial"/>
          <w:sz w:val="17"/>
          <w:szCs w:val="17"/>
          <w:color w:val="121212"/>
        </w:rPr>
        <w:t xml:space="preserve"> that such amendments, modifications, restatements, renewals, increases, supplements, refundings, replacements or refinancings are, in the good faith judgment of the Company, not materially more restrictive with respect to such encumbrance and other restrictions than those prior to such amendment, modification, restatement, renewal, increase, supplement, refunding, replacement or refinancing; </w:t>
      </w:r>
      <w:r>
        <w:rPr>
          <w:rFonts w:ascii="Arial" w:cs="Arial" w:eastAsia="Arial" w:hAnsi="Arial"/>
          <w:sz w:val="17"/>
          <w:szCs w:val="17"/>
          <w:i w:val="1"/>
          <w:iCs w:val="1"/>
          <w:color w:val="121212"/>
        </w:rPr>
        <w:t>provided</w:t>
      </w:r>
      <w:r>
        <w:rPr>
          <w:rFonts w:ascii="Arial" w:cs="Arial" w:eastAsia="Arial" w:hAnsi="Arial"/>
          <w:sz w:val="17"/>
          <w:szCs w:val="17"/>
          <w:color w:val="121212"/>
        </w:rPr>
        <w:t xml:space="preserve">, </w:t>
      </w:r>
      <w:r>
        <w:rPr>
          <w:rFonts w:ascii="Arial" w:cs="Arial" w:eastAsia="Arial" w:hAnsi="Arial"/>
          <w:sz w:val="17"/>
          <w:szCs w:val="17"/>
          <w:i w:val="1"/>
          <w:iCs w:val="1"/>
          <w:color w:val="121212"/>
        </w:rPr>
        <w:t>further</w:t>
      </w:r>
      <w:r>
        <w:rPr>
          <w:rFonts w:ascii="Arial" w:cs="Arial" w:eastAsia="Arial" w:hAnsi="Arial"/>
          <w:sz w:val="17"/>
          <w:szCs w:val="17"/>
          <w:color w:val="121212"/>
        </w:rPr>
        <w:t xml:space="preserve">, that with respect to contracts, instruments or obligations existing on the Issue Date, any amendments, modifications, restatements, renewals, increases, supplements, refundings, replacements or refinancings are not materially more restrictive with respect to such encumbrances and other restrictions than those contained </w:t>
      </w:r>
      <w:r>
        <w:rPr>
          <w:rFonts w:ascii="Arial" w:cs="Arial" w:eastAsia="Arial" w:hAnsi="Arial"/>
          <w:sz w:val="17"/>
          <w:szCs w:val="17"/>
          <w:color w:val="000000"/>
        </w:rPr>
        <w:t>in</w:t>
      </w:r>
      <w:r>
        <w:rPr>
          <w:rFonts w:ascii="Arial" w:cs="Arial" w:eastAsia="Arial" w:hAnsi="Arial"/>
          <w:sz w:val="17"/>
          <w:szCs w:val="17"/>
          <w:color w:val="121212"/>
        </w:rPr>
        <w:t xml:space="preserve"> such contracts, instruments or obligations as </w:t>
      </w:r>
      <w:r>
        <w:rPr>
          <w:rFonts w:ascii="Arial" w:cs="Arial" w:eastAsia="Arial" w:hAnsi="Arial"/>
          <w:sz w:val="17"/>
          <w:szCs w:val="17"/>
          <w:color w:val="000000"/>
        </w:rPr>
        <w:t>in</w:t>
      </w:r>
      <w:r>
        <w:rPr>
          <w:rFonts w:ascii="Arial" w:cs="Arial" w:eastAsia="Arial" w:hAnsi="Arial"/>
          <w:sz w:val="17"/>
          <w:szCs w:val="17"/>
          <w:color w:val="121212"/>
        </w:rPr>
        <w:t xml:space="preserve"> effect on the Issue Date.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Limitation on Guarantees of Indebtedness by Restricted Subsidiaries</w:t>
      </w:r>
      <w:r>
        <w:rPr>
          <w:rFonts w:ascii="Arial" w:cs="Arial" w:eastAsia="Arial" w:hAnsi="Arial"/>
          <w:sz w:val="18"/>
          <w:szCs w:val="18"/>
          <w:color w:val="auto"/>
        </w:rPr>
        <w:t>. The Company shall cause each existing and subsequently acquired or organized direct or indirect Wholly Owned Subsidiary that is a Restricted Subsidiary that incurs or guarantees any Indebtedness under the ABL Facility or any other Indebtedness for borrowed money in a principal amount in excess of $5.0 million to guarantee the Notes and such Restricted Subsidiary shall:</w:t>
      </w:r>
    </w:p>
    <w:p>
      <w:pPr>
        <w:spacing w:after="0" w:line="187" w:lineRule="exact"/>
        <w:rPr>
          <w:sz w:val="20"/>
          <w:szCs w:val="20"/>
          <w:color w:val="auto"/>
        </w:rPr>
      </w:pPr>
    </w:p>
    <w:p>
      <w:pPr>
        <w:ind w:left="660" w:firstLine="644"/>
        <w:spacing w:after="0" w:line="254" w:lineRule="auto"/>
        <w:tabs>
          <w:tab w:leader="none" w:pos="20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within 30 days (i) execute and deliver a supplemental indenture to this Indenture providing for a Guarantee by such Restricted Subsidiary, except that with respect to a guarantee of Indebtedness of the Company or any Guarantor, that is by its express terms subordinated in right of payment to the Notes or such Guarantor’s Guarantee, any such guarantee by such Restricted Subsidiary with respect to such Indebtedness shall be subordinated in right of payment to such Guarantee substantially to the same extent as such Indebtedness is subordinated in right of payment to the Notes and (ii) execute and deliver joinders to the Security Documents or additional Security Documents and take all actions required thereunder to grant a perfected first priority Lien to the Collateral Trustee on all Notes Collateral and a second priority Lien on all Priority ABL Collateral of such Restricted Subsidiary;</w:t>
      </w:r>
    </w:p>
    <w:p>
      <w:pPr>
        <w:spacing w:after="0" w:line="194" w:lineRule="exact"/>
        <w:rPr>
          <w:rFonts w:ascii="Arial" w:cs="Arial" w:eastAsia="Arial" w:hAnsi="Arial"/>
          <w:sz w:val="18"/>
          <w:szCs w:val="18"/>
          <w:color w:val="auto"/>
        </w:rPr>
      </w:pPr>
    </w:p>
    <w:p>
      <w:pPr>
        <w:ind w:left="660" w:right="20" w:firstLine="644"/>
        <w:spacing w:after="0" w:line="263" w:lineRule="auto"/>
        <w:tabs>
          <w:tab w:leader="none" w:pos="20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waive and shall not in any manner whatsoever claim or take the benefit or advantage of, any rights of reimbursement, indemnity or subrogation or any other rights against the Company or any other Restricted Subsidiary as a result of any payment by such Restricted Subsidiary under its Guarantee; and</w:t>
      </w:r>
    </w:p>
    <w:p>
      <w:pPr>
        <w:spacing w:after="0" w:line="183" w:lineRule="exact"/>
        <w:rPr>
          <w:rFonts w:ascii="Arial" w:cs="Arial" w:eastAsia="Arial" w:hAnsi="Arial"/>
          <w:sz w:val="18"/>
          <w:szCs w:val="18"/>
          <w:color w:val="auto"/>
        </w:rPr>
      </w:pPr>
    </w:p>
    <w:p>
      <w:pPr>
        <w:ind w:left="660" w:right="40" w:firstLine="644"/>
        <w:spacing w:after="0" w:line="259" w:lineRule="auto"/>
        <w:tabs>
          <w:tab w:leader="none" w:pos="20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deliver to the Trustee an Opinion of Counsel to the effect that such Guarantee constitutes a valid, binding and enforceable obligation of such Restricted Subsidiary, except insofar as enforcement thereof may be limited by bankruptcy, insolvency or similar laws (including, without limitation, all laws relating to fraudulent transfers) and except insofar as enforcement thereof is subject to general principles of equity.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left="660"/>
        <w:spacing w:after="0"/>
        <w:tabs>
          <w:tab w:leader="none" w:pos="180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w:t>
      </w:r>
    </w:p>
    <w:p>
      <w:pPr>
        <w:spacing w:after="0" w:line="225" w:lineRule="exact"/>
        <w:rPr>
          <w:sz w:val="20"/>
          <w:szCs w:val="20"/>
          <w:color w:val="auto"/>
        </w:rPr>
      </w:pPr>
    </w:p>
    <w:p>
      <w:pPr>
        <w:ind w:left="1360" w:hanging="704"/>
        <w:spacing w:after="0"/>
        <w:tabs>
          <w:tab w:leader="none" w:pos="13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a Change of Control occurs, the Company shall make an offer to purchase all of the Notes pursuant to the offer set forth below (the</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Offer</w:t>
      </w:r>
      <w:r>
        <w:rPr>
          <w:rFonts w:ascii="Arial" w:cs="Arial" w:eastAsia="Arial" w:hAnsi="Arial"/>
          <w:sz w:val="16"/>
          <w:szCs w:val="16"/>
          <w:color w:val="auto"/>
        </w:rPr>
        <w:t>”) at a price in cash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equal to 101% of the aggregate principal amount thereof plus accrued and unpaid interest, if any, to (but not including) the date of purchase, subject to the right of Holders of record on the relevant record date to receive interest due on the relevant Interest Payment Date, except to the extent the Company has elected to redeem all of the Notes under Section 11.01. Within 30 days following any Change of Control, except to the extent the Company has elected to redeem all of the Notes under Section 11.01, the Company shall send notice of such Change of Control Offer electronically or by first class mail, with a copy to the Trustee, to each Holder to the address of such Holder appearing in the security register or otherwise in accordance with the procedures of DTC, with the following information:</w:t>
      </w:r>
    </w:p>
    <w:p>
      <w:pPr>
        <w:spacing w:after="0" w:line="164" w:lineRule="exact"/>
        <w:rPr>
          <w:sz w:val="20"/>
          <w:szCs w:val="20"/>
          <w:color w:val="auto"/>
        </w:rPr>
      </w:pPr>
    </w:p>
    <w:p>
      <w:pPr>
        <w:ind w:left="660" w:right="240" w:firstLine="644"/>
        <w:spacing w:after="0" w:line="277" w:lineRule="auto"/>
        <w:tabs>
          <w:tab w:leader="none" w:pos="205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that a Change of Control Offer is being made pursuant to this Section 10.15 and that all Notes properly tendered pursuant to such Change of Control Offer shall be accepted for payment;</w:t>
      </w:r>
    </w:p>
    <w:p>
      <w:pPr>
        <w:spacing w:after="0" w:line="170" w:lineRule="exact"/>
        <w:rPr>
          <w:rFonts w:ascii="Arial" w:cs="Arial" w:eastAsia="Arial" w:hAnsi="Arial"/>
          <w:sz w:val="18"/>
          <w:szCs w:val="18"/>
          <w:color w:val="auto"/>
        </w:rPr>
      </w:pPr>
    </w:p>
    <w:p>
      <w:pPr>
        <w:ind w:left="660" w:right="140" w:firstLine="644"/>
        <w:spacing w:after="0" w:line="263" w:lineRule="auto"/>
        <w:tabs>
          <w:tab w:leader="none" w:pos="205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that the purchase price and the purchase date, which shall be no earlier than 15 days nor later than 60 days from the date such notice is delivered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except in the case of a conditional Change of Control Offer made in advance of a Change of Control as described below in clause (8) of this paragraph;</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that any Note not properly tendered shall remain outstanding and continue to accrue interest;</w:t>
      </w:r>
    </w:p>
    <w:p>
      <w:pPr>
        <w:spacing w:after="0" w:line="225" w:lineRule="exact"/>
        <w:rPr>
          <w:rFonts w:ascii="Arial" w:cs="Arial" w:eastAsia="Arial" w:hAnsi="Arial"/>
          <w:sz w:val="18"/>
          <w:szCs w:val="18"/>
          <w:color w:val="auto"/>
        </w:rPr>
      </w:pPr>
    </w:p>
    <w:p>
      <w:pPr>
        <w:ind w:left="660" w:right="60" w:firstLine="644"/>
        <w:spacing w:after="0" w:line="308" w:lineRule="auto"/>
        <w:tabs>
          <w:tab w:leader="none" w:pos="205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that unless the Company (or third-party offeror) defaults in the payment of the Change of Control Payment, all Notes accepted for payment pursuant to the Change of Control Offer shall cease to accrue interest on the Change of Control Payment Date;</w:t>
      </w:r>
    </w:p>
    <w:p>
      <w:pPr>
        <w:spacing w:after="0" w:line="146" w:lineRule="exact"/>
        <w:rPr>
          <w:rFonts w:ascii="Arial" w:cs="Arial" w:eastAsia="Arial" w:hAnsi="Arial"/>
          <w:sz w:val="17"/>
          <w:szCs w:val="17"/>
          <w:color w:val="auto"/>
        </w:rPr>
      </w:pPr>
    </w:p>
    <w:p>
      <w:pPr>
        <w:jc w:val="both"/>
        <w:ind w:left="660" w:right="220" w:firstLine="644"/>
        <w:spacing w:after="0" w:line="259" w:lineRule="auto"/>
        <w:tabs>
          <w:tab w:leader="none" w:pos="205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that Holders electing to have any Notes purchased pursuant to a Change of Control Offer shall be required to surrender such Notes, with the form entitled “Option of Holder to Elect Purchase” on the reverse of such Notes completed, to the Paying Agent specified in the notice at the address specified in the notice prior to the close of business on the third Business Day preceding the Change of Control Payment Date;</w:t>
      </w:r>
    </w:p>
    <w:p>
      <w:pPr>
        <w:spacing w:after="0" w:line="186" w:lineRule="exact"/>
        <w:rPr>
          <w:rFonts w:ascii="Arial" w:cs="Arial" w:eastAsia="Arial" w:hAnsi="Arial"/>
          <w:sz w:val="18"/>
          <w:szCs w:val="18"/>
          <w:color w:val="auto"/>
        </w:rPr>
      </w:pPr>
    </w:p>
    <w:p>
      <w:pPr>
        <w:ind w:left="660" w:right="120" w:firstLine="644"/>
        <w:spacing w:after="0" w:line="257" w:lineRule="auto"/>
        <w:tabs>
          <w:tab w:leader="none" w:pos="205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that Holders shall be entitled to withdraw their tendered Notes and their election to require the Company to purchase such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Paying Agent receives, not later than the close of business on the third Business Day preceding the Change of Control Payment Date, facsimile transmission, electronic transmission or letter or other notice in accordance with DTC procedures setting forth the name of the Holder, the principal amount of Notes tendered for purchase, and a statement that such Holder is withdrawing its tendered Notes and its election to have such Notes purchased;</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3" w:name="page134"/>
    <w:bookmarkEnd w:id="133"/>
    <w:p>
      <w:pPr>
        <w:ind w:left="660" w:right="400" w:firstLine="644"/>
        <w:spacing w:after="0" w:line="263" w:lineRule="auto"/>
        <w:tabs>
          <w:tab w:leader="none" w:pos="205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shall be issued new Notes equal in principal amount to the unpurchased portion of the Notes surrendered, which unpurchased portion must be equal to $2,000 or an integral multiple of $1,000 in excess thereof;</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205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such notice is sent prior to the occurrence of a Change of Control, stating the Change of Control Offer is conditional on the occurrence of such Change of Control, and, if applicable, stating that, in the Company’s discretion, the Change of Control Payment Date may be delayed until such time as the Change of Control shall have occurred, or that such purchase may not occur and such notice may be rescinded in the event that the Change of Control shall not have occurred by the Change of Control Payment Date, or by the Change of Control Payment Date as so delayed; and</w:t>
      </w:r>
    </w:p>
    <w:p>
      <w:pPr>
        <w:spacing w:after="0" w:line="187" w:lineRule="exact"/>
        <w:rPr>
          <w:rFonts w:ascii="Arial" w:cs="Arial" w:eastAsia="Arial" w:hAnsi="Arial"/>
          <w:sz w:val="18"/>
          <w:szCs w:val="18"/>
          <w:color w:val="auto"/>
        </w:rPr>
      </w:pPr>
    </w:p>
    <w:p>
      <w:pPr>
        <w:ind w:left="2060" w:hanging="756"/>
        <w:spacing w:after="0"/>
        <w:tabs>
          <w:tab w:leader="none" w:pos="206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other instructions determined by the Company, consistent with this covenant, that a Holder must follow in order to have its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Notes purchased.</w:t>
      </w:r>
    </w:p>
    <w:p>
      <w:pPr>
        <w:spacing w:after="0" w:line="210" w:lineRule="exact"/>
        <w:rPr>
          <w:rFonts w:ascii="Arial" w:cs="Arial" w:eastAsia="Arial" w:hAnsi="Arial"/>
          <w:sz w:val="16"/>
          <w:szCs w:val="16"/>
          <w:color w:val="auto"/>
        </w:rPr>
      </w:pPr>
    </w:p>
    <w:p>
      <w:pPr>
        <w:ind w:right="160" w:firstLine="656"/>
        <w:spacing w:after="0" w:line="277" w:lineRule="auto"/>
        <w:tabs>
          <w:tab w:leader="none" w:pos="130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While the Notes are in global form and the Company makes a Change of Control Offer, a Holder may exercise its option to elect for the purchase of the Notes through the facilities of DTC, subject to its rules and regulations.</w:t>
      </w:r>
    </w:p>
    <w:p>
      <w:pPr>
        <w:spacing w:after="0" w:line="170" w:lineRule="exact"/>
        <w:rPr>
          <w:rFonts w:ascii="Arial" w:cs="Arial" w:eastAsia="Arial" w:hAnsi="Arial"/>
          <w:sz w:val="18"/>
          <w:szCs w:val="18"/>
          <w:color w:val="auto"/>
        </w:rPr>
      </w:pPr>
    </w:p>
    <w:p>
      <w:pPr>
        <w:jc w:val="both"/>
        <w:ind w:right="240" w:firstLine="656"/>
        <w:spacing w:after="0" w:line="301" w:lineRule="auto"/>
        <w:tabs>
          <w:tab w:leader="none" w:pos="1297" w:val="left"/>
        </w:tabs>
        <w:numPr>
          <w:ilvl w:val="0"/>
          <w:numId w:val="178"/>
        </w:numPr>
        <w:rPr>
          <w:rFonts w:ascii="Arial" w:cs="Arial" w:eastAsia="Arial" w:hAnsi="Arial"/>
          <w:sz w:val="16"/>
          <w:szCs w:val="16"/>
          <w:color w:val="121212"/>
        </w:rPr>
      </w:pPr>
      <w:r>
        <w:rPr>
          <w:rFonts w:ascii="Arial" w:cs="Arial" w:eastAsia="Arial" w:hAnsi="Arial"/>
          <w:sz w:val="16"/>
          <w:szCs w:val="16"/>
          <w:color w:val="121212"/>
        </w:rPr>
        <w:t>The Company shall comply with the requirements of Rule 14e-</w:t>
      </w:r>
      <w:r>
        <w:rPr>
          <w:rFonts w:ascii="Arial" w:cs="Arial" w:eastAsia="Arial" w:hAnsi="Arial"/>
          <w:sz w:val="16"/>
          <w:szCs w:val="16"/>
          <w:color w:val="000000"/>
        </w:rPr>
        <w:t>1</w:t>
      </w:r>
      <w:r>
        <w:rPr>
          <w:rFonts w:ascii="Arial" w:cs="Arial" w:eastAsia="Arial" w:hAnsi="Arial"/>
          <w:sz w:val="16"/>
          <w:szCs w:val="16"/>
          <w:color w:val="121212"/>
        </w:rPr>
        <w:t xml:space="preserve"> under </w:t>
      </w:r>
      <w:r>
        <w:rPr>
          <w:rFonts w:ascii="Arial" w:cs="Arial" w:eastAsia="Arial" w:hAnsi="Arial"/>
          <w:sz w:val="16"/>
          <w:szCs w:val="16"/>
          <w:color w:val="000000"/>
        </w:rPr>
        <w:t>the</w:t>
      </w:r>
      <w:r>
        <w:rPr>
          <w:rFonts w:ascii="Arial" w:cs="Arial" w:eastAsia="Arial" w:hAnsi="Arial"/>
          <w:sz w:val="16"/>
          <w:szCs w:val="16"/>
          <w:color w:val="121212"/>
        </w:rPr>
        <w:t xml:space="preserve"> Exchange Act and any other securities laws and regulations thereunder to the extent such laws or regulations are applicable in connection with the repurchase of the Notes pursuant to </w:t>
      </w:r>
      <w:r>
        <w:rPr>
          <w:rFonts w:ascii="Arial" w:cs="Arial" w:eastAsia="Arial" w:hAnsi="Arial"/>
          <w:sz w:val="16"/>
          <w:szCs w:val="16"/>
          <w:color w:val="000000"/>
        </w:rPr>
        <w:t>a</w:t>
      </w:r>
      <w:r>
        <w:rPr>
          <w:rFonts w:ascii="Arial" w:cs="Arial" w:eastAsia="Arial" w:hAnsi="Arial"/>
          <w:sz w:val="16"/>
          <w:szCs w:val="16"/>
          <w:color w:val="121212"/>
        </w:rPr>
        <w:t xml:space="preserve"> Change of Control Offer. To the extent that the provisions of any securities laws or regulations conflict with </w:t>
      </w:r>
      <w:r>
        <w:rPr>
          <w:rFonts w:ascii="Arial" w:cs="Arial" w:eastAsia="Arial" w:hAnsi="Arial"/>
          <w:sz w:val="16"/>
          <w:szCs w:val="16"/>
          <w:color w:val="000000"/>
        </w:rPr>
        <w:t>the</w:t>
      </w:r>
      <w:r>
        <w:rPr>
          <w:rFonts w:ascii="Arial" w:cs="Arial" w:eastAsia="Arial" w:hAnsi="Arial"/>
          <w:sz w:val="16"/>
          <w:szCs w:val="16"/>
          <w:color w:val="121212"/>
        </w:rPr>
        <w:t xml:space="preserve"> provisions of this Indenture, the Company shall comply with the applicable securities laws and regulations and shall not </w:t>
      </w:r>
      <w:r>
        <w:rPr>
          <w:rFonts w:ascii="Arial" w:cs="Arial" w:eastAsia="Arial" w:hAnsi="Arial"/>
          <w:sz w:val="16"/>
          <w:szCs w:val="16"/>
          <w:color w:val="000000"/>
        </w:rPr>
        <w:t>be</w:t>
      </w:r>
      <w:r>
        <w:rPr>
          <w:rFonts w:ascii="Arial" w:cs="Arial" w:eastAsia="Arial" w:hAnsi="Arial"/>
          <w:sz w:val="16"/>
          <w:szCs w:val="16"/>
          <w:color w:val="121212"/>
        </w:rPr>
        <w:t xml:space="preserve"> deemed to have breached its obligations set forth in this Indenture by virtue thereof.</w:t>
      </w:r>
    </w:p>
    <w:p>
      <w:pPr>
        <w:spacing w:after="0" w:line="157" w:lineRule="exact"/>
        <w:rPr>
          <w:rFonts w:ascii="Arial" w:cs="Arial" w:eastAsia="Arial" w:hAnsi="Arial"/>
          <w:sz w:val="16"/>
          <w:szCs w:val="16"/>
          <w:color w:val="121212"/>
        </w:rPr>
      </w:pPr>
    </w:p>
    <w:p>
      <w:pPr>
        <w:ind w:left="1320" w:hanging="664"/>
        <w:spacing w:after="0"/>
        <w:tabs>
          <w:tab w:leader="none" w:pos="1320" w:val="left"/>
        </w:tabs>
        <w:numPr>
          <w:ilvl w:val="0"/>
          <w:numId w:val="178"/>
        </w:numPr>
        <w:rPr>
          <w:rFonts w:ascii="Arial" w:cs="Arial" w:eastAsia="Arial" w:hAnsi="Arial"/>
          <w:sz w:val="18"/>
          <w:szCs w:val="18"/>
          <w:color w:val="121212"/>
        </w:rPr>
      </w:pPr>
      <w:r>
        <w:rPr>
          <w:rFonts w:ascii="Arial" w:cs="Arial" w:eastAsia="Arial" w:hAnsi="Arial"/>
          <w:sz w:val="18"/>
          <w:szCs w:val="18"/>
          <w:color w:val="121212"/>
        </w:rPr>
        <w:t>On the Change of Control Payment Date, the Company shall, to the extent permitted by law,</w:t>
      </w:r>
    </w:p>
    <w:p>
      <w:pPr>
        <w:spacing w:after="0" w:line="225" w:lineRule="exact"/>
        <w:rPr>
          <w:rFonts w:ascii="Arial" w:cs="Arial" w:eastAsia="Arial" w:hAnsi="Arial"/>
          <w:sz w:val="18"/>
          <w:szCs w:val="18"/>
          <w:color w:val="121212"/>
        </w:rPr>
      </w:pPr>
    </w:p>
    <w:p>
      <w:pPr>
        <w:ind w:left="2060" w:hanging="756"/>
        <w:spacing w:after="0"/>
        <w:tabs>
          <w:tab w:leader="none" w:pos="20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05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Payment in, respect of all Notes or portions thereof so tendered, and</w:t>
      </w:r>
    </w:p>
    <w:p>
      <w:pPr>
        <w:spacing w:after="0" w:line="170" w:lineRule="exact"/>
        <w:rPr>
          <w:rFonts w:ascii="Arial" w:cs="Arial" w:eastAsia="Arial" w:hAnsi="Arial"/>
          <w:sz w:val="18"/>
          <w:szCs w:val="18"/>
          <w:color w:val="auto"/>
        </w:rPr>
      </w:pPr>
    </w:p>
    <w:p>
      <w:pPr>
        <w:ind w:left="660" w:right="340" w:firstLine="644"/>
        <w:spacing w:after="0" w:line="277" w:lineRule="auto"/>
        <w:tabs>
          <w:tab w:leader="none" w:pos="205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Notes so accepted together with an Officer’s Certificate stating that such Notes or portions thereof have been tendered to and purchased by the Company.</w:t>
      </w:r>
    </w:p>
    <w:p>
      <w:pPr>
        <w:spacing w:after="0" w:line="170" w:lineRule="exact"/>
        <w:rPr>
          <w:rFonts w:ascii="Arial" w:cs="Arial" w:eastAsia="Arial" w:hAnsi="Arial"/>
          <w:sz w:val="18"/>
          <w:szCs w:val="18"/>
          <w:color w:val="auto"/>
        </w:rPr>
      </w:pPr>
    </w:p>
    <w:p>
      <w:pPr>
        <w:ind w:right="60" w:firstLine="656"/>
        <w:spacing w:after="0" w:line="279" w:lineRule="auto"/>
        <w:tabs>
          <w:tab w:leader="none" w:pos="134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The Paying Agent shall promptly transmit to each Holder the Change of Control Payment for such Notes, and the Trustee shall promptly authenticate and transmit to each Holder a </w:t>
      </w:r>
      <w:r>
        <w:rPr>
          <w:rFonts w:ascii="Arial" w:cs="Arial" w:eastAsia="Arial" w:hAnsi="Arial"/>
          <w:sz w:val="17"/>
          <w:szCs w:val="17"/>
          <w:color w:val="1B1B1B"/>
        </w:rPr>
        <w:t>new</w:t>
      </w:r>
      <w:r>
        <w:rPr>
          <w:rFonts w:ascii="Arial" w:cs="Arial" w:eastAsia="Arial" w:hAnsi="Arial"/>
          <w:sz w:val="17"/>
          <w:szCs w:val="17"/>
          <w:color w:val="auto"/>
        </w:rPr>
        <w:t xml:space="preserve"> Note equal in principal amount to any unpurchased portion </w:t>
      </w:r>
      <w:r>
        <w:rPr>
          <w:rFonts w:ascii="Arial" w:cs="Arial" w:eastAsia="Arial" w:hAnsi="Arial"/>
          <w:sz w:val="17"/>
          <w:szCs w:val="17"/>
          <w:color w:val="1B1B1B"/>
        </w:rPr>
        <w:t>of</w:t>
      </w:r>
      <w:r>
        <w:rPr>
          <w:rFonts w:ascii="Arial" w:cs="Arial" w:eastAsia="Arial" w:hAnsi="Arial"/>
          <w:sz w:val="17"/>
          <w:szCs w:val="17"/>
          <w:color w:val="auto"/>
        </w:rPr>
        <w:t xml:space="preserve"> the </w:t>
      </w:r>
      <w:r>
        <w:rPr>
          <w:rFonts w:ascii="Arial" w:cs="Arial" w:eastAsia="Arial" w:hAnsi="Arial"/>
          <w:sz w:val="17"/>
          <w:szCs w:val="17"/>
          <w:color w:val="1B1B1B"/>
        </w:rPr>
        <w:t>Notes</w:t>
      </w:r>
      <w:r>
        <w:rPr>
          <w:rFonts w:ascii="Arial" w:cs="Arial" w:eastAsia="Arial" w:hAnsi="Arial"/>
          <w:sz w:val="17"/>
          <w:szCs w:val="17"/>
          <w:color w:val="auto"/>
        </w:rPr>
        <w:t xml:space="preserve"> surrendered, </w:t>
      </w:r>
      <w:r>
        <w:rPr>
          <w:rFonts w:ascii="Arial" w:cs="Arial" w:eastAsia="Arial" w:hAnsi="Arial"/>
          <w:sz w:val="17"/>
          <w:szCs w:val="17"/>
          <w:color w:val="1B1B1B"/>
        </w:rPr>
        <w:t>if any;</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such new Note shall be in a minimum principal amount of $2,000 </w:t>
      </w:r>
      <w:r>
        <w:rPr>
          <w:rFonts w:ascii="Arial" w:cs="Arial" w:eastAsia="Arial" w:hAnsi="Arial"/>
          <w:sz w:val="17"/>
          <w:szCs w:val="17"/>
          <w:color w:val="1B1B1B"/>
        </w:rPr>
        <w:t>or</w:t>
      </w:r>
      <w:r>
        <w:rPr>
          <w:rFonts w:ascii="Arial" w:cs="Arial" w:eastAsia="Arial" w:hAnsi="Arial"/>
          <w:sz w:val="17"/>
          <w:szCs w:val="17"/>
          <w:color w:val="auto"/>
        </w:rPr>
        <w:t xml:space="preserve"> an </w:t>
      </w:r>
      <w:r>
        <w:rPr>
          <w:rFonts w:ascii="Arial" w:cs="Arial" w:eastAsia="Arial" w:hAnsi="Arial"/>
          <w:sz w:val="17"/>
          <w:szCs w:val="17"/>
          <w:color w:val="1B1B1B"/>
        </w:rPr>
        <w:t>integral</w:t>
      </w:r>
      <w:r>
        <w:rPr>
          <w:rFonts w:ascii="Arial" w:cs="Arial" w:eastAsia="Arial" w:hAnsi="Arial"/>
          <w:sz w:val="17"/>
          <w:szCs w:val="17"/>
          <w:color w:val="auto"/>
        </w:rPr>
        <w:t xml:space="preserve"> multiple </w:t>
      </w:r>
      <w:r>
        <w:rPr>
          <w:rFonts w:ascii="Arial" w:cs="Arial" w:eastAsia="Arial" w:hAnsi="Arial"/>
          <w:sz w:val="17"/>
          <w:szCs w:val="17"/>
          <w:color w:val="1B1B1B"/>
        </w:rPr>
        <w:t>of</w:t>
      </w:r>
      <w:r>
        <w:rPr>
          <w:rFonts w:ascii="Arial" w:cs="Arial" w:eastAsia="Arial" w:hAnsi="Arial"/>
          <w:sz w:val="17"/>
          <w:szCs w:val="17"/>
          <w:color w:val="auto"/>
        </w:rPr>
        <w:t xml:space="preserve"> $1,000 in excess thereof. The Company shall publicly announce the results </w:t>
      </w:r>
      <w:r>
        <w:rPr>
          <w:rFonts w:ascii="Arial" w:cs="Arial" w:eastAsia="Arial" w:hAnsi="Arial"/>
          <w:sz w:val="17"/>
          <w:szCs w:val="17"/>
          <w:color w:val="1B1B1B"/>
        </w:rPr>
        <w:t>of</w:t>
      </w:r>
      <w:r>
        <w:rPr>
          <w:rFonts w:ascii="Arial" w:cs="Arial" w:eastAsia="Arial" w:hAnsi="Arial"/>
          <w:sz w:val="17"/>
          <w:szCs w:val="17"/>
          <w:color w:val="auto"/>
        </w:rPr>
        <w:t xml:space="preserve"> the Change </w:t>
      </w:r>
      <w:r>
        <w:rPr>
          <w:rFonts w:ascii="Arial" w:cs="Arial" w:eastAsia="Arial" w:hAnsi="Arial"/>
          <w:sz w:val="17"/>
          <w:szCs w:val="17"/>
          <w:color w:val="1B1B1B"/>
        </w:rPr>
        <w:t>of</w:t>
      </w:r>
      <w:r>
        <w:rPr>
          <w:rFonts w:ascii="Arial" w:cs="Arial" w:eastAsia="Arial" w:hAnsi="Arial"/>
          <w:sz w:val="17"/>
          <w:szCs w:val="17"/>
          <w:color w:val="auto"/>
        </w:rPr>
        <w:t xml:space="preserve"> Control Offer on or as soon as practicable after the Change </w:t>
      </w:r>
      <w:r>
        <w:rPr>
          <w:rFonts w:ascii="Arial" w:cs="Arial" w:eastAsia="Arial" w:hAnsi="Arial"/>
          <w:sz w:val="17"/>
          <w:szCs w:val="17"/>
          <w:color w:val="1B1B1B"/>
        </w:rPr>
        <w:t>of</w:t>
      </w:r>
      <w:r>
        <w:rPr>
          <w:rFonts w:ascii="Arial" w:cs="Arial" w:eastAsia="Arial" w:hAnsi="Arial"/>
          <w:sz w:val="17"/>
          <w:szCs w:val="17"/>
          <w:color w:val="auto"/>
        </w:rPr>
        <w:t xml:space="preserve"> Control Payment Date.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firstLine="656"/>
        <w:spacing w:after="0" w:line="272" w:lineRule="auto"/>
        <w:tabs>
          <w:tab w:leader="none" w:pos="136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The Company shall </w:t>
      </w:r>
      <w:r>
        <w:rPr>
          <w:rFonts w:ascii="Arial" w:cs="Arial" w:eastAsia="Arial" w:hAnsi="Arial"/>
          <w:sz w:val="17"/>
          <w:szCs w:val="17"/>
          <w:color w:val="1B1B1B"/>
        </w:rPr>
        <w:t>not be</w:t>
      </w:r>
      <w:r>
        <w:rPr>
          <w:rFonts w:ascii="Arial" w:cs="Arial" w:eastAsia="Arial" w:hAnsi="Arial"/>
          <w:sz w:val="17"/>
          <w:szCs w:val="17"/>
          <w:color w:val="auto"/>
        </w:rPr>
        <w:t xml:space="preserve"> required </w:t>
      </w:r>
      <w:r>
        <w:rPr>
          <w:rFonts w:ascii="Arial" w:cs="Arial" w:eastAsia="Arial" w:hAnsi="Arial"/>
          <w:sz w:val="17"/>
          <w:szCs w:val="17"/>
          <w:color w:val="1B1B1B"/>
        </w:rPr>
        <w:t>to</w:t>
      </w:r>
      <w:r>
        <w:rPr>
          <w:rFonts w:ascii="Arial" w:cs="Arial" w:eastAsia="Arial" w:hAnsi="Arial"/>
          <w:sz w:val="17"/>
          <w:szCs w:val="17"/>
          <w:color w:val="auto"/>
        </w:rPr>
        <w:t xml:space="preserve"> make a Change </w:t>
      </w:r>
      <w:r>
        <w:rPr>
          <w:rFonts w:ascii="Arial" w:cs="Arial" w:eastAsia="Arial" w:hAnsi="Arial"/>
          <w:sz w:val="17"/>
          <w:szCs w:val="17"/>
          <w:color w:val="1B1B1B"/>
        </w:rPr>
        <w:t>of</w:t>
      </w:r>
      <w:r>
        <w:rPr>
          <w:rFonts w:ascii="Arial" w:cs="Arial" w:eastAsia="Arial" w:hAnsi="Arial"/>
          <w:sz w:val="17"/>
          <w:szCs w:val="17"/>
          <w:color w:val="auto"/>
        </w:rPr>
        <w:t xml:space="preserve"> Control Offer following a Change of Control if </w:t>
      </w:r>
      <w:r>
        <w:rPr>
          <w:rFonts w:ascii="Arial" w:cs="Arial" w:eastAsia="Arial" w:hAnsi="Arial"/>
          <w:sz w:val="17"/>
          <w:szCs w:val="17"/>
          <w:color w:val="1B1B1B"/>
        </w:rPr>
        <w:t>(1)</w:t>
      </w:r>
      <w:r>
        <w:rPr>
          <w:rFonts w:ascii="Arial" w:cs="Arial" w:eastAsia="Arial" w:hAnsi="Arial"/>
          <w:sz w:val="17"/>
          <w:szCs w:val="17"/>
          <w:color w:val="auto"/>
        </w:rPr>
        <w:t xml:space="preserve"> a third party (including an Affiliate </w:t>
      </w:r>
      <w:r>
        <w:rPr>
          <w:rFonts w:ascii="Arial" w:cs="Arial" w:eastAsia="Arial" w:hAnsi="Arial"/>
          <w:sz w:val="17"/>
          <w:szCs w:val="17"/>
          <w:color w:val="1B1B1B"/>
        </w:rPr>
        <w:t>of</w:t>
      </w:r>
      <w:r>
        <w:rPr>
          <w:rFonts w:ascii="Arial" w:cs="Arial" w:eastAsia="Arial" w:hAnsi="Arial"/>
          <w:sz w:val="17"/>
          <w:szCs w:val="17"/>
          <w:color w:val="auto"/>
        </w:rPr>
        <w:t xml:space="preserve"> the Company) makes the Change </w:t>
      </w:r>
      <w:r>
        <w:rPr>
          <w:rFonts w:ascii="Arial" w:cs="Arial" w:eastAsia="Arial" w:hAnsi="Arial"/>
          <w:sz w:val="17"/>
          <w:szCs w:val="17"/>
          <w:color w:val="1B1B1B"/>
        </w:rPr>
        <w:t>of</w:t>
      </w:r>
      <w:r>
        <w:rPr>
          <w:rFonts w:ascii="Arial" w:cs="Arial" w:eastAsia="Arial" w:hAnsi="Arial"/>
          <w:sz w:val="17"/>
          <w:szCs w:val="17"/>
          <w:color w:val="auto"/>
        </w:rPr>
        <w:t xml:space="preserve"> Control Offer in the manner, at the time and otherwise </w:t>
      </w:r>
      <w:r>
        <w:rPr>
          <w:rFonts w:ascii="Arial" w:cs="Arial" w:eastAsia="Arial" w:hAnsi="Arial"/>
          <w:sz w:val="17"/>
          <w:szCs w:val="17"/>
          <w:color w:val="1B1B1B"/>
        </w:rPr>
        <w:t>in</w:t>
      </w:r>
      <w:r>
        <w:rPr>
          <w:rFonts w:ascii="Arial" w:cs="Arial" w:eastAsia="Arial" w:hAnsi="Arial"/>
          <w:sz w:val="17"/>
          <w:szCs w:val="17"/>
          <w:color w:val="auto"/>
        </w:rPr>
        <w:t xml:space="preserve"> compliance with the requirements set forth in this Indenture applicable </w:t>
      </w:r>
      <w:r>
        <w:rPr>
          <w:rFonts w:ascii="Arial" w:cs="Arial" w:eastAsia="Arial" w:hAnsi="Arial"/>
          <w:sz w:val="17"/>
          <w:szCs w:val="17"/>
          <w:color w:val="1B1B1B"/>
        </w:rPr>
        <w:t>to</w:t>
      </w:r>
      <w:r>
        <w:rPr>
          <w:rFonts w:ascii="Arial" w:cs="Arial" w:eastAsia="Arial" w:hAnsi="Arial"/>
          <w:sz w:val="17"/>
          <w:szCs w:val="17"/>
          <w:color w:val="auto"/>
        </w:rPr>
        <w:t xml:space="preserve"> a Change of Control Offer made by the Company </w:t>
      </w:r>
      <w:r>
        <w:rPr>
          <w:rFonts w:ascii="Arial" w:cs="Arial" w:eastAsia="Arial" w:hAnsi="Arial"/>
          <w:sz w:val="17"/>
          <w:szCs w:val="17"/>
          <w:color w:val="1B1B1B"/>
        </w:rPr>
        <w:t>and</w:t>
      </w:r>
      <w:r>
        <w:rPr>
          <w:rFonts w:ascii="Arial" w:cs="Arial" w:eastAsia="Arial" w:hAnsi="Arial"/>
          <w:sz w:val="17"/>
          <w:szCs w:val="17"/>
          <w:color w:val="auto"/>
        </w:rPr>
        <w:t xml:space="preserve"> purchases all Notes validly </w:t>
      </w:r>
      <w:r>
        <w:rPr>
          <w:rFonts w:ascii="Arial" w:cs="Arial" w:eastAsia="Arial" w:hAnsi="Arial"/>
          <w:sz w:val="17"/>
          <w:szCs w:val="17"/>
          <w:color w:val="1B1B1B"/>
        </w:rPr>
        <w:t>tendered</w:t>
      </w:r>
      <w:r>
        <w:rPr>
          <w:rFonts w:ascii="Arial" w:cs="Arial" w:eastAsia="Arial" w:hAnsi="Arial"/>
          <w:sz w:val="17"/>
          <w:szCs w:val="17"/>
          <w:color w:val="auto"/>
        </w:rPr>
        <w:t xml:space="preserve"> and not withdrawn under such Change </w:t>
      </w:r>
      <w:r>
        <w:rPr>
          <w:rFonts w:ascii="Arial" w:cs="Arial" w:eastAsia="Arial" w:hAnsi="Arial"/>
          <w:sz w:val="17"/>
          <w:szCs w:val="17"/>
          <w:color w:val="1B1B1B"/>
        </w:rPr>
        <w:t xml:space="preserve">of </w:t>
      </w:r>
      <w:r>
        <w:rPr>
          <w:rFonts w:ascii="Arial" w:cs="Arial" w:eastAsia="Arial" w:hAnsi="Arial"/>
          <w:sz w:val="17"/>
          <w:szCs w:val="17"/>
          <w:color w:val="000000"/>
        </w:rPr>
        <w:t>Control Offer or (2) a notice of redemption has been given for all</w:t>
      </w:r>
      <w:r>
        <w:rPr>
          <w:rFonts w:ascii="Arial" w:cs="Arial" w:eastAsia="Arial" w:hAnsi="Arial"/>
          <w:sz w:val="17"/>
          <w:szCs w:val="17"/>
          <w:color w:val="1B1B1B"/>
        </w:rPr>
        <w:t xml:space="preserve"> of </w:t>
      </w:r>
      <w:r>
        <w:rPr>
          <w:rFonts w:ascii="Arial" w:cs="Arial" w:eastAsia="Arial" w:hAnsi="Arial"/>
          <w:sz w:val="17"/>
          <w:szCs w:val="17"/>
          <w:color w:val="000000"/>
        </w:rPr>
        <w:t>the Notes pursuant</w:t>
      </w:r>
      <w:r>
        <w:rPr>
          <w:rFonts w:ascii="Arial" w:cs="Arial" w:eastAsia="Arial" w:hAnsi="Arial"/>
          <w:sz w:val="17"/>
          <w:szCs w:val="17"/>
          <w:color w:val="1B1B1B"/>
        </w:rPr>
        <w:t xml:space="preserve"> to </w:t>
      </w:r>
      <w:r>
        <w:rPr>
          <w:rFonts w:ascii="Arial" w:cs="Arial" w:eastAsia="Arial" w:hAnsi="Arial"/>
          <w:sz w:val="17"/>
          <w:szCs w:val="17"/>
          <w:color w:val="000000"/>
        </w:rPr>
        <w:t>Section</w:t>
      </w:r>
      <w:r>
        <w:rPr>
          <w:rFonts w:ascii="Arial" w:cs="Arial" w:eastAsia="Arial" w:hAnsi="Arial"/>
          <w:sz w:val="17"/>
          <w:szCs w:val="17"/>
          <w:color w:val="1B1B1B"/>
        </w:rPr>
        <w:t xml:space="preserve"> 11</w:t>
      </w:r>
      <w:r>
        <w:rPr>
          <w:rFonts w:ascii="Arial" w:cs="Arial" w:eastAsia="Arial" w:hAnsi="Arial"/>
          <w:sz w:val="17"/>
          <w:szCs w:val="17"/>
          <w:color w:val="000000"/>
        </w:rPr>
        <w:t>.06, unless and until there is</w:t>
      </w:r>
      <w:r>
        <w:rPr>
          <w:rFonts w:ascii="Arial" w:cs="Arial" w:eastAsia="Arial" w:hAnsi="Arial"/>
          <w:sz w:val="17"/>
          <w:szCs w:val="17"/>
          <w:color w:val="1B1B1B"/>
        </w:rPr>
        <w:t xml:space="preserve"> a </w:t>
      </w:r>
      <w:r>
        <w:rPr>
          <w:rFonts w:ascii="Arial" w:cs="Arial" w:eastAsia="Arial" w:hAnsi="Arial"/>
          <w:sz w:val="17"/>
          <w:szCs w:val="17"/>
          <w:color w:val="000000"/>
        </w:rPr>
        <w:t>default in payment</w:t>
      </w:r>
      <w:r>
        <w:rPr>
          <w:rFonts w:ascii="Arial" w:cs="Arial" w:eastAsia="Arial" w:hAnsi="Arial"/>
          <w:sz w:val="17"/>
          <w:szCs w:val="17"/>
          <w:color w:val="1B1B1B"/>
        </w:rPr>
        <w:t xml:space="preserve"> of </w:t>
      </w:r>
      <w:r>
        <w:rPr>
          <w:rFonts w:ascii="Arial" w:cs="Arial" w:eastAsia="Arial" w:hAnsi="Arial"/>
          <w:sz w:val="17"/>
          <w:szCs w:val="17"/>
          <w:color w:val="000000"/>
        </w:rPr>
        <w:t xml:space="preserve">the applicable Redemption Price. A Change of Control Offer may be made in advance </w:t>
      </w:r>
      <w:r>
        <w:rPr>
          <w:rFonts w:ascii="Arial" w:cs="Arial" w:eastAsia="Arial" w:hAnsi="Arial"/>
          <w:sz w:val="17"/>
          <w:szCs w:val="17"/>
          <w:color w:val="1B1B1B"/>
        </w:rPr>
        <w:t>of</w:t>
      </w:r>
      <w:r>
        <w:rPr>
          <w:rFonts w:ascii="Arial" w:cs="Arial" w:eastAsia="Arial" w:hAnsi="Arial"/>
          <w:sz w:val="17"/>
          <w:szCs w:val="17"/>
          <w:color w:val="000000"/>
        </w:rPr>
        <w:t xml:space="preserve"> a Change of Control, and may be made conditional upon such Change of Control, if a definitive agreement is in place for the Change of Control at the time of making </w:t>
      </w:r>
      <w:r>
        <w:rPr>
          <w:rFonts w:ascii="Arial" w:cs="Arial" w:eastAsia="Arial" w:hAnsi="Arial"/>
          <w:sz w:val="17"/>
          <w:szCs w:val="17"/>
          <w:color w:val="1B1B1B"/>
        </w:rPr>
        <w:t>of</w:t>
      </w:r>
      <w:r>
        <w:rPr>
          <w:rFonts w:ascii="Arial" w:cs="Arial" w:eastAsia="Arial" w:hAnsi="Arial"/>
          <w:sz w:val="17"/>
          <w:szCs w:val="17"/>
          <w:color w:val="000000"/>
        </w:rPr>
        <w:t xml:space="preserve"> the Change </w:t>
      </w:r>
      <w:r>
        <w:rPr>
          <w:rFonts w:ascii="Arial" w:cs="Arial" w:eastAsia="Arial" w:hAnsi="Arial"/>
          <w:sz w:val="17"/>
          <w:szCs w:val="17"/>
          <w:color w:val="1B1B1B"/>
        </w:rPr>
        <w:t>of</w:t>
      </w:r>
      <w:r>
        <w:rPr>
          <w:rFonts w:ascii="Arial" w:cs="Arial" w:eastAsia="Arial" w:hAnsi="Arial"/>
          <w:sz w:val="17"/>
          <w:szCs w:val="17"/>
          <w:color w:val="000000"/>
        </w:rPr>
        <w:t xml:space="preserve"> Control Offer and the Change of Control Payment Date may be extended automatically until such Change of Control occurs.</w:t>
      </w:r>
    </w:p>
    <w:p>
      <w:pPr>
        <w:spacing w:after="0" w:line="17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5"/>
          <w:szCs w:val="15"/>
          <w:u w:val="single" w:color="auto"/>
          <w:color w:val="auto"/>
        </w:rPr>
        <w:t>Asset Sales</w:t>
      </w:r>
      <w:r>
        <w:rPr>
          <w:rFonts w:ascii="Arial" w:cs="Arial" w:eastAsia="Arial" w:hAnsi="Arial"/>
          <w:sz w:val="15"/>
          <w:szCs w:val="15"/>
          <w:color w:val="auto"/>
        </w:rPr>
        <w:t>.</w:t>
      </w:r>
    </w:p>
    <w:p>
      <w:pPr>
        <w:spacing w:after="0" w:line="225" w:lineRule="exact"/>
        <w:rPr>
          <w:sz w:val="20"/>
          <w:szCs w:val="20"/>
          <w:color w:val="auto"/>
        </w:rPr>
      </w:pPr>
    </w:p>
    <w:p>
      <w:pPr>
        <w:ind w:left="1360" w:hanging="704"/>
        <w:spacing w:after="0"/>
        <w:tabs>
          <w:tab w:leader="none" w:pos="13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Company shall </w:t>
      </w:r>
      <w:r>
        <w:rPr>
          <w:rFonts w:ascii="Arial" w:cs="Arial" w:eastAsia="Arial" w:hAnsi="Arial"/>
          <w:sz w:val="16"/>
          <w:szCs w:val="16"/>
          <w:color w:val="1B1B1B"/>
        </w:rPr>
        <w:t>not,</w:t>
      </w:r>
      <w:r>
        <w:rPr>
          <w:rFonts w:ascii="Arial" w:cs="Arial" w:eastAsia="Arial" w:hAnsi="Arial"/>
          <w:sz w:val="16"/>
          <w:szCs w:val="16"/>
          <w:color w:val="auto"/>
        </w:rPr>
        <w:t xml:space="preserve"> and shall </w:t>
      </w:r>
      <w:r>
        <w:rPr>
          <w:rFonts w:ascii="Arial" w:cs="Arial" w:eastAsia="Arial" w:hAnsi="Arial"/>
          <w:sz w:val="16"/>
          <w:szCs w:val="16"/>
          <w:color w:val="1B1B1B"/>
        </w:rPr>
        <w:t>not</w:t>
      </w:r>
      <w:r>
        <w:rPr>
          <w:rFonts w:ascii="Arial" w:cs="Arial" w:eastAsia="Arial" w:hAnsi="Arial"/>
          <w:sz w:val="16"/>
          <w:szCs w:val="16"/>
          <w:color w:val="auto"/>
        </w:rPr>
        <w:t xml:space="preserve"> permit any Restricted Subsidiary </w:t>
      </w:r>
      <w:r>
        <w:rPr>
          <w:rFonts w:ascii="Arial" w:cs="Arial" w:eastAsia="Arial" w:hAnsi="Arial"/>
          <w:sz w:val="16"/>
          <w:szCs w:val="16"/>
          <w:color w:val="1B1B1B"/>
        </w:rPr>
        <w:t>to,</w:t>
      </w:r>
      <w:r>
        <w:rPr>
          <w:rFonts w:ascii="Arial" w:cs="Arial" w:eastAsia="Arial" w:hAnsi="Arial"/>
          <w:sz w:val="16"/>
          <w:szCs w:val="16"/>
          <w:color w:val="auto"/>
        </w:rPr>
        <w:t xml:space="preserve"> cause, make </w:t>
      </w:r>
      <w:r>
        <w:rPr>
          <w:rFonts w:ascii="Arial" w:cs="Arial" w:eastAsia="Arial" w:hAnsi="Arial"/>
          <w:sz w:val="16"/>
          <w:szCs w:val="16"/>
          <w:color w:val="1B1B1B"/>
        </w:rPr>
        <w:t>or</w:t>
      </w:r>
      <w:r>
        <w:rPr>
          <w:rFonts w:ascii="Arial" w:cs="Arial" w:eastAsia="Arial" w:hAnsi="Arial"/>
          <w:sz w:val="16"/>
          <w:szCs w:val="16"/>
          <w:color w:val="auto"/>
        </w:rPr>
        <w:t xml:space="preserve"> otherwise consummate an Asset Sale, unless:</w:t>
      </w:r>
    </w:p>
    <w:p>
      <w:pPr>
        <w:spacing w:after="0" w:line="248" w:lineRule="exact"/>
        <w:rPr>
          <w:rFonts w:ascii="Arial" w:cs="Arial" w:eastAsia="Arial" w:hAnsi="Arial"/>
          <w:sz w:val="16"/>
          <w:szCs w:val="16"/>
          <w:color w:val="auto"/>
        </w:rPr>
      </w:pPr>
    </w:p>
    <w:p>
      <w:pPr>
        <w:ind w:left="660" w:right="40" w:firstLine="644"/>
        <w:spacing w:after="0" w:line="255" w:lineRule="auto"/>
        <w:tabs>
          <w:tab w:leader="none" w:pos="196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the Company or such Restricted Subsidiary, as the case may be, receives consideration at the time of such Asset Sale at least equal to </w:t>
      </w:r>
      <w:r>
        <w:rPr>
          <w:rFonts w:ascii="Arial" w:cs="Arial" w:eastAsia="Arial" w:hAnsi="Arial"/>
          <w:sz w:val="18"/>
          <w:szCs w:val="18"/>
          <w:color w:val="1B1B1B"/>
        </w:rPr>
        <w:t>the</w:t>
      </w:r>
      <w:r>
        <w:rPr>
          <w:rFonts w:ascii="Arial" w:cs="Arial" w:eastAsia="Arial" w:hAnsi="Arial"/>
          <w:sz w:val="18"/>
          <w:szCs w:val="18"/>
          <w:color w:val="auto"/>
        </w:rPr>
        <w:t xml:space="preserve"> fair market value </w:t>
      </w:r>
      <w:r>
        <w:rPr>
          <w:rFonts w:ascii="Arial" w:cs="Arial" w:eastAsia="Arial" w:hAnsi="Arial"/>
          <w:sz w:val="18"/>
          <w:szCs w:val="18"/>
          <w:color w:val="1B1B1B"/>
        </w:rPr>
        <w:t>(as</w:t>
      </w:r>
      <w:r>
        <w:rPr>
          <w:rFonts w:ascii="Arial" w:cs="Arial" w:eastAsia="Arial" w:hAnsi="Arial"/>
          <w:sz w:val="18"/>
          <w:szCs w:val="18"/>
          <w:color w:val="auto"/>
        </w:rPr>
        <w:t xml:space="preserve"> determined in good faith by the Company) </w:t>
      </w:r>
      <w:r>
        <w:rPr>
          <w:rFonts w:ascii="Arial" w:cs="Arial" w:eastAsia="Arial" w:hAnsi="Arial"/>
          <w:sz w:val="18"/>
          <w:szCs w:val="18"/>
          <w:color w:val="1B1B1B"/>
        </w:rPr>
        <w:t>of</w:t>
      </w:r>
      <w:r>
        <w:rPr>
          <w:rFonts w:ascii="Arial" w:cs="Arial" w:eastAsia="Arial" w:hAnsi="Arial"/>
          <w:sz w:val="18"/>
          <w:szCs w:val="18"/>
          <w:color w:val="auto"/>
        </w:rPr>
        <w:t xml:space="preserve"> the assets sold or otherwise disposed of (notwithstanding the foregoing, the consideration received </w:t>
      </w:r>
      <w:r>
        <w:rPr>
          <w:rFonts w:ascii="Arial" w:cs="Arial" w:eastAsia="Arial" w:hAnsi="Arial"/>
          <w:sz w:val="18"/>
          <w:szCs w:val="18"/>
          <w:color w:val="1B1B1B"/>
        </w:rPr>
        <w:t>by</w:t>
      </w:r>
      <w:r>
        <w:rPr>
          <w:rFonts w:ascii="Arial" w:cs="Arial" w:eastAsia="Arial" w:hAnsi="Arial"/>
          <w:sz w:val="18"/>
          <w:szCs w:val="18"/>
          <w:color w:val="auto"/>
        </w:rPr>
        <w:t xml:space="preserve"> the Company or any </w:t>
      </w:r>
      <w:r>
        <w:rPr>
          <w:rFonts w:ascii="Arial" w:cs="Arial" w:eastAsia="Arial" w:hAnsi="Arial"/>
          <w:sz w:val="18"/>
          <w:szCs w:val="18"/>
          <w:color w:val="1B1B1B"/>
        </w:rPr>
        <w:t>of</w:t>
      </w:r>
      <w:r>
        <w:rPr>
          <w:rFonts w:ascii="Arial" w:cs="Arial" w:eastAsia="Arial" w:hAnsi="Arial"/>
          <w:sz w:val="18"/>
          <w:szCs w:val="18"/>
          <w:color w:val="auto"/>
        </w:rPr>
        <w:t xml:space="preserve"> its Restricted Subsidiaries from sales, transfers and other dispositions of Investments in joint ventures </w:t>
      </w:r>
      <w:r>
        <w:rPr>
          <w:rFonts w:ascii="Arial" w:cs="Arial" w:eastAsia="Arial" w:hAnsi="Arial"/>
          <w:sz w:val="18"/>
          <w:szCs w:val="18"/>
          <w:color w:val="1B1B1B"/>
        </w:rPr>
        <w:t>to</w:t>
      </w:r>
      <w:r>
        <w:rPr>
          <w:rFonts w:ascii="Arial" w:cs="Arial" w:eastAsia="Arial" w:hAnsi="Arial"/>
          <w:sz w:val="18"/>
          <w:szCs w:val="18"/>
          <w:color w:val="auto"/>
        </w:rPr>
        <w:t xml:space="preserve"> the extent required </w:t>
      </w:r>
      <w:r>
        <w:rPr>
          <w:rFonts w:ascii="Arial" w:cs="Arial" w:eastAsia="Arial" w:hAnsi="Arial"/>
          <w:sz w:val="18"/>
          <w:szCs w:val="18"/>
          <w:color w:val="1B1B1B"/>
        </w:rPr>
        <w:t>by, or</w:t>
      </w:r>
      <w:r>
        <w:rPr>
          <w:rFonts w:ascii="Arial" w:cs="Arial" w:eastAsia="Arial" w:hAnsi="Arial"/>
          <w:sz w:val="18"/>
          <w:szCs w:val="18"/>
          <w:color w:val="auto"/>
        </w:rPr>
        <w:t xml:space="preserve"> made pursuant to, customary buy/sell arrangements between the joint venture parties set forth in </w:t>
      </w:r>
      <w:r>
        <w:rPr>
          <w:rFonts w:ascii="Arial" w:cs="Arial" w:eastAsia="Arial" w:hAnsi="Arial"/>
          <w:sz w:val="18"/>
          <w:szCs w:val="18"/>
          <w:color w:val="1B1B1B"/>
        </w:rPr>
        <w:t>joint</w:t>
      </w:r>
      <w:r>
        <w:rPr>
          <w:rFonts w:ascii="Arial" w:cs="Arial" w:eastAsia="Arial" w:hAnsi="Arial"/>
          <w:sz w:val="18"/>
          <w:szCs w:val="18"/>
          <w:color w:val="auto"/>
        </w:rPr>
        <w:t xml:space="preserve"> venture agreements and similar </w:t>
      </w:r>
      <w:r>
        <w:rPr>
          <w:rFonts w:ascii="Arial" w:cs="Arial" w:eastAsia="Arial" w:hAnsi="Arial"/>
          <w:sz w:val="18"/>
          <w:szCs w:val="18"/>
          <w:color w:val="1B1B1B"/>
        </w:rPr>
        <w:t>binding</w:t>
      </w:r>
      <w:r>
        <w:rPr>
          <w:rFonts w:ascii="Arial" w:cs="Arial" w:eastAsia="Arial" w:hAnsi="Arial"/>
          <w:sz w:val="18"/>
          <w:szCs w:val="18"/>
          <w:color w:val="auto"/>
        </w:rPr>
        <w:t xml:space="preserve"> agreements, shall, in each case, be deemed </w:t>
      </w:r>
      <w:r>
        <w:rPr>
          <w:rFonts w:ascii="Arial" w:cs="Arial" w:eastAsia="Arial" w:hAnsi="Arial"/>
          <w:sz w:val="18"/>
          <w:szCs w:val="18"/>
          <w:color w:val="1B1B1B"/>
        </w:rPr>
        <w:t>to be</w:t>
      </w:r>
      <w:r>
        <w:rPr>
          <w:rFonts w:ascii="Arial" w:cs="Arial" w:eastAsia="Arial" w:hAnsi="Arial"/>
          <w:sz w:val="18"/>
          <w:szCs w:val="18"/>
          <w:color w:val="auto"/>
        </w:rPr>
        <w:t xml:space="preserve"> fair market value for purposes </w:t>
      </w:r>
      <w:r>
        <w:rPr>
          <w:rFonts w:ascii="Arial" w:cs="Arial" w:eastAsia="Arial" w:hAnsi="Arial"/>
          <w:sz w:val="18"/>
          <w:szCs w:val="18"/>
          <w:color w:val="1B1B1B"/>
        </w:rPr>
        <w:t>of</w:t>
      </w:r>
      <w:r>
        <w:rPr>
          <w:rFonts w:ascii="Arial" w:cs="Arial" w:eastAsia="Arial" w:hAnsi="Arial"/>
          <w:sz w:val="18"/>
          <w:szCs w:val="18"/>
          <w:color w:val="auto"/>
        </w:rPr>
        <w:t xml:space="preserve"> this Section 10.16(a)); and</w:t>
      </w:r>
    </w:p>
    <w:p>
      <w:pPr>
        <w:spacing w:after="0" w:line="192" w:lineRule="exact"/>
        <w:rPr>
          <w:rFonts w:ascii="Arial" w:cs="Arial" w:eastAsia="Arial" w:hAnsi="Arial"/>
          <w:sz w:val="18"/>
          <w:szCs w:val="18"/>
          <w:color w:val="auto"/>
        </w:rPr>
      </w:pPr>
    </w:p>
    <w:p>
      <w:pPr>
        <w:ind w:left="660" w:right="20" w:firstLine="644"/>
        <w:spacing w:after="0" w:line="259" w:lineRule="auto"/>
        <w:tabs>
          <w:tab w:leader="none" w:pos="196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except in the case of a Permitted Asset Swap, at least 75% of the consideration therefor received by the Company or such Restricted Subsidiary, as the case may be, together with all other Asset Sales since the Issue Date on a cumulative basis, is in the form of cash or Cash Equivalents;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provision, each of the following will be deemed to be cash for purposes of this clause (2) and for no other purpose</w:t>
      </w:r>
    </w:p>
    <w:p>
      <w:pPr>
        <w:spacing w:after="0" w:line="186" w:lineRule="exact"/>
        <w:rPr>
          <w:rFonts w:ascii="Arial" w:cs="Arial" w:eastAsia="Arial" w:hAnsi="Arial"/>
          <w:sz w:val="18"/>
          <w:szCs w:val="18"/>
          <w:color w:val="auto"/>
        </w:rPr>
      </w:pPr>
    </w:p>
    <w:p>
      <w:pPr>
        <w:ind w:left="1300" w:firstLine="652"/>
        <w:spacing w:after="0" w:line="275" w:lineRule="auto"/>
        <w:tabs>
          <w:tab w:leader="none" w:pos="2738" w:val="left"/>
        </w:tabs>
        <w:numPr>
          <w:ilvl w:val="2"/>
          <w:numId w:val="180"/>
        </w:numPr>
        <w:rPr>
          <w:rFonts w:ascii="Arial" w:cs="Arial" w:eastAsia="Arial" w:hAnsi="Arial"/>
          <w:sz w:val="17"/>
          <w:szCs w:val="17"/>
          <w:color w:val="auto"/>
        </w:rPr>
      </w:pPr>
      <w:r>
        <w:rPr>
          <w:rFonts w:ascii="Arial" w:cs="Arial" w:eastAsia="Arial" w:hAnsi="Arial"/>
          <w:sz w:val="17"/>
          <w:szCs w:val="17"/>
          <w:color w:val="auto"/>
        </w:rPr>
        <w:t>any liabilities (as shown on the Company’s or a Restricted Subsidiary’s most recent balance sheet or in the notes thereto) of the Company or any Restricted Subsidiary (other than contingent liabilities and liabilities that are by their terms subordinated to the Notes) that are (i) assumed by the transferee of any such assets (or a third party on behalf of the transferee) and as a result of which the Company or any such Restricted Subsidiary is no longer obligated with respect to such liabilities or are indemnified against further liabilities or (ii) retired, cancelled or otherwise terminated in connection with such Asset Sale</w:t>
      </w:r>
      <w:r>
        <w:rPr>
          <w:rFonts w:ascii="Arial" w:cs="Arial" w:eastAsia="Arial" w:hAnsi="Arial"/>
          <w:sz w:val="17"/>
          <w:szCs w:val="17"/>
          <w:color w:val="1B1B1B"/>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5" w:name="page136"/>
    <w:bookmarkEnd w:id="135"/>
    <w:p>
      <w:pPr>
        <w:ind w:left="1280" w:right="60" w:firstLine="652"/>
        <w:spacing w:after="0" w:line="263" w:lineRule="auto"/>
        <w:tabs>
          <w:tab w:leader="none" w:pos="2708" w:val="left"/>
        </w:tabs>
        <w:numPr>
          <w:ilvl w:val="2"/>
          <w:numId w:val="181"/>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color w:val="1B1B1B"/>
        </w:rPr>
        <w:t>securities,</w:t>
      </w:r>
      <w:r>
        <w:rPr>
          <w:rFonts w:ascii="Arial" w:cs="Arial" w:eastAsia="Arial" w:hAnsi="Arial"/>
          <w:sz w:val="18"/>
          <w:szCs w:val="18"/>
          <w:color w:val="auto"/>
        </w:rPr>
        <w:t xml:space="preserve"> notes or other obligations </w:t>
      </w:r>
      <w:r>
        <w:rPr>
          <w:rFonts w:ascii="Arial" w:cs="Arial" w:eastAsia="Arial" w:hAnsi="Arial"/>
          <w:sz w:val="18"/>
          <w:szCs w:val="18"/>
          <w:color w:val="1B1B1B"/>
        </w:rPr>
        <w:t>or assets</w:t>
      </w:r>
      <w:r>
        <w:rPr>
          <w:rFonts w:ascii="Arial" w:cs="Arial" w:eastAsia="Arial" w:hAnsi="Arial"/>
          <w:sz w:val="18"/>
          <w:szCs w:val="18"/>
          <w:color w:val="auto"/>
        </w:rPr>
        <w:t xml:space="preserve"> received by the Company or such Restricted Subsidiary from such transferee that are converted by the Company or such Restricted Subsidiary into </w:t>
      </w:r>
      <w:r>
        <w:rPr>
          <w:rFonts w:ascii="Arial" w:cs="Arial" w:eastAsia="Arial" w:hAnsi="Arial"/>
          <w:sz w:val="18"/>
          <w:szCs w:val="18"/>
          <w:color w:val="1B1B1B"/>
        </w:rPr>
        <w:t>cash (to</w:t>
      </w:r>
      <w:r>
        <w:rPr>
          <w:rFonts w:ascii="Arial" w:cs="Arial" w:eastAsia="Arial" w:hAnsi="Arial"/>
          <w:sz w:val="18"/>
          <w:szCs w:val="18"/>
          <w:color w:val="auto"/>
        </w:rPr>
        <w:t xml:space="preserve"> the </w:t>
      </w:r>
      <w:r>
        <w:rPr>
          <w:rFonts w:ascii="Arial" w:cs="Arial" w:eastAsia="Arial" w:hAnsi="Arial"/>
          <w:sz w:val="18"/>
          <w:szCs w:val="18"/>
          <w:color w:val="1B1B1B"/>
        </w:rPr>
        <w:t>extent of</w:t>
      </w:r>
      <w:r>
        <w:rPr>
          <w:rFonts w:ascii="Arial" w:cs="Arial" w:eastAsia="Arial" w:hAnsi="Arial"/>
          <w:sz w:val="18"/>
          <w:szCs w:val="18"/>
          <w:color w:val="auto"/>
        </w:rPr>
        <w:t xml:space="preserve"> the cash received) or Cash Equivalents within 180 </w:t>
      </w:r>
      <w:r>
        <w:rPr>
          <w:rFonts w:ascii="Arial" w:cs="Arial" w:eastAsia="Arial" w:hAnsi="Arial"/>
          <w:sz w:val="18"/>
          <w:szCs w:val="18"/>
          <w:color w:val="1B1B1B"/>
        </w:rPr>
        <w:t>days</w:t>
      </w:r>
      <w:r>
        <w:rPr>
          <w:rFonts w:ascii="Arial" w:cs="Arial" w:eastAsia="Arial" w:hAnsi="Arial"/>
          <w:sz w:val="18"/>
          <w:szCs w:val="18"/>
          <w:color w:val="auto"/>
        </w:rPr>
        <w:t xml:space="preserve"> following the closing of such Asset Sale; and</w:t>
      </w:r>
    </w:p>
    <w:p>
      <w:pPr>
        <w:spacing w:after="0" w:line="183" w:lineRule="exact"/>
        <w:rPr>
          <w:rFonts w:ascii="Arial" w:cs="Arial" w:eastAsia="Arial" w:hAnsi="Arial"/>
          <w:sz w:val="18"/>
          <w:szCs w:val="18"/>
          <w:color w:val="auto"/>
        </w:rPr>
      </w:pPr>
    </w:p>
    <w:p>
      <w:pPr>
        <w:ind w:left="1280" w:right="60" w:firstLine="652"/>
        <w:spacing w:after="0" w:line="255" w:lineRule="auto"/>
        <w:tabs>
          <w:tab w:leader="none" w:pos="2708" w:val="left"/>
        </w:tabs>
        <w:numPr>
          <w:ilvl w:val="2"/>
          <w:numId w:val="181"/>
        </w:numPr>
        <w:rPr>
          <w:rFonts w:ascii="Arial" w:cs="Arial" w:eastAsia="Arial" w:hAnsi="Arial"/>
          <w:sz w:val="18"/>
          <w:szCs w:val="18"/>
          <w:color w:val="auto"/>
        </w:rPr>
      </w:pPr>
      <w:r>
        <w:rPr>
          <w:rFonts w:ascii="Arial" w:cs="Arial" w:eastAsia="Arial" w:hAnsi="Arial"/>
          <w:sz w:val="18"/>
          <w:szCs w:val="18"/>
          <w:color w:val="auto"/>
        </w:rPr>
        <w:t>any Designated Noncash Consideration received by the Company or such Restricted Subsidiary in such Asset Sale having an aggregate fair market value (as determined in good faith by the Company), taken together with all other Designated Noncash Consideration received pursuant to this clause (C) that has not previously been converted to cash, not to exceed the greater of (x) $50.0 million and (y) 2.5% of Consolidated Total Assets at the time of receipt of such Designated Noncash Consideration, with the fair market value of each item of Designated Noncash Consideration being measured at the time received and without giving effect to subsequent changes in value,.</w:t>
      </w:r>
    </w:p>
    <w:p>
      <w:pPr>
        <w:spacing w:after="0" w:line="192" w:lineRule="exact"/>
        <w:rPr>
          <w:rFonts w:ascii="Arial" w:cs="Arial" w:eastAsia="Arial" w:hAnsi="Arial"/>
          <w:sz w:val="18"/>
          <w:szCs w:val="18"/>
          <w:color w:val="auto"/>
        </w:rPr>
      </w:pPr>
    </w:p>
    <w:p>
      <w:pPr>
        <w:ind w:left="-20" w:right="140" w:firstLine="656"/>
        <w:spacing w:after="0" w:line="263" w:lineRule="auto"/>
        <w:tabs>
          <w:tab w:leader="none" w:pos="128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the Intercreditor Agreement, the Collateral Trust Agreement and the other Security Documents, the Company or the affected Restricted Subsidiary, as the case may be, within 365 days after the receipt of any Net Proceeds from any Asset Sale of Priority Fixed Assets Collateral may apply those Net Proceeds at its option:</w:t>
      </w:r>
    </w:p>
    <w:p>
      <w:pPr>
        <w:spacing w:after="0" w:line="183" w:lineRule="exact"/>
        <w:rPr>
          <w:rFonts w:ascii="Arial" w:cs="Arial" w:eastAsia="Arial" w:hAnsi="Arial"/>
          <w:sz w:val="18"/>
          <w:szCs w:val="18"/>
          <w:color w:val="auto"/>
        </w:rPr>
      </w:pPr>
    </w:p>
    <w:p>
      <w:pPr>
        <w:jc w:val="both"/>
        <w:ind w:left="640" w:firstLine="644"/>
        <w:spacing w:after="0" w:line="311" w:lineRule="auto"/>
        <w:tabs>
          <w:tab w:leader="none" w:pos="203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to acquire all or substantially all of the assets of, or any Capital Stock of, a Similar Business, if, after giving effect to any such acquisition, such Similar Business is owned by the Company or a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assets (including Capital Stock) acquired with the Net Proceeds of a disposition of Collateral are pledged as Collateral as required and as provided under this Indenture and the Security Documents;</w:t>
      </w:r>
    </w:p>
    <w:p>
      <w:pPr>
        <w:spacing w:after="0" w:line="148" w:lineRule="exact"/>
        <w:rPr>
          <w:rFonts w:ascii="Arial" w:cs="Arial" w:eastAsia="Arial" w:hAnsi="Arial"/>
          <w:sz w:val="16"/>
          <w:szCs w:val="16"/>
          <w:color w:val="auto"/>
        </w:rPr>
      </w:pPr>
    </w:p>
    <w:p>
      <w:pPr>
        <w:ind w:left="2040" w:hanging="756"/>
        <w:spacing w:after="0"/>
        <w:tabs>
          <w:tab w:leader="none" w:pos="20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to make capital expenditures on assets that constitute Priority Fixed Assets Collateral;</w:t>
      </w:r>
    </w:p>
    <w:p>
      <w:pPr>
        <w:spacing w:after="0" w:line="225" w:lineRule="exact"/>
        <w:rPr>
          <w:rFonts w:ascii="Arial" w:cs="Arial" w:eastAsia="Arial" w:hAnsi="Arial"/>
          <w:sz w:val="18"/>
          <w:szCs w:val="18"/>
          <w:color w:val="auto"/>
        </w:rPr>
      </w:pPr>
    </w:p>
    <w:p>
      <w:pPr>
        <w:ind w:left="640" w:right="120" w:firstLine="644"/>
        <w:spacing w:after="0" w:line="263" w:lineRule="auto"/>
        <w:tabs>
          <w:tab w:leader="none" w:pos="203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to acquire other assets (including all or substantially all of the assets of, or any Capital Stock of, a Similar Business) that are subsequently pledged as Priority Fixed Assets Collateral and designated to the Collateral Trustee as such, and that are used or useful in a Similar Business or that replace the properties and assets that are the subject of such Asset Sale;</w:t>
      </w:r>
    </w:p>
    <w:p>
      <w:pPr>
        <w:spacing w:after="0" w:line="183" w:lineRule="exact"/>
        <w:rPr>
          <w:rFonts w:ascii="Arial" w:cs="Arial" w:eastAsia="Arial" w:hAnsi="Arial"/>
          <w:sz w:val="18"/>
          <w:szCs w:val="18"/>
          <w:color w:val="auto"/>
        </w:rPr>
      </w:pPr>
    </w:p>
    <w:p>
      <w:pPr>
        <w:ind w:left="640" w:right="140" w:firstLine="644"/>
        <w:spacing w:after="0" w:line="296" w:lineRule="auto"/>
        <w:tabs>
          <w:tab w:leader="none" w:pos="203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to repay Notes (by redeeming pursuant to Section 11.01, making open market purchases at a price equal to or above 100% of the principal amount thereof or making an offer to all holders in accordance with the procedures set forth below for an Asset Sale Offer) and/or Priority Lien Notes Debt such that the amount of Priority Lien Notes Debt repaid does not exceed the product of (x) the quotient equal to the principal amount of Priority Lien Notes Debt then outstanding divided by the principal amount of Indenture Obligations and Priority Lien Notes Debt then outstanding, times (y) the Net Proceeds received from such sale of Priority Fixed Assets Collateral; and/or</w:t>
      </w:r>
    </w:p>
    <w:p>
      <w:pPr>
        <w:spacing w:after="0" w:line="161" w:lineRule="exact"/>
        <w:rPr>
          <w:rFonts w:ascii="Arial" w:cs="Arial" w:eastAsia="Arial" w:hAnsi="Arial"/>
          <w:sz w:val="16"/>
          <w:szCs w:val="16"/>
          <w:color w:val="auto"/>
        </w:rPr>
      </w:pPr>
    </w:p>
    <w:p>
      <w:pPr>
        <w:ind w:left="2040" w:hanging="756"/>
        <w:spacing w:after="0"/>
        <w:tabs>
          <w:tab w:leader="none" w:pos="20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40" w:top="908" w:right="399" w:bottom="1440" w:gutter="0" w:footer="0" w:header="0"/>
        </w:sectPr>
      </w:pPr>
    </w:p>
    <w:bookmarkStart w:id="136" w:name="page137"/>
    <w:bookmarkEnd w:id="136"/>
    <w:p>
      <w:pPr>
        <w:ind w:right="580" w:firstLine="656"/>
        <w:spacing w:after="0" w:line="308" w:lineRule="auto"/>
        <w:tabs>
          <w:tab w:leader="none" w:pos="134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Within 365 days after the receipt of any Net Proceeds from an Asset Sale (other than from an Asset Sale of Priority Fixed Assets Collateral), the Company (or the applicable Restricted Subsidiary, as the case may be) may apply such Net Proceeds at its option:</w:t>
      </w:r>
    </w:p>
    <w:p>
      <w:pPr>
        <w:spacing w:after="0" w:line="146" w:lineRule="exact"/>
        <w:rPr>
          <w:rFonts w:ascii="Arial" w:cs="Arial" w:eastAsia="Arial" w:hAnsi="Arial"/>
          <w:sz w:val="17"/>
          <w:szCs w:val="17"/>
          <w:color w:val="auto"/>
        </w:rPr>
      </w:pPr>
    </w:p>
    <w:p>
      <w:pPr>
        <w:ind w:left="660" w:right="380" w:firstLine="644"/>
        <w:spacing w:after="0" w:line="291" w:lineRule="auto"/>
        <w:tabs>
          <w:tab w:leader="none" w:pos="2057"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 in the case of Net Proceeds from any Asset Sales of assets that do not constitute Collateral, to repay Indebtedness of a Restricted Subsidiary that is not a Guarantor, other than obligations owed to the Company or another Restricted Subsidiary or (B) to repay</w:t>
      </w:r>
    </w:p>
    <w:p>
      <w:pPr>
        <w:jc w:val="both"/>
        <w:ind w:left="660" w:right="240" w:hanging="4"/>
        <w:spacing w:after="0" w:line="253" w:lineRule="auto"/>
        <w:tabs>
          <w:tab w:leader="none" w:pos="875" w:val="left"/>
        </w:tabs>
        <w:numPr>
          <w:ilvl w:val="0"/>
          <w:numId w:val="184"/>
        </w:numPr>
        <w:rPr>
          <w:rFonts w:ascii="Arial" w:cs="Arial" w:eastAsia="Arial" w:hAnsi="Arial"/>
          <w:sz w:val="18"/>
          <w:szCs w:val="18"/>
          <w:color w:val="auto"/>
        </w:rPr>
      </w:pPr>
      <w:r>
        <w:rPr>
          <w:rFonts w:ascii="Arial" w:cs="Arial" w:eastAsia="Arial" w:hAnsi="Arial"/>
          <w:sz w:val="18"/>
          <w:szCs w:val="18"/>
          <w:color w:val="121212"/>
        </w:rPr>
        <w:t>Permitted ABL Obligation</w:t>
      </w:r>
      <w:r>
        <w:rPr>
          <w:rFonts w:ascii="Arial" w:cs="Arial" w:eastAsia="Arial" w:hAnsi="Arial"/>
          <w:sz w:val="18"/>
          <w:szCs w:val="18"/>
          <w:color w:val="000000"/>
        </w:rPr>
        <w:t>s (and, if applicable, to correspondingly reduce the commitments with respect thereto) or (ii) Priority Lien Notes</w:t>
      </w:r>
      <w:r>
        <w:rPr>
          <w:rFonts w:ascii="Arial" w:cs="Arial" w:eastAsia="Arial" w:hAnsi="Arial"/>
          <w:sz w:val="18"/>
          <w:szCs w:val="18"/>
          <w:color w:val="121212"/>
        </w:rPr>
        <w:t xml:space="preserve"> </w:t>
      </w:r>
      <w:r>
        <w:rPr>
          <w:rFonts w:ascii="Arial" w:cs="Arial" w:eastAsia="Arial" w:hAnsi="Arial"/>
          <w:sz w:val="18"/>
          <w:szCs w:val="18"/>
          <w:color w:val="000000"/>
        </w:rPr>
        <w:t xml:space="preserve">Debt;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in the case of this clause (ii), the Company shall equally and ratably reduce Indenture Obligations (based on the respective amount of outstanding Priority Lien Notes Debt and Indenture Obligations) as provided under Section 11.01 through open-market purchases or otherwise;</w:t>
      </w:r>
    </w:p>
    <w:p>
      <w:pPr>
        <w:spacing w:after="0" w:line="192" w:lineRule="exact"/>
        <w:rPr>
          <w:rFonts w:ascii="Arial" w:cs="Arial" w:eastAsia="Arial" w:hAnsi="Arial"/>
          <w:sz w:val="18"/>
          <w:szCs w:val="18"/>
          <w:color w:val="auto"/>
        </w:rPr>
      </w:pPr>
    </w:p>
    <w:p>
      <w:pPr>
        <w:ind w:left="660" w:firstLine="644"/>
        <w:spacing w:after="0" w:line="277" w:lineRule="auto"/>
        <w:tabs>
          <w:tab w:leader="none" w:pos="205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or any Capital Stock of, another Similar Business, if, after giving effect to any such acquisition of Capital Stock, the Similar Business is or becomes a Restricted Subsidiary of the Company;</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to make capital expenditures;</w:t>
      </w:r>
    </w:p>
    <w:p>
      <w:pPr>
        <w:spacing w:after="0" w:line="225" w:lineRule="exact"/>
        <w:rPr>
          <w:rFonts w:ascii="Arial" w:cs="Arial" w:eastAsia="Arial" w:hAnsi="Arial"/>
          <w:sz w:val="18"/>
          <w:szCs w:val="18"/>
          <w:color w:val="auto"/>
        </w:rPr>
      </w:pPr>
    </w:p>
    <w:p>
      <w:pPr>
        <w:ind w:left="660" w:right="80" w:firstLine="644"/>
        <w:spacing w:after="0" w:line="259" w:lineRule="auto"/>
        <w:tabs>
          <w:tab w:leader="none" w:pos="205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to acquire other assets that are used or useful in a Similar Business or that replace the properties and assets that are the subject of such Asset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assets (including Capital Stock) acquired with the Net Proceeds of a disposition of Priority ABL Collateral are pledged as Collateral as required and as provided under this Indenture and the Security Documents (except to the extent the Lien thereon is released by the lenders under the ABL Facility); and/or</w:t>
      </w:r>
    </w:p>
    <w:p>
      <w:pPr>
        <w:spacing w:after="0" w:line="186" w:lineRule="exact"/>
        <w:rPr>
          <w:rFonts w:ascii="Arial" w:cs="Arial" w:eastAsia="Arial" w:hAnsi="Arial"/>
          <w:sz w:val="18"/>
          <w:szCs w:val="18"/>
          <w:color w:val="auto"/>
        </w:rPr>
      </w:pPr>
    </w:p>
    <w:p>
      <w:pPr>
        <w:ind w:left="2060" w:hanging="756"/>
        <w:spacing w:after="0"/>
        <w:tabs>
          <w:tab w:leader="none" w:pos="20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rFonts w:ascii="Arial" w:cs="Arial" w:eastAsia="Arial" w:hAnsi="Arial"/>
          <w:sz w:val="18"/>
          <w:szCs w:val="18"/>
          <w:color w:val="auto"/>
        </w:rPr>
      </w:pPr>
    </w:p>
    <w:p>
      <w:pPr>
        <w:ind w:right="140" w:firstLine="656"/>
        <w:spacing w:after="0" w:line="269" w:lineRule="auto"/>
        <w:tabs>
          <w:tab w:leader="none" w:pos="135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Any Net Proceeds from any Asset Sale that are not invested or applied in accordance with the preceding paragraphs within 365 days from the date of the receipt of such Net Proceeds (it being understood that any portion of the Net Proceeds used to make an offer to purchase notes as described above shall be deemed to have been invested whether or not such offer is accepted) shall be deemed to constitute “</w:t>
      </w:r>
      <w:r>
        <w:rPr>
          <w:rFonts w:ascii="Arial" w:cs="Arial" w:eastAsia="Arial" w:hAnsi="Arial"/>
          <w:sz w:val="17"/>
          <w:szCs w:val="17"/>
          <w:i w:val="1"/>
          <w:iCs w:val="1"/>
          <w:color w:val="auto"/>
        </w:rPr>
        <w:t>Excess Proceeds.</w:t>
      </w:r>
      <w:r>
        <w:rPr>
          <w:rFonts w:ascii="Arial" w:cs="Arial" w:eastAsia="Arial" w:hAnsi="Arial"/>
          <w:sz w:val="17"/>
          <w:szCs w:val="17"/>
          <w:color w:val="auto"/>
        </w:rPr>
        <w:t>” When the aggregate amount of Excess Proceeds exceeds $15.0 million, the Company shall make an offer to all Holders and, if required by the terms of any Priority Lien Notes Debt, to the holders thereof (an “</w:t>
      </w:r>
      <w:r>
        <w:rPr>
          <w:rFonts w:ascii="Arial" w:cs="Arial" w:eastAsia="Arial" w:hAnsi="Arial"/>
          <w:sz w:val="17"/>
          <w:szCs w:val="17"/>
          <w:i w:val="1"/>
          <w:iCs w:val="1"/>
          <w:color w:val="auto"/>
        </w:rPr>
        <w:t>Asset Sale Offer</w:t>
      </w:r>
      <w:r>
        <w:rPr>
          <w:rFonts w:ascii="Arial" w:cs="Arial" w:eastAsia="Arial" w:hAnsi="Arial"/>
          <w:sz w:val="17"/>
          <w:szCs w:val="17"/>
          <w:color w:val="auto"/>
        </w:rPr>
        <w:t xml:space="preserve">”), to purchase the maximum aggregate principal amount of Notes and such Priority Lien Notes Debt that is in an amount equal to at least $2,000 that may be purchased out of the Excess Proceeds at an offer price in cash in an amount equal to 100% of the principal amount thereof,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if any, to (but not including) the date fixed for the closing of such offer, in accordance with the procedures set forth in this Indenture. The Company shall commence an Asset Sale Offer with respect to Excess Proceeds within 15 Business Days after the date that Excess Proceeds exceed $15.0 million by mailing or electronically sending the notice required pursuant to the terms of this Indenture, with a copy to the Trustee. The Company may satisfy the foregoing obligations with respect to any Net Proceeds from an Asset Sale by making an Asset Sale Offer with respect to such Net Proceeds prior to the expiration of the relevant 365 days (or such longer period provided above) or with respect to Excess Proceeds of $15.0 million or less.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7" w:name="page138"/>
    <w:bookmarkEnd w:id="137"/>
    <w:p>
      <w:pPr>
        <w:ind w:firstLine="656"/>
        <w:spacing w:after="0" w:line="269" w:lineRule="auto"/>
        <w:tabs>
          <w:tab w:leader="none" w:pos="134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Notwithstanding the foregoing, (i) to the extent that any or all of the Net Proceeds of any Asset Sale by a Foreign Subsidiary (a “</w:t>
      </w:r>
      <w:r>
        <w:rPr>
          <w:rFonts w:ascii="Arial" w:cs="Arial" w:eastAsia="Arial" w:hAnsi="Arial"/>
          <w:sz w:val="17"/>
          <w:szCs w:val="17"/>
          <w:i w:val="1"/>
          <w:iCs w:val="1"/>
          <w:color w:val="auto"/>
        </w:rPr>
        <w:t>Foreign</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w:t>
      </w:r>
      <w:r>
        <w:rPr>
          <w:rFonts w:ascii="Arial" w:cs="Arial" w:eastAsia="Arial" w:hAnsi="Arial"/>
          <w:sz w:val="17"/>
          <w:szCs w:val="17"/>
          <w:color w:val="auto"/>
        </w:rPr>
        <w:t>”) are prohibited or delayed by applicable local law from being repatriated to the United States, the amount equal to the portion of such Net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so affected will not be required to be applied in compliance with this covenant, and such amounts may be retained by the applicable Foreign Subsidiary so long, but only so long, as the applicable local law will not permit repatriation to the United States (the Company hereby agreeing to use reasonable efforts to cause the applicable Foreign Subsidiary to take all actions reasonably required by the applicable local law to permit such repatriation), and if such repatriation of any of such affected Net Proceeds is permitted under the applicable local law, an amount equal to such Net Proceeds permitted to be repatriated will be applied (whether or not repatriation actually occurs) in compliance with this covenant (net of any additional taxes that are or would be payable or reserved against as a result thereof) and (ii) to the extent that the Company has determined in good faith that repatriation of any or all of the Net Proceeds of any Foreign Disposition could have a material adverse tax consequence (which for the avoidance of doubt, includes, but is not limited to, any purchase whereby doing so the Company, any Restricted Subsidiary or any of their Affiliates and/or equity partners would incur a material tax liability, including as a result of a material deemed dividend pursuant to Code Section 956 or material withholding tax), the amount equal to the Net Proceeds so affected will not be required to be applied in compliance with this covenant.</w:t>
      </w:r>
    </w:p>
    <w:p>
      <w:pPr>
        <w:spacing w:after="0" w:line="178" w:lineRule="exact"/>
        <w:rPr>
          <w:rFonts w:ascii="Arial" w:cs="Arial" w:eastAsia="Arial" w:hAnsi="Arial"/>
          <w:sz w:val="17"/>
          <w:szCs w:val="17"/>
          <w:color w:val="auto"/>
        </w:rPr>
      </w:pPr>
    </w:p>
    <w:p>
      <w:pPr>
        <w:ind w:right="80" w:firstLine="656"/>
        <w:spacing w:after="0" w:line="271" w:lineRule="auto"/>
        <w:tabs>
          <w:tab w:leader="none" w:pos="132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the extent that the aggregate amount of Notes and such Priority Lien Notes Debt tendered pursuant to an Asset Sale Offer is less than the Excess Proceeds, the Company may use any remaining Excess Proceeds for any purpose not prohibited by this Indenture. If the aggregate principal amount of Notes or Priority Lien Notes Debt surrendered by such holders thereof exceeds the amount of Excess Proceeds, the Trustee shall select, or cause to be selected, the Notes and the Company shall select, or cause to be selected such Priority Lien Notes Debt to be purchased on a pro rata basis based on the accreted value or principal amount of the Notes or such Priority Lien Notes Debt tendered. Upon completion of any such Asset Sale Offer, the amount of Excess Proceeds related to such Asset Sale Offer shall be reset at zero and in the case of an Asset Sale Offer being effected in advance of being required to do so by this Indenture, the amount of Net Proceeds the Company is offering to apply in such Asset Sale Offer shall be excluded in subsequent calculations of Excess Proceeds.</w:t>
      </w:r>
    </w:p>
    <w:p>
      <w:pPr>
        <w:spacing w:after="0" w:line="178" w:lineRule="exact"/>
        <w:rPr>
          <w:rFonts w:ascii="Arial" w:cs="Arial" w:eastAsia="Arial" w:hAnsi="Arial"/>
          <w:sz w:val="17"/>
          <w:szCs w:val="17"/>
          <w:color w:val="auto"/>
        </w:rPr>
      </w:pPr>
    </w:p>
    <w:p>
      <w:pPr>
        <w:ind w:right="40" w:firstLine="656"/>
        <w:spacing w:after="0" w:line="263" w:lineRule="auto"/>
        <w:tabs>
          <w:tab w:leader="none" w:pos="130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pursuant to this Section 10.16, the Company or the applicable Restricted Subsidiary may apply such Net Proceeds temporarily to reduce Indebtedness outstanding under a revolving credit facility or otherwise invest such Net Proceeds in any manner not prohibited by this Indenture.</w:t>
      </w:r>
    </w:p>
    <w:p>
      <w:pPr>
        <w:spacing w:after="0" w:line="183" w:lineRule="exact"/>
        <w:rPr>
          <w:rFonts w:ascii="Arial" w:cs="Arial" w:eastAsia="Arial" w:hAnsi="Arial"/>
          <w:sz w:val="18"/>
          <w:szCs w:val="18"/>
          <w:color w:val="auto"/>
        </w:rPr>
      </w:pPr>
    </w:p>
    <w:p>
      <w:pPr>
        <w:jc w:val="both"/>
        <w:ind w:right="240" w:firstLine="656"/>
        <w:spacing w:after="0" w:line="301" w:lineRule="auto"/>
        <w:tabs>
          <w:tab w:leader="none" w:pos="130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such laws or regulations are applicable in connection with the repurchase of Notes pursuant to an Asset Sale Offer. To the extent that the provisions of any securities laws or regulations conflict with the provisions of this Indenture, the Company shall comply with the applicable securities laws and regulations and shall not be deemed to have breached its obligations set forth in this Indenture by virtue thereof.</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ind w:firstLine="656"/>
        <w:spacing w:after="0" w:line="259" w:lineRule="auto"/>
        <w:tabs>
          <w:tab w:leader="none" w:pos="131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If the Company is repurchasing less than all of the Notes at any time, the Company shall select the Notes to be repurchased (a) if the Notes are listed on any national securities exchange, in compliance with the requirements of the principal national securities exchange on which such Notes are listed or (b) if such Notes are not so listed, on a pro rata basis to the extent practicable;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Notes of $2,000 or less shall be repurchased in part.</w:t>
      </w:r>
    </w:p>
    <w:p>
      <w:pPr>
        <w:spacing w:after="0" w:line="186" w:lineRule="exact"/>
        <w:rPr>
          <w:rFonts w:ascii="Arial" w:cs="Arial" w:eastAsia="Arial" w:hAnsi="Arial"/>
          <w:sz w:val="18"/>
          <w:szCs w:val="18"/>
          <w:color w:val="auto"/>
        </w:rPr>
      </w:pPr>
    </w:p>
    <w:p>
      <w:pPr>
        <w:ind w:right="60" w:firstLine="656"/>
        <w:spacing w:after="0" w:line="263" w:lineRule="auto"/>
        <w:tabs>
          <w:tab w:leader="none" w:pos="131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Within 30 days after the Company becomes obligated to make an Asset Sale Offer, the Company shall send notice of that Asset Sale Offer electronically or by first class mail, with a copy to the Trustee, to each Holder to the address of that Holder appearing in the security register with the following information:</w:t>
      </w:r>
    </w:p>
    <w:p>
      <w:pPr>
        <w:spacing w:after="0" w:line="183" w:lineRule="exact"/>
        <w:rPr>
          <w:rFonts w:ascii="Arial" w:cs="Arial" w:eastAsia="Arial" w:hAnsi="Arial"/>
          <w:sz w:val="18"/>
          <w:szCs w:val="18"/>
          <w:color w:val="auto"/>
        </w:rPr>
      </w:pPr>
    </w:p>
    <w:p>
      <w:pPr>
        <w:ind w:left="660" w:right="160" w:firstLine="644"/>
        <w:spacing w:after="0" w:line="286" w:lineRule="auto"/>
        <w:tabs>
          <w:tab w:leader="none" w:pos="2057"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that an Asset Sale Offer is being made pursuant to this Section 10.16, the total amount of the Asset Sale Offer, and that all Notes properly tendered pursuant to the Asset Sale Offer shall be accepted for payment, subject to prorating if the aggregate principal amount of Notes tendered is greater than the amount of the Asset Sale Offer, as contemplated by Section 10.16(b);</w:t>
      </w:r>
    </w:p>
    <w:p>
      <w:pPr>
        <w:spacing w:after="0" w:line="165" w:lineRule="exact"/>
        <w:rPr>
          <w:rFonts w:ascii="Arial" w:cs="Arial" w:eastAsia="Arial" w:hAnsi="Arial"/>
          <w:sz w:val="17"/>
          <w:szCs w:val="17"/>
          <w:color w:val="auto"/>
        </w:rPr>
      </w:pPr>
    </w:p>
    <w:p>
      <w:pPr>
        <w:ind w:left="660" w:right="460" w:firstLine="644"/>
        <w:spacing w:after="0" w:line="277" w:lineRule="auto"/>
        <w:tabs>
          <w:tab w:leader="none" w:pos="205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purchase price and the purchase date, which shall be no earlier than 30 days nor later than 60 days from the date such notice is provided (the “</w:t>
      </w:r>
      <w:r>
        <w:rPr>
          <w:rFonts w:ascii="Arial" w:cs="Arial" w:eastAsia="Arial" w:hAnsi="Arial"/>
          <w:sz w:val="18"/>
          <w:szCs w:val="18"/>
          <w:i w:val="1"/>
          <w:iCs w:val="1"/>
          <w:color w:val="auto"/>
        </w:rPr>
        <w:t>Asset Sale Payment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Note not properly tendered shall remain outstanding and continue to accrue interest;</w:t>
      </w:r>
    </w:p>
    <w:p>
      <w:pPr>
        <w:spacing w:after="0" w:line="225" w:lineRule="exact"/>
        <w:rPr>
          <w:rFonts w:ascii="Arial" w:cs="Arial" w:eastAsia="Arial" w:hAnsi="Arial"/>
          <w:sz w:val="18"/>
          <w:szCs w:val="18"/>
          <w:color w:val="auto"/>
        </w:rPr>
      </w:pPr>
    </w:p>
    <w:p>
      <w:pPr>
        <w:ind w:left="660" w:right="60" w:firstLine="644"/>
        <w:spacing w:after="0" w:line="277" w:lineRule="auto"/>
        <w:tabs>
          <w:tab w:leader="none" w:pos="205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unless the Company defaults in the payment of the Asset Sale Offer, all Notes accepted for payment pursuant to the Asset Sale Offer shall cease to accrue interest on the Asset Sale Payment Date;</w:t>
      </w:r>
    </w:p>
    <w:p>
      <w:pPr>
        <w:spacing w:after="0" w:line="170" w:lineRule="exact"/>
        <w:rPr>
          <w:rFonts w:ascii="Arial" w:cs="Arial" w:eastAsia="Arial" w:hAnsi="Arial"/>
          <w:sz w:val="18"/>
          <w:szCs w:val="18"/>
          <w:color w:val="auto"/>
        </w:rPr>
      </w:pPr>
    </w:p>
    <w:p>
      <w:pPr>
        <w:ind w:left="660" w:right="20" w:firstLine="644"/>
        <w:spacing w:after="0" w:line="286" w:lineRule="auto"/>
        <w:tabs>
          <w:tab w:leader="none" w:pos="2057" w:val="left"/>
        </w:tabs>
        <w:numPr>
          <w:ilvl w:val="1"/>
          <w:numId w:val="187"/>
        </w:numPr>
        <w:rPr>
          <w:rFonts w:ascii="Arial" w:cs="Arial" w:eastAsia="Arial" w:hAnsi="Arial"/>
          <w:sz w:val="17"/>
          <w:szCs w:val="17"/>
          <w:color w:val="auto"/>
        </w:rPr>
      </w:pPr>
      <w:r>
        <w:rPr>
          <w:rFonts w:ascii="Arial" w:cs="Arial" w:eastAsia="Arial" w:hAnsi="Arial"/>
          <w:sz w:val="17"/>
          <w:szCs w:val="17"/>
          <w:color w:val="auto"/>
        </w:rPr>
        <w:t>Holders electing to have any Notes purchased pursuant to an Asset Sale Offer shall be required to surrender the Notes, with the form entitled “Option of Holder to Elect Purchase” on the reverse of the Notes completed, to the Paying Agent specified in the notice at the address specified in the notice prior to the close of business on the third Business Day preceding the Asset Sale Payment Date;</w:t>
      </w:r>
    </w:p>
    <w:p>
      <w:pPr>
        <w:spacing w:after="0" w:line="165" w:lineRule="exact"/>
        <w:rPr>
          <w:rFonts w:ascii="Arial" w:cs="Arial" w:eastAsia="Arial" w:hAnsi="Arial"/>
          <w:sz w:val="17"/>
          <w:szCs w:val="17"/>
          <w:color w:val="auto"/>
        </w:rPr>
      </w:pPr>
    </w:p>
    <w:p>
      <w:pPr>
        <w:ind w:left="660" w:right="140" w:firstLine="644"/>
        <w:spacing w:after="0" w:line="259" w:lineRule="auto"/>
        <w:tabs>
          <w:tab w:leader="none" w:pos="205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Holders shall be entitled to withdraw their tendered Notes and their election to require the Company to purchase such Notes;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Paying Agent receives, not later than the close of business on the last day of the offer period, a telegram, telex, facsimile</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or letter setting forth the name of the Holder, the principal amount of Notes tendered for purchase, and a statement that such Holder is withdrawing its tendered Notes and its election to have such Notes purchased; and</w:t>
      </w:r>
    </w:p>
    <w:p>
      <w:pPr>
        <w:spacing w:after="0" w:line="186" w:lineRule="exact"/>
        <w:rPr>
          <w:rFonts w:ascii="Arial" w:cs="Arial" w:eastAsia="Arial" w:hAnsi="Arial"/>
          <w:sz w:val="18"/>
          <w:szCs w:val="18"/>
          <w:color w:val="auto"/>
        </w:rPr>
      </w:pPr>
    </w:p>
    <w:p>
      <w:pPr>
        <w:ind w:left="660" w:right="80" w:firstLine="644"/>
        <w:spacing w:after="0" w:line="342" w:lineRule="auto"/>
        <w:tabs>
          <w:tab w:leader="none" w:pos="205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Holders whose Notes are being purchased only in part shall be issued new Notes equal in principal amount to the unpurchased portion of the Notes surrendered, which unpurchased portion must be equal to $2,000 or an integral multiple of $1,000 in excess thereof.</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9" w:name="page140"/>
    <w:bookmarkEnd w:id="139"/>
    <w:p>
      <w:pPr>
        <w:ind w:right="600" w:firstLine="656"/>
        <w:spacing w:after="0" w:line="277" w:lineRule="auto"/>
        <w:tabs>
          <w:tab w:leader="none" w:pos="130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While the Notes are in global form and the Company makes an Asset Sale Offer, a Holder may exercise its option to elect for the purchase of the Notes through the facilities of DTC, subject to its rules and regulations.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On the Asset Sale Payment Date, the Company shall, to the extent permitted by law,</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Asset Sale Offer,</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payment of the Asset Sale Offer, and</w:t>
      </w:r>
    </w:p>
    <w:p>
      <w:pPr>
        <w:spacing w:after="0" w:line="225" w:lineRule="exact"/>
        <w:rPr>
          <w:rFonts w:ascii="Arial" w:cs="Arial" w:eastAsia="Arial" w:hAnsi="Arial"/>
          <w:sz w:val="18"/>
          <w:szCs w:val="18"/>
          <w:color w:val="auto"/>
        </w:rPr>
      </w:pPr>
    </w:p>
    <w:p>
      <w:pPr>
        <w:ind w:left="660" w:right="340" w:firstLine="644"/>
        <w:spacing w:after="0" w:line="277" w:lineRule="auto"/>
        <w:tabs>
          <w:tab w:leader="none" w:pos="201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Notes so accepted together with an Officer’s Certificate stating that such Notes or portions thereof have been tendered to and purchased by the Company.</w:t>
      </w:r>
    </w:p>
    <w:p>
      <w:pPr>
        <w:spacing w:after="0" w:line="170" w:lineRule="exact"/>
        <w:rPr>
          <w:rFonts w:ascii="Arial" w:cs="Arial" w:eastAsia="Arial" w:hAnsi="Arial"/>
          <w:sz w:val="18"/>
          <w:szCs w:val="18"/>
          <w:color w:val="auto"/>
        </w:rPr>
      </w:pPr>
    </w:p>
    <w:p>
      <w:pPr>
        <w:ind w:right="60" w:firstLine="656"/>
        <w:spacing w:after="0" w:line="273" w:lineRule="auto"/>
        <w:tabs>
          <w:tab w:leader="none" w:pos="135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The Paying Agent shall promptly transmit to each Holder the payment for such Notes in respect of the Asset Sale Offer, and the Trustee shall promptly authenticate and cause to be delivered to each Holder a new Note equal in principal amount to any unpurchased portion of the Notes surrendered,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such new Note shall be in a principal amount of $2,000 or an integral multiple of $1,000 in excess thereof. The Company shall publicly announce the results of the Asset Sale Offer on or as soon as practicable after the Asset Sale Payment Date. The Paying Agent, if not the Company, shall return to the Company any cash that remains unclaimed, together with interest, if any, thereon, held by the Paying Agent for the payment of the amount required pursuant to the Asset Sale Offer.</w:t>
      </w:r>
    </w:p>
    <w:p>
      <w:pPr>
        <w:spacing w:after="0" w:line="17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For purposes of this Section 10.16, the Net Proceeds attributable to the sale of (i) Priority Fixed Assets Collateral consisting of Equity Interests of a Person that is not a Guarantor shall be deemed to be equal to the equity value of such Equity Interests and (ii) a group of assets consisting of both Priority Fixed Assets Collateral and assets that are not Priority Fixed Assets Collateral shall be deemed to be Net Proceeds from Priority Fixed Assets Collateral and such other assets, respectively, based on the fair market value of the Priority Fixed Assets Collateral and such other assets (as determined in good faith by the Company, which determination shall be conclusive absent manifest error).</w:t>
      </w:r>
    </w:p>
    <w:p>
      <w:pPr>
        <w:spacing w:after="0" w:line="17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After-Acquired Property</w:t>
      </w:r>
      <w:r>
        <w:rPr>
          <w:rFonts w:ascii="Arial" w:cs="Arial" w:eastAsia="Arial" w:hAnsi="Arial"/>
          <w:sz w:val="17"/>
          <w:szCs w:val="17"/>
          <w:color w:val="auto"/>
        </w:rPr>
        <w:t>. Promptly following the acquisition by the Company or any Guarantor of any After-Acquired Property (but subject to the limitations, if applicable, set forth under Article Fifteen) the Company or such Guarantor shall execute, deliver and file, if applicable, such mortgages, deeds of trust, security instruments, title insurance policies, surveys, financing statements and certificates and opinions of counsel, as shall be necessary to vest in the Collateral Trustee either a first priority or a second priority perfected security (subject to Permitted Liens) interest in such After-Acquired Property depending on whether such After-Acquired Property consists of Priority Fixed Assets Collateral or Priority ABL Collateral and to have such After-Acquired Property added to the Priority Fixed Assets Collateral or the Priority ABL Collateral, as applicable, and thereupon all provisions of this Indenture relating to the Priority Fixed Assets Collateral or the Priority ABL Collateral, as applicable, shall be deemed to relate to such After-Acquired Property to the same extent and with the same force and effect.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0" w:name="page141"/>
    <w:bookmarkEnd w:id="140"/>
    <w:p>
      <w:pPr>
        <w:ind w:left="660"/>
        <w:spacing w:after="0"/>
        <w:tabs>
          <w:tab w:leader="none" w:pos="180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10.19</w:t>
      </w:r>
      <w:r>
        <w:rPr>
          <w:sz w:val="20"/>
          <w:szCs w:val="20"/>
          <w:color w:val="auto"/>
        </w:rPr>
        <w:tab/>
      </w:r>
      <w:r>
        <w:rPr>
          <w:rFonts w:ascii="Arial" w:cs="Arial" w:eastAsia="Arial" w:hAnsi="Arial"/>
          <w:sz w:val="16"/>
          <w:szCs w:val="16"/>
          <w:u w:val="single" w:color="auto"/>
          <w:color w:val="auto"/>
        </w:rPr>
        <w:t>Suspension of Covenants</w:t>
      </w:r>
      <w:r>
        <w:rPr>
          <w:rFonts w:ascii="Arial" w:cs="Arial" w:eastAsia="Arial" w:hAnsi="Arial"/>
          <w:sz w:val="16"/>
          <w:szCs w:val="16"/>
          <w:color w:val="auto"/>
        </w:rPr>
        <w:t>. If on any date following the Issue Date;</w:t>
      </w:r>
    </w:p>
    <w:p>
      <w:pPr>
        <w:spacing w:after="0" w:line="225" w:lineRule="exact"/>
        <w:rPr>
          <w:sz w:val="20"/>
          <w:szCs w:val="20"/>
          <w:color w:val="auto"/>
        </w:rPr>
      </w:pPr>
    </w:p>
    <w:p>
      <w:pPr>
        <w:ind w:right="180" w:firstLine="656"/>
        <w:spacing w:after="0" w:line="259" w:lineRule="auto"/>
        <w:tabs>
          <w:tab w:leader="none" w:pos="129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Notes are rated Baa3 (or its equivalent) or better by Moody’s and BBB- (or its equivalent) or better by S&amp;P (or, if either such entity ceases to rate the Notes for reasons outside of the control of the Company, the equivalent investment grade credit rating from any other “nationally recognized statistical rating organization” within the meaning of Section 3(a)(62) under the Exchange Act selected by the Company as a replacement agency) (each, an “</w:t>
      </w:r>
      <w:r>
        <w:rPr>
          <w:rFonts w:ascii="Arial" w:cs="Arial" w:eastAsia="Arial" w:hAnsi="Arial"/>
          <w:sz w:val="18"/>
          <w:szCs w:val="18"/>
          <w:i w:val="1"/>
          <w:iCs w:val="1"/>
          <w:color w:val="auto"/>
        </w:rPr>
        <w:t>Investment Grade Rating</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then, beginning on that day and subject to the provision in the following paragraphs, the Company and its Restricted Subsidiaries will no longer be subject to the Notes and any related default provisions of this Indenture set forth under the following:</w:t>
      </w:r>
    </w:p>
    <w:p>
      <w:pPr>
        <w:spacing w:after="0" w:line="170" w:lineRule="exact"/>
        <w:rPr>
          <w:sz w:val="20"/>
          <w:szCs w:val="20"/>
          <w:color w:val="auto"/>
        </w:rPr>
      </w:pPr>
    </w:p>
    <w:p>
      <w:pPr>
        <w:ind w:left="2060" w:hanging="756"/>
        <w:spacing w:after="0"/>
        <w:tabs>
          <w:tab w:leader="none" w:pos="2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Section 10.16;</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Section 10.08;</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Section 10.09;</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Section 8.01(a)(4);</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Section 10.11;</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Section 10.12;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Section 10.13: (collectively, the “</w:t>
      </w:r>
      <w:r>
        <w:rPr>
          <w:rFonts w:ascii="Arial" w:cs="Arial" w:eastAsia="Arial" w:hAnsi="Arial"/>
          <w:sz w:val="18"/>
          <w:szCs w:val="18"/>
          <w:i w:val="1"/>
          <w:iCs w:val="1"/>
          <w:color w:val="auto"/>
        </w:rPr>
        <w:t>Suspended Covenants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the Company and its Restricted Subsidiaries are not subject to the Suspended Covenants for any period of time as a result of the previous sentence (a “</w:t>
      </w:r>
      <w:r>
        <w:rPr>
          <w:rFonts w:ascii="Arial" w:cs="Arial" w:eastAsia="Arial" w:hAnsi="Arial"/>
          <w:sz w:val="17"/>
          <w:szCs w:val="17"/>
          <w:i w:val="1"/>
          <w:iCs w:val="1"/>
          <w:color w:val="auto"/>
        </w:rPr>
        <w:t>Fall-Away Period</w:t>
      </w:r>
      <w:r>
        <w:rPr>
          <w:rFonts w:ascii="Arial" w:cs="Arial" w:eastAsia="Arial" w:hAnsi="Arial"/>
          <w:sz w:val="17"/>
          <w:szCs w:val="17"/>
          <w:color w:val="auto"/>
        </w:rPr>
        <w:t>”) and, on any subsequent date (the “</w:t>
      </w:r>
      <w:r>
        <w:rPr>
          <w:rFonts w:ascii="Arial" w:cs="Arial" w:eastAsia="Arial" w:hAnsi="Arial"/>
          <w:sz w:val="17"/>
          <w:szCs w:val="17"/>
          <w:i w:val="1"/>
          <w:iCs w:val="1"/>
          <w:color w:val="auto"/>
        </w:rPr>
        <w:t>Reversion Date</w:t>
      </w:r>
      <w:r>
        <w:rPr>
          <w:rFonts w:ascii="Arial" w:cs="Arial" w:eastAsia="Arial" w:hAnsi="Arial"/>
          <w:sz w:val="17"/>
          <w:szCs w:val="17"/>
          <w:color w:val="auto"/>
        </w:rPr>
        <w:t>”), one or more of the ratings assigned to the Notes are withdrawn or downgraded so that the Notes no longer have an Investment Grade Rating or an Event of Default (other than with respect to a Suspended Covenant) occurs and is continuing, then the Company and its Restricted Subsidiaries will thereafter again be subject to the Suspended Covenants. The ability of the Company and its Restricted Subsidiaries to make Restricted Payments after the time of such withdrawal, downgrade or Event of Default will be calculated as if Section 10.08 had been in effect during the entire period of time from the Issue Date. Notwithstanding the foregoing, the continued existence after the end of the Fall-Away Period of facts and circumstances or obligations arising from transactions that occurred during a Fall-Away Period shall not constitute a breach of any covenant set forth in this Indenture or cause an Event of Default hereunder. During the Fall-Away Period, the Company’s Board of Directors may not designate any Restricted Subsidiary to be an Unrestricted Subsidiary.</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1" w:name="page142"/>
    <w:bookmarkEnd w:id="141"/>
    <w:p>
      <w:pPr>
        <w:ind w:right="420" w:firstLine="648"/>
        <w:spacing w:after="0" w:line="263" w:lineRule="auto"/>
        <w:rPr>
          <w:sz w:val="20"/>
          <w:szCs w:val="20"/>
          <w:color w:val="auto"/>
        </w:rPr>
      </w:pPr>
      <w:r>
        <w:rPr>
          <w:rFonts w:ascii="Arial" w:cs="Arial" w:eastAsia="Arial" w:hAnsi="Arial"/>
          <w:sz w:val="18"/>
          <w:szCs w:val="18"/>
          <w:color w:val="auto"/>
        </w:rPr>
        <w:t>On and after each Reversion Date, the Company and its Subsidiaries will be permitted to consummate the transactions contemplated by any contract entered into during the Fall-Away Period so long as such contract and such consummation would have been permitted during such Fall-Away Period.</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purposes of Section 10.12, on the Reversion Date, any contractual encumbrances or restrictions entered into during the Fall-Away Period will be deemed to have been in effect on the Issue Date so that they are permitted under Section 10.12(b)(1).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Section 10.16, on the Reversion Date, the unutilized Excess Proceeds amount will be reset to zero.</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For purposes of Section 10.11, any Affiliate Transaction entered into after the Reversion Date pursuant to a contract, agreement, loan, advance or guaranty with, or for the benefit of, any Affiliate of the Company entered into during the Fall-Away Period will be deemed to have been in effect as of the Issue Date for purposes of Section 10.11(b)(1).</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Trustee shall have no duty to monitor the rating of the Notes or whether a Fall-Away Period or Reversion Date has occurred, or notify Holders of the same.</w:t>
      </w:r>
    </w:p>
    <w:p>
      <w:pPr>
        <w:spacing w:after="0" w:line="170"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 xml:space="preserve">Section 10.20 </w:t>
      </w:r>
      <w:r>
        <w:rPr>
          <w:rFonts w:ascii="Arial" w:cs="Arial" w:eastAsia="Arial" w:hAnsi="Arial"/>
          <w:sz w:val="17"/>
          <w:szCs w:val="17"/>
          <w:u w:val="single" w:color="auto"/>
          <w:color w:val="auto"/>
        </w:rPr>
        <w:t>Maintenance of Property</w:t>
      </w:r>
      <w:r>
        <w:rPr>
          <w:rFonts w:ascii="Arial" w:cs="Arial" w:eastAsia="Arial" w:hAnsi="Arial"/>
          <w:sz w:val="17"/>
          <w:szCs w:val="17"/>
          <w:color w:val="auto"/>
        </w:rPr>
        <w:t>. The Company will, and will cause each of the Guarantors, to (i) at all times maintain, preserve and protect all property material to the conduct of its business and keep such property in good repair, working order and condition (other than wear and tear occurring in the ordinary course of business), (ii) from time to time make, or cause to be made, all necessary and proper repairs, renewals, additions, improvements and replacements thereto necessary in order that the business carried on in connection therewith may be properly conducted at all times and (iii) keep its insurable property insured at all times by financially sound and reputable insurers.</w:t>
      </w:r>
    </w:p>
    <w:p>
      <w:pPr>
        <w:spacing w:after="0" w:line="1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10.21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will, and will cause each of the Guarantors to, at their expense, duly execute and deliver or cause to be duly executed and delivered, such further agreements, documents and instruments and do or cause to be done such further acts as may be necessary or proper to create, evidence, perfect, maintain and enforce the security interests and the priority thereof in the Collateral in favor of the Collateral Trustee for its benefit and for the benefit of the Trustee and the Holders of the Notes and any Parity Lien Notes Debt, and to otherwise effectuate the provisions and purposes of this Indenture and the Security Documents.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NOTES</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121212"/>
        </w:rPr>
        <w:t>Section 11.01</w:t>
      </w:r>
      <w:r>
        <w:rPr>
          <w:sz w:val="20"/>
          <w:szCs w:val="20"/>
          <w:color w:val="auto"/>
        </w:rPr>
        <w:tab/>
      </w:r>
      <w:r>
        <w:rPr>
          <w:rFonts w:ascii="Arial" w:cs="Arial" w:eastAsia="Arial" w:hAnsi="Arial"/>
          <w:sz w:val="16"/>
          <w:szCs w:val="16"/>
          <w:u w:val="single" w:color="auto"/>
          <w:color w:val="auto"/>
        </w:rPr>
        <w:t>Right of Redemption</w:t>
      </w:r>
      <w:r>
        <w:rPr>
          <w:rFonts w:ascii="Arial" w:cs="Arial" w:eastAsia="Arial" w:hAnsi="Arial"/>
          <w:sz w:val="16"/>
          <w:szCs w:val="16"/>
          <w:color w:val="auto"/>
        </w:rPr>
        <w:t>.</w:t>
      </w:r>
    </w:p>
    <w:p>
      <w:pPr>
        <w:spacing w:after="0" w:line="225" w:lineRule="exact"/>
        <w:rPr>
          <w:sz w:val="20"/>
          <w:szCs w:val="20"/>
          <w:color w:val="auto"/>
        </w:rPr>
      </w:pPr>
    </w:p>
    <w:p>
      <w:pPr>
        <w:ind w:right="240" w:firstLine="656"/>
        <w:spacing w:after="0" w:line="259" w:lineRule="auto"/>
        <w:tabs>
          <w:tab w:leader="none" w:pos="1342" w:val="left"/>
        </w:tabs>
        <w:numPr>
          <w:ilvl w:val="0"/>
          <w:numId w:val="191"/>
        </w:numPr>
        <w:rPr>
          <w:rFonts w:ascii="Arial" w:cs="Arial" w:eastAsia="Arial" w:hAnsi="Arial"/>
          <w:sz w:val="18"/>
          <w:szCs w:val="18"/>
          <w:color w:val="121212"/>
        </w:rPr>
      </w:pPr>
      <w:r>
        <w:rPr>
          <w:rFonts w:ascii="Arial" w:cs="Arial" w:eastAsia="Arial" w:hAnsi="Arial"/>
          <w:sz w:val="18"/>
          <w:szCs w:val="18"/>
          <w:color w:val="auto"/>
        </w:rPr>
        <w:t>At any time prior to July 15, 2023, the Company may redeem all or a part of the Notes, upon not less than 15 nor more than 60 days’ prior notice, at a redemption price equal to 100% of the principal amount of Notes redeemed plus the Applicable Premium as of, and accrued and unpaid interest, if any, to (but not including) the Redemption Date, subject to the rights of Holders on the relevant record date to receive interest due on the relevant Interest Payment Date.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firstLine="656"/>
        <w:spacing w:after="0" w:line="279" w:lineRule="auto"/>
        <w:tabs>
          <w:tab w:leader="none" w:pos="135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From and after July 15, 2023, the Company may redeem the Notes, in whole or in part, upon not less than 15 nor more than 60 days’ prior notice at the redemption prices (expressed as percentages of principal amount) set forth below, plus accrued and unpaid interest, if any, thereon to (but not including) the applicable Redemption Date, subject to the right of Holders of record on the relevant record date to receive interest due on the relevant Interest Payment Date, if redeemed during the twelve-month period beginning on July 15 of each of the years indicated below:</w:t>
      </w:r>
    </w:p>
    <w:p>
      <w:pPr>
        <w:spacing w:after="0" w:line="181"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0"/>
        </w:trPr>
        <w:tc>
          <w:tcPr>
            <w:tcW w:w="44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103.125%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101.563%</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56"/>
        <w:spacing w:after="0" w:line="290" w:lineRule="auto"/>
        <w:tabs>
          <w:tab w:leader="none" w:pos="134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Prior to July 15, 2023, the Company may, at its option, redeem up to 40% of the sum of the original aggregate principal amount of the Notes (including the original principal amount of any Additional Notes) issued under this Indenture at a redemption price equal to 106.250% of the aggregate principal amount thereof, plus accrued and unpaid interest, if any, thereon to (but not including) the applicable Redemption Date, subject to the right of Holders on the relevant record date to receive interest due on the relevant Interest Payment Date, with the net cash proceeds of one or more Equity Offerings of the Company or any direct or indirect parent of the Company to the extent such net proceeds are contributed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60% of the sum of the aggregate principal amount of Notes originally issued under this Indenture and the aggregate principal amount of any Additional Notes issued under this Indenture after the Issue Date remains Outstanding immediately after the occurrence of each such redemption (unless all Notes are redeemed concurrently);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each such redemption occurs within 180 days of the date of closing of each such Equity Offering.</w:t>
      </w:r>
    </w:p>
    <w:p>
      <w:pPr>
        <w:spacing w:after="0" w:line="165" w:lineRule="exact"/>
        <w:rPr>
          <w:rFonts w:ascii="Arial" w:cs="Arial" w:eastAsia="Arial" w:hAnsi="Arial"/>
          <w:sz w:val="16"/>
          <w:szCs w:val="16"/>
          <w:color w:val="auto"/>
        </w:rPr>
      </w:pPr>
    </w:p>
    <w:p>
      <w:pPr>
        <w:ind w:right="20" w:firstLine="656"/>
        <w:spacing w:after="0" w:line="253" w:lineRule="auto"/>
        <w:tabs>
          <w:tab w:leader="none" w:pos="135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the event that Holders of not less than 90% of the aggregate principal amount of the outstanding Notes validly tender and do not withdraw such Notes in a Change of Control Offer, Asset Sale Offer or other tender offer and the Company (or a third party making the offer) purchases all of the Notes validly tendered and not withdrawn by such Holders, the Company or third party offeror, as applicable, will have the right, upon not less than 15 nor more than 60 days’ prior notice to the Holders and the Trustee, given not more than 30 days following the purchase pursuant to such offer described above, to redeem (in the case of the Company) or purchase (in the case of a third party offeror) all of the Notes that remain outstanding following such purchase at a redemption price or purchase price, as the case may be, equal to the price paid to each other Holder in such offer (which may be less than par) plus, to the extent not included in such price, accrued and unpaid interest on the Notes that remain outstanding, to but excluding the date of redemption (subject to the right of Holders of record on the relevant record date to receive interest due on an interest payment date that is on or prior to the Redemption Date)</w:t>
      </w:r>
      <w:r>
        <w:rPr>
          <w:rFonts w:ascii="Arial" w:cs="Arial" w:eastAsia="Arial" w:hAnsi="Arial"/>
          <w:sz w:val="18"/>
          <w:szCs w:val="18"/>
          <w:color w:val="131313"/>
        </w:rPr>
        <w:t>.</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3" w:name="page144"/>
    <w:bookmarkEnd w:id="143"/>
    <w:p>
      <w:pPr>
        <w:ind w:right="160" w:firstLine="656"/>
        <w:spacing w:after="0" w:line="277" w:lineRule="auto"/>
        <w:tabs>
          <w:tab w:leader="none" w:pos="1387" w:val="left"/>
        </w:tabs>
        <w:numPr>
          <w:ilvl w:val="0"/>
          <w:numId w:val="194"/>
        </w:numPr>
        <w:rPr>
          <w:rFonts w:ascii="Arial" w:cs="Arial" w:eastAsia="Arial" w:hAnsi="Arial"/>
          <w:sz w:val="18"/>
          <w:szCs w:val="18"/>
          <w:color w:val="auto"/>
        </w:rPr>
      </w:pPr>
      <w:r>
        <w:rPr>
          <w:rFonts w:ascii="Arial" w:cs="Arial" w:eastAsia="Arial" w:hAnsi="Arial"/>
          <w:sz w:val="18"/>
          <w:szCs w:val="18"/>
          <w:color w:val="131313"/>
        </w:rPr>
        <w:t>Unless the Company (or third-party offeror) defaults in the payment of the redemption price, interest will cease to accrue on the Notes or portions thereof called for redemption on the applicable Redemption Date.</w:t>
      </w:r>
    </w:p>
    <w:p>
      <w:pPr>
        <w:spacing w:after="0" w:line="170" w:lineRule="exact"/>
        <w:rPr>
          <w:rFonts w:ascii="Arial" w:cs="Arial" w:eastAsia="Arial" w:hAnsi="Arial"/>
          <w:sz w:val="18"/>
          <w:szCs w:val="18"/>
          <w:color w:val="auto"/>
        </w:rPr>
      </w:pPr>
    </w:p>
    <w:p>
      <w:pPr>
        <w:ind w:right="60" w:firstLine="656"/>
        <w:spacing w:after="0" w:line="277" w:lineRule="auto"/>
        <w:tabs>
          <w:tab w:leader="none" w:pos="1368" w:val="left"/>
        </w:tabs>
        <w:numPr>
          <w:ilvl w:val="0"/>
          <w:numId w:val="194"/>
        </w:numPr>
        <w:rPr>
          <w:rFonts w:ascii="Arial" w:cs="Arial" w:eastAsia="Arial" w:hAnsi="Arial"/>
          <w:sz w:val="18"/>
          <w:szCs w:val="18"/>
          <w:color w:val="auto"/>
        </w:rPr>
      </w:pPr>
      <w:r>
        <w:rPr>
          <w:rFonts w:ascii="Arial" w:cs="Arial" w:eastAsia="Arial" w:hAnsi="Arial"/>
          <w:sz w:val="18"/>
          <w:szCs w:val="18"/>
          <w:color w:val="131313"/>
        </w:rPr>
        <w:t xml:space="preserve">The Company may provide in such notice that payment of the redemption price and </w:t>
      </w:r>
      <w:r>
        <w:rPr>
          <w:rFonts w:ascii="Arial" w:cs="Arial" w:eastAsia="Arial" w:hAnsi="Arial"/>
          <w:sz w:val="18"/>
          <w:szCs w:val="18"/>
          <w:color w:val="000000"/>
        </w:rPr>
        <w:t>the</w:t>
      </w:r>
      <w:r>
        <w:rPr>
          <w:rFonts w:ascii="Arial" w:cs="Arial" w:eastAsia="Arial" w:hAnsi="Arial"/>
          <w:sz w:val="18"/>
          <w:szCs w:val="18"/>
          <w:color w:val="131313"/>
        </w:rPr>
        <w:t xml:space="preserve"> performance of the Company’s obligations with respect to such redemption may be performed by another Person.</w:t>
      </w:r>
    </w:p>
    <w:p>
      <w:pPr>
        <w:spacing w:after="0" w:line="170" w:lineRule="exact"/>
        <w:rPr>
          <w:rFonts w:ascii="Arial" w:cs="Arial" w:eastAsia="Arial" w:hAnsi="Arial"/>
          <w:sz w:val="18"/>
          <w:szCs w:val="18"/>
          <w:color w:val="auto"/>
        </w:rPr>
      </w:pPr>
    </w:p>
    <w:p>
      <w:pPr>
        <w:ind w:right="40" w:firstLine="656"/>
        <w:spacing w:after="0" w:line="263" w:lineRule="auto"/>
        <w:tabs>
          <w:tab w:leader="none" w:pos="1397" w:val="left"/>
        </w:tabs>
        <w:numPr>
          <w:ilvl w:val="0"/>
          <w:numId w:val="194"/>
        </w:numPr>
        <w:rPr>
          <w:rFonts w:ascii="Arial" w:cs="Arial" w:eastAsia="Arial" w:hAnsi="Arial"/>
          <w:sz w:val="18"/>
          <w:szCs w:val="18"/>
          <w:color w:val="auto"/>
        </w:rPr>
      </w:pPr>
      <w:r>
        <w:rPr>
          <w:rFonts w:ascii="Arial" w:cs="Arial" w:eastAsia="Arial" w:hAnsi="Arial"/>
          <w:sz w:val="18"/>
          <w:szCs w:val="18"/>
          <w:color w:val="131313"/>
        </w:rPr>
        <w:t xml:space="preserve">The Company or its Affiliates may from time to time acquire Notes by means other than </w:t>
      </w:r>
      <w:r>
        <w:rPr>
          <w:rFonts w:ascii="Arial" w:cs="Arial" w:eastAsia="Arial" w:hAnsi="Arial"/>
          <w:sz w:val="18"/>
          <w:szCs w:val="18"/>
          <w:color w:val="000000"/>
        </w:rPr>
        <w:t>a</w:t>
      </w:r>
      <w:r>
        <w:rPr>
          <w:rFonts w:ascii="Arial" w:cs="Arial" w:eastAsia="Arial" w:hAnsi="Arial"/>
          <w:sz w:val="18"/>
          <w:szCs w:val="18"/>
          <w:color w:val="131313"/>
        </w:rPr>
        <w:t xml:space="preserve"> redemption, whether by tender offer, exchange offer, in open market purchases, through negotiated transactions or otherwise, in accordance with applicable securities laws, upon such terms and at such prices as the Company or its Affiliates may determine.</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121212"/>
        </w:rPr>
        <w:t xml:space="preserve">Section 11.02 </w:t>
      </w:r>
      <w:r>
        <w:rPr>
          <w:rFonts w:ascii="Arial" w:cs="Arial" w:eastAsia="Arial" w:hAnsi="Arial"/>
          <w:sz w:val="18"/>
          <w:szCs w:val="18"/>
          <w:u w:val="single" w:color="auto"/>
          <w:color w:val="000000"/>
        </w:rPr>
        <w:t>Mandatory Redemption</w:t>
      </w:r>
      <w:r>
        <w:rPr>
          <w:rFonts w:ascii="Arial" w:cs="Arial" w:eastAsia="Arial" w:hAnsi="Arial"/>
          <w:sz w:val="18"/>
          <w:szCs w:val="18"/>
          <w:color w:val="000000"/>
        </w:rPr>
        <w:t>. The Company shall not be required to make any mandatory redemption or sinking fund payments with</w:t>
      </w:r>
      <w:r>
        <w:rPr>
          <w:rFonts w:ascii="Arial" w:cs="Arial" w:eastAsia="Arial" w:hAnsi="Arial"/>
          <w:sz w:val="18"/>
          <w:szCs w:val="18"/>
          <w:color w:val="121212"/>
        </w:rPr>
        <w:t xml:space="preserve"> </w:t>
      </w:r>
      <w:r>
        <w:rPr>
          <w:rFonts w:ascii="Arial" w:cs="Arial" w:eastAsia="Arial" w:hAnsi="Arial"/>
          <w:sz w:val="18"/>
          <w:szCs w:val="18"/>
          <w:color w:val="000000"/>
        </w:rPr>
        <w:t>respect to the Notes.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121212"/>
        </w:rPr>
        <w:t xml:space="preserve">Section 11.03 </w:t>
      </w:r>
      <w:r>
        <w:rPr>
          <w:rFonts w:ascii="Arial" w:cs="Arial" w:eastAsia="Arial" w:hAnsi="Arial"/>
          <w:sz w:val="18"/>
          <w:szCs w:val="18"/>
          <w:u w:val="single" w:color="auto"/>
          <w:color w:val="000000"/>
        </w:rPr>
        <w:t>Applicability of Article</w:t>
      </w:r>
      <w:r>
        <w:rPr>
          <w:rFonts w:ascii="Arial" w:cs="Arial" w:eastAsia="Arial" w:hAnsi="Arial"/>
          <w:sz w:val="18"/>
          <w:szCs w:val="18"/>
          <w:color w:val="000000"/>
        </w:rPr>
        <w:t>. Redemption of Notes at the election of the Company or otherwise, as permitted or required by any</w:t>
      </w:r>
      <w:r>
        <w:rPr>
          <w:rFonts w:ascii="Arial" w:cs="Arial" w:eastAsia="Arial" w:hAnsi="Arial"/>
          <w:sz w:val="18"/>
          <w:szCs w:val="18"/>
          <w:color w:val="121212"/>
        </w:rPr>
        <w:t xml:space="preserve"> </w:t>
      </w:r>
      <w:r>
        <w:rPr>
          <w:rFonts w:ascii="Arial" w:cs="Arial" w:eastAsia="Arial" w:hAnsi="Arial"/>
          <w:sz w:val="18"/>
          <w:szCs w:val="18"/>
          <w:color w:val="000000"/>
        </w:rPr>
        <w:t>provision of this Indenture or the Notes, shall be made in accordance with such provision and this Article Eleven.</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121212"/>
        </w:rPr>
        <w:t xml:space="preserve">Section 11.04 </w:t>
      </w:r>
      <w:r>
        <w:rPr>
          <w:rFonts w:ascii="Arial" w:cs="Arial" w:eastAsia="Arial" w:hAnsi="Arial"/>
          <w:sz w:val="16"/>
          <w:szCs w:val="16"/>
          <w:u w:val="single" w:color="auto"/>
          <w:color w:val="000000"/>
        </w:rPr>
        <w:t>Election to Redeem; Notice to Trustee</w:t>
      </w:r>
      <w:r>
        <w:rPr>
          <w:rFonts w:ascii="Arial" w:cs="Arial" w:eastAsia="Arial" w:hAnsi="Arial"/>
          <w:sz w:val="16"/>
          <w:szCs w:val="16"/>
          <w:color w:val="000000"/>
        </w:rPr>
        <w:t>. If the Company elects to redeem Notes pursuant to Section 11.01 hereof, it shall furnish to</w:t>
      </w:r>
      <w:r>
        <w:rPr>
          <w:rFonts w:ascii="Arial" w:cs="Arial" w:eastAsia="Arial" w:hAnsi="Arial"/>
          <w:sz w:val="16"/>
          <w:szCs w:val="16"/>
          <w:color w:val="121212"/>
        </w:rPr>
        <w:t xml:space="preserve"> </w:t>
      </w:r>
      <w:r>
        <w:rPr>
          <w:rFonts w:ascii="Arial" w:cs="Arial" w:eastAsia="Arial" w:hAnsi="Arial"/>
          <w:sz w:val="16"/>
          <w:szCs w:val="16"/>
          <w:color w:val="000000"/>
        </w:rPr>
        <w:t>the Trustee, at least five Business Days before notice of redemption is required to be provided or caused to be provided to Holders pursuant to</w:t>
      </w:r>
    </w:p>
    <w:p>
      <w:pPr>
        <w:spacing w:after="0" w:line="253" w:lineRule="auto"/>
        <w:rPr>
          <w:sz w:val="20"/>
          <w:szCs w:val="20"/>
          <w:color w:val="auto"/>
        </w:rPr>
      </w:pPr>
      <w:r>
        <w:rPr>
          <w:rFonts w:ascii="Arial" w:cs="Arial" w:eastAsia="Arial" w:hAnsi="Arial"/>
          <w:sz w:val="18"/>
          <w:szCs w:val="18"/>
          <w:color w:val="auto"/>
        </w:rPr>
        <w:t>Section 11.06 hereof (unless a shorter notice shall be agreed to by the Trustee), an Officer’s Certificate setting forth (i) the paragraph or subparagraph of such Note and/or Section of this Indenture pursuant to which the redemption shall occur, (ii) the Redemption Date, (iii) the principal amount of the Notes to be redeemed and (iv) the Redemption Price. Any notice to the Trustee delivered pursuant to this Section 11.04 may be revoked by the Company prior to the delivery of any notice of redemption to Holders.</w:t>
      </w:r>
    </w:p>
    <w:p>
      <w:pPr>
        <w:spacing w:after="0" w:line="19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121212"/>
        </w:rPr>
        <w:t>Section 11.05</w:t>
      </w:r>
      <w:r>
        <w:rPr>
          <w:sz w:val="20"/>
          <w:szCs w:val="20"/>
          <w:color w:val="auto"/>
        </w:rPr>
        <w:tab/>
      </w:r>
      <w:r>
        <w:rPr>
          <w:rFonts w:ascii="Arial" w:cs="Arial" w:eastAsia="Arial" w:hAnsi="Arial"/>
          <w:sz w:val="16"/>
          <w:szCs w:val="16"/>
          <w:u w:val="single" w:color="auto"/>
          <w:color w:val="auto"/>
        </w:rPr>
        <w:t>Selection of Notes to Be Redeemed</w:t>
      </w:r>
      <w:r>
        <w:rPr>
          <w:rFonts w:ascii="Arial" w:cs="Arial" w:eastAsia="Arial" w:hAnsi="Arial"/>
          <w:sz w:val="16"/>
          <w:szCs w:val="16"/>
          <w:color w:val="auto"/>
        </w:rPr>
        <w:t>.</w:t>
      </w:r>
    </w:p>
    <w:p>
      <w:pPr>
        <w:spacing w:after="0" w:line="225" w:lineRule="exact"/>
        <w:rPr>
          <w:sz w:val="20"/>
          <w:szCs w:val="20"/>
          <w:color w:val="auto"/>
        </w:rPr>
      </w:pPr>
    </w:p>
    <w:p>
      <w:pPr>
        <w:ind w:right="260" w:firstLine="656"/>
        <w:spacing w:after="0" w:line="277" w:lineRule="auto"/>
        <w:tabs>
          <w:tab w:leader="none" w:pos="1387" w:val="left"/>
        </w:tabs>
        <w:numPr>
          <w:ilvl w:val="0"/>
          <w:numId w:val="195"/>
        </w:numPr>
        <w:rPr>
          <w:rFonts w:ascii="Arial" w:cs="Arial" w:eastAsia="Arial" w:hAnsi="Arial"/>
          <w:sz w:val="18"/>
          <w:szCs w:val="18"/>
          <w:color w:val="121212"/>
        </w:rPr>
      </w:pPr>
      <w:r>
        <w:rPr>
          <w:rFonts w:ascii="Arial" w:cs="Arial" w:eastAsia="Arial" w:hAnsi="Arial"/>
          <w:sz w:val="18"/>
          <w:szCs w:val="18"/>
          <w:color w:val="auto"/>
        </w:rPr>
        <w:t xml:space="preserve">If the Company is redeeming less than all of the Notes at any time, the Notes to be redeemed shall be selected in accordance with the applicable procedures of DTC;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Notes of $2,000 or less shall be redeemed in part.</w:t>
      </w:r>
    </w:p>
    <w:p>
      <w:pPr>
        <w:spacing w:after="0" w:line="170" w:lineRule="exact"/>
        <w:rPr>
          <w:rFonts w:ascii="Arial" w:cs="Arial" w:eastAsia="Arial" w:hAnsi="Arial"/>
          <w:sz w:val="18"/>
          <w:szCs w:val="18"/>
          <w:color w:val="121212"/>
        </w:rPr>
      </w:pPr>
    </w:p>
    <w:p>
      <w:pPr>
        <w:ind w:right="420" w:firstLine="656"/>
        <w:spacing w:after="0" w:line="277" w:lineRule="auto"/>
        <w:tabs>
          <w:tab w:leader="none" w:pos="1397" w:val="left"/>
        </w:tabs>
        <w:numPr>
          <w:ilvl w:val="0"/>
          <w:numId w:val="195"/>
        </w:numPr>
        <w:rPr>
          <w:rFonts w:ascii="Arial" w:cs="Arial" w:eastAsia="Arial" w:hAnsi="Arial"/>
          <w:sz w:val="18"/>
          <w:szCs w:val="18"/>
          <w:color w:val="121212"/>
        </w:rPr>
      </w:pPr>
      <w:r>
        <w:rPr>
          <w:rFonts w:ascii="Arial" w:cs="Arial" w:eastAsia="Arial" w:hAnsi="Arial"/>
          <w:sz w:val="18"/>
          <w:szCs w:val="18"/>
          <w:color w:val="auto"/>
        </w:rPr>
        <w:t>If any Note is to be redeemed in part only, any notice of redemption that relates to such Note shall state the portion of the principal amount thereof to be redeemed.</w:t>
      </w:r>
    </w:p>
    <w:p>
      <w:pPr>
        <w:spacing w:after="0" w:line="170" w:lineRule="exact"/>
        <w:rPr>
          <w:rFonts w:ascii="Arial" w:cs="Arial" w:eastAsia="Arial" w:hAnsi="Arial"/>
          <w:sz w:val="18"/>
          <w:szCs w:val="18"/>
          <w:color w:val="121212"/>
        </w:rPr>
      </w:pPr>
    </w:p>
    <w:p>
      <w:pPr>
        <w:ind w:firstLine="656"/>
        <w:spacing w:after="0" w:line="259" w:lineRule="auto"/>
        <w:tabs>
          <w:tab w:leader="none" w:pos="1387" w:val="left"/>
        </w:tabs>
        <w:numPr>
          <w:ilvl w:val="0"/>
          <w:numId w:val="195"/>
        </w:numPr>
        <w:rPr>
          <w:rFonts w:ascii="Arial" w:cs="Arial" w:eastAsia="Arial" w:hAnsi="Arial"/>
          <w:sz w:val="18"/>
          <w:szCs w:val="18"/>
          <w:color w:val="111111"/>
        </w:rPr>
      </w:pPr>
      <w:r>
        <w:rPr>
          <w:rFonts w:ascii="Arial" w:cs="Arial" w:eastAsia="Arial" w:hAnsi="Arial"/>
          <w:sz w:val="18"/>
          <w:szCs w:val="18"/>
          <w:color w:val="111111"/>
        </w:rPr>
        <w:t xml:space="preserve">A new </w:t>
      </w:r>
      <w:r>
        <w:rPr>
          <w:rFonts w:ascii="Arial" w:cs="Arial" w:eastAsia="Arial" w:hAnsi="Arial"/>
          <w:sz w:val="18"/>
          <w:szCs w:val="18"/>
          <w:color w:val="181818"/>
        </w:rPr>
        <w:t>Note</w:t>
      </w:r>
      <w:r>
        <w:rPr>
          <w:rFonts w:ascii="Arial" w:cs="Arial" w:eastAsia="Arial" w:hAnsi="Arial"/>
          <w:sz w:val="18"/>
          <w:szCs w:val="18"/>
          <w:color w:val="111111"/>
        </w:rPr>
        <w:t xml:space="preserve"> in principal amount equal to the unredeemed </w:t>
      </w:r>
      <w:r>
        <w:rPr>
          <w:rFonts w:ascii="Arial" w:cs="Arial" w:eastAsia="Arial" w:hAnsi="Arial"/>
          <w:sz w:val="18"/>
          <w:szCs w:val="18"/>
          <w:color w:val="181818"/>
        </w:rPr>
        <w:t>portion of any Note</w:t>
      </w:r>
      <w:r>
        <w:rPr>
          <w:rFonts w:ascii="Arial" w:cs="Arial" w:eastAsia="Arial" w:hAnsi="Arial"/>
          <w:sz w:val="18"/>
          <w:szCs w:val="18"/>
          <w:color w:val="111111"/>
        </w:rPr>
        <w:t xml:space="preserve"> redeemed </w:t>
      </w:r>
      <w:r>
        <w:rPr>
          <w:rFonts w:ascii="Arial" w:cs="Arial" w:eastAsia="Arial" w:hAnsi="Arial"/>
          <w:sz w:val="18"/>
          <w:szCs w:val="18"/>
          <w:color w:val="181818"/>
        </w:rPr>
        <w:t>in</w:t>
      </w:r>
      <w:r>
        <w:rPr>
          <w:rFonts w:ascii="Arial" w:cs="Arial" w:eastAsia="Arial" w:hAnsi="Arial"/>
          <w:sz w:val="18"/>
          <w:szCs w:val="18"/>
          <w:color w:val="111111"/>
        </w:rPr>
        <w:t xml:space="preserve"> part shall be issued in the name of the Holder thereof upon cancellation of the </w:t>
      </w:r>
      <w:r>
        <w:rPr>
          <w:rFonts w:ascii="Arial" w:cs="Arial" w:eastAsia="Arial" w:hAnsi="Arial"/>
          <w:sz w:val="18"/>
          <w:szCs w:val="18"/>
          <w:color w:val="181818"/>
        </w:rPr>
        <w:t>original</w:t>
      </w:r>
      <w:r>
        <w:rPr>
          <w:rFonts w:ascii="Arial" w:cs="Arial" w:eastAsia="Arial" w:hAnsi="Arial"/>
          <w:sz w:val="18"/>
          <w:szCs w:val="18"/>
          <w:color w:val="111111"/>
        </w:rPr>
        <w:t xml:space="preserve"> Note. </w:t>
      </w:r>
      <w:r>
        <w:rPr>
          <w:rFonts w:ascii="Arial" w:cs="Arial" w:eastAsia="Arial" w:hAnsi="Arial"/>
          <w:sz w:val="18"/>
          <w:szCs w:val="18"/>
          <w:color w:val="181818"/>
        </w:rPr>
        <w:t>Notes</w:t>
      </w:r>
      <w:r>
        <w:rPr>
          <w:rFonts w:ascii="Arial" w:cs="Arial" w:eastAsia="Arial" w:hAnsi="Arial"/>
          <w:sz w:val="18"/>
          <w:szCs w:val="18"/>
          <w:color w:val="111111"/>
        </w:rPr>
        <w:t xml:space="preserve"> called </w:t>
      </w:r>
      <w:r>
        <w:rPr>
          <w:rFonts w:ascii="Arial" w:cs="Arial" w:eastAsia="Arial" w:hAnsi="Arial"/>
          <w:sz w:val="18"/>
          <w:szCs w:val="18"/>
          <w:color w:val="181818"/>
        </w:rPr>
        <w:t>for redemption</w:t>
      </w:r>
      <w:r>
        <w:rPr>
          <w:rFonts w:ascii="Arial" w:cs="Arial" w:eastAsia="Arial" w:hAnsi="Arial"/>
          <w:sz w:val="18"/>
          <w:szCs w:val="18"/>
          <w:color w:val="111111"/>
        </w:rPr>
        <w:t xml:space="preserve"> become due and payable on the </w:t>
      </w:r>
      <w:r>
        <w:rPr>
          <w:rFonts w:ascii="Arial" w:cs="Arial" w:eastAsia="Arial" w:hAnsi="Arial"/>
          <w:sz w:val="18"/>
          <w:szCs w:val="18"/>
          <w:color w:val="181818"/>
        </w:rPr>
        <w:t>date</w:t>
      </w:r>
      <w:r>
        <w:rPr>
          <w:rFonts w:ascii="Arial" w:cs="Arial" w:eastAsia="Arial" w:hAnsi="Arial"/>
          <w:sz w:val="18"/>
          <w:szCs w:val="18"/>
          <w:color w:val="111111"/>
        </w:rPr>
        <w:t xml:space="preserve"> fixed for redemption. On and after the Redemption Date, </w:t>
      </w:r>
      <w:r>
        <w:rPr>
          <w:rFonts w:ascii="Arial" w:cs="Arial" w:eastAsia="Arial" w:hAnsi="Arial"/>
          <w:sz w:val="18"/>
          <w:szCs w:val="18"/>
          <w:color w:val="181818"/>
        </w:rPr>
        <w:t>unless</w:t>
      </w:r>
      <w:r>
        <w:rPr>
          <w:rFonts w:ascii="Arial" w:cs="Arial" w:eastAsia="Arial" w:hAnsi="Arial"/>
          <w:sz w:val="18"/>
          <w:szCs w:val="18"/>
          <w:color w:val="111111"/>
        </w:rPr>
        <w:t xml:space="preserve"> the Company (or a third-party offeror) defaults in </w:t>
      </w:r>
      <w:r>
        <w:rPr>
          <w:rFonts w:ascii="Arial" w:cs="Arial" w:eastAsia="Arial" w:hAnsi="Arial"/>
          <w:sz w:val="18"/>
          <w:szCs w:val="18"/>
          <w:color w:val="181818"/>
        </w:rPr>
        <w:t>the</w:t>
      </w:r>
      <w:r>
        <w:rPr>
          <w:rFonts w:ascii="Arial" w:cs="Arial" w:eastAsia="Arial" w:hAnsi="Arial"/>
          <w:sz w:val="18"/>
          <w:szCs w:val="18"/>
          <w:color w:val="111111"/>
        </w:rPr>
        <w:t xml:space="preserve"> redemption payment, interest shall cease to accrue on the Note or portions thereof called </w:t>
      </w:r>
      <w:r>
        <w:rPr>
          <w:rFonts w:ascii="Arial" w:cs="Arial" w:eastAsia="Arial" w:hAnsi="Arial"/>
          <w:sz w:val="18"/>
          <w:szCs w:val="18"/>
          <w:color w:val="181818"/>
        </w:rPr>
        <w:t>for</w:t>
      </w:r>
      <w:r>
        <w:rPr>
          <w:rFonts w:ascii="Arial" w:cs="Arial" w:eastAsia="Arial" w:hAnsi="Arial"/>
          <w:sz w:val="18"/>
          <w:szCs w:val="18"/>
          <w:color w:val="111111"/>
        </w:rPr>
        <w:t xml:space="preserve"> redemption.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4" w:name="page145"/>
    <w:bookmarkEnd w:id="144"/>
    <w:p>
      <w:pPr>
        <w:ind w:right="140" w:firstLine="656"/>
        <w:spacing w:after="0" w:line="277" w:lineRule="auto"/>
        <w:tabs>
          <w:tab w:leader="none" w:pos="1397" w:val="left"/>
        </w:tabs>
        <w:numPr>
          <w:ilvl w:val="0"/>
          <w:numId w:val="196"/>
        </w:numPr>
        <w:rPr>
          <w:rFonts w:ascii="Arial" w:cs="Arial" w:eastAsia="Arial" w:hAnsi="Arial"/>
          <w:sz w:val="18"/>
          <w:szCs w:val="18"/>
          <w:color w:val="111111"/>
        </w:rPr>
      </w:pPr>
      <w:r>
        <w:rPr>
          <w:rFonts w:ascii="Arial" w:cs="Arial" w:eastAsia="Arial" w:hAnsi="Arial"/>
          <w:sz w:val="18"/>
          <w:szCs w:val="18"/>
          <w:color w:val="111111"/>
        </w:rPr>
        <w:t>For Notes that are represented by global certificates held on behalf of DTC, notices may be given by delivery of the relevant notices to DTC for communication to entitled account holders in substitution of the aforementioned delivery.</w:t>
      </w:r>
    </w:p>
    <w:p>
      <w:pPr>
        <w:spacing w:after="0" w:line="17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121212"/>
        </w:rPr>
        <w:t xml:space="preserve">Section 11.06 </w:t>
      </w:r>
      <w:r>
        <w:rPr>
          <w:rFonts w:ascii="Arial" w:cs="Arial" w:eastAsia="Arial" w:hAnsi="Arial"/>
          <w:sz w:val="18"/>
          <w:szCs w:val="18"/>
          <w:u w:val="single" w:color="auto"/>
          <w:color w:val="000000"/>
        </w:rPr>
        <w:t>Notice</w:t>
      </w:r>
      <w:r>
        <w:rPr>
          <w:rFonts w:ascii="Arial" w:cs="Arial" w:eastAsia="Arial" w:hAnsi="Arial"/>
          <w:sz w:val="18"/>
          <w:szCs w:val="18"/>
          <w:color w:val="121212"/>
        </w:rPr>
        <w:t xml:space="preserve"> </w:t>
      </w:r>
      <w:r>
        <w:rPr>
          <w:rFonts w:ascii="Arial" w:cs="Arial" w:eastAsia="Arial" w:hAnsi="Arial"/>
          <w:sz w:val="18"/>
          <w:szCs w:val="18"/>
          <w:u w:val="single" w:color="auto"/>
          <w:color w:val="181818"/>
        </w:rPr>
        <w:t>of</w:t>
      </w:r>
      <w:r>
        <w:rPr>
          <w:rFonts w:ascii="Arial" w:cs="Arial" w:eastAsia="Arial" w:hAnsi="Arial"/>
          <w:sz w:val="18"/>
          <w:szCs w:val="18"/>
          <w:color w:val="121212"/>
        </w:rPr>
        <w:t xml:space="preserve"> </w:t>
      </w:r>
      <w:r>
        <w:rPr>
          <w:rFonts w:ascii="Arial" w:cs="Arial" w:eastAsia="Arial" w:hAnsi="Arial"/>
          <w:sz w:val="18"/>
          <w:szCs w:val="18"/>
          <w:u w:val="single" w:color="auto"/>
          <w:color w:val="000000"/>
        </w:rPr>
        <w:t>Redemption</w:t>
      </w:r>
      <w:r>
        <w:rPr>
          <w:rFonts w:ascii="Arial" w:cs="Arial" w:eastAsia="Arial" w:hAnsi="Arial"/>
          <w:sz w:val="18"/>
          <w:szCs w:val="18"/>
          <w:color w:val="000000"/>
        </w:rPr>
        <w:t>.</w:t>
      </w:r>
      <w:r>
        <w:rPr>
          <w:rFonts w:ascii="Arial" w:cs="Arial" w:eastAsia="Arial" w:hAnsi="Arial"/>
          <w:sz w:val="18"/>
          <w:szCs w:val="18"/>
          <w:color w:val="121212"/>
        </w:rPr>
        <w:t xml:space="preserve"> </w:t>
      </w:r>
      <w:r>
        <w:rPr>
          <w:rFonts w:ascii="Arial" w:cs="Arial" w:eastAsia="Arial" w:hAnsi="Arial"/>
          <w:sz w:val="18"/>
          <w:szCs w:val="18"/>
          <w:color w:val="181818"/>
        </w:rPr>
        <w:t>Notices of</w:t>
      </w:r>
      <w:r>
        <w:rPr>
          <w:rFonts w:ascii="Arial" w:cs="Arial" w:eastAsia="Arial" w:hAnsi="Arial"/>
          <w:sz w:val="18"/>
          <w:szCs w:val="18"/>
          <w:color w:val="121212"/>
        </w:rPr>
        <w:t xml:space="preserve"> </w:t>
      </w:r>
      <w:r>
        <w:rPr>
          <w:rFonts w:ascii="Arial" w:cs="Arial" w:eastAsia="Arial" w:hAnsi="Arial"/>
          <w:sz w:val="18"/>
          <w:szCs w:val="18"/>
          <w:color w:val="000000"/>
        </w:rPr>
        <w:t>redemption shall be</w:t>
      </w:r>
      <w:r>
        <w:rPr>
          <w:rFonts w:ascii="Arial" w:cs="Arial" w:eastAsia="Arial" w:hAnsi="Arial"/>
          <w:sz w:val="18"/>
          <w:szCs w:val="18"/>
          <w:color w:val="121212"/>
        </w:rPr>
        <w:t xml:space="preserve"> </w:t>
      </w:r>
      <w:r>
        <w:rPr>
          <w:rFonts w:ascii="Arial" w:cs="Arial" w:eastAsia="Arial" w:hAnsi="Arial"/>
          <w:sz w:val="18"/>
          <w:szCs w:val="18"/>
          <w:color w:val="181818"/>
        </w:rPr>
        <w:t>delivered electronically or</w:t>
      </w:r>
      <w:r>
        <w:rPr>
          <w:rFonts w:ascii="Arial" w:cs="Arial" w:eastAsia="Arial" w:hAnsi="Arial"/>
          <w:sz w:val="18"/>
          <w:szCs w:val="18"/>
          <w:color w:val="121212"/>
        </w:rPr>
        <w:t xml:space="preserve"> </w:t>
      </w:r>
      <w:r>
        <w:rPr>
          <w:rFonts w:ascii="Arial" w:cs="Arial" w:eastAsia="Arial" w:hAnsi="Arial"/>
          <w:sz w:val="18"/>
          <w:szCs w:val="18"/>
          <w:color w:val="000000"/>
        </w:rPr>
        <w:t>mailed by first class mail, postage prepaid, or</w:t>
      </w:r>
      <w:r>
        <w:rPr>
          <w:rFonts w:ascii="Arial" w:cs="Arial" w:eastAsia="Arial" w:hAnsi="Arial"/>
          <w:sz w:val="18"/>
          <w:szCs w:val="18"/>
          <w:color w:val="121212"/>
        </w:rPr>
        <w:t xml:space="preserve"> </w:t>
      </w:r>
      <w:r>
        <w:rPr>
          <w:rFonts w:ascii="Arial" w:cs="Arial" w:eastAsia="Arial" w:hAnsi="Arial"/>
          <w:sz w:val="18"/>
          <w:szCs w:val="18"/>
          <w:color w:val="000000"/>
        </w:rPr>
        <w:t xml:space="preserve">otherwise provided in accordance with the procedures of the Depository, at least 15 days but </w:t>
      </w:r>
      <w:r>
        <w:rPr>
          <w:rFonts w:ascii="Arial" w:cs="Arial" w:eastAsia="Arial" w:hAnsi="Arial"/>
          <w:sz w:val="18"/>
          <w:szCs w:val="18"/>
          <w:color w:val="181818"/>
        </w:rPr>
        <w:t>not</w:t>
      </w:r>
      <w:r>
        <w:rPr>
          <w:rFonts w:ascii="Arial" w:cs="Arial" w:eastAsia="Arial" w:hAnsi="Arial"/>
          <w:sz w:val="18"/>
          <w:szCs w:val="18"/>
          <w:color w:val="000000"/>
        </w:rPr>
        <w:t xml:space="preserve"> more than 60 days </w:t>
      </w:r>
      <w:r>
        <w:rPr>
          <w:rFonts w:ascii="Arial" w:cs="Arial" w:eastAsia="Arial" w:hAnsi="Arial"/>
          <w:sz w:val="18"/>
          <w:szCs w:val="18"/>
          <w:color w:val="181818"/>
        </w:rPr>
        <w:t>before</w:t>
      </w:r>
      <w:r>
        <w:rPr>
          <w:rFonts w:ascii="Arial" w:cs="Arial" w:eastAsia="Arial" w:hAnsi="Arial"/>
          <w:sz w:val="18"/>
          <w:szCs w:val="18"/>
          <w:color w:val="000000"/>
        </w:rPr>
        <w:t xml:space="preserve"> the Redemption Date </w:t>
      </w:r>
      <w:r>
        <w:rPr>
          <w:rFonts w:ascii="Arial" w:cs="Arial" w:eastAsia="Arial" w:hAnsi="Arial"/>
          <w:sz w:val="18"/>
          <w:szCs w:val="18"/>
          <w:color w:val="181818"/>
        </w:rPr>
        <w:t>to</w:t>
      </w:r>
      <w:r>
        <w:rPr>
          <w:rFonts w:ascii="Arial" w:cs="Arial" w:eastAsia="Arial" w:hAnsi="Arial"/>
          <w:sz w:val="18"/>
          <w:szCs w:val="18"/>
          <w:color w:val="000000"/>
        </w:rPr>
        <w:t xml:space="preserve"> each Holder at such </w:t>
      </w:r>
      <w:r>
        <w:rPr>
          <w:rFonts w:ascii="Arial" w:cs="Arial" w:eastAsia="Arial" w:hAnsi="Arial"/>
          <w:sz w:val="18"/>
          <w:szCs w:val="18"/>
          <w:color w:val="181818"/>
        </w:rPr>
        <w:t>Holder’s</w:t>
      </w:r>
      <w:r>
        <w:rPr>
          <w:rFonts w:ascii="Arial" w:cs="Arial" w:eastAsia="Arial" w:hAnsi="Arial"/>
          <w:sz w:val="18"/>
          <w:szCs w:val="18"/>
          <w:color w:val="000000"/>
        </w:rPr>
        <w:t xml:space="preserve"> registered address </w:t>
      </w:r>
      <w:r>
        <w:rPr>
          <w:rFonts w:ascii="Arial" w:cs="Arial" w:eastAsia="Arial" w:hAnsi="Arial"/>
          <w:sz w:val="18"/>
          <w:szCs w:val="18"/>
          <w:color w:val="181818"/>
        </w:rPr>
        <w:t>or</w:t>
      </w:r>
      <w:r>
        <w:rPr>
          <w:rFonts w:ascii="Arial" w:cs="Arial" w:eastAsia="Arial" w:hAnsi="Arial"/>
          <w:sz w:val="18"/>
          <w:szCs w:val="18"/>
          <w:color w:val="000000"/>
        </w:rPr>
        <w:t xml:space="preserve"> otherwise in accordance with the procedures of DTC, except that notices of redemption may be sent or delivered more than 60 days prior </w:t>
      </w:r>
      <w:r>
        <w:rPr>
          <w:rFonts w:ascii="Arial" w:cs="Arial" w:eastAsia="Arial" w:hAnsi="Arial"/>
          <w:sz w:val="18"/>
          <w:szCs w:val="18"/>
          <w:color w:val="181818"/>
        </w:rPr>
        <w:t>to a</w:t>
      </w:r>
      <w:r>
        <w:rPr>
          <w:rFonts w:ascii="Arial" w:cs="Arial" w:eastAsia="Arial" w:hAnsi="Arial"/>
          <w:sz w:val="18"/>
          <w:szCs w:val="18"/>
          <w:color w:val="000000"/>
        </w:rPr>
        <w:t xml:space="preserve"> Redemption Date if the notice is issued in connection with a defeasance of </w:t>
      </w:r>
      <w:r>
        <w:rPr>
          <w:rFonts w:ascii="Arial" w:cs="Arial" w:eastAsia="Arial" w:hAnsi="Arial"/>
          <w:sz w:val="18"/>
          <w:szCs w:val="18"/>
          <w:color w:val="181818"/>
        </w:rPr>
        <w:t>the Notes or</w:t>
      </w:r>
      <w:r>
        <w:rPr>
          <w:rFonts w:ascii="Arial" w:cs="Arial" w:eastAsia="Arial" w:hAnsi="Arial"/>
          <w:sz w:val="18"/>
          <w:szCs w:val="18"/>
          <w:color w:val="000000"/>
        </w:rPr>
        <w:t xml:space="preserve"> a </w:t>
      </w:r>
      <w:r>
        <w:rPr>
          <w:rFonts w:ascii="Arial" w:cs="Arial" w:eastAsia="Arial" w:hAnsi="Arial"/>
          <w:sz w:val="18"/>
          <w:szCs w:val="18"/>
          <w:color w:val="181818"/>
        </w:rPr>
        <w:t>satisfaction</w:t>
      </w:r>
      <w:r>
        <w:rPr>
          <w:rFonts w:ascii="Arial" w:cs="Arial" w:eastAsia="Arial" w:hAnsi="Arial"/>
          <w:sz w:val="18"/>
          <w:szCs w:val="18"/>
          <w:color w:val="000000"/>
        </w:rPr>
        <w:t xml:space="preserve"> and discharge of this Indenture. In connection with </w:t>
      </w:r>
      <w:r>
        <w:rPr>
          <w:rFonts w:ascii="Arial" w:cs="Arial" w:eastAsia="Arial" w:hAnsi="Arial"/>
          <w:sz w:val="18"/>
          <w:szCs w:val="18"/>
          <w:color w:val="181818"/>
        </w:rPr>
        <w:t>any</w:t>
      </w:r>
      <w:r>
        <w:rPr>
          <w:rFonts w:ascii="Arial" w:cs="Arial" w:eastAsia="Arial" w:hAnsi="Arial"/>
          <w:sz w:val="18"/>
          <w:szCs w:val="18"/>
          <w:color w:val="000000"/>
        </w:rPr>
        <w:t xml:space="preserve"> redemption of Notes (including </w:t>
      </w:r>
      <w:r>
        <w:rPr>
          <w:rFonts w:ascii="Arial" w:cs="Arial" w:eastAsia="Arial" w:hAnsi="Arial"/>
          <w:sz w:val="18"/>
          <w:szCs w:val="18"/>
          <w:color w:val="181818"/>
        </w:rPr>
        <w:t>with</w:t>
      </w:r>
      <w:r>
        <w:rPr>
          <w:rFonts w:ascii="Arial" w:cs="Arial" w:eastAsia="Arial" w:hAnsi="Arial"/>
          <w:sz w:val="18"/>
          <w:szCs w:val="18"/>
          <w:color w:val="000000"/>
        </w:rPr>
        <w:t xml:space="preserve"> the net </w:t>
      </w:r>
      <w:r>
        <w:rPr>
          <w:rFonts w:ascii="Arial" w:cs="Arial" w:eastAsia="Arial" w:hAnsi="Arial"/>
          <w:sz w:val="18"/>
          <w:szCs w:val="18"/>
          <w:color w:val="181818"/>
        </w:rPr>
        <w:t>cash</w:t>
      </w:r>
      <w:r>
        <w:rPr>
          <w:rFonts w:ascii="Arial" w:cs="Arial" w:eastAsia="Arial" w:hAnsi="Arial"/>
          <w:sz w:val="18"/>
          <w:szCs w:val="18"/>
          <w:color w:val="000000"/>
        </w:rPr>
        <w:t xml:space="preserve"> proceeds </w:t>
      </w:r>
      <w:r>
        <w:rPr>
          <w:rFonts w:ascii="Arial" w:cs="Arial" w:eastAsia="Arial" w:hAnsi="Arial"/>
          <w:sz w:val="18"/>
          <w:szCs w:val="18"/>
          <w:color w:val="181818"/>
        </w:rPr>
        <w:t>of</w:t>
      </w:r>
      <w:r>
        <w:rPr>
          <w:rFonts w:ascii="Arial" w:cs="Arial" w:eastAsia="Arial" w:hAnsi="Arial"/>
          <w:sz w:val="18"/>
          <w:szCs w:val="18"/>
          <w:color w:val="000000"/>
        </w:rPr>
        <w:t xml:space="preserve"> an Equity Offering), any such redemption </w:t>
      </w:r>
      <w:r>
        <w:rPr>
          <w:rFonts w:ascii="Arial" w:cs="Arial" w:eastAsia="Arial" w:hAnsi="Arial"/>
          <w:sz w:val="18"/>
          <w:szCs w:val="18"/>
          <w:color w:val="181818"/>
        </w:rPr>
        <w:t>may,</w:t>
      </w:r>
      <w:r>
        <w:rPr>
          <w:rFonts w:ascii="Arial" w:cs="Arial" w:eastAsia="Arial" w:hAnsi="Arial"/>
          <w:sz w:val="18"/>
          <w:szCs w:val="18"/>
          <w:color w:val="000000"/>
        </w:rPr>
        <w:t xml:space="preserve"> at the </w:t>
      </w:r>
      <w:r>
        <w:rPr>
          <w:rFonts w:ascii="Arial" w:cs="Arial" w:eastAsia="Arial" w:hAnsi="Arial"/>
          <w:sz w:val="18"/>
          <w:szCs w:val="18"/>
          <w:color w:val="181818"/>
        </w:rPr>
        <w:t>Company’s</w:t>
      </w:r>
      <w:r>
        <w:rPr>
          <w:rFonts w:ascii="Arial" w:cs="Arial" w:eastAsia="Arial" w:hAnsi="Arial"/>
          <w:sz w:val="18"/>
          <w:szCs w:val="18"/>
          <w:color w:val="000000"/>
        </w:rPr>
        <w:t xml:space="preserve"> discretion, be subject </w:t>
      </w:r>
      <w:r>
        <w:rPr>
          <w:rFonts w:ascii="Arial" w:cs="Arial" w:eastAsia="Arial" w:hAnsi="Arial"/>
          <w:sz w:val="18"/>
          <w:szCs w:val="18"/>
          <w:color w:val="181818"/>
        </w:rPr>
        <w:t>to the satisfaction or waiver of</w:t>
      </w:r>
      <w:r>
        <w:rPr>
          <w:rFonts w:ascii="Arial" w:cs="Arial" w:eastAsia="Arial" w:hAnsi="Arial"/>
          <w:sz w:val="18"/>
          <w:szCs w:val="18"/>
          <w:color w:val="000000"/>
        </w:rPr>
        <w:t xml:space="preserve"> one or </w:t>
      </w:r>
      <w:r>
        <w:rPr>
          <w:rFonts w:ascii="Arial" w:cs="Arial" w:eastAsia="Arial" w:hAnsi="Arial"/>
          <w:sz w:val="18"/>
          <w:szCs w:val="18"/>
          <w:color w:val="181818"/>
        </w:rPr>
        <w:t>more conditions</w:t>
      </w:r>
      <w:r>
        <w:rPr>
          <w:rFonts w:ascii="Arial" w:cs="Arial" w:eastAsia="Arial" w:hAnsi="Arial"/>
          <w:sz w:val="18"/>
          <w:szCs w:val="18"/>
          <w:color w:val="000000"/>
        </w:rPr>
        <w:t xml:space="preserve"> precedent, including </w:t>
      </w:r>
      <w:r>
        <w:rPr>
          <w:rFonts w:ascii="Arial" w:cs="Arial" w:eastAsia="Arial" w:hAnsi="Arial"/>
          <w:sz w:val="18"/>
          <w:szCs w:val="18"/>
          <w:color w:val="181818"/>
        </w:rPr>
        <w:t>any</w:t>
      </w:r>
      <w:r>
        <w:rPr>
          <w:rFonts w:ascii="Arial" w:cs="Arial" w:eastAsia="Arial" w:hAnsi="Arial"/>
          <w:sz w:val="18"/>
          <w:szCs w:val="18"/>
          <w:color w:val="000000"/>
        </w:rPr>
        <w:t xml:space="preserve"> related Equity Offering or </w:t>
      </w:r>
      <w:r>
        <w:rPr>
          <w:rFonts w:ascii="Arial" w:cs="Arial" w:eastAsia="Arial" w:hAnsi="Arial"/>
          <w:sz w:val="18"/>
          <w:szCs w:val="18"/>
          <w:color w:val="181818"/>
        </w:rPr>
        <w:t>a</w:t>
      </w:r>
      <w:r>
        <w:rPr>
          <w:rFonts w:ascii="Arial" w:cs="Arial" w:eastAsia="Arial" w:hAnsi="Arial"/>
          <w:sz w:val="18"/>
          <w:szCs w:val="18"/>
          <w:color w:val="000000"/>
        </w:rPr>
        <w:t xml:space="preserve"> Change </w:t>
      </w:r>
      <w:r>
        <w:rPr>
          <w:rFonts w:ascii="Arial" w:cs="Arial" w:eastAsia="Arial" w:hAnsi="Arial"/>
          <w:sz w:val="18"/>
          <w:szCs w:val="18"/>
          <w:color w:val="181818"/>
        </w:rPr>
        <w:t xml:space="preserve">of </w:t>
      </w:r>
      <w:r>
        <w:rPr>
          <w:rFonts w:ascii="Arial" w:cs="Arial" w:eastAsia="Arial" w:hAnsi="Arial"/>
          <w:sz w:val="18"/>
          <w:szCs w:val="18"/>
          <w:color w:val="000000"/>
        </w:rPr>
        <w:t>Control.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2060" w:hanging="756"/>
        <w:spacing w:after="0"/>
        <w:tabs>
          <w:tab w:leader="none" w:pos="20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Redemption Price and the amount </w:t>
      </w:r>
      <w:r>
        <w:rPr>
          <w:rFonts w:ascii="Arial" w:cs="Arial" w:eastAsia="Arial" w:hAnsi="Arial"/>
          <w:sz w:val="16"/>
          <w:szCs w:val="16"/>
          <w:color w:val="181818"/>
        </w:rPr>
        <w:t>of</w:t>
      </w:r>
      <w:r>
        <w:rPr>
          <w:rFonts w:ascii="Arial" w:cs="Arial" w:eastAsia="Arial" w:hAnsi="Arial"/>
          <w:sz w:val="16"/>
          <w:szCs w:val="16"/>
          <w:color w:val="auto"/>
        </w:rPr>
        <w:t xml:space="preserve"> accrued interest </w:t>
      </w:r>
      <w:r>
        <w:rPr>
          <w:rFonts w:ascii="Arial" w:cs="Arial" w:eastAsia="Arial" w:hAnsi="Arial"/>
          <w:sz w:val="16"/>
          <w:szCs w:val="16"/>
          <w:color w:val="181818"/>
        </w:rPr>
        <w:t>to</w:t>
      </w:r>
      <w:r>
        <w:rPr>
          <w:rFonts w:ascii="Arial" w:cs="Arial" w:eastAsia="Arial" w:hAnsi="Arial"/>
          <w:sz w:val="16"/>
          <w:szCs w:val="16"/>
          <w:color w:val="auto"/>
        </w:rPr>
        <w:t xml:space="preserve"> the Redemption Date payable </w:t>
      </w:r>
      <w:r>
        <w:rPr>
          <w:rFonts w:ascii="Arial" w:cs="Arial" w:eastAsia="Arial" w:hAnsi="Arial"/>
          <w:sz w:val="16"/>
          <w:szCs w:val="16"/>
          <w:color w:val="181818"/>
        </w:rPr>
        <w:t>as</w:t>
      </w:r>
      <w:r>
        <w:rPr>
          <w:rFonts w:ascii="Arial" w:cs="Arial" w:eastAsia="Arial" w:hAnsi="Arial"/>
          <w:sz w:val="16"/>
          <w:szCs w:val="16"/>
          <w:color w:val="auto"/>
        </w:rPr>
        <w:t xml:space="preserve"> provided in Section 1</w:t>
      </w:r>
      <w:r>
        <w:rPr>
          <w:rFonts w:ascii="Arial" w:cs="Arial" w:eastAsia="Arial" w:hAnsi="Arial"/>
          <w:sz w:val="16"/>
          <w:szCs w:val="16"/>
          <w:color w:val="181818"/>
        </w:rPr>
        <w:t>1</w:t>
      </w:r>
      <w:r>
        <w:rPr>
          <w:rFonts w:ascii="Arial" w:cs="Arial" w:eastAsia="Arial" w:hAnsi="Arial"/>
          <w:sz w:val="16"/>
          <w:szCs w:val="16"/>
          <w:color w:val="auto"/>
        </w:rPr>
        <w:t xml:space="preserve">.08, </w:t>
      </w:r>
      <w:r>
        <w:rPr>
          <w:rFonts w:ascii="Arial" w:cs="Arial" w:eastAsia="Arial" w:hAnsi="Arial"/>
          <w:sz w:val="16"/>
          <w:szCs w:val="16"/>
          <w:color w:val="181818"/>
        </w:rPr>
        <w:t>if any,</w:t>
      </w:r>
    </w:p>
    <w:p>
      <w:pPr>
        <w:spacing w:after="0" w:line="248" w:lineRule="exact"/>
        <w:rPr>
          <w:rFonts w:ascii="Arial" w:cs="Arial" w:eastAsia="Arial" w:hAnsi="Arial"/>
          <w:sz w:val="16"/>
          <w:szCs w:val="16"/>
          <w:color w:val="auto"/>
        </w:rPr>
      </w:pPr>
    </w:p>
    <w:p>
      <w:pPr>
        <w:ind w:left="660" w:right="220" w:firstLine="644"/>
        <w:spacing w:after="0" w:line="277" w:lineRule="auto"/>
        <w:tabs>
          <w:tab w:leader="none" w:pos="2057" w:val="left"/>
        </w:tabs>
        <w:numPr>
          <w:ilvl w:val="0"/>
          <w:numId w:val="197"/>
        </w:numPr>
        <w:rPr>
          <w:rFonts w:ascii="Arial" w:cs="Arial" w:eastAsia="Arial" w:hAnsi="Arial"/>
          <w:sz w:val="18"/>
          <w:szCs w:val="18"/>
          <w:color w:val="auto"/>
        </w:rPr>
      </w:pPr>
      <w:r>
        <w:rPr>
          <w:rFonts w:ascii="Arial" w:cs="Arial" w:eastAsia="Arial" w:hAnsi="Arial"/>
          <w:sz w:val="18"/>
          <w:szCs w:val="18"/>
          <w:color w:val="181818"/>
        </w:rPr>
        <w:t xml:space="preserve">if less </w:t>
      </w:r>
      <w:r>
        <w:rPr>
          <w:rFonts w:ascii="Arial" w:cs="Arial" w:eastAsia="Arial" w:hAnsi="Arial"/>
          <w:sz w:val="18"/>
          <w:szCs w:val="18"/>
          <w:color w:val="000000"/>
        </w:rPr>
        <w:t>than all Outstanding</w:t>
      </w:r>
      <w:r>
        <w:rPr>
          <w:rFonts w:ascii="Arial" w:cs="Arial" w:eastAsia="Arial" w:hAnsi="Arial"/>
          <w:sz w:val="18"/>
          <w:szCs w:val="18"/>
          <w:color w:val="181818"/>
        </w:rPr>
        <w:t xml:space="preserve"> Notes </w:t>
      </w:r>
      <w:r>
        <w:rPr>
          <w:rFonts w:ascii="Arial" w:cs="Arial" w:eastAsia="Arial" w:hAnsi="Arial"/>
          <w:sz w:val="18"/>
          <w:szCs w:val="18"/>
          <w:color w:val="000000"/>
        </w:rPr>
        <w:t>are to be redeemed, the</w:t>
      </w:r>
      <w:r>
        <w:rPr>
          <w:rFonts w:ascii="Arial" w:cs="Arial" w:eastAsia="Arial" w:hAnsi="Arial"/>
          <w:sz w:val="18"/>
          <w:szCs w:val="18"/>
          <w:color w:val="181818"/>
        </w:rPr>
        <w:t xml:space="preserve"> identification </w:t>
      </w:r>
      <w:r>
        <w:rPr>
          <w:rFonts w:ascii="Arial" w:cs="Arial" w:eastAsia="Arial" w:hAnsi="Arial"/>
          <w:sz w:val="18"/>
          <w:szCs w:val="18"/>
          <w:color w:val="000000"/>
        </w:rPr>
        <w:t>(and</w:t>
      </w:r>
      <w:r>
        <w:rPr>
          <w:rFonts w:ascii="Arial" w:cs="Arial" w:eastAsia="Arial" w:hAnsi="Arial"/>
          <w:sz w:val="18"/>
          <w:szCs w:val="18"/>
          <w:color w:val="181818"/>
        </w:rPr>
        <w:t xml:space="preserve"> in </w:t>
      </w:r>
      <w:r>
        <w:rPr>
          <w:rFonts w:ascii="Arial" w:cs="Arial" w:eastAsia="Arial" w:hAnsi="Arial"/>
          <w:sz w:val="18"/>
          <w:szCs w:val="18"/>
          <w:color w:val="000000"/>
        </w:rPr>
        <w:t>the</w:t>
      </w:r>
      <w:r>
        <w:rPr>
          <w:rFonts w:ascii="Arial" w:cs="Arial" w:eastAsia="Arial" w:hAnsi="Arial"/>
          <w:sz w:val="18"/>
          <w:szCs w:val="18"/>
          <w:color w:val="181818"/>
        </w:rPr>
        <w:t xml:space="preserve"> case </w:t>
      </w:r>
      <w:r>
        <w:rPr>
          <w:rFonts w:ascii="Arial" w:cs="Arial" w:eastAsia="Arial" w:hAnsi="Arial"/>
          <w:sz w:val="18"/>
          <w:szCs w:val="18"/>
          <w:color w:val="000000"/>
        </w:rPr>
        <w:t>of a partial redemption, the principal</w:t>
      </w:r>
      <w:r>
        <w:rPr>
          <w:rFonts w:ascii="Arial" w:cs="Arial" w:eastAsia="Arial" w:hAnsi="Arial"/>
          <w:sz w:val="18"/>
          <w:szCs w:val="18"/>
          <w:color w:val="181818"/>
        </w:rPr>
        <w:t xml:space="preserve"> </w:t>
      </w:r>
      <w:r>
        <w:rPr>
          <w:rFonts w:ascii="Arial" w:cs="Arial" w:eastAsia="Arial" w:hAnsi="Arial"/>
          <w:sz w:val="18"/>
          <w:szCs w:val="18"/>
          <w:color w:val="000000"/>
        </w:rPr>
        <w:t xml:space="preserve">amounts) of the particular </w:t>
      </w:r>
      <w:r>
        <w:rPr>
          <w:rFonts w:ascii="Arial" w:cs="Arial" w:eastAsia="Arial" w:hAnsi="Arial"/>
          <w:sz w:val="18"/>
          <w:szCs w:val="18"/>
          <w:color w:val="181818"/>
        </w:rPr>
        <w:t>Notes to</w:t>
      </w:r>
      <w:r>
        <w:rPr>
          <w:rFonts w:ascii="Arial" w:cs="Arial" w:eastAsia="Arial" w:hAnsi="Arial"/>
          <w:sz w:val="18"/>
          <w:szCs w:val="18"/>
          <w:color w:val="000000"/>
        </w:rPr>
        <w:t xml:space="preserve"> be redeemed,</w:t>
      </w:r>
    </w:p>
    <w:p>
      <w:pPr>
        <w:spacing w:after="0" w:line="170" w:lineRule="exact"/>
        <w:rPr>
          <w:rFonts w:ascii="Arial" w:cs="Arial" w:eastAsia="Arial" w:hAnsi="Arial"/>
          <w:sz w:val="18"/>
          <w:szCs w:val="18"/>
          <w:color w:val="auto"/>
        </w:rPr>
      </w:pPr>
    </w:p>
    <w:p>
      <w:pPr>
        <w:ind w:left="660" w:right="20" w:firstLine="644"/>
        <w:spacing w:after="0" w:line="263" w:lineRule="auto"/>
        <w:tabs>
          <w:tab w:leader="none" w:pos="2057" w:val="left"/>
        </w:tabs>
        <w:numPr>
          <w:ilvl w:val="0"/>
          <w:numId w:val="197"/>
        </w:numPr>
        <w:rPr>
          <w:rFonts w:ascii="Arial" w:cs="Arial" w:eastAsia="Arial" w:hAnsi="Arial"/>
          <w:sz w:val="18"/>
          <w:szCs w:val="18"/>
          <w:color w:val="auto"/>
        </w:rPr>
      </w:pPr>
      <w:r>
        <w:rPr>
          <w:rFonts w:ascii="Arial" w:cs="Arial" w:eastAsia="Arial" w:hAnsi="Arial"/>
          <w:sz w:val="18"/>
          <w:szCs w:val="18"/>
          <w:color w:val="181818"/>
        </w:rPr>
        <w:t xml:space="preserve">in </w:t>
      </w:r>
      <w:r>
        <w:rPr>
          <w:rFonts w:ascii="Arial" w:cs="Arial" w:eastAsia="Arial" w:hAnsi="Arial"/>
          <w:sz w:val="18"/>
          <w:szCs w:val="18"/>
          <w:color w:val="000000"/>
        </w:rPr>
        <w:t>case</w:t>
      </w:r>
      <w:r>
        <w:rPr>
          <w:rFonts w:ascii="Arial" w:cs="Arial" w:eastAsia="Arial" w:hAnsi="Arial"/>
          <w:sz w:val="18"/>
          <w:szCs w:val="18"/>
          <w:color w:val="181818"/>
        </w:rPr>
        <w:t xml:space="preserve"> any Note </w:t>
      </w:r>
      <w:r>
        <w:rPr>
          <w:rFonts w:ascii="Arial" w:cs="Arial" w:eastAsia="Arial" w:hAnsi="Arial"/>
          <w:sz w:val="18"/>
          <w:szCs w:val="18"/>
          <w:color w:val="000000"/>
        </w:rPr>
        <w:t>is</w:t>
      </w:r>
      <w:r>
        <w:rPr>
          <w:rFonts w:ascii="Arial" w:cs="Arial" w:eastAsia="Arial" w:hAnsi="Arial"/>
          <w:sz w:val="18"/>
          <w:szCs w:val="18"/>
          <w:color w:val="181818"/>
        </w:rPr>
        <w:t xml:space="preserve"> to </w:t>
      </w:r>
      <w:r>
        <w:rPr>
          <w:rFonts w:ascii="Arial" w:cs="Arial" w:eastAsia="Arial" w:hAnsi="Arial"/>
          <w:sz w:val="18"/>
          <w:szCs w:val="18"/>
          <w:color w:val="000000"/>
        </w:rPr>
        <w:t>be redeemed</w:t>
      </w:r>
      <w:r>
        <w:rPr>
          <w:rFonts w:ascii="Arial" w:cs="Arial" w:eastAsia="Arial" w:hAnsi="Arial"/>
          <w:sz w:val="18"/>
          <w:szCs w:val="18"/>
          <w:color w:val="181818"/>
        </w:rPr>
        <w:t xml:space="preserve"> in </w:t>
      </w:r>
      <w:r>
        <w:rPr>
          <w:rFonts w:ascii="Arial" w:cs="Arial" w:eastAsia="Arial" w:hAnsi="Arial"/>
          <w:sz w:val="18"/>
          <w:szCs w:val="18"/>
          <w:color w:val="000000"/>
        </w:rPr>
        <w:t>part only,</w:t>
      </w:r>
      <w:r>
        <w:rPr>
          <w:rFonts w:ascii="Arial" w:cs="Arial" w:eastAsia="Arial" w:hAnsi="Arial"/>
          <w:sz w:val="18"/>
          <w:szCs w:val="18"/>
          <w:color w:val="181818"/>
        </w:rPr>
        <w:t xml:space="preserve"> the notice </w:t>
      </w:r>
      <w:r>
        <w:rPr>
          <w:rFonts w:ascii="Arial" w:cs="Arial" w:eastAsia="Arial" w:hAnsi="Arial"/>
          <w:sz w:val="18"/>
          <w:szCs w:val="18"/>
          <w:color w:val="000000"/>
        </w:rPr>
        <w:t>which relates to such</w:t>
      </w:r>
      <w:r>
        <w:rPr>
          <w:rFonts w:ascii="Arial" w:cs="Arial" w:eastAsia="Arial" w:hAnsi="Arial"/>
          <w:sz w:val="18"/>
          <w:szCs w:val="18"/>
          <w:color w:val="181818"/>
        </w:rPr>
        <w:t xml:space="preserve"> Note </w:t>
      </w:r>
      <w:r>
        <w:rPr>
          <w:rFonts w:ascii="Arial" w:cs="Arial" w:eastAsia="Arial" w:hAnsi="Arial"/>
          <w:sz w:val="18"/>
          <w:szCs w:val="18"/>
          <w:color w:val="000000"/>
        </w:rPr>
        <w:t>shall</w:t>
      </w:r>
      <w:r>
        <w:rPr>
          <w:rFonts w:ascii="Arial" w:cs="Arial" w:eastAsia="Arial" w:hAnsi="Arial"/>
          <w:sz w:val="18"/>
          <w:szCs w:val="18"/>
          <w:color w:val="181818"/>
        </w:rPr>
        <w:t xml:space="preserve"> state </w:t>
      </w:r>
      <w:r>
        <w:rPr>
          <w:rFonts w:ascii="Arial" w:cs="Arial" w:eastAsia="Arial" w:hAnsi="Arial"/>
          <w:sz w:val="18"/>
          <w:szCs w:val="18"/>
          <w:color w:val="000000"/>
        </w:rPr>
        <w:t>that on and</w:t>
      </w:r>
      <w:r>
        <w:rPr>
          <w:rFonts w:ascii="Arial" w:cs="Arial" w:eastAsia="Arial" w:hAnsi="Arial"/>
          <w:sz w:val="18"/>
          <w:szCs w:val="18"/>
          <w:color w:val="181818"/>
        </w:rPr>
        <w:t xml:space="preserve"> after the Redemption Date, </w:t>
      </w:r>
      <w:r>
        <w:rPr>
          <w:rFonts w:ascii="Arial" w:cs="Arial" w:eastAsia="Arial" w:hAnsi="Arial"/>
          <w:sz w:val="18"/>
          <w:szCs w:val="18"/>
          <w:color w:val="000000"/>
        </w:rPr>
        <w:t>upon surrender of such</w:t>
      </w:r>
      <w:r>
        <w:rPr>
          <w:rFonts w:ascii="Arial" w:cs="Arial" w:eastAsia="Arial" w:hAnsi="Arial"/>
          <w:sz w:val="18"/>
          <w:szCs w:val="18"/>
          <w:color w:val="181818"/>
        </w:rPr>
        <w:t xml:space="preserve"> Note, </w:t>
      </w:r>
      <w:r>
        <w:rPr>
          <w:rFonts w:ascii="Arial" w:cs="Arial" w:eastAsia="Arial" w:hAnsi="Arial"/>
          <w:sz w:val="18"/>
          <w:szCs w:val="18"/>
          <w:color w:val="000000"/>
        </w:rPr>
        <w:t>the Holder shall receive, without charge, a new</w:t>
      </w:r>
      <w:r>
        <w:rPr>
          <w:rFonts w:ascii="Arial" w:cs="Arial" w:eastAsia="Arial" w:hAnsi="Arial"/>
          <w:sz w:val="18"/>
          <w:szCs w:val="18"/>
          <w:color w:val="181818"/>
        </w:rPr>
        <w:t xml:space="preserve"> Note </w:t>
      </w:r>
      <w:r>
        <w:rPr>
          <w:rFonts w:ascii="Arial" w:cs="Arial" w:eastAsia="Arial" w:hAnsi="Arial"/>
          <w:sz w:val="18"/>
          <w:szCs w:val="18"/>
          <w:color w:val="000000"/>
        </w:rPr>
        <w:t>or</w:t>
      </w:r>
      <w:r>
        <w:rPr>
          <w:rFonts w:ascii="Arial" w:cs="Arial" w:eastAsia="Arial" w:hAnsi="Arial"/>
          <w:sz w:val="18"/>
          <w:szCs w:val="18"/>
          <w:color w:val="181818"/>
        </w:rPr>
        <w:t xml:space="preserve"> Notes of </w:t>
      </w:r>
      <w:r>
        <w:rPr>
          <w:rFonts w:ascii="Arial" w:cs="Arial" w:eastAsia="Arial" w:hAnsi="Arial"/>
          <w:sz w:val="18"/>
          <w:szCs w:val="18"/>
          <w:color w:val="000000"/>
        </w:rPr>
        <w:t>authorized</w:t>
      </w:r>
      <w:r>
        <w:rPr>
          <w:rFonts w:ascii="Arial" w:cs="Arial" w:eastAsia="Arial" w:hAnsi="Arial"/>
          <w:sz w:val="18"/>
          <w:szCs w:val="18"/>
          <w:color w:val="181818"/>
        </w:rPr>
        <w:t xml:space="preserve"> denominations for the </w:t>
      </w:r>
      <w:r>
        <w:rPr>
          <w:rFonts w:ascii="Arial" w:cs="Arial" w:eastAsia="Arial" w:hAnsi="Arial"/>
          <w:sz w:val="18"/>
          <w:szCs w:val="18"/>
          <w:color w:val="000000"/>
        </w:rPr>
        <w:t>principal amount thereof remaining unredeemed,</w:t>
      </w:r>
    </w:p>
    <w:p>
      <w:pPr>
        <w:spacing w:after="0" w:line="183" w:lineRule="exact"/>
        <w:rPr>
          <w:rFonts w:ascii="Arial" w:cs="Arial" w:eastAsia="Arial" w:hAnsi="Arial"/>
          <w:sz w:val="18"/>
          <w:szCs w:val="18"/>
          <w:color w:val="auto"/>
        </w:rPr>
      </w:pPr>
    </w:p>
    <w:p>
      <w:pPr>
        <w:ind w:left="660" w:firstLine="644"/>
        <w:spacing w:after="0" w:line="263" w:lineRule="auto"/>
        <w:tabs>
          <w:tab w:leader="none" w:pos="205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that on the Redemption </w:t>
      </w:r>
      <w:r>
        <w:rPr>
          <w:rFonts w:ascii="Arial" w:cs="Arial" w:eastAsia="Arial" w:hAnsi="Arial"/>
          <w:sz w:val="18"/>
          <w:szCs w:val="18"/>
          <w:color w:val="181818"/>
        </w:rPr>
        <w:t>Date</w:t>
      </w:r>
      <w:r>
        <w:rPr>
          <w:rFonts w:ascii="Arial" w:cs="Arial" w:eastAsia="Arial" w:hAnsi="Arial"/>
          <w:sz w:val="18"/>
          <w:szCs w:val="18"/>
          <w:color w:val="auto"/>
        </w:rPr>
        <w:t xml:space="preserve"> the Redemption Price (and accrued interest, if any, to the Redemption Date payable as provided </w:t>
      </w:r>
      <w:r>
        <w:rPr>
          <w:rFonts w:ascii="Arial" w:cs="Arial" w:eastAsia="Arial" w:hAnsi="Arial"/>
          <w:sz w:val="18"/>
          <w:szCs w:val="18"/>
          <w:color w:val="181818"/>
        </w:rPr>
        <w:t>in</w:t>
      </w:r>
      <w:r>
        <w:rPr>
          <w:rFonts w:ascii="Arial" w:cs="Arial" w:eastAsia="Arial" w:hAnsi="Arial"/>
          <w:sz w:val="18"/>
          <w:szCs w:val="18"/>
          <w:color w:val="auto"/>
        </w:rPr>
        <w:t xml:space="preserve"> Section 11.08) </w:t>
      </w:r>
      <w:r>
        <w:rPr>
          <w:rFonts w:ascii="Arial" w:cs="Arial" w:eastAsia="Arial" w:hAnsi="Arial"/>
          <w:sz w:val="18"/>
          <w:szCs w:val="18"/>
          <w:color w:val="181818"/>
        </w:rPr>
        <w:t>shall</w:t>
      </w:r>
      <w:r>
        <w:rPr>
          <w:rFonts w:ascii="Arial" w:cs="Arial" w:eastAsia="Arial" w:hAnsi="Arial"/>
          <w:sz w:val="18"/>
          <w:szCs w:val="18"/>
          <w:color w:val="auto"/>
        </w:rPr>
        <w:t xml:space="preserve"> become due and payable upon each such </w:t>
      </w:r>
      <w:r>
        <w:rPr>
          <w:rFonts w:ascii="Arial" w:cs="Arial" w:eastAsia="Arial" w:hAnsi="Arial"/>
          <w:sz w:val="18"/>
          <w:szCs w:val="18"/>
          <w:color w:val="181818"/>
        </w:rPr>
        <w:t>Note, or the</w:t>
      </w:r>
      <w:r>
        <w:rPr>
          <w:rFonts w:ascii="Arial" w:cs="Arial" w:eastAsia="Arial" w:hAnsi="Arial"/>
          <w:sz w:val="18"/>
          <w:szCs w:val="18"/>
          <w:color w:val="auto"/>
        </w:rPr>
        <w:t xml:space="preserve"> portion thereof, </w:t>
      </w:r>
      <w:r>
        <w:rPr>
          <w:rFonts w:ascii="Arial" w:cs="Arial" w:eastAsia="Arial" w:hAnsi="Arial"/>
          <w:sz w:val="18"/>
          <w:szCs w:val="18"/>
          <w:color w:val="181818"/>
        </w:rPr>
        <w:t>to</w:t>
      </w:r>
      <w:r>
        <w:rPr>
          <w:rFonts w:ascii="Arial" w:cs="Arial" w:eastAsia="Arial" w:hAnsi="Arial"/>
          <w:sz w:val="18"/>
          <w:szCs w:val="18"/>
          <w:color w:val="auto"/>
        </w:rPr>
        <w:t xml:space="preserve"> be redeemed, and that interest thereon shall cease to accrue on </w:t>
      </w:r>
      <w:r>
        <w:rPr>
          <w:rFonts w:ascii="Arial" w:cs="Arial" w:eastAsia="Arial" w:hAnsi="Arial"/>
          <w:sz w:val="18"/>
          <w:szCs w:val="18"/>
          <w:color w:val="181818"/>
        </w:rPr>
        <w:t>and</w:t>
      </w:r>
      <w:r>
        <w:rPr>
          <w:rFonts w:ascii="Arial" w:cs="Arial" w:eastAsia="Arial" w:hAnsi="Arial"/>
          <w:sz w:val="18"/>
          <w:szCs w:val="18"/>
          <w:color w:val="auto"/>
        </w:rPr>
        <w:t xml:space="preserve"> after said </w:t>
      </w:r>
      <w:r>
        <w:rPr>
          <w:rFonts w:ascii="Arial" w:cs="Arial" w:eastAsia="Arial" w:hAnsi="Arial"/>
          <w:sz w:val="18"/>
          <w:szCs w:val="18"/>
          <w:color w:val="181818"/>
        </w:rPr>
        <w:t>date, subject</w:t>
      </w:r>
      <w:r>
        <w:rPr>
          <w:rFonts w:ascii="Arial" w:cs="Arial" w:eastAsia="Arial" w:hAnsi="Arial"/>
          <w:sz w:val="18"/>
          <w:szCs w:val="18"/>
          <w:color w:val="auto"/>
        </w:rPr>
        <w:t xml:space="preserve"> to any </w:t>
      </w:r>
      <w:r>
        <w:rPr>
          <w:rFonts w:ascii="Arial" w:cs="Arial" w:eastAsia="Arial" w:hAnsi="Arial"/>
          <w:sz w:val="18"/>
          <w:szCs w:val="18"/>
          <w:color w:val="181818"/>
        </w:rPr>
        <w:t>condition</w:t>
      </w:r>
      <w:r>
        <w:rPr>
          <w:rFonts w:ascii="Arial" w:cs="Arial" w:eastAsia="Arial" w:hAnsi="Arial"/>
          <w:sz w:val="18"/>
          <w:szCs w:val="18"/>
          <w:color w:val="auto"/>
        </w:rPr>
        <w:t xml:space="preserve"> precedent </w:t>
      </w:r>
      <w:r>
        <w:rPr>
          <w:rFonts w:ascii="Arial" w:cs="Arial" w:eastAsia="Arial" w:hAnsi="Arial"/>
          <w:sz w:val="18"/>
          <w:szCs w:val="18"/>
          <w:color w:val="181818"/>
        </w:rPr>
        <w:t>in</w:t>
      </w:r>
      <w:r>
        <w:rPr>
          <w:rFonts w:ascii="Arial" w:cs="Arial" w:eastAsia="Arial" w:hAnsi="Arial"/>
          <w:sz w:val="18"/>
          <w:szCs w:val="18"/>
          <w:color w:val="auto"/>
        </w:rPr>
        <w:t xml:space="preserve"> that notice,</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place or places where such Notes are </w:t>
      </w:r>
      <w:r>
        <w:rPr>
          <w:rFonts w:ascii="Arial" w:cs="Arial" w:eastAsia="Arial" w:hAnsi="Arial"/>
          <w:sz w:val="16"/>
          <w:szCs w:val="16"/>
          <w:color w:val="181818"/>
        </w:rPr>
        <w:t>to</w:t>
      </w:r>
      <w:r>
        <w:rPr>
          <w:rFonts w:ascii="Arial" w:cs="Arial" w:eastAsia="Arial" w:hAnsi="Arial"/>
          <w:sz w:val="16"/>
          <w:szCs w:val="16"/>
          <w:color w:val="auto"/>
        </w:rPr>
        <w:t xml:space="preserve"> be surrendered for payment </w:t>
      </w:r>
      <w:r>
        <w:rPr>
          <w:rFonts w:ascii="Arial" w:cs="Arial" w:eastAsia="Arial" w:hAnsi="Arial"/>
          <w:sz w:val="16"/>
          <w:szCs w:val="16"/>
          <w:color w:val="181818"/>
        </w:rPr>
        <w:t>of</w:t>
      </w:r>
      <w:r>
        <w:rPr>
          <w:rFonts w:ascii="Arial" w:cs="Arial" w:eastAsia="Arial" w:hAnsi="Arial"/>
          <w:sz w:val="16"/>
          <w:szCs w:val="16"/>
          <w:color w:val="auto"/>
        </w:rPr>
        <w:t xml:space="preserve"> the Redemption Price and accrued interest, if </w:t>
      </w:r>
      <w:r>
        <w:rPr>
          <w:rFonts w:ascii="Arial" w:cs="Arial" w:eastAsia="Arial" w:hAnsi="Arial"/>
          <w:sz w:val="16"/>
          <w:szCs w:val="16"/>
          <w:color w:val="181818"/>
        </w:rPr>
        <w:t>any,</w:t>
      </w:r>
    </w:p>
    <w:p>
      <w:pPr>
        <w:spacing w:after="0" w:line="248" w:lineRule="exact"/>
        <w:rPr>
          <w:rFonts w:ascii="Arial" w:cs="Arial" w:eastAsia="Arial" w:hAnsi="Arial"/>
          <w:sz w:val="16"/>
          <w:szCs w:val="16"/>
          <w:color w:val="auto"/>
        </w:rPr>
      </w:pPr>
    </w:p>
    <w:p>
      <w:pPr>
        <w:ind w:left="2060" w:hanging="756"/>
        <w:spacing w:after="0"/>
        <w:tabs>
          <w:tab w:leader="none" w:pos="20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that Notes called for redemption </w:t>
      </w:r>
      <w:r>
        <w:rPr>
          <w:rFonts w:ascii="Arial" w:cs="Arial" w:eastAsia="Arial" w:hAnsi="Arial"/>
          <w:sz w:val="18"/>
          <w:szCs w:val="18"/>
          <w:color w:val="181818"/>
        </w:rPr>
        <w:t>must</w:t>
      </w:r>
      <w:r>
        <w:rPr>
          <w:rFonts w:ascii="Arial" w:cs="Arial" w:eastAsia="Arial" w:hAnsi="Arial"/>
          <w:sz w:val="18"/>
          <w:szCs w:val="18"/>
          <w:color w:val="auto"/>
        </w:rPr>
        <w:t xml:space="preserve"> be surrendered to the </w:t>
      </w:r>
      <w:r>
        <w:rPr>
          <w:rFonts w:ascii="Arial" w:cs="Arial" w:eastAsia="Arial" w:hAnsi="Arial"/>
          <w:sz w:val="18"/>
          <w:szCs w:val="18"/>
          <w:color w:val="181818"/>
        </w:rPr>
        <w:t>Paying</w:t>
      </w:r>
      <w:r>
        <w:rPr>
          <w:rFonts w:ascii="Arial" w:cs="Arial" w:eastAsia="Arial" w:hAnsi="Arial"/>
          <w:sz w:val="18"/>
          <w:szCs w:val="18"/>
          <w:color w:val="auto"/>
        </w:rPr>
        <w:t xml:space="preserve"> Agent to </w:t>
      </w:r>
      <w:r>
        <w:rPr>
          <w:rFonts w:ascii="Arial" w:cs="Arial" w:eastAsia="Arial" w:hAnsi="Arial"/>
          <w:sz w:val="18"/>
          <w:szCs w:val="18"/>
          <w:color w:val="181818"/>
        </w:rPr>
        <w:t>collect the</w:t>
      </w:r>
      <w:r>
        <w:rPr>
          <w:rFonts w:ascii="Arial" w:cs="Arial" w:eastAsia="Arial" w:hAnsi="Arial"/>
          <w:sz w:val="18"/>
          <w:szCs w:val="18"/>
          <w:color w:val="auto"/>
        </w:rPr>
        <w:t xml:space="preserve"> Redemption </w:t>
      </w:r>
      <w:r>
        <w:rPr>
          <w:rFonts w:ascii="Arial" w:cs="Arial" w:eastAsia="Arial" w:hAnsi="Arial"/>
          <w:sz w:val="18"/>
          <w:szCs w:val="18"/>
          <w:color w:val="181818"/>
        </w:rPr>
        <w:t>Price,</w:t>
      </w:r>
    </w:p>
    <w:p>
      <w:pPr>
        <w:spacing w:after="0" w:line="225" w:lineRule="exact"/>
        <w:rPr>
          <w:rFonts w:ascii="Arial" w:cs="Arial" w:eastAsia="Arial" w:hAnsi="Arial"/>
          <w:sz w:val="18"/>
          <w:szCs w:val="18"/>
          <w:color w:val="auto"/>
        </w:rPr>
      </w:pPr>
    </w:p>
    <w:p>
      <w:pPr>
        <w:ind w:left="660" w:right="480" w:firstLine="644"/>
        <w:spacing w:after="0" w:line="277" w:lineRule="auto"/>
        <w:tabs>
          <w:tab w:leader="none" w:pos="205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45" w:name="page146"/>
    <w:bookmarkEnd w:id="145"/>
    <w:p>
      <w:pPr>
        <w:ind w:left="660" w:right="140" w:firstLine="644"/>
        <w:spacing w:after="0" w:line="277" w:lineRule="auto"/>
        <w:tabs>
          <w:tab w:leader="none" w:pos="2148" w:val="left"/>
        </w:tabs>
        <w:numPr>
          <w:ilvl w:val="0"/>
          <w:numId w:val="198"/>
        </w:numPr>
        <w:rPr>
          <w:rFonts w:ascii="Arial" w:cs="Arial" w:eastAsia="Arial" w:hAnsi="Arial"/>
          <w:sz w:val="18"/>
          <w:szCs w:val="18"/>
          <w:color w:val="auto"/>
        </w:rPr>
      </w:pPr>
      <w:r>
        <w:rPr>
          <w:rFonts w:ascii="Arial" w:cs="Arial" w:eastAsia="Arial" w:hAnsi="Arial"/>
          <w:sz w:val="18"/>
          <w:szCs w:val="18"/>
          <w:color w:val="121212"/>
        </w:rPr>
        <w:t>the “CUSIP” number, ISIN or “Common Code” number and that no representation is made as to the accuracy or correctness of the “CUSIP” number, ISIN or “Common Code” number, if any, listed in such notice or printed on the Notes,</w:t>
      </w:r>
    </w:p>
    <w:p>
      <w:pPr>
        <w:spacing w:after="0" w:line="170" w:lineRule="exact"/>
        <w:rPr>
          <w:rFonts w:ascii="Arial" w:cs="Arial" w:eastAsia="Arial" w:hAnsi="Arial"/>
          <w:sz w:val="18"/>
          <w:szCs w:val="18"/>
          <w:color w:val="auto"/>
        </w:rPr>
      </w:pPr>
    </w:p>
    <w:p>
      <w:pPr>
        <w:ind w:left="2140" w:hanging="836"/>
        <w:spacing w:after="0"/>
        <w:tabs>
          <w:tab w:leader="none" w:pos="2140" w:val="left"/>
        </w:tabs>
        <w:numPr>
          <w:ilvl w:val="0"/>
          <w:numId w:val="198"/>
        </w:numPr>
        <w:rPr>
          <w:rFonts w:ascii="Arial" w:cs="Arial" w:eastAsia="Arial" w:hAnsi="Arial"/>
          <w:sz w:val="18"/>
          <w:szCs w:val="18"/>
          <w:color w:val="auto"/>
        </w:rPr>
      </w:pPr>
      <w:r>
        <w:rPr>
          <w:rFonts w:ascii="Arial" w:cs="Arial" w:eastAsia="Arial" w:hAnsi="Arial"/>
          <w:sz w:val="18"/>
          <w:szCs w:val="18"/>
          <w:color w:val="121212"/>
        </w:rPr>
        <w:t xml:space="preserve">the paragraph of the Notes or Section of this Indenture pursuant to which the Notes are to </w:t>
      </w:r>
      <w:r>
        <w:rPr>
          <w:rFonts w:ascii="Arial" w:cs="Arial" w:eastAsia="Arial" w:hAnsi="Arial"/>
          <w:sz w:val="18"/>
          <w:szCs w:val="18"/>
          <w:color w:val="000000"/>
        </w:rPr>
        <w:t>be</w:t>
      </w:r>
      <w:r>
        <w:rPr>
          <w:rFonts w:ascii="Arial" w:cs="Arial" w:eastAsia="Arial" w:hAnsi="Arial"/>
          <w:sz w:val="18"/>
          <w:szCs w:val="18"/>
          <w:color w:val="121212"/>
        </w:rPr>
        <w:t xml:space="preserve"> redeemed, and</w:t>
      </w:r>
    </w:p>
    <w:p>
      <w:pPr>
        <w:spacing w:after="0" w:line="225" w:lineRule="exact"/>
        <w:rPr>
          <w:rFonts w:ascii="Arial" w:cs="Arial" w:eastAsia="Arial" w:hAnsi="Arial"/>
          <w:sz w:val="18"/>
          <w:szCs w:val="18"/>
          <w:color w:val="auto"/>
        </w:rPr>
      </w:pPr>
    </w:p>
    <w:p>
      <w:pPr>
        <w:ind w:left="660" w:firstLine="644"/>
        <w:spacing w:after="0" w:line="259" w:lineRule="auto"/>
        <w:tabs>
          <w:tab w:leader="none" w:pos="214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any conditions precedent to which the redemption or notice is subject to and that, in the Company’s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 </w:t>
      </w:r>
      <w:r>
        <w:rPr>
          <w:rFonts w:ascii="Arial" w:cs="Arial" w:eastAsia="Arial" w:hAnsi="Arial"/>
          <w:sz w:val="18"/>
          <w:szCs w:val="18"/>
          <w:color w:val="121212"/>
        </w:rPr>
        <w:t>including any related Equity Offering</w:t>
      </w:r>
      <w:r>
        <w:rPr>
          <w:rFonts w:ascii="Arial" w:cs="Arial" w:eastAsia="Arial" w:hAnsi="Arial"/>
          <w:sz w:val="18"/>
          <w:szCs w:val="18"/>
          <w:color w:val="auto"/>
        </w:rPr>
        <w:t>.</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At the Company’s request, the Trustee shall give the notice of redemption in the Company’s name and at its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have delivered to the Trustee, at least five Business Days before notice of redemption is required to be provided or caused to be provided to Holders pursuant to this Section 11.06 (unless a shorter notice shall be agreed to by the Trustee), an Officer’s Certificate requesting that the Trustee give such notice and setting forth the information to be stated in such notice as provided in Section 11.04.</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 Once notice of redemption is provided in accordance with Section 11.06 hereof, Notes called for redemption become irrevocably due and payable on the Redemption Date at the Redemption Price, subject to any condition precedent set forth in that notice. The notice, if provided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11.08 hereof, on and after the Redemption Date, interest shall cease to accrue on Notes or portions of Notes called for redemption.</w:t>
      </w:r>
    </w:p>
    <w:p>
      <w:pPr>
        <w:spacing w:after="0" w:line="19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 Prior to 12:00 noon (Eastern Time) on any Redemption Date, the Company shall deposit with the Trustee or with a Paying Agent (or, if the Company is acting as its own Paying Agent, segregate and hold in trust as provided in Section 10.03) an amount of money, in immediately available funds, sufficient to pay the Redemption Price of, and accrued interest, if any, on, all the Notes that are to be redeemed on that date. The Trustee or the Paying Agent shall promptly return to the Company any money deposited with the Trustee or the Paying Agent by the Company in excess of the amounts necessary to pay the redemption price of, and accrued and unpaid interest, if any, on, all Notes to be redeemed or purchased. In addition, all money, if any, earned on funds held by the Trustee or the Paying Agent shall be remitted to the Company.</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6" w:name="page147"/>
    <w:bookmarkEnd w:id="146"/>
    <w:p>
      <w:pPr>
        <w:ind w:left="660"/>
        <w:spacing w:after="0"/>
        <w:tabs>
          <w:tab w:leader="none" w:pos="1880" w:val="left"/>
        </w:tabs>
        <w:rPr>
          <w:sz w:val="20"/>
          <w:szCs w:val="20"/>
          <w:color w:val="auto"/>
        </w:rPr>
      </w:pPr>
      <w:r>
        <w:rPr>
          <w:rFonts w:ascii="Arial" w:cs="Arial" w:eastAsia="Arial" w:hAnsi="Arial"/>
          <w:sz w:val="18"/>
          <w:szCs w:val="18"/>
          <w:color w:val="auto"/>
        </w:rPr>
        <w:t>Section 11.09</w:t>
      </w:r>
      <w:r>
        <w:rPr>
          <w:sz w:val="20"/>
          <w:szCs w:val="20"/>
          <w:color w:val="auto"/>
        </w:rPr>
        <w:tab/>
      </w:r>
      <w:r>
        <w:rPr>
          <w:rFonts w:ascii="Arial" w:cs="Arial" w:eastAsia="Arial" w:hAnsi="Arial"/>
          <w:sz w:val="16"/>
          <w:szCs w:val="16"/>
          <w:u w:val="single" w:color="auto"/>
          <w:color w:val="auto"/>
        </w:rPr>
        <w:t>Notes Payable on Redemption Date.</w:t>
      </w:r>
    </w:p>
    <w:p>
      <w:pPr>
        <w:spacing w:after="0" w:line="225" w:lineRule="exact"/>
        <w:rPr>
          <w:sz w:val="20"/>
          <w:szCs w:val="20"/>
          <w:color w:val="auto"/>
        </w:rPr>
      </w:pPr>
    </w:p>
    <w:p>
      <w:pPr>
        <w:ind w:firstLine="656"/>
        <w:spacing w:after="0" w:line="254" w:lineRule="auto"/>
        <w:tabs>
          <w:tab w:leader="none" w:pos="1387" w:val="left"/>
        </w:tabs>
        <w:numPr>
          <w:ilvl w:val="0"/>
          <w:numId w:val="199"/>
        </w:numPr>
        <w:rPr>
          <w:rFonts w:ascii="Arial" w:cs="Arial" w:eastAsia="Arial" w:hAnsi="Arial"/>
          <w:sz w:val="18"/>
          <w:szCs w:val="18"/>
          <w:color w:val="121212"/>
        </w:rPr>
      </w:pPr>
      <w:r>
        <w:rPr>
          <w:rFonts w:ascii="Arial" w:cs="Arial" w:eastAsia="Arial" w:hAnsi="Arial"/>
          <w:sz w:val="18"/>
          <w:szCs w:val="18"/>
          <w:color w:val="auto"/>
        </w:rPr>
        <w:t xml:space="preserve">Notice of redemption having been given as aforesaid, the Notes so to be redeemed shall, on the Redemption Date and assuming the satisfaction or waiver of any conditions precedent, become due and payable at the Redemption Price therein specified (together with accrued interest, if any, to the Redemption Date), and from and after such date (unless the Company shall default in the payment of the Redemption Price and accrued interest) such Notes shall cease to bear interest. Upon surrender of any such Note for redemption in accordance with said notice, such Note shall be paid by the Company at the Redemption Price, together with accrued interest, if any, to the Redemption Date and such Notes shall be canceled by the Trustee;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installments of interest whose Stated Maturity is on or prior to the Redemption Date shall be payable to the Holders of such Notes,</w:t>
      </w:r>
      <w:r>
        <w:rPr>
          <w:rFonts w:ascii="Arial" w:cs="Arial" w:eastAsia="Arial" w:hAnsi="Arial"/>
          <w:sz w:val="18"/>
          <w:szCs w:val="18"/>
          <w:i w:val="1"/>
          <w:iCs w:val="1"/>
          <w:color w:val="auto"/>
        </w:rPr>
        <w:t xml:space="preserve"> </w:t>
      </w:r>
      <w:r>
        <w:rPr>
          <w:rFonts w:ascii="Arial" w:cs="Arial" w:eastAsia="Arial" w:hAnsi="Arial"/>
          <w:sz w:val="18"/>
          <w:szCs w:val="18"/>
          <w:color w:val="auto"/>
        </w:rPr>
        <w:t>or one or more Predecessor Notes, registered as such at the close of business on the relevant record dates according to their terms and the provisions of Section 3.06.</w:t>
      </w:r>
    </w:p>
    <w:p>
      <w:pPr>
        <w:spacing w:after="0" w:line="191" w:lineRule="exact"/>
        <w:rPr>
          <w:rFonts w:ascii="Arial" w:cs="Arial" w:eastAsia="Arial" w:hAnsi="Arial"/>
          <w:sz w:val="18"/>
          <w:szCs w:val="18"/>
          <w:color w:val="121212"/>
        </w:rPr>
      </w:pPr>
    </w:p>
    <w:p>
      <w:pPr>
        <w:ind w:right="120" w:firstLine="656"/>
        <w:spacing w:after="0" w:line="277" w:lineRule="auto"/>
        <w:tabs>
          <w:tab w:leader="none" w:pos="1397" w:val="left"/>
        </w:tabs>
        <w:numPr>
          <w:ilvl w:val="0"/>
          <w:numId w:val="199"/>
        </w:numPr>
        <w:rPr>
          <w:rFonts w:ascii="Arial" w:cs="Arial" w:eastAsia="Arial" w:hAnsi="Arial"/>
          <w:sz w:val="18"/>
          <w:szCs w:val="18"/>
          <w:color w:val="121212"/>
        </w:rPr>
      </w:pPr>
      <w:r>
        <w:rPr>
          <w:rFonts w:ascii="Arial" w:cs="Arial" w:eastAsia="Arial" w:hAnsi="Arial"/>
          <w:sz w:val="18"/>
          <w:szCs w:val="18"/>
          <w:color w:val="auto"/>
        </w:rPr>
        <w:t>If any Note called for redemption shall not be so paid upon surrender thereof for redemption, the principal (and premium, if any) shall, until paid, bear interest from the Redemption Date at the rate borne by the Notes.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121212"/>
        </w:rPr>
        <w:t xml:space="preserve">Section 11.10 </w:t>
      </w:r>
      <w:r>
        <w:rPr>
          <w:rFonts w:ascii="Arial" w:cs="Arial" w:eastAsia="Arial" w:hAnsi="Arial"/>
          <w:sz w:val="16"/>
          <w:szCs w:val="16"/>
          <w:u w:val="single" w:color="auto"/>
          <w:color w:val="000000"/>
        </w:rPr>
        <w:t>Notes Redeemed in Part</w:t>
      </w:r>
      <w:r>
        <w:rPr>
          <w:rFonts w:ascii="Arial" w:cs="Arial" w:eastAsia="Arial" w:hAnsi="Arial"/>
          <w:sz w:val="16"/>
          <w:szCs w:val="16"/>
          <w:color w:val="000000"/>
        </w:rPr>
        <w:t>. Any Note which is to be redeemed only in part (pursuant to the provisions of this Article Eleven) shall</w:t>
      </w:r>
      <w:r>
        <w:rPr>
          <w:rFonts w:ascii="Arial" w:cs="Arial" w:eastAsia="Arial" w:hAnsi="Arial"/>
          <w:sz w:val="16"/>
          <w:szCs w:val="16"/>
          <w:color w:val="121212"/>
        </w:rPr>
        <w:t xml:space="preserve"> </w:t>
      </w:r>
      <w:r>
        <w:rPr>
          <w:rFonts w:ascii="Arial" w:cs="Arial" w:eastAsia="Arial" w:hAnsi="Arial"/>
          <w:sz w:val="16"/>
          <w:szCs w:val="16"/>
          <w:color w:val="000000"/>
        </w:rPr>
        <w:t xml:space="preserve">be surrendered at the office or agency of the Company maintained for such purpose pursuant to Section 10.02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Notes, of any authorized denomination as requested by such Holder, in aggregate principal amount equal to and in exchange for the unredeemed portion of the principal of the Note so surrendered;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no Note of $2,000 or less will be redeemed in part.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TWELVE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121212"/>
        </w:rPr>
        <w:t xml:space="preserve">Section 12.01 </w:t>
      </w:r>
      <w:r>
        <w:rPr>
          <w:rFonts w:ascii="Arial" w:cs="Arial" w:eastAsia="Arial" w:hAnsi="Arial"/>
          <w:sz w:val="18"/>
          <w:szCs w:val="18"/>
          <w:u w:val="single" w:color="auto"/>
          <w:color w:val="000000"/>
        </w:rPr>
        <w:t>Guarantees</w:t>
      </w:r>
      <w:r>
        <w:rPr>
          <w:rFonts w:ascii="Arial" w:cs="Arial" w:eastAsia="Arial" w:hAnsi="Arial"/>
          <w:sz w:val="18"/>
          <w:szCs w:val="18"/>
          <w:color w:val="000000"/>
        </w:rPr>
        <w:t>. Each Guarantor hereby jointly and severally, irrevocably and unconditionally irrevocably guarantees, as primary</w:t>
      </w:r>
      <w:r>
        <w:rPr>
          <w:rFonts w:ascii="Arial" w:cs="Arial" w:eastAsia="Arial" w:hAnsi="Arial"/>
          <w:sz w:val="18"/>
          <w:szCs w:val="18"/>
          <w:color w:val="121212"/>
        </w:rPr>
        <w:t xml:space="preserve"> </w:t>
      </w:r>
      <w:r>
        <w:rPr>
          <w:rFonts w:ascii="Arial" w:cs="Arial" w:eastAsia="Arial" w:hAnsi="Arial"/>
          <w:sz w:val="18"/>
          <w:szCs w:val="18"/>
          <w:color w:val="000000"/>
        </w:rPr>
        <w:t>obligor and not merely as surety, the Notes and obligations of the Company hereunder and thereunder, and guarantees to each Holder of a Note authenticated and delivered by the Trustee, and to the Trustee for itself and on behalf of such Holder, the Collateral Trustee for itself and on behalf of such Holder, that: (1) the principal of (and premium, if any) and interest on the Notes shall be paid in full when due, whether at Stated Maturity, by acceleration or otherwise (including the amount that would become due but for the operation of the automatic stay under Section 362(a) of the Bankruptcy Law), subject to any applicable grace period, together with interest on the overdue principal, if any, and interest on any overdue interest, to the extent lawful, and all other obligations of the Company to the Holders, the Trustee or the Collateral Trustee hereunder or thereunder shall be paid in full or performed, all in accordance with the terms hereof and thereof; and (2) in case of any extension of time of payment or renewal of any Notes or of any such other obligations, the same shall be paid in full when due or performed in accordance with the terms of the extension or renewal, whether at Stated Maturity, by acceleration or otherwise, subject to any applicable grace period, and subject, however, in the case of clauses (1) and (2) above, to the limitation set forth in Section 12.04 hereof.</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7" w:name="page148"/>
    <w:bookmarkEnd w:id="147"/>
    <w:p>
      <w:pPr>
        <w:ind w:right="20" w:firstLine="656"/>
        <w:spacing w:after="0" w:line="279" w:lineRule="auto"/>
        <w:tabs>
          <w:tab w:leader="none" w:pos="138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Each Guarantor hereby agrees that (to the extent permitted by law) its obligations hereunder shall be unconditional, irrespective of the validity, regularity or enforceability of the Notes or this Indenture, the absence of any action to enforce the same, any waiver or consent by any Holder with respect to any provisions hereof or thereof, any release of any other Guarantor, the recovery of any judgment against the Company, any action to enforce the same or any other circumstance which might otherwise constitute a legal or equitable discharge or defense of a Guarantor.</w:t>
      </w:r>
    </w:p>
    <w:p>
      <w:pPr>
        <w:spacing w:after="0" w:line="171" w:lineRule="exact"/>
        <w:rPr>
          <w:rFonts w:ascii="Arial" w:cs="Arial" w:eastAsia="Arial" w:hAnsi="Arial"/>
          <w:sz w:val="17"/>
          <w:szCs w:val="17"/>
          <w:color w:val="auto"/>
        </w:rPr>
      </w:pPr>
    </w:p>
    <w:p>
      <w:pPr>
        <w:ind w:firstLine="656"/>
        <w:spacing w:after="0" w:line="268" w:lineRule="auto"/>
        <w:tabs>
          <w:tab w:leader="none" w:pos="139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Each Guarantor hereby waives (to the extent permitted by law) the benefits of diligence, presentment, demand for payment, filing of claims with a court in the event of insolvency or bankruptcy of the Company, any right to require a proceeding first against the Company or any other Person, protest, notice and all demands whatsoever and covenants that the Guarantee of such Guarantor shall not be discharged as to any Note except by complete performance of the obligations contained in such Note, this Indenture and such Guarantee. Each Guarantor acknowledges that the Guarantee is a guarantee of payment, performance and compliance when due and not of collection. Each of the Guarantors hereby agrees that, in the event of a default in payment of principal (or premium, if any) or interest on such Note, whether at its Stated Maturity, by acceleration, purchase or otherwise, legal proceedings may be instituted by the Trustee on behalf of, or by, the Holder of such Note, subject to the terms and conditions set forth in this Indenture, directly against each of the Guarantors to enforce such Guarantor’s Guarantee without first proceeding against the Company or any other Guarantor. Each Guarantor agrees that if, after the occurrence and during the continuance of an Event of Default, the Trustee, the Collateral Trustee or any of the Holders are prevented by applicable law from exercising their respective rights to accelerate the Maturity of the Notes, to collect interest on the Notes, or to enforce or exercise any other right or remedy with respect to the Notes, such Guarantor shall pay to the Trustee for the account of the Holder, upon demand therefor, the amount that would otherwise have been due and payable had such rights and remedies been permitted to be exercised by the Trustee, Collateral Trustee or any of the Holders.</w:t>
      </w:r>
    </w:p>
    <w:p>
      <w:pPr>
        <w:spacing w:after="0" w:line="186" w:lineRule="exact"/>
        <w:rPr>
          <w:rFonts w:ascii="Arial" w:cs="Arial" w:eastAsia="Arial" w:hAnsi="Arial"/>
          <w:sz w:val="17"/>
          <w:szCs w:val="17"/>
          <w:color w:val="auto"/>
        </w:rPr>
      </w:pPr>
    </w:p>
    <w:p>
      <w:pPr>
        <w:ind w:firstLine="656"/>
        <w:spacing w:after="0" w:line="269" w:lineRule="auto"/>
        <w:tabs>
          <w:tab w:leader="none" w:pos="138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If any Holder, the Trustee or Collateral Trustee is required by any court or otherwise to return to the Company or any Guarantor, or any custodian, trustee, liquidator or other similar official acting in relation to either the Company or any Guarantor, any amount paid by any of them to the Trustee, Collateral Trustee or such Holder, the Guarantee of each of the Guarantors, to the extent theretofore discharged, shall be reinstated in full force and effect. Each Guarantor further agrees that, as between each Guarantor, on the one hand, and the Holders, the Trustee and Collateral Trustee on the other hand, (1) subject to this Article Twelve, the Maturity of the obligations guaranteed hereby may be accelerated as provided in Article Five hereof for the purposes of the Guarantee of such Guarantor notwithstanding any stay, injunction or other prohibition preventing such acceleration in respect of the obligations guaranteed hereby, and (2) in the event of any acceleration of such obligation as provided in Article Five hereof, such obligations (whether or not due and payable) shall forthwith become due and payable by each Guarantor for the purpose of the Guarantee of such Guarantor. The Guarantors shall have the right to seek contribution from any non-paying Guarantor so long as the exercise of such right does not impair the rights of the Holders under the Guarantees.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8" w:name="page149"/>
    <w:bookmarkEnd w:id="148"/>
    <w:p>
      <w:pPr>
        <w:ind w:right="20" w:firstLine="656"/>
        <w:spacing w:after="0" w:line="291" w:lineRule="auto"/>
        <w:tabs>
          <w:tab w:leader="none" w:pos="1397" w:val="left"/>
        </w:tabs>
        <w:numPr>
          <w:ilvl w:val="0"/>
          <w:numId w:val="201"/>
        </w:numPr>
        <w:rPr>
          <w:rFonts w:ascii="Arial" w:cs="Arial" w:eastAsia="Arial" w:hAnsi="Arial"/>
          <w:sz w:val="16"/>
          <w:szCs w:val="16"/>
          <w:color w:val="121212"/>
        </w:rPr>
      </w:pPr>
      <w:r>
        <w:rPr>
          <w:rFonts w:ascii="Arial" w:cs="Arial" w:eastAsia="Arial" w:hAnsi="Arial"/>
          <w:sz w:val="16"/>
          <w:szCs w:val="16"/>
          <w:color w:val="121212"/>
        </w:rPr>
        <w:t xml:space="preserve">Each Guarantee shall remain in full force and effect and continue to be effective should any petition be filed by or against </w:t>
      </w:r>
      <w:r>
        <w:rPr>
          <w:rFonts w:ascii="Arial" w:cs="Arial" w:eastAsia="Arial" w:hAnsi="Arial"/>
          <w:sz w:val="16"/>
          <w:szCs w:val="16"/>
          <w:color w:val="000000"/>
        </w:rPr>
        <w:t>the</w:t>
      </w:r>
      <w:r>
        <w:rPr>
          <w:rFonts w:ascii="Arial" w:cs="Arial" w:eastAsia="Arial" w:hAnsi="Arial"/>
          <w:sz w:val="16"/>
          <w:szCs w:val="16"/>
          <w:color w:val="121212"/>
        </w:rPr>
        <w:t xml:space="preserve"> Company for liquidation, reorganization, should the Company become insolvent or make an assignment for </w:t>
      </w:r>
      <w:r>
        <w:rPr>
          <w:rFonts w:ascii="Arial" w:cs="Arial" w:eastAsia="Arial" w:hAnsi="Arial"/>
          <w:sz w:val="16"/>
          <w:szCs w:val="16"/>
          <w:color w:val="000000"/>
        </w:rPr>
        <w:t>the</w:t>
      </w:r>
      <w:r>
        <w:rPr>
          <w:rFonts w:ascii="Arial" w:cs="Arial" w:eastAsia="Arial" w:hAnsi="Arial"/>
          <w:sz w:val="16"/>
          <w:szCs w:val="16"/>
          <w:color w:val="121212"/>
        </w:rPr>
        <w:t xml:space="preserve"> benefit of creditors or should </w:t>
      </w:r>
      <w:r>
        <w:rPr>
          <w:rFonts w:ascii="Arial" w:cs="Arial" w:eastAsia="Arial" w:hAnsi="Arial"/>
          <w:sz w:val="16"/>
          <w:szCs w:val="16"/>
          <w:color w:val="000000"/>
        </w:rPr>
        <w:t>a</w:t>
      </w:r>
      <w:r>
        <w:rPr>
          <w:rFonts w:ascii="Arial" w:cs="Arial" w:eastAsia="Arial" w:hAnsi="Arial"/>
          <w:sz w:val="16"/>
          <w:szCs w:val="16"/>
          <w:color w:val="121212"/>
        </w:rPr>
        <w:t xml:space="preserve">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w:t>
      </w:r>
      <w:r>
        <w:rPr>
          <w:rFonts w:ascii="Arial" w:cs="Arial" w:eastAsia="Arial" w:hAnsi="Arial"/>
          <w:sz w:val="16"/>
          <w:szCs w:val="16"/>
          <w:color w:val="000000"/>
        </w:rPr>
        <w:t>by</w:t>
      </w:r>
      <w:r>
        <w:rPr>
          <w:rFonts w:ascii="Arial" w:cs="Arial" w:eastAsia="Arial" w:hAnsi="Arial"/>
          <w:sz w:val="16"/>
          <w:szCs w:val="16"/>
          <w:color w:val="121212"/>
        </w:rPr>
        <w:t xml:space="preserve"> any obligee on the Notes, whether as </w:t>
      </w:r>
      <w:r>
        <w:rPr>
          <w:rFonts w:ascii="Arial" w:cs="Arial" w:eastAsia="Arial" w:hAnsi="Arial"/>
          <w:sz w:val="16"/>
          <w:szCs w:val="16"/>
          <w:color w:val="000000"/>
        </w:rPr>
        <w:t>a</w:t>
      </w:r>
      <w:r>
        <w:rPr>
          <w:rFonts w:ascii="Arial" w:cs="Arial" w:eastAsia="Arial" w:hAnsi="Arial"/>
          <w:sz w:val="16"/>
          <w:szCs w:val="16"/>
          <w:color w:val="121212"/>
        </w:rPr>
        <w:t xml:space="preserve">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66"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provision of any Guarantee shall be invalid, illegal or unenforceable, the validity, legality, and enforceability of the remaining provisions shall not in any way be affected or impaired thereby to the extent permitted by applicable law.</w:t>
      </w:r>
    </w:p>
    <w:p>
      <w:pPr>
        <w:spacing w:after="0" w:line="14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12.04 </w:t>
      </w:r>
      <w:r>
        <w:rPr>
          <w:rFonts w:ascii="Arial" w:cs="Arial" w:eastAsia="Arial" w:hAnsi="Arial"/>
          <w:sz w:val="17"/>
          <w:szCs w:val="17"/>
          <w:u w:val="single" w:color="auto"/>
          <w:color w:val="auto"/>
        </w:rPr>
        <w:t>Limitation of Guarantors’ Liability</w:t>
      </w:r>
      <w:r>
        <w:rPr>
          <w:rFonts w:ascii="Arial" w:cs="Arial" w:eastAsia="Arial" w:hAnsi="Arial"/>
          <w:sz w:val="17"/>
          <w:szCs w:val="17"/>
          <w:color w:val="auto"/>
        </w:rPr>
        <w:t>. Each Guarantor, and by its acceptance of Notes, each Holder hereby confirms that it is the intention of all such parties that the Guarantee of such Guarantor not constitute a fraudulent transfer or conveyance for purposes of the Bankruptcy Law, the Uniform Fraudulent Conveyance Act, the Uniform Fraudulent Transfer Act or any similar federal or state law to the extent applicable to any Guarantee or the provisions of its local law relating to fraudulent transfer or conveyance. To effectuate the foregoing intention, the Trustee, Collateral Trustee, the Holders and each such Guarantor hereby irrevocably agree that the obligations of such Guarantor under its Guarantee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Twelve, result in the obligations of such Guarantor under its Guarantee not constituting a fraudulent conveyance or fraudulent transfer under applicable law.</w:t>
      </w:r>
    </w:p>
    <w:p>
      <w:pPr>
        <w:spacing w:after="0" w:line="18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Section 12.05 </w:t>
      </w:r>
      <w:r>
        <w:rPr>
          <w:rFonts w:ascii="Arial" w:cs="Arial" w:eastAsia="Arial" w:hAnsi="Arial"/>
          <w:sz w:val="17"/>
          <w:szCs w:val="17"/>
          <w:u w:val="single" w:color="auto"/>
          <w:color w:val="auto"/>
        </w:rPr>
        <w:t>Contribution</w:t>
      </w:r>
      <w:r>
        <w:rPr>
          <w:rFonts w:ascii="Arial" w:cs="Arial" w:eastAsia="Arial" w:hAnsi="Arial"/>
          <w:sz w:val="17"/>
          <w:szCs w:val="17"/>
          <w:color w:val="auto"/>
        </w:rPr>
        <w:t>. All Guarantors desire to allocate among themselves (collectively, the “</w:t>
      </w:r>
      <w:r>
        <w:rPr>
          <w:rFonts w:ascii="Arial" w:cs="Arial" w:eastAsia="Arial" w:hAnsi="Arial"/>
          <w:sz w:val="17"/>
          <w:szCs w:val="17"/>
          <w:i w:val="1"/>
          <w:iCs w:val="1"/>
          <w:color w:val="auto"/>
        </w:rPr>
        <w:t>Contributing Guarantors</w:t>
      </w:r>
      <w:r>
        <w:rPr>
          <w:rFonts w:ascii="Arial" w:cs="Arial" w:eastAsia="Arial" w:hAnsi="Arial"/>
          <w:sz w:val="17"/>
          <w:szCs w:val="17"/>
          <w:color w:val="auto"/>
        </w:rPr>
        <w:t>”), in a fair and equitable manner, their obligations arising under this Indenture. Accordingly, in the event any payment or distribution is made on any date by a Guarantor (a “</w:t>
      </w:r>
      <w:r>
        <w:rPr>
          <w:rFonts w:ascii="Arial" w:cs="Arial" w:eastAsia="Arial" w:hAnsi="Arial"/>
          <w:sz w:val="17"/>
          <w:szCs w:val="17"/>
          <w:i w:val="1"/>
          <w:iCs w:val="1"/>
          <w:color w:val="auto"/>
        </w:rPr>
        <w:t>Funding Guarantor</w:t>
      </w:r>
      <w:r>
        <w:rPr>
          <w:rFonts w:ascii="Arial" w:cs="Arial" w:eastAsia="Arial" w:hAnsi="Arial"/>
          <w:sz w:val="17"/>
          <w:szCs w:val="17"/>
          <w:color w:val="auto"/>
        </w:rPr>
        <w:t>”) under its Guarantee such that its Aggregate Payments exceed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7"/>
          <w:szCs w:val="17"/>
          <w:i w:val="1"/>
          <w:iCs w:val="1"/>
          <w:color w:val="auto"/>
        </w:rPr>
        <w:t>Fair Share</w:t>
      </w:r>
      <w:r>
        <w:rPr>
          <w:rFonts w:ascii="Arial" w:cs="Arial" w:eastAsia="Arial" w:hAnsi="Arial"/>
          <w:sz w:val="17"/>
          <w:szCs w:val="17"/>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their respective Guarantees in respect of the obligations guaranteed. “</w:t>
      </w:r>
      <w:r>
        <w:rPr>
          <w:rFonts w:ascii="Arial" w:cs="Arial" w:eastAsia="Arial" w:hAnsi="Arial"/>
          <w:sz w:val="17"/>
          <w:szCs w:val="17"/>
          <w:i w:val="1"/>
          <w:iCs w:val="1"/>
          <w:color w:val="auto"/>
        </w:rPr>
        <w:t>Fair Share Contribution Amount</w:t>
      </w:r>
      <w:r>
        <w:rPr>
          <w:rFonts w:ascii="Arial" w:cs="Arial" w:eastAsia="Arial" w:hAnsi="Arial"/>
          <w:sz w:val="17"/>
          <w:szCs w:val="17"/>
          <w:color w:val="auto"/>
        </w:rPr>
        <w:t xml:space="preserve">” means, with respect to a Contributing Guarantor as of any date of determination, the maximum aggregate amount of the obligations of such Contributing Guarantor under its Guarantee that would not render its obligations hereunder or thereunder subject to avoidance as a fraudulent transfer or conveyance under Section 548 of the Bankruptcy Code or any comparable applicable provisions of state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for purposes of calculating the Fair Share Contribution Amount with respect to any Contributing Guarantor for purposes of this Section 12.05, any assets or liabilities of such Contributing Guarantor arising by virtue of any rights to subrogation, reimbursement or indemnification or any rights to or obligations of contribution hereunder shall not be considered as assets or liabilities of such Contributing Guarantor.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right="14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Payments</w:t>
      </w:r>
      <w:r>
        <w:rPr>
          <w:rFonts w:ascii="Arial" w:cs="Arial" w:eastAsia="Arial" w:hAnsi="Arial"/>
          <w:sz w:val="18"/>
          <w:szCs w:val="18"/>
          <w:color w:val="auto"/>
        </w:rPr>
        <w:t>” means, with respect to a Contributing Guarantor as of any date of determination, an amount equal to (1) the aggregate amount of all payments and distributions made on or before such date by such Contributing Guarantor in respect of its Guarantee (including in respect of this Section 12.05), minus (2) the aggregate amount of all payments received on or before such date by such Guarantor from the other Contributing Guarantors as contributions under this Section 12.05. The amounts payable as contributions hereunder shall be determined as of the date on which the related payment or distribution is made by the applicable Funding Guarantor. Each Contributing Guarantor is a third party beneficiary to the contribution agreement set forth in this Section 12.05. For the avoidance of doubt, nothing in this Section 12.05 shall limit or impair, by implication or otherwise, each Guarantor’s obligations under its Guarantee.</w:t>
      </w:r>
    </w:p>
    <w:p>
      <w:pPr>
        <w:spacing w:after="0" w:line="19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Subrogation</w:t>
      </w:r>
      <w:r>
        <w:rPr>
          <w:rFonts w:ascii="Arial" w:cs="Arial" w:eastAsia="Arial" w:hAnsi="Arial"/>
          <w:sz w:val="18"/>
          <w:szCs w:val="18"/>
          <w:color w:val="auto"/>
        </w:rPr>
        <w:t xml:space="preserve">. Each Guarantor shall be subrogated to all rights of Holders against the Company in respect of any amounts paid by any Guarantor pursuant to the provisions of Section 12.01;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 Default or Event of Default has occurred and is continuing, no Guarantor shall be entitled to enforce or receive any payments arising out of, or based upon, such right of subrogation until all amounts then due and payable by the Company under this Indenture or the Notes shall have been paid in full.</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Reinstatement</w:t>
      </w:r>
      <w:r>
        <w:rPr>
          <w:rFonts w:ascii="Arial" w:cs="Arial" w:eastAsia="Arial" w:hAnsi="Arial"/>
          <w:sz w:val="18"/>
          <w:szCs w:val="18"/>
          <w:color w:val="auto"/>
        </w:rPr>
        <w:t>. Each Guarantor hereby agrees (and each Person who becomes a Guarantor shall agree) that the Guarantee provided for in Section 12.01 shall continue to be effective or be reinstated, as the case may be, if at any time, payment, or any part thereof, of any obligations or interest thereon is properly rescinded or must otherwise be restored by a Holder to the Company upon the bankruptcy or insolvency of the Company or any Guarantor.</w:t>
      </w:r>
    </w:p>
    <w:p>
      <w:pPr>
        <w:spacing w:after="0" w:line="18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Section 12.08 </w:t>
      </w:r>
      <w:r>
        <w:rPr>
          <w:rFonts w:ascii="Arial" w:cs="Arial" w:eastAsia="Arial" w:hAnsi="Arial"/>
          <w:sz w:val="17"/>
          <w:szCs w:val="17"/>
          <w:u w:val="single" w:color="auto"/>
          <w:color w:val="auto"/>
        </w:rPr>
        <w:t>Release of a Guarantor</w:t>
      </w:r>
      <w:r>
        <w:rPr>
          <w:rFonts w:ascii="Arial" w:cs="Arial" w:eastAsia="Arial" w:hAnsi="Arial"/>
          <w:sz w:val="17"/>
          <w:szCs w:val="17"/>
          <w:color w:val="auto"/>
        </w:rPr>
        <w:t>. The Guarantee of a Guarantor shall automatically and unconditionally be released and discharged, and no further action by such Guarantor, the Company or the Trustee is required for the release of such Guarantor’s Guarantee, upon:</w:t>
      </w:r>
    </w:p>
    <w:p>
      <w:pPr>
        <w:spacing w:after="0" w:line="146" w:lineRule="exact"/>
        <w:rPr>
          <w:sz w:val="20"/>
          <w:szCs w:val="20"/>
          <w:color w:val="auto"/>
        </w:rPr>
      </w:pPr>
    </w:p>
    <w:p>
      <w:pPr>
        <w:ind w:left="1300" w:firstLine="652"/>
        <w:spacing w:after="0" w:line="257" w:lineRule="auto"/>
        <w:tabs>
          <w:tab w:leader="none" w:pos="273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the sale, exchange, disposition or other transfer (including through merger, consolidation, amalgamation or dissolution) of all of the Capital Stock (including any sale, disposition or other transfer </w:t>
      </w:r>
      <w:r>
        <w:rPr>
          <w:rFonts w:ascii="Arial" w:cs="Arial" w:eastAsia="Arial" w:hAnsi="Arial"/>
          <w:sz w:val="18"/>
          <w:szCs w:val="18"/>
          <w:color w:val="111111"/>
        </w:rPr>
        <w:t>of Capital Stock following which such Guarantor</w:t>
      </w:r>
      <w:r>
        <w:rPr>
          <w:rFonts w:ascii="Arial" w:cs="Arial" w:eastAsia="Arial" w:hAnsi="Arial"/>
          <w:sz w:val="18"/>
          <w:szCs w:val="18"/>
          <w:color w:val="auto"/>
        </w:rPr>
        <w:t xml:space="preserve"> </w:t>
      </w:r>
      <w:r>
        <w:rPr>
          <w:rFonts w:ascii="Arial" w:cs="Arial" w:eastAsia="Arial" w:hAnsi="Arial"/>
          <w:sz w:val="18"/>
          <w:szCs w:val="18"/>
          <w:color w:val="111111"/>
        </w:rPr>
        <w:t>is no longer a Restricted Subsidiary), or all or substantially all of the assets, of such Guarantor (other than a sale, disposition or other transfer to the Company or a Restricted Subsidiary) if such sale, disposition, exchange or other transfer is not prohibited by the applicable provisions of this Indenture;</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0" w:name="page151"/>
    <w:bookmarkEnd w:id="150"/>
    <w:p>
      <w:pPr>
        <w:ind w:left="1300" w:right="180" w:firstLine="652"/>
        <w:spacing w:after="0" w:line="277" w:lineRule="auto"/>
        <w:tabs>
          <w:tab w:leader="none" w:pos="2728" w:val="left"/>
        </w:tabs>
        <w:numPr>
          <w:ilvl w:val="0"/>
          <w:numId w:val="203"/>
        </w:numPr>
        <w:rPr>
          <w:rFonts w:ascii="Arial" w:cs="Arial" w:eastAsia="Arial" w:hAnsi="Arial"/>
          <w:sz w:val="18"/>
          <w:szCs w:val="18"/>
          <w:color w:val="auto"/>
        </w:rPr>
      </w:pPr>
      <w:r>
        <w:rPr>
          <w:rFonts w:ascii="Arial" w:cs="Arial" w:eastAsia="Arial" w:hAnsi="Arial"/>
          <w:sz w:val="18"/>
          <w:szCs w:val="18"/>
          <w:color w:val="111111"/>
        </w:rPr>
        <w:t>the designation by the Company of such Guarantor as an Unrestricted Subsidiary in accordance with Section 10.08 and the definition of “Unrestricted Subsidiary”;</w:t>
      </w:r>
    </w:p>
    <w:p>
      <w:pPr>
        <w:spacing w:after="0" w:line="170" w:lineRule="exact"/>
        <w:rPr>
          <w:rFonts w:ascii="Arial" w:cs="Arial" w:eastAsia="Arial" w:hAnsi="Arial"/>
          <w:sz w:val="18"/>
          <w:szCs w:val="18"/>
          <w:color w:val="auto"/>
        </w:rPr>
      </w:pPr>
    </w:p>
    <w:p>
      <w:pPr>
        <w:ind w:left="1300" w:right="40" w:firstLine="652"/>
        <w:spacing w:after="0" w:line="259" w:lineRule="auto"/>
        <w:tabs>
          <w:tab w:leader="none" w:pos="272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release or discharge of such Guarantor from each guarantee that would result in the obligation of such Subsidiary to guarantee the Notes (if such Subsidiary were not already a Guarantor) pursuant to Section 10.13 (treating any guarantees of such Guarantor that remain outstanding as incurred at least 30 days prior to such release or discharge)</w:t>
      </w:r>
      <w:r>
        <w:rPr>
          <w:rFonts w:ascii="Arial" w:cs="Arial" w:eastAsia="Arial" w:hAnsi="Arial"/>
          <w:sz w:val="18"/>
          <w:szCs w:val="18"/>
          <w:color w:val="111111"/>
        </w:rPr>
        <w:t>, except a discharge or release by or as a</w:t>
      </w:r>
      <w:r>
        <w:rPr>
          <w:rFonts w:ascii="Arial" w:cs="Arial" w:eastAsia="Arial" w:hAnsi="Arial"/>
          <w:sz w:val="18"/>
          <w:szCs w:val="18"/>
          <w:color w:val="auto"/>
        </w:rPr>
        <w:t xml:space="preserve"> </w:t>
      </w:r>
      <w:r>
        <w:rPr>
          <w:rFonts w:ascii="Arial" w:cs="Arial" w:eastAsia="Arial" w:hAnsi="Arial"/>
          <w:sz w:val="18"/>
          <w:szCs w:val="18"/>
          <w:color w:val="111111"/>
        </w:rPr>
        <w:t>result of payment under such guarantee or direct obligation</w:t>
      </w:r>
      <w:r>
        <w:rPr>
          <w:rFonts w:ascii="Arial" w:cs="Arial" w:eastAsia="Arial" w:hAnsi="Arial"/>
          <w:sz w:val="18"/>
          <w:szCs w:val="18"/>
          <w:color w:val="000000"/>
        </w:rPr>
        <w:t>;</w:t>
      </w:r>
    </w:p>
    <w:p>
      <w:pPr>
        <w:spacing w:after="0" w:line="186" w:lineRule="exact"/>
        <w:rPr>
          <w:rFonts w:ascii="Arial" w:cs="Arial" w:eastAsia="Arial" w:hAnsi="Arial"/>
          <w:sz w:val="18"/>
          <w:szCs w:val="18"/>
          <w:color w:val="auto"/>
        </w:rPr>
      </w:pPr>
    </w:p>
    <w:p>
      <w:pPr>
        <w:ind w:left="1300" w:right="60" w:firstLine="652"/>
        <w:spacing w:after="0" w:line="277" w:lineRule="auto"/>
        <w:tabs>
          <w:tab w:leader="none" w:pos="273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release of such Guarantor from its guarantee with the consent of the Holders of the requisite percentage of Notes in accordance with the provisions described in Article Nine hereof; or</w:t>
      </w:r>
    </w:p>
    <w:p>
      <w:pPr>
        <w:spacing w:after="0" w:line="170" w:lineRule="exact"/>
        <w:rPr>
          <w:rFonts w:ascii="Arial" w:cs="Arial" w:eastAsia="Arial" w:hAnsi="Arial"/>
          <w:sz w:val="18"/>
          <w:szCs w:val="18"/>
          <w:color w:val="auto"/>
        </w:rPr>
      </w:pPr>
    </w:p>
    <w:p>
      <w:pPr>
        <w:ind w:left="1300" w:firstLine="652"/>
        <w:spacing w:after="0" w:line="263" w:lineRule="auto"/>
        <w:tabs>
          <w:tab w:leader="none" w:pos="2717" w:val="left"/>
        </w:tabs>
        <w:numPr>
          <w:ilvl w:val="0"/>
          <w:numId w:val="203"/>
        </w:numPr>
        <w:rPr>
          <w:rFonts w:ascii="Arial" w:cs="Arial" w:eastAsia="Arial" w:hAnsi="Arial"/>
          <w:sz w:val="18"/>
          <w:szCs w:val="18"/>
          <w:color w:val="auto"/>
        </w:rPr>
      </w:pPr>
      <w:r>
        <w:rPr>
          <w:rFonts w:ascii="Arial" w:cs="Arial" w:eastAsia="Arial" w:hAnsi="Arial"/>
          <w:sz w:val="18"/>
          <w:szCs w:val="18"/>
          <w:color w:val="111111"/>
        </w:rPr>
        <w:t>the exercise by the Company of its Legal Defeasance of the Notes under Section 13.02 or its Covenant Defeasance of the Notes under Section 13.03 or if the Company’s obligations under this Indenture are satisfied and discharged in accordance with Section 4.01.</w:t>
      </w:r>
    </w:p>
    <w:p>
      <w:pPr>
        <w:spacing w:after="0" w:line="184"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121212"/>
        </w:rPr>
        <w:t xml:space="preserve">Section 12.09 </w:t>
      </w:r>
      <w:r>
        <w:rPr>
          <w:rFonts w:ascii="Arial" w:cs="Arial" w:eastAsia="Arial" w:hAnsi="Arial"/>
          <w:sz w:val="16"/>
          <w:szCs w:val="16"/>
          <w:u w:val="single" w:color="auto"/>
          <w:color w:val="000000"/>
        </w:rPr>
        <w:t>Benefits Acknowledged</w:t>
      </w:r>
      <w:r>
        <w:rPr>
          <w:rFonts w:ascii="Arial" w:cs="Arial" w:eastAsia="Arial" w:hAnsi="Arial"/>
          <w:sz w:val="16"/>
          <w:szCs w:val="16"/>
          <w:color w:val="000000"/>
        </w:rPr>
        <w:t>. Each Guarantor acknowledges that it shall receive direct and indirect benefits from the financing</w:t>
      </w:r>
      <w:r>
        <w:rPr>
          <w:rFonts w:ascii="Arial" w:cs="Arial" w:eastAsia="Arial" w:hAnsi="Arial"/>
          <w:sz w:val="16"/>
          <w:szCs w:val="16"/>
          <w:color w:val="121212"/>
        </w:rPr>
        <w:t xml:space="preserve"> </w:t>
      </w:r>
      <w:r>
        <w:rPr>
          <w:rFonts w:ascii="Arial" w:cs="Arial" w:eastAsia="Arial" w:hAnsi="Arial"/>
          <w:sz w:val="16"/>
          <w:szCs w:val="16"/>
          <w:color w:val="000000"/>
        </w:rPr>
        <w:t>arrangements contemplated by this Indenture and from its guarantee and waivers pursuant to its Guarantees under this Article Twelve.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THIRTEEN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121212"/>
        </w:rPr>
        <w:t xml:space="preserve">Section 13.01 </w:t>
      </w:r>
      <w:r>
        <w:rPr>
          <w:rFonts w:ascii="Arial" w:cs="Arial" w:eastAsia="Arial" w:hAnsi="Arial"/>
          <w:sz w:val="18"/>
          <w:szCs w:val="18"/>
          <w:u w:val="single" w:color="auto"/>
          <w:color w:val="000000"/>
        </w:rPr>
        <w:t>Company’s Option to Effect Legal Defeasance or Covenant</w:t>
      </w:r>
      <w:r>
        <w:rPr>
          <w:rFonts w:ascii="Arial" w:cs="Arial" w:eastAsia="Arial" w:hAnsi="Arial"/>
          <w:sz w:val="18"/>
          <w:szCs w:val="18"/>
          <w:color w:val="121212"/>
        </w:rPr>
        <w:t xml:space="preserve"> </w:t>
      </w:r>
      <w:r>
        <w:rPr>
          <w:rFonts w:ascii="Arial" w:cs="Arial" w:eastAsia="Arial" w:hAnsi="Arial"/>
          <w:sz w:val="18"/>
          <w:szCs w:val="18"/>
          <w:u w:val="single" w:color="auto"/>
          <w:color w:val="121212"/>
        </w:rPr>
        <w:t>Defeasance</w:t>
      </w:r>
      <w:r>
        <w:rPr>
          <w:rFonts w:ascii="Arial" w:cs="Arial" w:eastAsia="Arial" w:hAnsi="Arial"/>
          <w:sz w:val="18"/>
          <w:szCs w:val="18"/>
          <w:color w:val="000000"/>
        </w:rPr>
        <w:t>. The Company may, at its option, and at any time, elect</w:t>
      </w:r>
      <w:r>
        <w:rPr>
          <w:rFonts w:ascii="Arial" w:cs="Arial" w:eastAsia="Arial" w:hAnsi="Arial"/>
          <w:sz w:val="18"/>
          <w:szCs w:val="18"/>
          <w:color w:val="121212"/>
        </w:rPr>
        <w:t xml:space="preserve"> </w:t>
      </w:r>
      <w:r>
        <w:rPr>
          <w:rFonts w:ascii="Arial" w:cs="Arial" w:eastAsia="Arial" w:hAnsi="Arial"/>
          <w:sz w:val="18"/>
          <w:szCs w:val="18"/>
          <w:color w:val="000000"/>
        </w:rPr>
        <w:t>to have either Section 13.02 or Section 13.03 be applied to all Outstanding Notes upon compliance with the conditions set forth below in this Article Thirteen.</w:t>
      </w:r>
    </w:p>
    <w:p>
      <w:pPr>
        <w:spacing w:after="0" w:line="184"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Legal Defeasance and Discharge</w:t>
      </w:r>
      <w:r>
        <w:rPr>
          <w:rFonts w:ascii="Arial" w:cs="Arial" w:eastAsia="Arial" w:hAnsi="Arial"/>
          <w:sz w:val="16"/>
          <w:szCs w:val="16"/>
          <w:color w:val="auto"/>
        </w:rPr>
        <w:t>. Upon the Company’s exercise under Section 13.01 of the option applicable to this Section 13.02, each of the Company and the Guarantors shall be deemed to have been discharged from its respective obligations with respect to all Outstanding Notes on the date the conditions set forth in Section 13.04 are satisfied (hereinafter, “</w:t>
      </w:r>
      <w:r>
        <w:rPr>
          <w:rFonts w:ascii="Arial" w:cs="Arial" w:eastAsia="Arial" w:hAnsi="Arial"/>
          <w:sz w:val="16"/>
          <w:szCs w:val="16"/>
          <w:i w:val="1"/>
          <w:iCs w:val="1"/>
          <w:color w:val="auto"/>
        </w:rPr>
        <w:t>Legal Defeasance</w:t>
      </w:r>
      <w:r>
        <w:rPr>
          <w:rFonts w:ascii="Arial" w:cs="Arial" w:eastAsia="Arial" w:hAnsi="Arial"/>
          <w:sz w:val="16"/>
          <w:szCs w:val="16"/>
          <w:color w:val="auto"/>
        </w:rPr>
        <w:t xml:space="preserve">”). For this purpose, such Legal Defeasance means that each of the Company and the Guarantors shall be deemed to have paid and discharged the entire indebtedness represented by the Outstanding Notes, which shall thereafter be deemed to be “Outstanding” only for the purposes of Section 13.05 and the other Sections of this Indenture referred to in (1) and (2) below, and to have satisfied all its other obligations under such Notes and this Indenture insofar as such Notes and their related Guarantees are concerned (and the Trustee, at the expense of the Company, shall execute such instruments reasonably requested by the Company acknowledging the </w:t>
      </w:r>
      <w:r>
        <w:rPr>
          <w:rFonts w:ascii="Arial" w:cs="Arial" w:eastAsia="Arial" w:hAnsi="Arial"/>
          <w:sz w:val="16"/>
          <w:szCs w:val="16"/>
          <w:color w:val="141414"/>
        </w:rPr>
        <w:t>same), except for the following which shall survive until otherwise terminated or discharged hereunder: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51" w:name="page152"/>
    <w:bookmarkEnd w:id="151"/>
    <w:p>
      <w:pPr>
        <w:jc w:val="both"/>
        <w:ind w:left="660" w:right="360" w:firstLine="644"/>
        <w:spacing w:after="0" w:line="263" w:lineRule="auto"/>
        <w:tabs>
          <w:tab w:leader="none" w:pos="205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(and premium, if any, on) and interest on such Notes when such payments are due, solely out of the trust created pursuant to this Indenture (as set forth in Section 13.04 and Section 13.05),</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Company’s obligations with respect to such Notes under Section 3.03, Section 3.04, Section 3.05, Section 10.02 and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10.03,</w:t>
      </w:r>
    </w:p>
    <w:p>
      <w:pPr>
        <w:spacing w:after="0" w:line="210" w:lineRule="exact"/>
        <w:rPr>
          <w:rFonts w:ascii="Arial" w:cs="Arial" w:eastAsia="Arial" w:hAnsi="Arial"/>
          <w:sz w:val="17"/>
          <w:szCs w:val="17"/>
          <w:color w:val="auto"/>
        </w:rPr>
      </w:pPr>
    </w:p>
    <w:p>
      <w:pPr>
        <w:ind w:left="660" w:right="40" w:firstLine="644"/>
        <w:spacing w:after="0" w:line="277" w:lineRule="auto"/>
        <w:tabs>
          <w:tab w:leader="none" w:pos="205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the Collateral Trustee, hereunder, and the obligations of each of the Company and the Guarantors in connection therewith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this Article Thirteen.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Subject to compliance with this Article Thirteen, the Company may exercise its option under this Section 13.02 notwithstanding the prior exercise of its option under Section 13.03 with respect to the Notes.</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121212"/>
        </w:rPr>
        <w:t xml:space="preserve">Section 13.03 </w:t>
      </w:r>
      <w:r>
        <w:rPr>
          <w:rFonts w:ascii="Arial" w:cs="Arial" w:eastAsia="Arial" w:hAnsi="Arial"/>
          <w:sz w:val="16"/>
          <w:szCs w:val="16"/>
          <w:u w:val="single" w:color="auto"/>
          <w:color w:val="000000"/>
        </w:rPr>
        <w:t>Covenant Defeasance</w:t>
      </w:r>
      <w:r>
        <w:rPr>
          <w:rFonts w:ascii="Arial" w:cs="Arial" w:eastAsia="Arial" w:hAnsi="Arial"/>
          <w:sz w:val="16"/>
          <w:szCs w:val="16"/>
          <w:color w:val="000000"/>
        </w:rPr>
        <w:t>. Upon the Company’s exercise under Section 13.01 of the option applicable to this Section 13.03, each of</w:t>
      </w:r>
      <w:r>
        <w:rPr>
          <w:rFonts w:ascii="Arial" w:cs="Arial" w:eastAsia="Arial" w:hAnsi="Arial"/>
          <w:sz w:val="16"/>
          <w:szCs w:val="16"/>
          <w:color w:val="121212"/>
        </w:rPr>
        <w:t xml:space="preserve"> </w:t>
      </w:r>
      <w:r>
        <w:rPr>
          <w:rFonts w:ascii="Arial" w:cs="Arial" w:eastAsia="Arial" w:hAnsi="Arial"/>
          <w:sz w:val="16"/>
          <w:szCs w:val="16"/>
          <w:color w:val="000000"/>
        </w:rPr>
        <w:t>the Company and the Guarantors shall be released from its respective obligations under any covenant contained in Section 8.01 and 8.02 and in</w:t>
      </w:r>
    </w:p>
    <w:p>
      <w:pPr>
        <w:spacing w:after="0" w:line="286" w:lineRule="auto"/>
        <w:rPr>
          <w:sz w:val="20"/>
          <w:szCs w:val="20"/>
          <w:color w:val="auto"/>
        </w:rPr>
      </w:pPr>
      <w:r>
        <w:rPr>
          <w:rFonts w:ascii="Arial" w:cs="Arial" w:eastAsia="Arial" w:hAnsi="Arial"/>
          <w:sz w:val="16"/>
          <w:szCs w:val="16"/>
          <w:color w:val="auto"/>
        </w:rPr>
        <w:t>Section 10.05 and 10.07 through and including 10.18 and in 10.20 with respect to the Outstanding Notes on and after the date the conditions set forth below are satisfied (hereinafter,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 Notes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Notes, the Company or any Guarantor, as applicable,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5.01(3), 5.01(4), 5.01(5), 5.01(7) and 5.01(8) and, with respect to only any Significant Subsidiary and not the Company, Section 5.01(6), but, except as specified above, the remainder of this Indenture and such Notes shall be unaffected thereby.</w:t>
      </w:r>
    </w:p>
    <w:p>
      <w:pPr>
        <w:spacing w:after="0" w:line="17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121212"/>
        </w:rPr>
        <w:t>Section 13.04</w:t>
      </w:r>
      <w:r>
        <w:rPr>
          <w:sz w:val="20"/>
          <w:szCs w:val="20"/>
          <w:color w:val="auto"/>
        </w:rPr>
        <w:tab/>
      </w:r>
      <w:r>
        <w:rPr>
          <w:rFonts w:ascii="Arial" w:cs="Arial" w:eastAsia="Arial" w:hAnsi="Arial"/>
          <w:sz w:val="16"/>
          <w:szCs w:val="16"/>
          <w:u w:val="single" w:color="auto"/>
          <w:color w:val="auto"/>
        </w:rPr>
        <w:t>Conditions to Legal Defeasance or Covenant Defeasance</w:t>
      </w:r>
      <w:r>
        <w:rPr>
          <w:rFonts w:ascii="Arial" w:cs="Arial" w:eastAsia="Arial" w:hAnsi="Arial"/>
          <w:sz w:val="16"/>
          <w:szCs w:val="16"/>
          <w:color w:val="auto"/>
        </w:rPr>
        <w:t>. The following shall be the conditions to application of either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13.02 or Section 13.03 to the Outstanding Notes:</w:t>
      </w:r>
    </w:p>
    <w:p>
      <w:pPr>
        <w:spacing w:after="0" w:line="211" w:lineRule="exact"/>
        <w:rPr>
          <w:sz w:val="20"/>
          <w:szCs w:val="20"/>
          <w:color w:val="auto"/>
        </w:rPr>
      </w:pPr>
    </w:p>
    <w:p>
      <w:pPr>
        <w:ind w:left="660" w:right="20" w:firstLine="644"/>
        <w:spacing w:after="0" w:line="289" w:lineRule="auto"/>
        <w:tabs>
          <w:tab w:leader="none" w:pos="205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the Company shall irrevocably have deposited with the Trustee (or another trustee satisfying the requirements of Section 6.08 who shall agree to comply with the provisions of this Article Thirteen applicable to it) in trust for the benefit of Holders of </w:t>
      </w:r>
      <w:r>
        <w:rPr>
          <w:rFonts w:ascii="Arial" w:cs="Arial" w:eastAsia="Arial" w:hAnsi="Arial"/>
          <w:sz w:val="16"/>
          <w:szCs w:val="16"/>
          <w:color w:val="111111"/>
        </w:rPr>
        <w:t>such Notes; (A) cash in</w:t>
      </w:r>
      <w:r>
        <w:rPr>
          <w:rFonts w:ascii="Arial" w:cs="Arial" w:eastAsia="Arial" w:hAnsi="Arial"/>
          <w:sz w:val="16"/>
          <w:szCs w:val="16"/>
          <w:color w:val="auto"/>
        </w:rPr>
        <w:t xml:space="preserve"> </w:t>
      </w:r>
      <w:r>
        <w:rPr>
          <w:rFonts w:ascii="Arial" w:cs="Arial" w:eastAsia="Arial" w:hAnsi="Arial"/>
          <w:sz w:val="16"/>
          <w:szCs w:val="16"/>
          <w:color w:val="111111"/>
        </w:rPr>
        <w:t xml:space="preserve">U.S. dollars, or (B) non-callable Government Securities, or (C) a combination thereof, in such amounts as shall be sufficient, in the opinion of a nationally recognized firm of independent public accountants to pay, and which shall be applied by the Trustee (or other qualifying trustee) to pay, the principal of, premium, if any, and interest due on the Outstanding Notes on the Stated Maturity or Redemption Date, as the case may be; </w:t>
      </w:r>
      <w:r>
        <w:rPr>
          <w:rFonts w:ascii="Arial" w:cs="Arial" w:eastAsia="Arial" w:hAnsi="Arial"/>
          <w:sz w:val="16"/>
          <w:szCs w:val="16"/>
          <w:i w:val="1"/>
          <w:iCs w:val="1"/>
          <w:color w:val="111111"/>
        </w:rPr>
        <w:t xml:space="preserve">provided </w:t>
      </w:r>
      <w:r>
        <w:rPr>
          <w:rFonts w:ascii="Arial" w:cs="Arial" w:eastAsia="Arial" w:hAnsi="Arial"/>
          <w:sz w:val="16"/>
          <w:szCs w:val="16"/>
          <w:color w:val="111111"/>
        </w:rPr>
        <w:t>that the Trustee shall have been irrevocably instructed to apply such cash or the proceeds of such Government Securities to said</w:t>
      </w:r>
      <w:r>
        <w:rPr>
          <w:rFonts w:ascii="Arial" w:cs="Arial" w:eastAsia="Arial" w:hAnsi="Arial"/>
          <w:sz w:val="16"/>
          <w:szCs w:val="16"/>
          <w:i w:val="1"/>
          <w:iCs w:val="1"/>
          <w:color w:val="111111"/>
        </w:rPr>
        <w:t xml:space="preserve"> </w:t>
      </w:r>
      <w:r>
        <w:rPr>
          <w:rFonts w:ascii="Arial" w:cs="Arial" w:eastAsia="Arial" w:hAnsi="Arial"/>
          <w:sz w:val="16"/>
          <w:szCs w:val="16"/>
          <w:color w:val="111111"/>
        </w:rPr>
        <w:t xml:space="preserve">payments with respect to the Notes; before such a deposit, the Company may give to the Trustee, in accordance with Section 11.04 hereof, </w:t>
      </w:r>
      <w:r>
        <w:rPr>
          <w:rFonts w:ascii="Arial" w:cs="Arial" w:eastAsia="Arial" w:hAnsi="Arial"/>
          <w:sz w:val="16"/>
          <w:szCs w:val="16"/>
          <w:color w:val="000000"/>
        </w:rPr>
        <w:t>a</w:t>
      </w:r>
      <w:r>
        <w:rPr>
          <w:rFonts w:ascii="Arial" w:cs="Arial" w:eastAsia="Arial" w:hAnsi="Arial"/>
          <w:sz w:val="16"/>
          <w:szCs w:val="16"/>
          <w:color w:val="111111"/>
        </w:rPr>
        <w:t xml:space="preserve"> notice of its election to redeem </w:t>
      </w:r>
      <w:r>
        <w:rPr>
          <w:rFonts w:ascii="Arial" w:cs="Arial" w:eastAsia="Arial" w:hAnsi="Arial"/>
          <w:sz w:val="16"/>
          <w:szCs w:val="16"/>
          <w:color w:val="000000"/>
        </w:rPr>
        <w:t>all</w:t>
      </w:r>
      <w:r>
        <w:rPr>
          <w:rFonts w:ascii="Arial" w:cs="Arial" w:eastAsia="Arial" w:hAnsi="Arial"/>
          <w:sz w:val="16"/>
          <w:szCs w:val="16"/>
          <w:color w:val="111111"/>
        </w:rPr>
        <w:t xml:space="preserve"> of the Outstanding Notes at a future date </w:t>
      </w:r>
      <w:r>
        <w:rPr>
          <w:rFonts w:ascii="Arial" w:cs="Arial" w:eastAsia="Arial" w:hAnsi="Arial"/>
          <w:sz w:val="16"/>
          <w:szCs w:val="16"/>
          <w:color w:val="000000"/>
        </w:rPr>
        <w:t>in</w:t>
      </w:r>
      <w:r>
        <w:rPr>
          <w:rFonts w:ascii="Arial" w:cs="Arial" w:eastAsia="Arial" w:hAnsi="Arial"/>
          <w:sz w:val="16"/>
          <w:szCs w:val="16"/>
          <w:color w:val="111111"/>
        </w:rPr>
        <w:t xml:space="preserve"> accordance with Article Eleven hereof, which notice shall be irrevocable; such irrevocable redemption notice, if given, shall be given effect in applying the foregoing;</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ind w:left="660" w:right="140" w:firstLine="644"/>
        <w:spacing w:after="0" w:line="277" w:lineRule="auto"/>
        <w:tabs>
          <w:tab w:leader="none" w:pos="205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case of Legal Defeasance, the Company shall have delivered to the Trustee an Opinion of Counsel in the United States confirming that, subject to customary assumptions and exclusions,</w:t>
      </w:r>
    </w:p>
    <w:p>
      <w:pPr>
        <w:spacing w:after="0" w:line="170" w:lineRule="exact"/>
        <w:rPr>
          <w:rFonts w:ascii="Arial" w:cs="Arial" w:eastAsia="Arial" w:hAnsi="Arial"/>
          <w:sz w:val="18"/>
          <w:szCs w:val="18"/>
          <w:color w:val="auto"/>
        </w:rPr>
      </w:pPr>
    </w:p>
    <w:p>
      <w:pPr>
        <w:ind w:left="2740" w:hanging="788"/>
        <w:spacing w:after="0"/>
        <w:tabs>
          <w:tab w:leader="none" w:pos="274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 Company has received from, or there has been published by, the United States Internal Revenue Service a ruling,</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2740" w:hanging="788"/>
        <w:spacing w:after="0"/>
        <w:tabs>
          <w:tab w:leader="none" w:pos="2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since the issuance of the Notes, there has been a change in the applicable U.S. federal income tax law,</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in the United States shall confirm that, subject to customary assumptions and exclusions, the beneficial owners of the Outstanding Notes shall not recognize income, gain or loss for U.S. federal income tax purposes as a result of such Legal Defeasance and shall be subject to U.S. federal income tax on the same amounts, in the same manner and at the same times as would have been the case if such Legal Defeasance had not occurred;</w:t>
      </w:r>
    </w:p>
    <w:p>
      <w:pPr>
        <w:spacing w:after="0" w:line="187" w:lineRule="exact"/>
        <w:rPr>
          <w:sz w:val="20"/>
          <w:szCs w:val="20"/>
          <w:color w:val="auto"/>
        </w:rPr>
      </w:pPr>
    </w:p>
    <w:p>
      <w:pPr>
        <w:ind w:left="660" w:right="260" w:firstLine="644"/>
        <w:spacing w:after="0" w:line="301" w:lineRule="auto"/>
        <w:tabs>
          <w:tab w:leader="none" w:pos="205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 the case of Covenant Defeasance, the Company shall have delivered to the Trustee an Opinion of Counsel in the United States confirming that, subject to customary assumptions and exclusions, the beneficial owners of the Outstanding Notes shall not recognize income, gain or loss for U.S. federal income tax purposes as a result of such Covenant Defeasance and shall be subject to such tax on the same amounts, in the same manner and at the same times as would have been the case if such Covenant Defeasance had not occurred;</w:t>
      </w:r>
    </w:p>
    <w:p>
      <w:pPr>
        <w:spacing w:after="0" w:line="157" w:lineRule="exact"/>
        <w:rPr>
          <w:rFonts w:ascii="Arial" w:cs="Arial" w:eastAsia="Arial" w:hAnsi="Arial"/>
          <w:sz w:val="16"/>
          <w:szCs w:val="16"/>
          <w:color w:val="auto"/>
        </w:rPr>
      </w:pPr>
    </w:p>
    <w:p>
      <w:pPr>
        <w:ind w:left="660" w:right="340" w:firstLine="644"/>
        <w:spacing w:after="0" w:line="277" w:lineRule="auto"/>
        <w:tabs>
          <w:tab w:leader="none" w:pos="205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Default (other than that resulting from borrowing funds to be applied to make such deposit and the granting of Liens in connection therewith) shall have occurred and be continuing on the date of such deposit;</w:t>
      </w:r>
    </w:p>
    <w:p>
      <w:pPr>
        <w:spacing w:after="0" w:line="170" w:lineRule="exact"/>
        <w:rPr>
          <w:rFonts w:ascii="Arial" w:cs="Arial" w:eastAsia="Arial" w:hAnsi="Arial"/>
          <w:sz w:val="18"/>
          <w:szCs w:val="18"/>
          <w:color w:val="auto"/>
        </w:rPr>
      </w:pPr>
    </w:p>
    <w:p>
      <w:pPr>
        <w:ind w:left="660" w:right="80" w:firstLine="644"/>
        <w:spacing w:after="0" w:line="263" w:lineRule="auto"/>
        <w:tabs>
          <w:tab w:leader="none" w:pos="205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Credit Facility or any other material agreement or instrument (other than this Indenture) to which, the Company or any Guarantor is a party or by which the Company or any Guarantor is bound;</w:t>
      </w:r>
    </w:p>
    <w:p>
      <w:pPr>
        <w:spacing w:after="0" w:line="183" w:lineRule="exact"/>
        <w:rPr>
          <w:rFonts w:ascii="Arial" w:cs="Arial" w:eastAsia="Arial" w:hAnsi="Arial"/>
          <w:sz w:val="18"/>
          <w:szCs w:val="18"/>
          <w:color w:val="auto"/>
        </w:rPr>
      </w:pPr>
    </w:p>
    <w:p>
      <w:pPr>
        <w:ind w:left="660" w:firstLine="644"/>
        <w:spacing w:after="0" w:line="308" w:lineRule="auto"/>
        <w:tabs>
          <w:tab w:leader="none" w:pos="2057" w:val="left"/>
        </w:tabs>
        <w:numPr>
          <w:ilvl w:val="0"/>
          <w:numId w:val="207"/>
        </w:numPr>
        <w:rPr>
          <w:rFonts w:ascii="Arial" w:cs="Arial" w:eastAsia="Arial" w:hAnsi="Arial"/>
          <w:sz w:val="17"/>
          <w:szCs w:val="17"/>
          <w:color w:val="auto"/>
        </w:rPr>
      </w:pPr>
      <w:r>
        <w:rPr>
          <w:rFonts w:ascii="Arial" w:cs="Arial" w:eastAsia="Arial" w:hAnsi="Arial"/>
          <w:sz w:val="17"/>
          <w:szCs w:val="17"/>
          <w:color w:val="121212"/>
        </w:rPr>
        <w:t>the Company shall have delivered to the Trustee an Officer’s Certificate stating that the deposit was not made by the Company with the intent of defeating, hindering, delaying or defrauding any creditors of the Company or any Guarantor or others; and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53" w:name="page154"/>
    <w:bookmarkEnd w:id="153"/>
    <w:p>
      <w:pPr>
        <w:ind w:left="660" w:right="120" w:firstLine="644"/>
        <w:spacing w:after="0" w:line="286" w:lineRule="auto"/>
        <w:tabs>
          <w:tab w:leader="none" w:pos="2057" w:val="left"/>
        </w:tabs>
        <w:numPr>
          <w:ilvl w:val="0"/>
          <w:numId w:val="208"/>
        </w:numPr>
        <w:rPr>
          <w:rFonts w:ascii="Arial" w:cs="Arial" w:eastAsia="Arial" w:hAnsi="Arial"/>
          <w:sz w:val="17"/>
          <w:szCs w:val="17"/>
          <w:color w:val="auto"/>
        </w:rPr>
      </w:pPr>
      <w:r>
        <w:rPr>
          <w:rFonts w:ascii="Arial" w:cs="Arial" w:eastAsia="Arial" w:hAnsi="Arial"/>
          <w:sz w:val="17"/>
          <w:szCs w:val="17"/>
          <w:color w:val="121212"/>
        </w:rPr>
        <w:t xml:space="preserve">the Company shall have delivered to the Trustee an Officer’s Certificate and an Opinion of Counsel in the United States of America (which Opinion of Counsel may </w:t>
      </w:r>
      <w:r>
        <w:rPr>
          <w:rFonts w:ascii="Arial" w:cs="Arial" w:eastAsia="Arial" w:hAnsi="Arial"/>
          <w:sz w:val="17"/>
          <w:szCs w:val="17"/>
          <w:color w:val="000000"/>
        </w:rPr>
        <w:t>be</w:t>
      </w:r>
      <w:r>
        <w:rPr>
          <w:rFonts w:ascii="Arial" w:cs="Arial" w:eastAsia="Arial" w:hAnsi="Arial"/>
          <w:sz w:val="17"/>
          <w:szCs w:val="17"/>
          <w:color w:val="121212"/>
        </w:rPr>
        <w:t xml:space="preserve"> subject to customary assumptions and exclusions) each stating that all conditions precedent relating to the Legal Defeasance or the Covenant Defeasance, as the case may be, have </w:t>
      </w:r>
      <w:r>
        <w:rPr>
          <w:rFonts w:ascii="Arial" w:cs="Arial" w:eastAsia="Arial" w:hAnsi="Arial"/>
          <w:sz w:val="17"/>
          <w:szCs w:val="17"/>
          <w:color w:val="000000"/>
        </w:rPr>
        <w:t>been</w:t>
      </w:r>
      <w:r>
        <w:rPr>
          <w:rFonts w:ascii="Arial" w:cs="Arial" w:eastAsia="Arial" w:hAnsi="Arial"/>
          <w:sz w:val="17"/>
          <w:szCs w:val="17"/>
          <w:color w:val="121212"/>
        </w:rPr>
        <w:t xml:space="preserve"> complied with.</w:t>
      </w:r>
    </w:p>
    <w:p>
      <w:pPr>
        <w:spacing w:after="0" w:line="16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Notwithstanding the foregoing, the Opinion of Counsel required by clause (2) above with respect to Legal Defeasance need not be delivered if all Notes not theretofore delivered to the Trustee for cancellation (A) have become due and payable by reason of the making of a notice of redemption or otherwise, (B) will become due and payable within one year or (C) are to be called for redemption within one year under arrangements satisfactory to the Trustee for the giving of notice of redemption by the Trustee in the name, and at the expense, of the Company.</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Deposited Money and Government Securities to Be Held in Trust; Other Miscellaneous Provisions</w:t>
      </w:r>
      <w:r>
        <w:rPr>
          <w:rFonts w:ascii="Arial" w:cs="Arial" w:eastAsia="Arial" w:hAnsi="Arial"/>
          <w:sz w:val="18"/>
          <w:szCs w:val="18"/>
          <w:color w:val="auto"/>
        </w:rPr>
        <w:t>. All cash and Government Securities (including the proceeds thereof) deposited with the Trustee (or other qualifying trustee, collectively for purposes of this Section 13.05, the “</w:t>
      </w:r>
      <w:r>
        <w:rPr>
          <w:rFonts w:ascii="Arial" w:cs="Arial" w:eastAsia="Arial" w:hAnsi="Arial"/>
          <w:sz w:val="18"/>
          <w:szCs w:val="18"/>
          <w:i w:val="1"/>
          <w:iCs w:val="1"/>
          <w:color w:val="auto"/>
        </w:rPr>
        <w:t>Qualifying Trustee</w:t>
      </w:r>
      <w:r>
        <w:rPr>
          <w:rFonts w:ascii="Arial" w:cs="Arial" w:eastAsia="Arial" w:hAnsi="Arial"/>
          <w:sz w:val="18"/>
          <w:szCs w:val="18"/>
          <w:color w:val="auto"/>
        </w:rPr>
        <w:t>”) pursuant to Section 13.04 in respect of the Outstanding Notes shall be held in trust and applied by the Qualifying Trustee, in accordance with the provisions of such Notes and this Indenture, to the payment, either directly or through any Paying Agent (including the Company or a Subsidiary acting as its own Paying Agent) as the Qualifying Trustee may determine, to the Holders of such Notes of all sums due and to become due thereon in respect of principal (and premium, if any) and interest, but such money or Government Securities need not be segregated from other funds except to the extent required by law.</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pay and indemnify the Qualifying Trustee against any tax, fee or other charge imposed on or assessed against the Government Securities deposited pursuant to Section 13.04 or the principal and interest received in respect thereof other than any such tax, fee or other charge which by law is for the account of the beneficial owners of the Outstanding Notes.</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Anything in this Article Thirteen to the contrary notwithstanding, the Qualifying Trustee shall deliver or pay to the Company from time to time upon Company Request any money or Government Securities held by it as provided in Section 13.04 which, in the opinion of a nationally recognized firm of independent public accountants, expressed in a written certification thereof delivered to the Qualifying Trustee, are in excess of the amount thereof which would then be required to be deposited to effect an equivalent Legal Defeasance or Covenant Defeasance, as applicable, in accordance with this Article Thirteen.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54" w:name="page155"/>
    <w:bookmarkEnd w:id="154"/>
    <w:p>
      <w:pPr>
        <w:ind w:right="20" w:firstLine="648"/>
        <w:spacing w:after="0" w:line="269" w:lineRule="auto"/>
        <w:rPr>
          <w:sz w:val="20"/>
          <w:szCs w:val="20"/>
          <w:color w:val="auto"/>
        </w:rPr>
      </w:pPr>
      <w:r>
        <w:rPr>
          <w:rFonts w:ascii="Arial" w:cs="Arial" w:eastAsia="Arial" w:hAnsi="Arial"/>
          <w:sz w:val="17"/>
          <w:szCs w:val="17"/>
          <w:color w:val="121212"/>
        </w:rPr>
        <w:t xml:space="preserve">Section 13.06 </w:t>
      </w:r>
      <w:r>
        <w:rPr>
          <w:rFonts w:ascii="Arial" w:cs="Arial" w:eastAsia="Arial" w:hAnsi="Arial"/>
          <w:sz w:val="17"/>
          <w:szCs w:val="17"/>
          <w:u w:val="single" w:color="auto"/>
          <w:color w:val="000000"/>
        </w:rPr>
        <w:t>Reinstatement</w:t>
      </w:r>
      <w:r>
        <w:rPr>
          <w:rFonts w:ascii="Arial" w:cs="Arial" w:eastAsia="Arial" w:hAnsi="Arial"/>
          <w:sz w:val="17"/>
          <w:szCs w:val="17"/>
          <w:color w:val="000000"/>
        </w:rPr>
        <w:t>. If the Trustee or any Paying Agent is unable to apply any money or Government Securities in accordance with</w:t>
      </w:r>
      <w:r>
        <w:rPr>
          <w:rFonts w:ascii="Arial" w:cs="Arial" w:eastAsia="Arial" w:hAnsi="Arial"/>
          <w:sz w:val="17"/>
          <w:szCs w:val="17"/>
          <w:color w:val="121212"/>
        </w:rPr>
        <w:t xml:space="preserve"> </w:t>
      </w:r>
      <w:r>
        <w:rPr>
          <w:rFonts w:ascii="Arial" w:cs="Arial" w:eastAsia="Arial" w:hAnsi="Arial"/>
          <w:sz w:val="17"/>
          <w:szCs w:val="17"/>
          <w:color w:val="000000"/>
        </w:rPr>
        <w:t xml:space="preserve">Section 13.05 by reason of any order or judgment of any court or governmental authority enjoining, restraining or otherwise prohibiting such application, then the Company’s and each Guarantor’s obligations under this Indenture and the Outstanding Notes shall be revived and reinstated as though no deposit had occurred pursuant to Section 13.02 or 13.03, as the case may be, until such time as the Trustee or Paying Agent is permitted to apply all such money or Government Securities in accordance with Section 13.05;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that (a) if the Company makes any payment of principal of (or premium, if any) or interest on any Note following the reinstatement of its obligations, the Company shall be subrogated to the rights of the Holders of such Notes to receive such payment from the money or Government Securities held by the Trustee or Paying Agent; and (b) unless otherwise required by any legal proceeding or any other order or judgment of any court or governmental authority, the Trustee or Paying Agent (if other than the Company) shall return all such money and Government Securities to the Company promptly after receiving a written request therefor at any time, if such reinstatement of the Company’s obligations has occurred and continues to be in effect.</w:t>
      </w:r>
    </w:p>
    <w:p>
      <w:pPr>
        <w:spacing w:after="0" w:line="18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Section 13.07 </w:t>
      </w:r>
      <w:r>
        <w:rPr>
          <w:rFonts w:ascii="Arial" w:cs="Arial" w:eastAsia="Arial" w:hAnsi="Arial"/>
          <w:sz w:val="16"/>
          <w:szCs w:val="16"/>
          <w:u w:val="single" w:color="auto"/>
          <w:color w:val="auto"/>
        </w:rPr>
        <w:t>Repayment to Company</w:t>
      </w:r>
      <w:r>
        <w:rPr>
          <w:rFonts w:ascii="Arial" w:cs="Arial" w:eastAsia="Arial" w:hAnsi="Arial"/>
          <w:sz w:val="16"/>
          <w:szCs w:val="16"/>
          <w:color w:val="auto"/>
        </w:rPr>
        <w:t>. Subject to any laws relating to abandoned property, any money deposited with the Trustee or any Paying Agent, or then held by the Company, in trust for the payment of the principal of, premium, if any, or interest on any Note and remaining unclaimed for two years after such principal, and premium, if any, or interest has become due and payable shall be paid to the Company on its request or (if then held by the Company) shall be discharged from such trust; and the Holder of such Note shall thereafter look only to the Company for payment thereof, and all liability of the Trustee or such Paying Agent with respect to such trust money, and all liability of the Company as trustee thereof, shall thereupon cease.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FOURTEEN</w:t>
      </w:r>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INTERCREDITOR AGREEMENT AND COLLATERAL TRUST AGREEMENT</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14.01</w:t>
      </w:r>
      <w:r>
        <w:rPr>
          <w:sz w:val="20"/>
          <w:szCs w:val="20"/>
          <w:color w:val="auto"/>
        </w:rPr>
        <w:tab/>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6" w:lineRule="auto"/>
        <w:tabs>
          <w:tab w:leader="none" w:pos="138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Each Holder by accepting a Note agrees that the Note Liens are subject to the terms of the Intercreditor Agreement. The Holders by accepting a Note hereby authorize and direct the Collateral Trustee to enter into the Intercreditor Agreement on behalf of the Holders and the Trustee and agree that the Holders shall comply with the provisions of the Intercreditor Agreement applicable to them in their capacities as such to the same extent as if the Holders were parties thereto. In the event of any conflict or inconsistency among the provisions of this Indenture or the Security Agreement or the Mortgages, on the one hand, and the Intercreditor Agreement, on the other hand, the provisions of the Intercreditor Agreement shall control.</w:t>
      </w:r>
    </w:p>
    <w:p>
      <w:pPr>
        <w:spacing w:after="0" w:line="161" w:lineRule="exact"/>
        <w:rPr>
          <w:rFonts w:ascii="Arial" w:cs="Arial" w:eastAsia="Arial" w:hAnsi="Arial"/>
          <w:sz w:val="16"/>
          <w:szCs w:val="16"/>
          <w:color w:val="auto"/>
        </w:rPr>
      </w:pPr>
    </w:p>
    <w:p>
      <w:pPr>
        <w:ind w:right="160" w:firstLine="656"/>
        <w:spacing w:after="0" w:line="255" w:lineRule="auto"/>
        <w:tabs>
          <w:tab w:leader="none" w:pos="139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the Collateral Trustee shall, upon written request of the Company (and upon receipt of an Officer’s Certificate and Opinion of Counsel complying with Sections 1.03 and 9.03), enter into amendments or joinders to the Intercreditor Agreement or an additional intercreditor agreement, in each case without the consent of any Holder, with the agent for the holders of any Permitted ABL Obligations on terms and conditions that, in the good faith determination of the Company, are not less favorable, taken as a whole, to the Holders of Notes than the terms of the Intercreditor Agreement and thereafter such amended or new intercreditor agreement shall be deemed to be the Intercreditor Agreement for all purposes of this Indenture.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55" w:name="page156"/>
    <w:bookmarkEnd w:id="155"/>
    <w:p>
      <w:pPr>
        <w:ind w:left="660"/>
        <w:spacing w:after="0"/>
        <w:tabs>
          <w:tab w:leader="none" w:pos="1900" w:val="left"/>
        </w:tabs>
        <w:rPr>
          <w:sz w:val="20"/>
          <w:szCs w:val="20"/>
          <w:color w:val="auto"/>
        </w:rPr>
      </w:pPr>
      <w:r>
        <w:rPr>
          <w:rFonts w:ascii="Arial" w:cs="Arial" w:eastAsia="Arial" w:hAnsi="Arial"/>
          <w:sz w:val="18"/>
          <w:szCs w:val="18"/>
          <w:color w:val="auto"/>
        </w:rPr>
        <w:t>Section 14.02</w:t>
      </w:r>
      <w:r>
        <w:rPr>
          <w:sz w:val="20"/>
          <w:szCs w:val="20"/>
          <w:color w:val="auto"/>
        </w:rPr>
        <w:tab/>
      </w:r>
      <w:r>
        <w:rPr>
          <w:rFonts w:ascii="Arial" w:cs="Arial" w:eastAsia="Arial" w:hAnsi="Arial"/>
          <w:sz w:val="16"/>
          <w:szCs w:val="16"/>
          <w:u w:val="single" w:color="auto"/>
          <w:color w:val="auto"/>
        </w:rPr>
        <w:t>Collateral Trust Agreement</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96" w:lineRule="auto"/>
        <w:tabs>
          <w:tab w:leader="none" w:pos="138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Each Holder by accepting a Note agrees that the Note Liens are subject to the terms of the Collateral Trust Agreement. The Holders by accepting a Note hereby authorize the Trustee and the Collateral Trustee to enter into the Collateral Trust Agreement on behalf of the Holders and agree that the Holders shall comply with the provisions of the Collateral Trust Agreement applicable to them in their capacities as such to the same extent as if the Holders were parties thereto. In the event of any conflict or inconsistency among the provisions of this Indenture or the Security Agreement or the Mortgages, on the one hand, and the Collateral Trust Agreement, on the other hand, the provisions of the Collateral Trust Agreement shall control.</w:t>
      </w:r>
    </w:p>
    <w:p>
      <w:pPr>
        <w:spacing w:after="0" w:line="16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So long as no Event of Default has occurred and is continuing, the Trustee shall, upon written request of the Company enter into and/or direct the Collateral Trustee to enter into amendments or joinders to the Collateral Trust Agreement in accordance with its terms and Article Nine 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FIFTEEN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COLLATERAL</w:t>
      </w:r>
    </w:p>
    <w:p>
      <w:pPr>
        <w:spacing w:after="0" w:line="229"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 xml:space="preserve">Section 15.01 </w:t>
      </w:r>
      <w:r>
        <w:rPr>
          <w:rFonts w:ascii="Arial" w:cs="Arial" w:eastAsia="Arial" w:hAnsi="Arial"/>
          <w:sz w:val="17"/>
          <w:szCs w:val="17"/>
          <w:u w:val="single" w:color="auto"/>
          <w:color w:val="auto"/>
        </w:rPr>
        <w:t>Security Documents</w:t>
      </w:r>
      <w:r>
        <w:rPr>
          <w:rFonts w:ascii="Arial" w:cs="Arial" w:eastAsia="Arial" w:hAnsi="Arial"/>
          <w:sz w:val="17"/>
          <w:szCs w:val="17"/>
          <w:color w:val="auto"/>
        </w:rPr>
        <w:t>. The Indenture Obligations are secured as provided in the Security Documents and will be secured by Security Documents hereafter delivered as required or permitted by this Indenture. The Company shall, and shall cause each Guarantor to, and each Guarantor shall, make all filings (including filings of continuation statements and amendments to UCC financing statements that may be necessary to continue the effectiveness of such UCC financing statements) as are required by the Security Documents to maintain (at the sole cost and expense of the Company and the Guarantors) the security interest created by the Security Documents in the Collateral as a perfected security interest to the extent perfection is required by the Security Documents, subject only to Permitted Liens.</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Each Holder, by accepting a Note, acknowledges that, as more fully set forth in the Security Documents, the Collateral as now or hereafter constituted shall be held for the benefit of all the Holders subject to and qualified and limited in all respects by the Intercreditor Agreement, Collateral Trust Agreement and the other the Security Documents and actions that may be taken thereunder.</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15.02</w:t>
      </w:r>
      <w:r>
        <w:rPr>
          <w:sz w:val="20"/>
          <w:szCs w:val="20"/>
          <w:color w:val="auto"/>
        </w:rPr>
        <w:tab/>
      </w:r>
      <w:r>
        <w:rPr>
          <w:rFonts w:ascii="Arial" w:cs="Arial" w:eastAsia="Arial" w:hAnsi="Arial"/>
          <w:sz w:val="16"/>
          <w:szCs w:val="16"/>
          <w:u w:val="single" w:color="auto"/>
          <w:color w:val="auto"/>
        </w:rPr>
        <w:t>Collateral Trustee</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1" w:lineRule="auto"/>
        <w:tabs>
          <w:tab w:leader="none" w:pos="1387" w:val="left"/>
        </w:tabs>
        <w:numPr>
          <w:ilvl w:val="0"/>
          <w:numId w:val="211"/>
        </w:numPr>
        <w:rPr>
          <w:rFonts w:ascii="Arial" w:cs="Arial" w:eastAsia="Arial" w:hAnsi="Arial"/>
          <w:sz w:val="17"/>
          <w:szCs w:val="17"/>
          <w:color w:val="auto"/>
        </w:rPr>
      </w:pPr>
      <w:r>
        <w:rPr>
          <w:rFonts w:ascii="Arial" w:cs="Arial" w:eastAsia="Arial" w:hAnsi="Arial"/>
          <w:sz w:val="17"/>
          <w:szCs w:val="17"/>
          <w:color w:val="131313"/>
        </w:rPr>
        <w:t xml:space="preserve">U.S. Bank </w:t>
      </w:r>
      <w:r>
        <w:rPr>
          <w:rFonts w:ascii="Arial" w:cs="Arial" w:eastAsia="Arial" w:hAnsi="Arial"/>
          <w:sz w:val="17"/>
          <w:szCs w:val="17"/>
          <w:color w:val="000000"/>
        </w:rPr>
        <w:t>National Association is hereby designated and appointed as the Collateral Trustee of the Holders under the Security</w:t>
      </w:r>
      <w:r>
        <w:rPr>
          <w:rFonts w:ascii="Arial" w:cs="Arial" w:eastAsia="Arial" w:hAnsi="Arial"/>
          <w:sz w:val="17"/>
          <w:szCs w:val="17"/>
          <w:color w:val="131313"/>
        </w:rPr>
        <w:t xml:space="preserve"> </w:t>
      </w:r>
      <w:r>
        <w:rPr>
          <w:rFonts w:ascii="Arial" w:cs="Arial" w:eastAsia="Arial" w:hAnsi="Arial"/>
          <w:sz w:val="17"/>
          <w:szCs w:val="17"/>
          <w:color w:val="000000"/>
        </w:rPr>
        <w:t>Documents, and is authorized as the Collateral Trustee for such Holders to execute and enter into each of the Security Documents and all other instruments relating to the Security Documents and (i) to take action and exercise such powers and remedies as are expressly required or permitted hereunder and under the Security Documents and all instruments relating hereto and thereto and (ii) to exercise such powers and perform such duties as are, in each case, expressly delegated to the Collateral Trustee by the terms hereof and thereof, together with such other powers as are reasonably incidental hereto and thereto. The Collateral Trustee shall have all the rights and protections provided in the Security Documents and, additionally, shall have all the rights and protections provided to the “Trustee” under Article Six (it being understood that the standard of care of the Collateral Trustee shall be as set forth in Section 5.5 of the Collateral Trust Agreement).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ind w:right="40" w:firstLine="656"/>
        <w:spacing w:after="0" w:line="255" w:lineRule="auto"/>
        <w:tabs>
          <w:tab w:leader="none" w:pos="139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Subject to Section 5.5 of the Collateral Trust Agreement, and subject to Section 6.01 hereof, none of the Collateral Trustee, Trustee, Paying Agent, Note Registrar, such other agent nor any of their respective officers, directors, employees, attorneys or agents will be responsible or liable for the existence, genuineness, value or protection of any Collateral, for the legality, enforceability, effectiveness or sufficiency of the Security Documents or the Intercreditor Agreement or for the creation, perfection, maintenance, priority, sufficiency or protection of any Note Liens. Neither the Trustee nor the Collateral Trustee shall be responsible for filing any financing statement, continuation statement or other document, agreement or instrument to perfect or maintain the perfection of the Note Liens.</w:t>
      </w:r>
    </w:p>
    <w:p>
      <w:pPr>
        <w:spacing w:after="0" w:line="192" w:lineRule="exact"/>
        <w:rPr>
          <w:rFonts w:ascii="Arial" w:cs="Arial" w:eastAsia="Arial" w:hAnsi="Arial"/>
          <w:sz w:val="18"/>
          <w:szCs w:val="18"/>
          <w:color w:val="auto"/>
        </w:rPr>
      </w:pPr>
    </w:p>
    <w:p>
      <w:pPr>
        <w:ind w:right="240" w:firstLine="656"/>
        <w:spacing w:after="0" w:line="263" w:lineRule="auto"/>
        <w:tabs>
          <w:tab w:leader="none" w:pos="1387" w:val="left"/>
        </w:tabs>
        <w:numPr>
          <w:ilvl w:val="0"/>
          <w:numId w:val="212"/>
        </w:numPr>
        <w:rPr>
          <w:rFonts w:ascii="Arial" w:cs="Arial" w:eastAsia="Arial" w:hAnsi="Arial"/>
          <w:sz w:val="18"/>
          <w:szCs w:val="18"/>
          <w:color w:val="121212"/>
        </w:rPr>
      </w:pPr>
      <w:r>
        <w:rPr>
          <w:rFonts w:ascii="Arial" w:cs="Arial" w:eastAsia="Arial" w:hAnsi="Arial"/>
          <w:sz w:val="18"/>
          <w:szCs w:val="18"/>
          <w:color w:val="auto"/>
        </w:rPr>
        <w:t xml:space="preserve">Except as required or permitted by this Indenture, the Collateral Trust Agreement or the other Security Documents, the Holders, by accepting a Note, acknowledge that the Collateral Trustee will not be obligated </w:t>
      </w:r>
      <w:r>
        <w:rPr>
          <w:rFonts w:ascii="Arial" w:cs="Arial" w:eastAsia="Arial" w:hAnsi="Arial"/>
          <w:sz w:val="18"/>
          <w:szCs w:val="18"/>
          <w:color w:val="121212"/>
        </w:rPr>
        <w:t>to take any action whatsoever with regard to any or all of the Note Liens,</w:t>
      </w:r>
      <w:r>
        <w:rPr>
          <w:rFonts w:ascii="Arial" w:cs="Arial" w:eastAsia="Arial" w:hAnsi="Arial"/>
          <w:sz w:val="18"/>
          <w:szCs w:val="18"/>
          <w:color w:val="auto"/>
        </w:rPr>
        <w:t xml:space="preserve"> </w:t>
      </w:r>
      <w:r>
        <w:rPr>
          <w:rFonts w:ascii="Arial" w:cs="Arial" w:eastAsia="Arial" w:hAnsi="Arial"/>
          <w:sz w:val="18"/>
          <w:szCs w:val="18"/>
          <w:color w:val="121212"/>
        </w:rPr>
        <w:t>Security Documents or Collateral.</w:t>
      </w:r>
    </w:p>
    <w:p>
      <w:pPr>
        <w:spacing w:after="0" w:line="183" w:lineRule="exact"/>
        <w:rPr>
          <w:rFonts w:ascii="Arial" w:cs="Arial" w:eastAsia="Arial" w:hAnsi="Arial"/>
          <w:sz w:val="18"/>
          <w:szCs w:val="18"/>
          <w:color w:val="121212"/>
        </w:rPr>
      </w:pPr>
    </w:p>
    <w:p>
      <w:pPr>
        <w:jc w:val="both"/>
        <w:ind w:firstLine="656"/>
        <w:spacing w:after="0" w:line="290" w:lineRule="auto"/>
        <w:tabs>
          <w:tab w:leader="none" w:pos="142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Beyond the exercise of reasonable care in the custody of Collateral in its possession, neither the Collateral Trustee nor the Trustee shall have any duty as to any Collateral in its possession or control or in the possession or control of any agent or bailee or any income thereon or as to preservation of rights against prior parties or any other rights pertaining thereto, and neither the Collateral Trustee nor the Trustee will be responsible for filing any financing or continuation statements or recording any documents or instruments in any public office at any time or times or otherwise perfecting or maintaining the perfection of any Liens on the Collateral. The Collateral Trustee and Trustee will be deemed to have exercised reasonable care in the custody of the Collateral in its possession if the Collateral is accorded treatment substantially equal to that which it accords its own property, and the Collateral Trustee and Trustee will not be liable or responsible for any loss or diminution in the value of any of the Collateral by reason of the act or omission of any carrier, forwarding agency or other agent or bailee selected by the Collateral Trustee of Trustee in good faith.</w:t>
      </w:r>
    </w:p>
    <w:p>
      <w:pPr>
        <w:spacing w:after="0" w:line="165" w:lineRule="exact"/>
        <w:rPr>
          <w:rFonts w:ascii="Arial" w:cs="Arial" w:eastAsia="Arial" w:hAnsi="Arial"/>
          <w:sz w:val="16"/>
          <w:szCs w:val="16"/>
          <w:color w:val="auto"/>
        </w:rPr>
      </w:pPr>
    </w:p>
    <w:p>
      <w:pPr>
        <w:jc w:val="both"/>
        <w:ind w:firstLine="656"/>
        <w:spacing w:after="0" w:line="291" w:lineRule="auto"/>
        <w:tabs>
          <w:tab w:leader="none" w:pos="144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Neither the Collateral Trustee nor the Trustee will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except to the extent such action or omission constitutes gross negligence or willful misconduct on the part of the Collateral Trustee of Trustee, for the validity or sufficiency of the Collateral or any agreement or assignment contained therein, for the validity of the title of any Grantor to the Collateral, for insuring the Collateral or for the payment of taxes, charges, assessments or Liens upon the Collateral or otherwise as to the maintenance of the Collateral. Each of the Trustee and the Collateral Trustee hereby disclaims any representation or warranty to the current and future holders of the Permitted Notes Obligations concerning the perfection of the security interests granted to it or in the value of any Collateral.</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ind w:firstLine="656"/>
        <w:spacing w:after="0" w:line="284" w:lineRule="auto"/>
        <w:tabs>
          <w:tab w:leader="none" w:pos="136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parties hereto and the Holders hereby agree and acknowledge that neither the Trustee nor the Collateral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Intercreditor Agreement, the Security Documents or any actions taken pursuant hereto or thereto. Further, the parties hereto and the Holders hereby agree and acknowledge that in the exercise of its rights under this Indenture, the Intercreditor Agreements and the Security Documents, the Trustee and the Collateral Trustee may hold or obtain indicia of ownership primarily to protect the security interest of the Trustee and the Collateral Trustee in the Collateral and that any such actions taken by the Trustee or the Collateral Trustee shall not be construed as or otherwise constitute any participation in the management of such Collateral. In the event that the Trustee or the Collateral Trustee is required to acquire title to an asset for any reason, or take any managerial action of any kind in regard thereto, in order to carry out any fiduciary or trust obligation for the benefit of another, which in the Trustee’s or the Collateral Trustee’s sole discretion may cause the Trustee or the Collateral Trustee to be considered an “owner or operator” under the provisions of the Comprehensive Environmental Response, Compensation and Liability Act (“CERCLA”), 42 U.S.C. §9601, et seq., or otherwise cause the Trustee or the Collateral Trustee to incur liability under CERCLA or any other federal, state or local law, the Trustee and the Collateral Trustee reserve the right, instead of taking such action, to either resign as Trustee or Collateral Trustee or arrange for the transfer of the title or control of the asset to a court-appointed receiver. Neither the Trustee or the Collateral Trustee shall be liable to the Company, the Guarantors or any other Person for any environmental claims or contribution actions under any federal, state or local law, rule or regulation by reason of the Trustee’s or the Collateral Trustee’s actions and conduct as authorized, empowered and directed hereunder or under the Security Documents or relating to the discharge, release or threatened release of hazardous materials into the environment. If at any time it is necessary or advisable for property to be possessed, owned, operated or managed by any Person (including the Trustee or the Collateral Trustee) other than the Company or the Guarantors, the Holders of a majority in aggregate principal amount of the then outstanding Notes affected thereby shall direct the Trustee or the Collateral Trustee to appoint an appropriately qualified Person (excluding the Trustee or the Collateral Trustee) who they shall designate to possess, own, operate or manage, as the case may be, the property.</w:t>
      </w:r>
    </w:p>
    <w:p>
      <w:pPr>
        <w:spacing w:after="0" w:line="17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15.03</w:t>
      </w:r>
      <w:r>
        <w:rPr>
          <w:sz w:val="20"/>
          <w:szCs w:val="20"/>
          <w:color w:val="auto"/>
        </w:rPr>
        <w:tab/>
      </w:r>
      <w:r>
        <w:rPr>
          <w:rFonts w:ascii="Arial" w:cs="Arial" w:eastAsia="Arial" w:hAnsi="Arial"/>
          <w:sz w:val="16"/>
          <w:szCs w:val="16"/>
          <w:u w:val="single" w:color="auto"/>
          <w:color w:val="auto"/>
        </w:rPr>
        <w:t>Authorization of Actions to Be Taken</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55" w:lineRule="auto"/>
        <w:tabs>
          <w:tab w:leader="none" w:pos="138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Each Holder of Notes, by its acceptance thereof, consents and agrees to the terms of each Security Document, as originally in effect and as amended, supplemented or replaced from time to time in accordance with its terms or the terms of this Indenture, authorizes and directs the Collateral Trustee to enter into the Security Documents to which it is a party, authorizes and empowers the Collateral Trustee to execute and deliver the Intercreditor Agreement, the Collateral Trust Agreement and authorizes and empowers the Collateral Trustee to bind the Holders of Notes as set forth in the Security Documents to which the Collateral Trustee is a party and the Intercreditor Agreement and to perform its obligations and exercise its rights and powers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58" w:name="page159"/>
    <w:bookmarkEnd w:id="158"/>
    <w:p>
      <w:pPr>
        <w:jc w:val="both"/>
        <w:ind w:right="300" w:firstLine="656"/>
        <w:spacing w:after="0" w:line="263" w:lineRule="auto"/>
        <w:tabs>
          <w:tab w:leader="none" w:pos="139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Trustee is authorized and empowered to receive for the benefit of the Holders of Notes any funds collected or distributed to the Collateral Trustee under the Security Documents to which the Collateral Trustee is a party and, subject to the terms of the Security Documents, to make further distributions of such funds to the Holders of Notes according to the provisions of this Indenture.</w:t>
      </w:r>
    </w:p>
    <w:p>
      <w:pPr>
        <w:spacing w:after="0" w:line="183" w:lineRule="exact"/>
        <w:rPr>
          <w:rFonts w:ascii="Arial" w:cs="Arial" w:eastAsia="Arial" w:hAnsi="Arial"/>
          <w:sz w:val="18"/>
          <w:szCs w:val="18"/>
          <w:color w:val="auto"/>
        </w:rPr>
      </w:pPr>
    </w:p>
    <w:p>
      <w:pPr>
        <w:ind w:right="600" w:firstLine="656"/>
        <w:spacing w:after="0" w:line="308" w:lineRule="auto"/>
        <w:tabs>
          <w:tab w:leader="none" w:pos="138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Subject to the provisions of Section 6.01, Section 6.03, and the Security Documents, the Trustee may, without the consent of the Holders, direct, on behalf of the Holders, the Collateral Trustee to take all actions it deems necessary or appropriate in order to:</w:t>
      </w:r>
    </w:p>
    <w:p>
      <w:pPr>
        <w:spacing w:after="0" w:line="146" w:lineRule="exact"/>
        <w:rPr>
          <w:rFonts w:ascii="Arial" w:cs="Arial" w:eastAsia="Arial" w:hAnsi="Arial"/>
          <w:sz w:val="17"/>
          <w:szCs w:val="17"/>
          <w:color w:val="auto"/>
        </w:rPr>
      </w:pPr>
    </w:p>
    <w:p>
      <w:pPr>
        <w:ind w:left="2060" w:hanging="756"/>
        <w:spacing w:after="0"/>
        <w:tabs>
          <w:tab w:leader="none" w:pos="20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foreclose upon or otherwise enforce any or all of the Note Liens;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enforce any of the terms of the Security Documents to which the Collateral Trustee is a party;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collect and receive payment of any and all Obligations; or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give effect to any Permitted Lien or to cause or permit such Permitted Lien to have the priority provided herein.</w:t>
      </w:r>
    </w:p>
    <w:p>
      <w:pPr>
        <w:spacing w:after="0" w:line="225" w:lineRule="exact"/>
        <w:rPr>
          <w:rFonts w:ascii="Arial" w:cs="Arial" w:eastAsia="Arial" w:hAnsi="Arial"/>
          <w:sz w:val="18"/>
          <w:szCs w:val="18"/>
          <w:color w:val="auto"/>
        </w:rPr>
      </w:pPr>
    </w:p>
    <w:p>
      <w:pPr>
        <w:ind w:firstLine="656"/>
        <w:spacing w:after="0" w:line="270" w:lineRule="auto"/>
        <w:tabs>
          <w:tab w:leader="none" w:pos="139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Subject to the Intercreditor Agreement, the Collateral Trust Agreement and the other Security Documents and at the Company’s sole cost and expense, the Trustee is hereby authorized and empowered by each Holder of Notes (by its acceptance thereof) to institute and maintain, or direct the Collateral Trustee to institute and maintain, such suits and proceedings as it may deem reasonably expedient to protect or enforce the Note Liens or the Security Documents to which the Collateral Trustee or Trustee is a party or to prevent any impairment of Collateral by any acts that may be unlawful or in violation of the Security Documents or this Indenture, and such suits and proceedings as the Trustee may deem reasonably expedient, at the Company’s sole cost and expense, to preserve or protect its interests and the interests of the Holders of Notes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Note Liens or be prejudicial to the interests of Holders or the Trustee.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u w:val="single" w:color="auto"/>
          <w:color w:val="auto"/>
        </w:rPr>
        <w:t>Release of Collateral</w:t>
      </w:r>
      <w:r>
        <w:rPr>
          <w:rFonts w:ascii="Arial" w:cs="Arial" w:eastAsia="Arial" w:hAnsi="Arial"/>
          <w:sz w:val="18"/>
          <w:szCs w:val="18"/>
          <w:color w:val="auto"/>
        </w:rPr>
        <w:t>. The Collateral Trustee will not release or subordinate any Lien of the Collateral Trustee or consent to the release or subordination of any Lien of the Collateral Trustee, except:</w:t>
      </w:r>
    </w:p>
    <w:p>
      <w:pPr>
        <w:spacing w:after="0" w:line="170" w:lineRule="exact"/>
        <w:rPr>
          <w:sz w:val="20"/>
          <w:szCs w:val="20"/>
          <w:color w:val="auto"/>
        </w:rPr>
      </w:pPr>
    </w:p>
    <w:p>
      <w:pPr>
        <w:ind w:left="660" w:right="120" w:firstLine="644"/>
        <w:spacing w:after="0" w:line="263" w:lineRule="auto"/>
        <w:tabs>
          <w:tab w:leader="none" w:pos="205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whole, upon (A) payment in full and discharge of all outstanding Permitted Notes Debt and all other Permitted Notes Obligations that are outstanding, due and payable at the time all of the Permitted Notes Debt is paid in full and discharged and (B) termination or expiration of all commitments to extend credit under all Permitted Notes Documents;</w:t>
      </w:r>
    </w:p>
    <w:p>
      <w:pPr>
        <w:spacing w:after="0" w:line="183" w:lineRule="exact"/>
        <w:rPr>
          <w:rFonts w:ascii="Arial" w:cs="Arial" w:eastAsia="Arial" w:hAnsi="Arial"/>
          <w:sz w:val="18"/>
          <w:szCs w:val="18"/>
          <w:color w:val="auto"/>
        </w:rPr>
      </w:pPr>
    </w:p>
    <w:p>
      <w:pPr>
        <w:ind w:left="660" w:right="20" w:firstLine="644"/>
        <w:spacing w:after="0" w:line="259" w:lineRule="auto"/>
        <w:tabs>
          <w:tab w:leader="none" w:pos="205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to any Collateral that is sold, transferred or otherwise disposed of by the Company or any other Guarantor to a Person that is not (either before or after such sale, transfer or disposition) the Company or a Restricted Subsidiary in a transaction or other circumstance that is not prohibited by the terms hereof, at the time of such sale, transfer or other disposition or to the extent of the interest sold, transferred or otherwise disposed of;</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9" w:name="page160"/>
    <w:bookmarkEnd w:id="159"/>
    <w:p>
      <w:pPr>
        <w:jc w:val="both"/>
        <w:ind w:firstLine="644"/>
        <w:spacing w:after="0" w:line="263" w:lineRule="auto"/>
        <w:tabs>
          <w:tab w:leader="none" w:pos="139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to a release of less than all or substantially all of the Collateral, if consent to the release of all Permitted Notes Liens on such Collateral has been given by an Act of Required Debtholders accompanied by an Officer’s Certificate and Opinion of Counsel to the effect that the release is permitted by the terms hereof;</w:t>
      </w:r>
    </w:p>
    <w:p>
      <w:pPr>
        <w:spacing w:after="0" w:line="183" w:lineRule="exact"/>
        <w:rPr>
          <w:rFonts w:ascii="Arial" w:cs="Arial" w:eastAsia="Arial" w:hAnsi="Arial"/>
          <w:sz w:val="18"/>
          <w:szCs w:val="18"/>
          <w:color w:val="auto"/>
        </w:rPr>
      </w:pPr>
    </w:p>
    <w:p>
      <w:pPr>
        <w:ind w:right="460" w:firstLine="644"/>
        <w:spacing w:after="0" w:line="259" w:lineRule="auto"/>
        <w:tabs>
          <w:tab w:leader="none" w:pos="139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to a release of all or substantially all of the Collateral, if (A) consent to release of that Collateral has been given by the requisite percentage or number of holders of each Series of Permitted Notes Debt at the time outstanding as provided for in the applicable Permitted Notes Documents and (B) the Company has delivered an Officer’s Certificate and Opinion of Counsel to the Collateral Trustee certifying that any such necessary consents have been obtained;</w:t>
      </w:r>
    </w:p>
    <w:p>
      <w:pPr>
        <w:spacing w:after="0" w:line="186" w:lineRule="exact"/>
        <w:rPr>
          <w:rFonts w:ascii="Arial" w:cs="Arial" w:eastAsia="Arial" w:hAnsi="Arial"/>
          <w:sz w:val="18"/>
          <w:szCs w:val="18"/>
          <w:color w:val="auto"/>
        </w:rPr>
      </w:pPr>
    </w:p>
    <w:p>
      <w:pPr>
        <w:ind w:left="1400" w:hanging="756"/>
        <w:spacing w:after="0"/>
        <w:tabs>
          <w:tab w:leader="none" w:pos="14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provided in the Intercreditor Agreement with respect to Priority ABL Collateral;</w:t>
      </w:r>
    </w:p>
    <w:p>
      <w:pPr>
        <w:spacing w:after="0" w:line="225" w:lineRule="exact"/>
        <w:rPr>
          <w:rFonts w:ascii="Arial" w:cs="Arial" w:eastAsia="Arial" w:hAnsi="Arial"/>
          <w:sz w:val="18"/>
          <w:szCs w:val="18"/>
          <w:color w:val="auto"/>
        </w:rPr>
      </w:pPr>
    </w:p>
    <w:p>
      <w:pPr>
        <w:ind w:right="20" w:firstLine="644"/>
        <w:spacing w:after="0" w:line="270" w:lineRule="auto"/>
        <w:tabs>
          <w:tab w:leader="none" w:pos="139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notwithstanding any of the foregoing, if the Collateral Trustee is exercising its rights or remedies with respect to the Collateral under the Priority Lien Collateral Documents pursuant to an Act of Required Debtholders, and the Collateral Trustee releases any of the Priority Liens on any part of the Collateral or any Grantor is released from its obligations under its guarantee of the Priority Lien Notes Obligations in connection therewith, then the Parity Liens on such Collateral and the obligations of such Grantor under its guarantee of the Parity Lien Notes Obligations, shall be automatically, unconditionally and simultaneously released. If in connection with any exercise of rights and remedies by the Collateral Trustee under the Priority Lien Collateral Documents pursuant to an Act of Required Debtholders, the equity interests of any Person are foreclosed upon or otherwise disposed of and the Collateral Trustee releases Priority Lien on the property or assets of such Person then the Parity Liens with respect to the property or assets of such Person will be concurrently and automatically released to the same extent as the Priority Liens on such property or assets are released;</w:t>
      </w:r>
    </w:p>
    <w:p>
      <w:pPr>
        <w:spacing w:after="0" w:line="180" w:lineRule="exact"/>
        <w:rPr>
          <w:rFonts w:ascii="Arial" w:cs="Arial" w:eastAsia="Arial" w:hAnsi="Arial"/>
          <w:sz w:val="17"/>
          <w:szCs w:val="17"/>
          <w:color w:val="auto"/>
        </w:rPr>
      </w:pPr>
    </w:p>
    <w:p>
      <w:pPr>
        <w:ind w:right="680" w:firstLine="644"/>
        <w:spacing w:after="0" w:line="277" w:lineRule="auto"/>
        <w:tabs>
          <w:tab w:leader="none" w:pos="139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directed by an Act of Required Debtholders accompanied by an Officer’s Certificate to the effect that the release or subordination was permitted by each applicable Permitted Notes Document; and</w:t>
      </w:r>
    </w:p>
    <w:p>
      <w:pPr>
        <w:spacing w:after="0" w:line="170" w:lineRule="exact"/>
        <w:rPr>
          <w:rFonts w:ascii="Arial" w:cs="Arial" w:eastAsia="Arial" w:hAnsi="Arial"/>
          <w:sz w:val="18"/>
          <w:szCs w:val="18"/>
          <w:color w:val="auto"/>
        </w:rPr>
      </w:pPr>
    </w:p>
    <w:p>
      <w:pPr>
        <w:ind w:left="1400" w:hanging="756"/>
        <w:spacing w:after="0"/>
        <w:tabs>
          <w:tab w:leader="none" w:pos="14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as ordered pursuant to applicable law under a final and nonappealable order or judgment of a court of competent jurisdiction;</w:t>
      </w:r>
    </w:p>
    <w:p>
      <w:pPr>
        <w:spacing w:after="0" w:line="248" w:lineRule="exact"/>
        <w:rPr>
          <w:rFonts w:ascii="Arial" w:cs="Arial" w:eastAsia="Arial" w:hAnsi="Arial"/>
          <w:sz w:val="16"/>
          <w:szCs w:val="16"/>
          <w:color w:val="auto"/>
        </w:rPr>
      </w:pPr>
    </w:p>
    <w:p>
      <w:pPr>
        <w:ind w:left="1400" w:hanging="756"/>
        <w:spacing w:after="0"/>
        <w:tabs>
          <w:tab w:leader="none" w:pos="14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for the subordination of the Junior Trust Estate and the Parity Liens to the Senior Trust Estate and the Priority Liens; and</w:t>
      </w:r>
    </w:p>
    <w:p>
      <w:pPr>
        <w:spacing w:after="0" w:line="236" w:lineRule="exact"/>
        <w:rPr>
          <w:rFonts w:ascii="Arial" w:cs="Arial" w:eastAsia="Arial" w:hAnsi="Arial"/>
          <w:sz w:val="17"/>
          <w:szCs w:val="17"/>
          <w:color w:val="auto"/>
        </w:rPr>
      </w:pPr>
    </w:p>
    <w:p>
      <w:pPr>
        <w:ind w:left="1480" w:hanging="836"/>
        <w:spacing w:after="0"/>
        <w:tabs>
          <w:tab w:leader="none" w:pos="14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for the release or subordination of the Trust Estates and the Permitted Notes Liens to the extent required by the Intercreditor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160" w:name="page161"/>
    <w:bookmarkEnd w:id="160"/>
    <w:p>
      <w:pPr>
        <w:ind w:right="180"/>
        <w:spacing w:after="0" w:line="277" w:lineRule="auto"/>
        <w:rPr>
          <w:sz w:val="20"/>
          <w:szCs w:val="20"/>
          <w:color w:val="auto"/>
        </w:rPr>
      </w:pPr>
      <w:r>
        <w:rPr>
          <w:rFonts w:ascii="Arial" w:cs="Arial" w:eastAsia="Arial" w:hAnsi="Arial"/>
          <w:sz w:val="18"/>
          <w:szCs w:val="18"/>
          <w:color w:val="auto"/>
        </w:rPr>
        <w:t>In connection with the execution of any release by the Collateral Trustee, the Company shall provide the Collateral Trustee an Opinion of Counsel and an Officer’s Certificate.</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15.05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u w:val="single" w:color="auto"/>
          <w:color w:val="auto"/>
        </w:rPr>
        <w:t>Powers Exercisable by Receiver or Trustee</w:t>
      </w:r>
      <w:r>
        <w:rPr>
          <w:rFonts w:ascii="Arial" w:cs="Arial" w:eastAsia="Arial" w:hAnsi="Arial"/>
          <w:sz w:val="18"/>
          <w:szCs w:val="18"/>
          <w:color w:val="auto"/>
        </w:rPr>
        <w:t>. In case the Collateral shall be in the possession of a receiver or trustee, lawfully appointed, the powers conferred in this Article Fifteen upon the Company or a Guarantor with respect to the release, subordination, sale or other disposition of such property may be exercised by such receiver or trustee, and an instrument signed by such receiver or trustee shall be deemed the equivalent of any similar instrument of the Company or a Guarantor or of any officer or officers thereof required by the provisions of this Article Fifteen; and if the Trustee or the Collateral Trustee shall be in the possession of the Collateral under any provision of this Indenture, then such powers may be exercised by the Trustee or the Collateral Trustee, as the case may be.</w:t>
      </w:r>
    </w:p>
    <w:p>
      <w:pPr>
        <w:spacing w:after="0" w:line="19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Section 15.07 </w:t>
      </w:r>
      <w:r>
        <w:rPr>
          <w:rFonts w:ascii="Arial" w:cs="Arial" w:eastAsia="Arial" w:hAnsi="Arial"/>
          <w:sz w:val="17"/>
          <w:szCs w:val="17"/>
          <w:u w:val="single" w:color="auto"/>
          <w:color w:val="auto"/>
        </w:rPr>
        <w:t>Voting</w:t>
      </w:r>
      <w:r>
        <w:rPr>
          <w:rFonts w:ascii="Arial" w:cs="Arial" w:eastAsia="Arial" w:hAnsi="Arial"/>
          <w:sz w:val="17"/>
          <w:szCs w:val="17"/>
          <w:color w:val="auto"/>
        </w:rPr>
        <w:t>. In connection with any matter under the Security Documents or the Intercreditor Agreement requiring a vote of holders of Secured Obligations (as defined in the Security Agreement), the holders of such Secured Obligations shall be treated as a single class and the Holders shall cast their votes in accordance with this Indenture. The amount of the Notes to be voted by the Holders will equal the aggregate outstanding principal amount of the Notes. Following and in accordance with the outcome of the applicable vote under this Indenture, the Trustee shall vote the total amount of the Notes as a block in respect of any vote under the Security Documents or the Intercreditor Agreement.</w:t>
      </w:r>
    </w:p>
    <w:p>
      <w:pPr>
        <w:spacing w:after="0" w:line="17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15.08</w:t>
      </w:r>
      <w:r>
        <w:rPr>
          <w:sz w:val="20"/>
          <w:szCs w:val="20"/>
          <w:color w:val="auto"/>
        </w:rPr>
        <w:tab/>
      </w:r>
      <w:r>
        <w:rPr>
          <w:rFonts w:ascii="Arial" w:cs="Arial" w:eastAsia="Arial" w:hAnsi="Arial"/>
          <w:sz w:val="16"/>
          <w:szCs w:val="16"/>
          <w:u w:val="single" w:color="auto"/>
          <w:color w:val="auto"/>
        </w:rPr>
        <w:t>Post-Closing Collateral</w:t>
      </w:r>
      <w:r>
        <w:rPr>
          <w:rFonts w:ascii="Arial" w:cs="Arial" w:eastAsia="Arial" w:hAnsi="Arial"/>
          <w:sz w:val="16"/>
          <w:szCs w:val="16"/>
          <w:color w:val="auto"/>
        </w:rPr>
        <w:t>.</w:t>
      </w:r>
    </w:p>
    <w:p>
      <w:pPr>
        <w:spacing w:after="0" w:line="225" w:lineRule="exact"/>
        <w:rPr>
          <w:sz w:val="20"/>
          <w:szCs w:val="20"/>
          <w:color w:val="auto"/>
        </w:rPr>
      </w:pPr>
    </w:p>
    <w:p>
      <w:pPr>
        <w:ind w:right="220" w:firstLine="656"/>
        <w:spacing w:after="0" w:line="308" w:lineRule="auto"/>
        <w:tabs>
          <w:tab w:leader="none" w:pos="138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Company and applicable Guarantors shall deliver to the Collateral Trustee, as promptly as practical but in no event later than one hundred eighty (180) days after the Issue Date or as soon as practicable thereafter using commercially reasonable efforts, the following:</w:t>
      </w:r>
    </w:p>
    <w:p>
      <w:pPr>
        <w:spacing w:after="0" w:line="146" w:lineRule="exact"/>
        <w:rPr>
          <w:rFonts w:ascii="Arial" w:cs="Arial" w:eastAsia="Arial" w:hAnsi="Arial"/>
          <w:sz w:val="17"/>
          <w:szCs w:val="17"/>
          <w:color w:val="auto"/>
        </w:rPr>
      </w:pPr>
    </w:p>
    <w:p>
      <w:pPr>
        <w:ind w:left="660" w:right="140" w:firstLine="644"/>
        <w:spacing w:after="0" w:line="273" w:lineRule="auto"/>
        <w:tabs>
          <w:tab w:leader="none" w:pos="2057" w:val="left"/>
        </w:tabs>
        <w:numPr>
          <w:ilvl w:val="1"/>
          <w:numId w:val="218"/>
        </w:numPr>
        <w:rPr>
          <w:rFonts w:ascii="Arial" w:cs="Arial" w:eastAsia="Arial" w:hAnsi="Arial"/>
          <w:sz w:val="17"/>
          <w:szCs w:val="17"/>
          <w:color w:val="auto"/>
        </w:rPr>
      </w:pPr>
      <w:r>
        <w:rPr>
          <w:rFonts w:ascii="Arial" w:cs="Arial" w:eastAsia="Arial" w:hAnsi="Arial"/>
          <w:sz w:val="17"/>
          <w:szCs w:val="17"/>
          <w:color w:val="131313"/>
        </w:rPr>
        <w:t>Executed counterparts of one or more Mortgages on the Material Real Property duly executed and acknowledged by the Company or such Guarantor, and otherwise in form for recording in the recording office of each applicable political subdivision where each Premises is situated, together with such certificates, affidavits, questionnaires or returns as shall be reasonably required in connection with the recording or filing thereof and evidence of the completion (or satisfactory arrangements for the completion) of all recordings and filings of such Mortgage (and payment of any taxes or fees in connection therewith), together with any necessary fixture filings, as may be necessary to create a valid, perfected first priority Lien subject only to Permitted Liens, against Premises purported to be covered thereby;</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left="660" w:right="60" w:firstLine="644"/>
        <w:spacing w:after="0" w:line="290" w:lineRule="auto"/>
        <w:tabs>
          <w:tab w:leader="none" w:pos="205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mortgagee’s title insurance policies (or a binding pro forma title insurance policy on marked up unconditional binder of title insurance) in favor of the Collateral Trustee, and its successors and/or assigns, in the form necessary, with respect to the Premises purported to be covered by the applicable Mortgages, which shall insure that the interests created by the Mortgages constitute valid Liens on the applicable Premises, free and clear of all Liens, defects and encumbrances, other than Permitted Liens. All such title policies to be in amounts equal to the estimated fair market value of the Premises covered thereby, and such policies shall also include, to the extent available, all such endorsements as shall be reasonably required in transactions of similar size and purpose and shall be accompanied by evidence of the payment in full by the Company or the applicable Guarantor of all premiums thereon (or that satisfactory arrangements for such payment have been made) and that all charges for mortgage recording taxes, filing and recording fees and all related expenses, if any, have been paid;</w:t>
      </w:r>
    </w:p>
    <w:p>
      <w:pPr>
        <w:spacing w:after="0" w:line="165" w:lineRule="exact"/>
        <w:rPr>
          <w:rFonts w:ascii="Arial" w:cs="Arial" w:eastAsia="Arial" w:hAnsi="Arial"/>
          <w:sz w:val="16"/>
          <w:szCs w:val="16"/>
          <w:color w:val="auto"/>
        </w:rPr>
      </w:pPr>
    </w:p>
    <w:p>
      <w:pPr>
        <w:ind w:left="660" w:right="100" w:firstLine="644"/>
        <w:spacing w:after="0" w:line="263" w:lineRule="auto"/>
        <w:tabs>
          <w:tab w:leader="none" w:pos="205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 customary local counsel opinions regarding the enforceability and perfection of the Mortgages and (ii) customary opinions of counsel in the jurisdiction of organization of the owner of the applicable Premises regarding due authorization, execution and delivery of the Mortgages;</w:t>
      </w:r>
    </w:p>
    <w:p>
      <w:pPr>
        <w:spacing w:after="0" w:line="183" w:lineRule="exact"/>
        <w:rPr>
          <w:rFonts w:ascii="Arial" w:cs="Arial" w:eastAsia="Arial" w:hAnsi="Arial"/>
          <w:sz w:val="18"/>
          <w:szCs w:val="18"/>
          <w:color w:val="auto"/>
        </w:rPr>
      </w:pPr>
    </w:p>
    <w:p>
      <w:pPr>
        <w:ind w:left="660" w:right="140" w:firstLine="644"/>
        <w:spacing w:after="0" w:line="272" w:lineRule="auto"/>
        <w:tabs>
          <w:tab w:leader="none" w:pos="2057" w:val="left"/>
        </w:tabs>
        <w:numPr>
          <w:ilvl w:val="1"/>
          <w:numId w:val="219"/>
        </w:numPr>
        <w:rPr>
          <w:rFonts w:ascii="Arial" w:cs="Arial" w:eastAsia="Arial" w:hAnsi="Arial"/>
          <w:sz w:val="17"/>
          <w:szCs w:val="17"/>
          <w:color w:val="auto"/>
        </w:rPr>
      </w:pPr>
      <w:r>
        <w:rPr>
          <w:rFonts w:ascii="Arial" w:cs="Arial" w:eastAsia="Arial" w:hAnsi="Arial"/>
          <w:sz w:val="17"/>
          <w:szCs w:val="17"/>
          <w:color w:val="auto"/>
        </w:rPr>
        <w:t>an ALTA survey or other survey of the sites of the Premises (and the title insurance company issuing the policy referred to in clause (2) above (the “Title Insurance Company”) shall have received the same) certified to the Collateral Trustee and the Title Insurance Company in a manner customary for the type of real property subject to such survey, dated as of a date that is reasonably satisfactory to the Title Insurance Company by an independent professional licensed land surveyor reasonably satisfactory to the Title Insurance Company, or in lieu thereof, existing surveys, together with any affidavits on certificates required by the Title Insurance Company as shall be sufficient to enable the Title Insurance Company to remove any standard survey exceptions from the applicable title insurance policy and issue customary survey-dependent endorsements to the applicable title insurance policy;</w:t>
      </w:r>
    </w:p>
    <w:p>
      <w:pPr>
        <w:spacing w:after="0" w:line="177" w:lineRule="exact"/>
        <w:rPr>
          <w:rFonts w:ascii="Arial" w:cs="Arial" w:eastAsia="Arial" w:hAnsi="Arial"/>
          <w:sz w:val="17"/>
          <w:szCs w:val="17"/>
          <w:color w:val="auto"/>
        </w:rPr>
      </w:pPr>
    </w:p>
    <w:p>
      <w:pPr>
        <w:ind w:left="660" w:right="220" w:firstLine="644"/>
        <w:spacing w:after="0" w:line="277" w:lineRule="auto"/>
        <w:tabs>
          <w:tab w:leader="none" w:pos="205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 Officer’s Certificate from the Company certifying that the above requirements have been satisfied and the Company is in compliance with such provisions; and</w:t>
      </w:r>
    </w:p>
    <w:p>
      <w:pPr>
        <w:spacing w:after="0" w:line="170" w:lineRule="exact"/>
        <w:rPr>
          <w:rFonts w:ascii="Arial" w:cs="Arial" w:eastAsia="Arial" w:hAnsi="Arial"/>
          <w:sz w:val="18"/>
          <w:szCs w:val="18"/>
          <w:color w:val="auto"/>
        </w:rPr>
      </w:pPr>
    </w:p>
    <w:p>
      <w:pPr>
        <w:ind w:left="660" w:right="220" w:firstLine="644"/>
        <w:spacing w:after="0" w:line="277" w:lineRule="auto"/>
        <w:tabs>
          <w:tab w:leader="none" w:pos="205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such other evidence that all other actions that are reasonably necessary in order to create a valid first priority lien (subject to Permitted Liens) on such Material Real Property have been taken.</w:t>
      </w:r>
    </w:p>
    <w:p>
      <w:pPr>
        <w:spacing w:after="0" w:line="170" w:lineRule="exact"/>
        <w:rPr>
          <w:rFonts w:ascii="Arial" w:cs="Arial" w:eastAsia="Arial" w:hAnsi="Arial"/>
          <w:sz w:val="18"/>
          <w:szCs w:val="18"/>
          <w:color w:val="auto"/>
        </w:rPr>
      </w:pPr>
    </w:p>
    <w:p>
      <w:pPr>
        <w:ind w:right="120" w:firstLine="656"/>
        <w:spacing w:after="0" w:line="308" w:lineRule="auto"/>
        <w:tabs>
          <w:tab w:leader="none" w:pos="139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Company and applicable Guarantors shall deliver to the Collateral Trustee, as promptly as practical but in no event later than one-hundred-eighty (180) days after the Issue Date, or as soon as practicable thereafter using commercially reasonable efforts, the following:</w:t>
      </w:r>
    </w:p>
    <w:p>
      <w:pPr>
        <w:spacing w:after="0" w:line="146" w:lineRule="exact"/>
        <w:rPr>
          <w:rFonts w:ascii="Arial" w:cs="Arial" w:eastAsia="Arial" w:hAnsi="Arial"/>
          <w:sz w:val="17"/>
          <w:szCs w:val="17"/>
          <w:color w:val="auto"/>
        </w:rPr>
      </w:pPr>
    </w:p>
    <w:p>
      <w:pPr>
        <w:ind w:left="660" w:right="200" w:firstLine="644"/>
        <w:spacing w:after="0" w:line="263" w:lineRule="auto"/>
        <w:tabs>
          <w:tab w:leader="none" w:pos="205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Copies of certificates of liability and property insurance of the Company and the Guarantors, including evidence of property insurance coverage for the Mortgaged Properties, together with an endorsement which shall name the Collateral Trustee as additional insured under the liability policies and lenders’ loss payee and mortgagee under the property policies;</w:t>
      </w:r>
    </w:p>
    <w:p>
      <w:pPr>
        <w:spacing w:after="0" w:line="183" w:lineRule="exact"/>
        <w:rPr>
          <w:rFonts w:ascii="Arial" w:cs="Arial" w:eastAsia="Arial" w:hAnsi="Arial"/>
          <w:sz w:val="18"/>
          <w:szCs w:val="18"/>
          <w:color w:val="auto"/>
        </w:rPr>
      </w:pPr>
    </w:p>
    <w:p>
      <w:pPr>
        <w:ind w:left="660" w:firstLine="644"/>
        <w:spacing w:after="0" w:line="301" w:lineRule="auto"/>
        <w:tabs>
          <w:tab w:leader="none" w:pos="2057"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Company and applicable Guarantors shall have entered into a securities account control agreement (to among other things, perfect the Collateral Trustee’s security interest) in respect of the Company's and applicable Guarantor’s accounts (including securities accounts) other than the Excluded Accounts (as defined in the Security Agreement), except to the extent that the ABL Collateral Agent or ABL Administrative Agent acts as the security intermediary for such account (and the Intercreditor Agreement remains in effect); and</w:t>
      </w:r>
    </w:p>
    <w:p>
      <w:pPr>
        <w:spacing w:after="0" w:line="157" w:lineRule="exact"/>
        <w:rPr>
          <w:rFonts w:ascii="Arial" w:cs="Arial" w:eastAsia="Arial" w:hAnsi="Arial"/>
          <w:sz w:val="16"/>
          <w:szCs w:val="16"/>
          <w:color w:val="auto"/>
        </w:rPr>
      </w:pPr>
    </w:p>
    <w:p>
      <w:pPr>
        <w:ind w:left="660" w:right="220" w:firstLine="644"/>
        <w:spacing w:after="0" w:line="277" w:lineRule="auto"/>
        <w:tabs>
          <w:tab w:leader="none" w:pos="205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 Officer’s Certificate from the Company certifying that the above requirements have been satisfied and the Company is in compliance with such provisions.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Winnebago Industries, Inc.</w:t>
      </w:r>
    </w:p>
    <w:p>
      <w:pPr>
        <w:spacing w:after="0" w:line="200" w:lineRule="exact"/>
        <w:rPr>
          <w:sz w:val="20"/>
          <w:szCs w:val="20"/>
          <w:color w:val="auto"/>
        </w:rPr>
      </w:pPr>
    </w:p>
    <w:p>
      <w:pPr>
        <w:spacing w:after="0" w:line="326" w:lineRule="exact"/>
        <w:rPr>
          <w:sz w:val="20"/>
          <w:szCs w:val="20"/>
          <w:color w:val="auto"/>
        </w:rPr>
      </w:pPr>
    </w:p>
    <w:p>
      <w:pPr>
        <w:ind w:left="5360"/>
        <w:spacing w:after="0"/>
        <w:tabs>
          <w:tab w:leader="none" w:pos="5880" w:val="left"/>
        </w:tabs>
        <w:rPr>
          <w:sz w:val="20"/>
          <w:szCs w:val="20"/>
          <w:color w:val="auto"/>
        </w:rPr>
      </w:pPr>
      <w:r>
        <w:rPr>
          <w:rFonts w:ascii="Arial" w:cs="Arial" w:eastAsia="Arial" w:hAnsi="Arial"/>
          <w:sz w:val="18"/>
          <w:szCs w:val="18"/>
          <w:color w:val="auto"/>
        </w:rPr>
        <w:t>By:</w:t>
        <w:tab/>
        <w:t>/s/ Bryan L. Hughes</w:t>
      </w:r>
    </w:p>
    <w:p>
      <w:pPr>
        <w:spacing w:after="0" w:line="3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-130175</wp:posOffset>
            </wp:positionV>
            <wp:extent cx="29743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0" w:lineRule="exact"/>
        <w:rPr>
          <w:sz w:val="20"/>
          <w:szCs w:val="20"/>
          <w:color w:val="auto"/>
        </w:rPr>
      </w:pPr>
    </w:p>
    <w:p>
      <w:pPr>
        <w:ind w:left="5360"/>
        <w:spacing w:after="0"/>
        <w:tabs>
          <w:tab w:leader="none" w:pos="5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Chief Financial Officer</w:t>
      </w:r>
    </w:p>
    <w:p>
      <w:pPr>
        <w:spacing w:after="0" w:line="200" w:lineRule="exact"/>
        <w:rPr>
          <w:sz w:val="20"/>
          <w:szCs w:val="20"/>
          <w:color w:val="auto"/>
        </w:rPr>
      </w:pPr>
    </w:p>
    <w:p>
      <w:pPr>
        <w:spacing w:after="0" w:line="25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Winnebago of Indiana, LLC</w:t>
      </w:r>
      <w:r>
        <w:rPr>
          <w:rFonts w:ascii="Arial" w:cs="Arial" w:eastAsia="Arial" w:hAnsi="Arial"/>
          <w:sz w:val="18"/>
          <w:szCs w:val="18"/>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By:/s/ Bert Jameson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14605</wp:posOffset>
            </wp:positionV>
            <wp:extent cx="33172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Bert Jameson</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Grand Design RV LLC</w:t>
      </w:r>
      <w:r>
        <w:rPr>
          <w:rFonts w:ascii="Arial" w:cs="Arial" w:eastAsia="Arial" w:hAnsi="Arial"/>
          <w:sz w:val="18"/>
          <w:szCs w:val="18"/>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By:/s/ Bert Jameson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14605</wp:posOffset>
            </wp:positionV>
            <wp:extent cx="33172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Bert Jameson</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Octavius Corporation</w:t>
      </w:r>
      <w:r>
        <w:rPr>
          <w:rFonts w:ascii="Arial" w:cs="Arial" w:eastAsia="Arial" w:hAnsi="Arial"/>
          <w:sz w:val="18"/>
          <w:szCs w:val="18"/>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14605</wp:posOffset>
            </wp:positionV>
            <wp:extent cx="33172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Bryan L. Hughes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Newmar Corporation</w:t>
      </w:r>
      <w:r>
        <w:rPr>
          <w:rFonts w:ascii="Arial" w:cs="Arial" w:eastAsia="Arial" w:hAnsi="Arial"/>
          <w:sz w:val="18"/>
          <w:szCs w:val="18"/>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By:/s/ Bert Jameson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14605</wp:posOffset>
            </wp:positionV>
            <wp:extent cx="331724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Bert Jameson</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0"/>
          </w:cols>
          <w:pgMar w:left="980" w:top="908" w:right="1239" w:bottom="1440" w:gutter="0" w:footer="0" w:header="0"/>
        </w:sectPr>
      </w:pPr>
    </w:p>
    <w:bookmarkStart w:id="163" w:name="page164"/>
    <w:bookmarkEnd w:id="163"/>
    <w:p>
      <w:pPr>
        <w:ind w:left="4560"/>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w:t>
      </w:r>
    </w:p>
    <w:p>
      <w:pPr>
        <w:spacing w:after="0" w:line="5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as Trustee and Collateral Trustee</w:t>
      </w:r>
    </w:p>
    <w:p>
      <w:pPr>
        <w:spacing w:after="0" w:line="200" w:lineRule="exact"/>
        <w:rPr>
          <w:sz w:val="20"/>
          <w:szCs w:val="20"/>
          <w:color w:val="auto"/>
        </w:rPr>
      </w:pPr>
    </w:p>
    <w:p>
      <w:pPr>
        <w:spacing w:after="0" w:line="25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Linda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14605</wp:posOffset>
            </wp:positionV>
            <wp:extent cx="33261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Linda Garcia</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4" w:name="page165"/>
    <w:bookmarkEnd w:id="164"/>
    <w:p>
      <w:pPr>
        <w:jc w:val="center"/>
        <w:ind w:right="-788"/>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ind w:left="4888"/>
        <w:spacing w:after="0"/>
        <w:rPr>
          <w:sz w:val="20"/>
          <w:szCs w:val="20"/>
          <w:color w:val="auto"/>
        </w:rPr>
      </w:pPr>
      <w:r>
        <w:rPr>
          <w:rFonts w:ascii="Arial" w:cs="Arial" w:eastAsia="Arial" w:hAnsi="Arial"/>
          <w:sz w:val="18"/>
          <w:szCs w:val="18"/>
          <w:u w:val="single" w:color="auto"/>
          <w:color w:val="auto"/>
        </w:rPr>
        <w:t>Guarantors</w:t>
      </w:r>
    </w:p>
    <w:p>
      <w:pPr>
        <w:spacing w:after="0" w:line="221" w:lineRule="exact"/>
        <w:rPr>
          <w:sz w:val="20"/>
          <w:szCs w:val="20"/>
          <w:color w:val="auto"/>
        </w:rPr>
      </w:pPr>
    </w:p>
    <w:p>
      <w:pPr>
        <w:ind w:left="328" w:hanging="328"/>
        <w:spacing w:after="0"/>
        <w:tabs>
          <w:tab w:leader="none" w:pos="328"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Winnebago of Indiana, LLC</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Grand Design RV LLC</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Octavius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Newmar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445770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7"/>
          </w:cols>
          <w:pgMar w:left="652" w:top="904" w:right="1440" w:bottom="1440" w:gutter="0" w:footer="0" w:header="0"/>
        </w:sectPr>
      </w:pPr>
    </w:p>
    <w:bookmarkStart w:id="165" w:name="page166"/>
    <w:bookmarkEnd w:id="165"/>
    <w:p>
      <w:pPr>
        <w:ind w:left="660"/>
        <w:spacing w:after="0"/>
        <w:rPr>
          <w:sz w:val="20"/>
          <w:szCs w:val="20"/>
          <w:color w:val="auto"/>
        </w:rPr>
      </w:pPr>
      <w:r>
        <w:rPr>
          <w:rFonts w:ascii="Arial" w:cs="Arial" w:eastAsia="Arial" w:hAnsi="Arial"/>
          <w:sz w:val="18"/>
          <w:szCs w:val="18"/>
          <w:color w:val="auto"/>
        </w:rPr>
        <w:t xml:space="preserve">Rule 144A </w:t>
      </w:r>
      <w:r>
        <w:rPr>
          <w:rFonts w:ascii="Arial" w:cs="Arial" w:eastAsia="Arial" w:hAnsi="Arial"/>
          <w:sz w:val="18"/>
          <w:szCs w:val="18"/>
          <w:color w:val="3A3A3A"/>
        </w:rPr>
        <w:t>/</w:t>
      </w:r>
      <w:r>
        <w:rPr>
          <w:rFonts w:ascii="Arial" w:cs="Arial" w:eastAsia="Arial" w:hAnsi="Arial"/>
          <w:sz w:val="18"/>
          <w:szCs w:val="18"/>
          <w:color w:val="auto"/>
        </w:rPr>
        <w:t xml:space="preserve"> Regulation S Appendix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PROVISIONS RELATING TO INITIAL NOTES</w:t>
      </w:r>
    </w:p>
    <w:p>
      <w:pPr>
        <w:spacing w:after="0" w:line="225" w:lineRule="exact"/>
        <w:rPr>
          <w:sz w:val="20"/>
          <w:szCs w:val="20"/>
          <w:color w:val="auto"/>
        </w:rPr>
      </w:pPr>
    </w:p>
    <w:p>
      <w:pPr>
        <w:ind w:left="660" w:hanging="652"/>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For the purposes of this Appendix the following terms shall have the meanings indicated </w:t>
      </w:r>
      <w:r>
        <w:rPr>
          <w:rFonts w:ascii="Arial" w:cs="Arial" w:eastAsia="Arial" w:hAnsi="Arial"/>
          <w:sz w:val="18"/>
          <w:szCs w:val="18"/>
          <w:color w:val="121212"/>
        </w:rPr>
        <w:t>below:</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“Applicable Procedures” means, with respect to any transfer or transaction involving a Temporary Regulation S Global Note or beneficial interest therein, the rules and procedures of the Depository for such a Temporary Regulation S Global Note, to the extent applicable to such transaction and as in effect from time to time.</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“Certificated Note” means a certificated Initial Note (other than a Global Note) bearing, if required, the appropriate restricted notes legend set forth in Section 2.3(e) of this Appendix.</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“Depository” means The Depository Trust Company, its nominees and their respective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“Distribution Compliance Period,” with respect to any Notes, means the period of 40 consecutive days beginning on and including the later of</w:t>
      </w:r>
    </w:p>
    <w:p>
      <w:pPr>
        <w:spacing w:after="0" w:line="35" w:lineRule="exact"/>
        <w:rPr>
          <w:sz w:val="20"/>
          <w:szCs w:val="20"/>
          <w:color w:val="auto"/>
        </w:rPr>
      </w:pPr>
    </w:p>
    <w:p>
      <w:pPr>
        <w:ind w:right="500" w:firstLine="8"/>
        <w:spacing w:after="0" w:line="260" w:lineRule="auto"/>
        <w:tabs>
          <w:tab w:leader="none" w:pos="21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day on which such Notes are first offered to Persons other than distributors (as defined in Regulation S under the Securities Act) in reliance on Regulation S and (ii) the issue date with respect to such Notes.</w:t>
      </w:r>
    </w:p>
    <w:p>
      <w:pPr>
        <w:spacing w:after="0" w:line="18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“Initial Notes” means (1) $300,000,000 aggregate principal amount of 6.250% Senior Secured Notes Due 2028 issued on the Issue Date and (2) Additional Notes, if any, issued in a transaction exempt from the registration requirements of the Securities Act.</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“Initial Purchasers” means (1) with respect to the Initial Notes issued on the Issue Date each of J.P. Morgan Securities LLC, Goldman Sachs &amp; Co. LLC and BMO Capital Markets Cop. and (2) with respect to each issuance of Additional Notes, the Persons purchasing such Additional Notes under the related Purchase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means the Initial Notes and any Additional Notes, treated as a single class.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“Notes Custodian” means the custodian with respect to a Global Note (as appointed by the Depository), or any successor Person thereto and shall initially be the Trustee.</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“Purchase Agreement” means (1) with respect to the Initial Notes issued on the Issue Date, the Purchase Agreement dated June 30, 2020, among the Company and the Initial Purchasers, and (2) with respect to each issuance of Additional Notes, the purchase agreement or underwriting agreement among the Company and the Persons purchasing such Additional Notes.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“QIB” means a “qualified institutional buyer” as defined in Rule 144A.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66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“Transfer Restricted Notes” means Notes that bear or are required to bear the legend relating to restrictions on transfer relating to the Securities Act set forth in Section 2.3(e) hereto.</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7700" w:type="dxa"/>
            <w:vAlign w:val="bottom"/>
            <w:gridSpan w:val="4"/>
          </w:tcPr>
          <w:p>
            <w:pPr>
              <w:ind w:left="180"/>
              <w:spacing w:after="0"/>
              <w:rPr>
                <w:sz w:val="20"/>
                <w:szCs w:val="20"/>
                <w:color w:val="auto"/>
              </w:rPr>
            </w:pPr>
            <w:r>
              <w:rPr>
                <w:rFonts w:ascii="Arial" w:cs="Arial" w:eastAsia="Arial" w:hAnsi="Arial"/>
                <w:sz w:val="18"/>
                <w:szCs w:val="18"/>
                <w:color w:val="auto"/>
              </w:rPr>
              <w:t>Other Definitions.</w:t>
            </w: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320"/>
              <w:spacing w:after="0"/>
              <w:rPr>
                <w:sz w:val="20"/>
                <w:szCs w:val="20"/>
                <w:color w:val="auto"/>
              </w:rPr>
            </w:pPr>
            <w:r>
              <w:rPr>
                <w:rFonts w:ascii="Arial" w:cs="Arial" w:eastAsia="Arial" w:hAnsi="Arial"/>
                <w:sz w:val="18"/>
                <w:szCs w:val="18"/>
                <w:b w:val="1"/>
                <w:bCs w:val="1"/>
                <w:color w:val="auto"/>
              </w:rPr>
              <w:t>Defined in</w:t>
            </w:r>
          </w:p>
        </w:tc>
      </w:tr>
      <w:tr>
        <w:trPr>
          <w:trHeight w:val="234"/>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Section:</w:t>
            </w:r>
          </w:p>
        </w:tc>
        <w:tc>
          <w:tcPr>
            <w:tcW w:w="400" w:type="dxa"/>
            <w:vAlign w:val="bottom"/>
            <w:tcBorders>
              <w:bottom w:val="single" w:sz="8" w:color="CCEEFF"/>
            </w:tcBorders>
          </w:tcPr>
          <w:p>
            <w:pPr>
              <w:spacing w:after="0"/>
              <w:rPr>
                <w:sz w:val="20"/>
                <w:szCs w:val="20"/>
                <w:color w:val="auto"/>
              </w:rPr>
            </w:pPr>
          </w:p>
        </w:tc>
      </w:tr>
      <w:tr>
        <w:trPr>
          <w:trHeight w:val="209"/>
        </w:trPr>
        <w:tc>
          <w:tcPr>
            <w:tcW w:w="8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“Agent Members”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2.1(b)</w:t>
            </w:r>
          </w:p>
        </w:tc>
      </w:tr>
      <w:tr>
        <w:trPr>
          <w:trHeight w:val="216"/>
        </w:trPr>
        <w:tc>
          <w:tcPr>
            <w:tcW w:w="8280" w:type="dxa"/>
            <w:vAlign w:val="bottom"/>
            <w:gridSpan w:val="5"/>
          </w:tcPr>
          <w:p>
            <w:pPr>
              <w:spacing w:after="0"/>
              <w:rPr>
                <w:sz w:val="20"/>
                <w:szCs w:val="20"/>
                <w:color w:val="auto"/>
              </w:rPr>
            </w:pPr>
            <w:r>
              <w:rPr>
                <w:rFonts w:ascii="Arial" w:cs="Arial" w:eastAsia="Arial" w:hAnsi="Arial"/>
                <w:sz w:val="18"/>
                <w:szCs w:val="18"/>
                <w:color w:val="auto"/>
              </w:rPr>
              <w:t>“Global Notes”</w:t>
            </w:r>
          </w:p>
        </w:tc>
        <w:tc>
          <w:tcPr>
            <w:tcW w:w="1820" w:type="dxa"/>
            <w:vAlign w:val="bottom"/>
            <w:gridSpan w:val="2"/>
          </w:tcPr>
          <w:p>
            <w:pPr>
              <w:ind w:left="1200"/>
              <w:spacing w:after="0"/>
              <w:rPr>
                <w:sz w:val="20"/>
                <w:szCs w:val="20"/>
                <w:color w:val="auto"/>
              </w:rPr>
            </w:pPr>
            <w:r>
              <w:rPr>
                <w:rFonts w:ascii="Arial" w:cs="Arial" w:eastAsia="Arial" w:hAnsi="Arial"/>
                <w:sz w:val="18"/>
                <w:szCs w:val="18"/>
                <w:color w:val="auto"/>
              </w:rPr>
              <w:t>2.1(a)</w:t>
            </w:r>
          </w:p>
        </w:tc>
      </w:tr>
      <w:tr>
        <w:trPr>
          <w:trHeight w:val="216"/>
        </w:trPr>
        <w:tc>
          <w:tcPr>
            <w:tcW w:w="8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“OID Legend”</w:t>
            </w:r>
          </w:p>
        </w:tc>
        <w:tc>
          <w:tcPr>
            <w:tcW w:w="18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5"/>
              </w:rPr>
              <w:t>2.3(e)(i)</w:t>
            </w:r>
          </w:p>
        </w:tc>
      </w:tr>
      <w:tr>
        <w:trPr>
          <w:trHeight w:val="216"/>
        </w:trPr>
        <w:tc>
          <w:tcPr>
            <w:tcW w:w="8280" w:type="dxa"/>
            <w:vAlign w:val="bottom"/>
            <w:gridSpan w:val="5"/>
          </w:tcPr>
          <w:p>
            <w:pPr>
              <w:spacing w:after="0"/>
              <w:rPr>
                <w:sz w:val="20"/>
                <w:szCs w:val="20"/>
                <w:color w:val="auto"/>
              </w:rPr>
            </w:pPr>
            <w:r>
              <w:rPr>
                <w:rFonts w:ascii="Arial" w:cs="Arial" w:eastAsia="Arial" w:hAnsi="Arial"/>
                <w:sz w:val="18"/>
                <w:szCs w:val="18"/>
                <w:color w:val="auto"/>
              </w:rPr>
              <w:t>“Permanent Regulation S Global Note”</w:t>
            </w:r>
          </w:p>
        </w:tc>
        <w:tc>
          <w:tcPr>
            <w:tcW w:w="1820" w:type="dxa"/>
            <w:vAlign w:val="bottom"/>
            <w:gridSpan w:val="2"/>
          </w:tcPr>
          <w:p>
            <w:pPr>
              <w:ind w:left="1200"/>
              <w:spacing w:after="0"/>
              <w:rPr>
                <w:sz w:val="20"/>
                <w:szCs w:val="20"/>
                <w:color w:val="auto"/>
              </w:rPr>
            </w:pPr>
            <w:r>
              <w:rPr>
                <w:rFonts w:ascii="Arial" w:cs="Arial" w:eastAsia="Arial" w:hAnsi="Arial"/>
                <w:sz w:val="18"/>
                <w:szCs w:val="18"/>
                <w:color w:val="auto"/>
              </w:rPr>
              <w:t>2.1(a)</w:t>
            </w:r>
          </w:p>
        </w:tc>
      </w:tr>
      <w:tr>
        <w:trPr>
          <w:trHeight w:val="216"/>
        </w:trPr>
        <w:tc>
          <w:tcPr>
            <w:tcW w:w="8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“Regulation S”</w:t>
            </w:r>
          </w:p>
        </w:tc>
        <w:tc>
          <w:tcPr>
            <w:tcW w:w="18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2.1(a)</w:t>
            </w:r>
          </w:p>
        </w:tc>
      </w:tr>
      <w:tr>
        <w:trPr>
          <w:trHeight w:val="216"/>
        </w:trPr>
        <w:tc>
          <w:tcPr>
            <w:tcW w:w="8280" w:type="dxa"/>
            <w:vAlign w:val="bottom"/>
            <w:gridSpan w:val="5"/>
          </w:tcPr>
          <w:p>
            <w:pPr>
              <w:spacing w:after="0"/>
              <w:rPr>
                <w:sz w:val="20"/>
                <w:szCs w:val="20"/>
                <w:color w:val="auto"/>
              </w:rPr>
            </w:pPr>
            <w:r>
              <w:rPr>
                <w:rFonts w:ascii="Arial" w:cs="Arial" w:eastAsia="Arial" w:hAnsi="Arial"/>
                <w:sz w:val="18"/>
                <w:szCs w:val="18"/>
                <w:color w:val="auto"/>
              </w:rPr>
              <w:t>“Regulation S Global Note”</w:t>
            </w:r>
          </w:p>
        </w:tc>
        <w:tc>
          <w:tcPr>
            <w:tcW w:w="1820" w:type="dxa"/>
            <w:vAlign w:val="bottom"/>
            <w:gridSpan w:val="2"/>
          </w:tcPr>
          <w:p>
            <w:pPr>
              <w:ind w:left="1200"/>
              <w:spacing w:after="0"/>
              <w:rPr>
                <w:sz w:val="20"/>
                <w:szCs w:val="20"/>
                <w:color w:val="auto"/>
              </w:rPr>
            </w:pPr>
            <w:r>
              <w:rPr>
                <w:rFonts w:ascii="Arial" w:cs="Arial" w:eastAsia="Arial" w:hAnsi="Arial"/>
                <w:sz w:val="18"/>
                <w:szCs w:val="18"/>
                <w:color w:val="auto"/>
              </w:rPr>
              <w:t>2.1(a)</w:t>
            </w:r>
          </w:p>
        </w:tc>
      </w:tr>
      <w:tr>
        <w:trPr>
          <w:trHeight w:val="216"/>
        </w:trPr>
        <w:tc>
          <w:tcPr>
            <w:tcW w:w="8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“Rule 144A”</w:t>
            </w:r>
          </w:p>
        </w:tc>
        <w:tc>
          <w:tcPr>
            <w:tcW w:w="18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2.1(a)</w:t>
            </w:r>
          </w:p>
        </w:tc>
      </w:tr>
      <w:tr>
        <w:trPr>
          <w:trHeight w:val="216"/>
        </w:trPr>
        <w:tc>
          <w:tcPr>
            <w:tcW w:w="8280" w:type="dxa"/>
            <w:vAlign w:val="bottom"/>
            <w:gridSpan w:val="5"/>
          </w:tcPr>
          <w:p>
            <w:pPr>
              <w:spacing w:after="0"/>
              <w:rPr>
                <w:sz w:val="20"/>
                <w:szCs w:val="20"/>
                <w:color w:val="auto"/>
              </w:rPr>
            </w:pPr>
            <w:r>
              <w:rPr>
                <w:rFonts w:ascii="Arial" w:cs="Arial" w:eastAsia="Arial" w:hAnsi="Arial"/>
                <w:sz w:val="18"/>
                <w:szCs w:val="18"/>
                <w:color w:val="auto"/>
              </w:rPr>
              <w:t>“Rule 144A Global Note”</w:t>
            </w:r>
          </w:p>
        </w:tc>
        <w:tc>
          <w:tcPr>
            <w:tcW w:w="1820" w:type="dxa"/>
            <w:vAlign w:val="bottom"/>
            <w:gridSpan w:val="2"/>
          </w:tcPr>
          <w:p>
            <w:pPr>
              <w:ind w:left="1200"/>
              <w:spacing w:after="0"/>
              <w:rPr>
                <w:sz w:val="20"/>
                <w:szCs w:val="20"/>
                <w:color w:val="auto"/>
              </w:rPr>
            </w:pPr>
            <w:r>
              <w:rPr>
                <w:rFonts w:ascii="Arial" w:cs="Arial" w:eastAsia="Arial" w:hAnsi="Arial"/>
                <w:sz w:val="18"/>
                <w:szCs w:val="18"/>
                <w:color w:val="auto"/>
              </w:rPr>
              <w:t>2.1(a)</w:t>
            </w:r>
          </w:p>
        </w:tc>
      </w:tr>
      <w:tr>
        <w:trPr>
          <w:trHeight w:val="216"/>
        </w:trPr>
        <w:tc>
          <w:tcPr>
            <w:tcW w:w="8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“Temporary Regulation S Global Note”</w:t>
            </w:r>
          </w:p>
        </w:tc>
        <w:tc>
          <w:tcPr>
            <w:tcW w:w="18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2.1(a)</w:t>
            </w:r>
          </w:p>
        </w:tc>
      </w:tr>
    </w:tbl>
    <w:p>
      <w:pPr>
        <w:spacing w:after="0" w:line="202" w:lineRule="exact"/>
        <w:rPr>
          <w:sz w:val="20"/>
          <w:szCs w:val="20"/>
          <w:color w:val="auto"/>
        </w:rPr>
      </w:pPr>
    </w:p>
    <w:p>
      <w:pPr>
        <w:jc w:val="both"/>
        <w:ind w:right="500" w:firstLine="648"/>
        <w:spacing w:after="0" w:line="277" w:lineRule="auto"/>
        <w:rPr>
          <w:sz w:val="20"/>
          <w:szCs w:val="20"/>
          <w:color w:val="auto"/>
        </w:rPr>
      </w:pPr>
      <w:r>
        <w:rPr>
          <w:rFonts w:ascii="Arial" w:cs="Arial" w:eastAsia="Arial" w:hAnsi="Arial"/>
          <w:sz w:val="18"/>
          <w:szCs w:val="18"/>
          <w:color w:val="auto"/>
        </w:rPr>
        <w:t>1.3 Capitalized terms used in this Appendix, but not defined, have the meanings ascribed to such terms in the Indenture to which this Appendix is attached.</w:t>
      </w:r>
    </w:p>
    <w:p>
      <w:pPr>
        <w:spacing w:after="0" w:line="170" w:lineRule="exact"/>
        <w:rPr>
          <w:sz w:val="20"/>
          <w:szCs w:val="20"/>
          <w:color w:val="auto"/>
        </w:rPr>
      </w:pPr>
    </w:p>
    <w:p>
      <w:pPr>
        <w:ind w:left="660" w:hanging="652"/>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The Notes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2.1 (a) </w:t>
      </w:r>
      <w:r>
        <w:rPr>
          <w:rFonts w:ascii="Arial" w:cs="Arial" w:eastAsia="Arial" w:hAnsi="Arial"/>
          <w:sz w:val="16"/>
          <w:szCs w:val="16"/>
          <w:u w:val="single" w:color="auto"/>
          <w:color w:val="auto"/>
        </w:rPr>
        <w:t>Form and Dating</w:t>
      </w:r>
      <w:r>
        <w:rPr>
          <w:rFonts w:ascii="Arial" w:cs="Arial" w:eastAsia="Arial" w:hAnsi="Arial"/>
          <w:sz w:val="16"/>
          <w:szCs w:val="16"/>
          <w:color w:val="auto"/>
        </w:rPr>
        <w:t>. The Initial Notes shall be offered and sold by the Company pursuant to the Purchase Agreement. The Initial Notes shall be resold initially only to (i) QIBs in reliance on Rule 144A under the Securities Act (“</w:t>
      </w:r>
      <w:r>
        <w:rPr>
          <w:rFonts w:ascii="Arial" w:cs="Arial" w:eastAsia="Arial" w:hAnsi="Arial"/>
          <w:sz w:val="16"/>
          <w:szCs w:val="16"/>
          <w:u w:val="single" w:color="auto"/>
          <w:color w:val="auto"/>
        </w:rPr>
        <w:t>Rule 144A</w:t>
      </w:r>
      <w:r>
        <w:rPr>
          <w:rFonts w:ascii="Arial" w:cs="Arial" w:eastAsia="Arial" w:hAnsi="Arial"/>
          <w:sz w:val="16"/>
          <w:szCs w:val="16"/>
          <w:color w:val="auto"/>
        </w:rPr>
        <w:t>”) and (ii) Persons other than U.S. Persons (as defined in Regulation S) in reliance on Regulation S under the Securities Act (“</w:t>
      </w:r>
      <w:r>
        <w:rPr>
          <w:rFonts w:ascii="Arial" w:cs="Arial" w:eastAsia="Arial" w:hAnsi="Arial"/>
          <w:sz w:val="16"/>
          <w:szCs w:val="16"/>
          <w:u w:val="single" w:color="auto"/>
          <w:color w:val="auto"/>
        </w:rPr>
        <w:t>Regulation S</w:t>
      </w:r>
      <w:r>
        <w:rPr>
          <w:rFonts w:ascii="Arial" w:cs="Arial" w:eastAsia="Arial" w:hAnsi="Arial"/>
          <w:sz w:val="16"/>
          <w:szCs w:val="16"/>
          <w:color w:val="auto"/>
        </w:rPr>
        <w:t>”). Initial Notes may thereafter be transferred to, among others, QIBs and purchasers in reliance on Regulation S, subject to the restrictions on transfer set forth herein. Initial Notes initially resold pursuant to Rule 144A shall be issued initially in the form of one or more permanent global Notes in definitive, fully registered form (collectively, the “</w:t>
      </w:r>
      <w:r>
        <w:rPr>
          <w:rFonts w:ascii="Arial" w:cs="Arial" w:eastAsia="Arial" w:hAnsi="Arial"/>
          <w:sz w:val="16"/>
          <w:szCs w:val="16"/>
          <w:u w:val="single" w:color="auto"/>
          <w:color w:val="auto"/>
        </w:rPr>
        <w:t>Rule 144A Global Note</w:t>
      </w:r>
      <w:r>
        <w:rPr>
          <w:rFonts w:ascii="Arial" w:cs="Arial" w:eastAsia="Arial" w:hAnsi="Arial"/>
          <w:sz w:val="16"/>
          <w:szCs w:val="16"/>
          <w:color w:val="auto"/>
        </w:rPr>
        <w:t>”); and Initial Notes initially resold pursuant to Regulation S shall be issued initially in the form of one or more temporary global notes in fully registered form (collectively, the “</w:t>
      </w:r>
      <w:r>
        <w:rPr>
          <w:rFonts w:ascii="Arial" w:cs="Arial" w:eastAsia="Arial" w:hAnsi="Arial"/>
          <w:sz w:val="16"/>
          <w:szCs w:val="16"/>
          <w:u w:val="single" w:color="auto"/>
          <w:color w:val="auto"/>
        </w:rPr>
        <w:t>Temporary Regulation S Global Note</w:t>
      </w:r>
      <w:r>
        <w:rPr>
          <w:rFonts w:ascii="Arial" w:cs="Arial" w:eastAsia="Arial" w:hAnsi="Arial"/>
          <w:sz w:val="16"/>
          <w:szCs w:val="16"/>
          <w:color w:val="auto"/>
        </w:rPr>
        <w:t>”), in each case without interest coupons and with the global notes legend and the applicable restricted notes legend set forth in Exhibit 1 hereto, which shall be deposited on behalf of the purchasers of the Initial Notes represented thereby with the Notes Custodian and registered in the name of the Depository or a nominee of the Depository, duly executed by the Company and authenticated by the Trustee as provided in this Indenture. Except as set forth in this Section 2.1(a), beneficial ownership interests in the Temporary Regulation S Global Note shall be held only through the Euroclear System (“</w:t>
      </w:r>
      <w:r>
        <w:rPr>
          <w:rFonts w:ascii="Arial" w:cs="Arial" w:eastAsia="Arial" w:hAnsi="Arial"/>
          <w:sz w:val="16"/>
          <w:szCs w:val="16"/>
          <w:u w:val="single" w:color="auto"/>
          <w:color w:val="auto"/>
        </w:rPr>
        <w:t>Euroclear</w:t>
      </w:r>
      <w:r>
        <w:rPr>
          <w:rFonts w:ascii="Arial" w:cs="Arial" w:eastAsia="Arial" w:hAnsi="Arial"/>
          <w:sz w:val="16"/>
          <w:szCs w:val="16"/>
          <w:color w:val="auto"/>
        </w:rPr>
        <w:t>”) and Clearstream Banking, S.A. (“</w:t>
      </w:r>
      <w:r>
        <w:rPr>
          <w:rFonts w:ascii="Arial" w:cs="Arial" w:eastAsia="Arial" w:hAnsi="Arial"/>
          <w:sz w:val="16"/>
          <w:szCs w:val="16"/>
          <w:u w:val="single" w:color="auto"/>
          <w:color w:val="auto"/>
        </w:rPr>
        <w:t>Clearstream</w:t>
      </w:r>
      <w:r>
        <w:rPr>
          <w:rFonts w:ascii="Arial" w:cs="Arial" w:eastAsia="Arial" w:hAnsi="Arial"/>
          <w:sz w:val="16"/>
          <w:szCs w:val="16"/>
          <w:color w:val="auto"/>
        </w:rPr>
        <w:t>”) (as indirect participants in the Depository) and shall not be exchangeable for interests in the Rule 144A Global Note, a permanent Regulation S global note in fully registered form (the “</w:t>
      </w:r>
      <w:r>
        <w:rPr>
          <w:rFonts w:ascii="Arial" w:cs="Arial" w:eastAsia="Arial" w:hAnsi="Arial"/>
          <w:sz w:val="16"/>
          <w:szCs w:val="16"/>
          <w:u w:val="single" w:color="auto"/>
          <w:color w:val="auto"/>
        </w:rPr>
        <w:t>Permanent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Regulation S Global Note</w:t>
      </w:r>
      <w:r>
        <w:rPr>
          <w:rFonts w:ascii="Arial" w:cs="Arial" w:eastAsia="Arial" w:hAnsi="Arial"/>
          <w:sz w:val="16"/>
          <w:szCs w:val="16"/>
          <w:color w:val="auto"/>
        </w:rPr>
        <w:t>” and together with the Temporary Regulation S Global Note, the “</w:t>
      </w:r>
      <w:r>
        <w:rPr>
          <w:rFonts w:ascii="Arial" w:cs="Arial" w:eastAsia="Arial" w:hAnsi="Arial"/>
          <w:sz w:val="16"/>
          <w:szCs w:val="16"/>
          <w:u w:val="single" w:color="auto"/>
          <w:color w:val="auto"/>
        </w:rPr>
        <w:t>Regulation S Global Note</w:t>
      </w:r>
      <w:r>
        <w:rPr>
          <w:rFonts w:ascii="Arial" w:cs="Arial" w:eastAsia="Arial" w:hAnsi="Arial"/>
          <w:sz w:val="16"/>
          <w:szCs w:val="16"/>
          <w:color w:val="auto"/>
        </w:rPr>
        <w:t>”) or any other Note prior to the expiration of the Distribution Compliance Period and then, after the expiration of the Distribution Compliance Period, may be exchanged for interests in a Rule 144A Global Note or the Permanent Regulation S Global Note only upon certification in the form attached hereto as Exhibit 3 or otherwise in a form satisfactory to the Trustee that beneficial ownership interests in such Temporary Regulation S Global Note are owned either by Non-U.S. Persons or U.S. Persons who purchased such interests in a transaction that is exempt from the registration requirements under the Securities Act.</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7" w:name="page168"/>
    <w:bookmarkEnd w:id="167"/>
    <w:p>
      <w:pPr>
        <w:ind w:firstLine="648"/>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603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128905"/>
                    </a:xfrm>
                    <a:prstGeom prst="rect">
                      <a:avLst/>
                    </a:prstGeom>
                    <a:noFill/>
                  </pic:spPr>
                </pic:pic>
              </a:graphicData>
            </a:graphic>
          </wp:anchor>
        </w:drawing>
        <w:t>Prior to the expiration of the Distribution Compliance Period, beneficial interests in Temporary Regulation S Global Notes may be exchanged for interests in Rule 144A Global Notes if (1) such exchange occurs in connection with a transfer of Notes in compliance with Rule 144A and (2) the transferor of the beneficial interest in the Temporary Regulation S Global Note first delivers to the Trustee a written certificate (in a form substantially similar to that attached hereto as Exhibit 2) to the effect that the beneficial interest in the Temporary Regulation S Global Note is being transferred (a) to a Person who the transferor reasonably believes to be a QIB that is purchasing for its own account or the account of a QIB in a transaction meeting the requirements of Rule 144A, and (b) in accordance with all applicable securities laws of the States of the United States and other jurisdictions.</w:t>
      </w:r>
    </w:p>
    <w:p>
      <w:pPr>
        <w:spacing w:after="0" w:line="1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Beneficial interests in a Rule 144A Global Note may be transferred to a Person who takes delivery in the form of an interest in a Regulation S Global Note, whether before or after the expiration of the Distribution Compliance Period, only if the transferor first delivers to the Trustee a written certificate (in a form substantially similar to that attached hereto as Exhibit 2) to the effect that such transfer is being made in accordance with Rule 903 or 904 of Regulation S or Rule 144 (if applicable).</w:t>
      </w:r>
    </w:p>
    <w:p>
      <w:pPr>
        <w:spacing w:after="0" w:line="18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Rule 144A Global Note, the Temporary Regulation S Global Note and the Permanent Regulation S Global Note are collectively referred to herein as “Global Notes.” The aggregate principal amount of the Global Notes may from time to time be increased or decreased by adjustments made on the records of the Trustee and the Depository or its nominee as hereinafter provided.</w:t>
      </w:r>
    </w:p>
    <w:p>
      <w:pPr>
        <w:spacing w:after="0" w:line="184" w:lineRule="exact"/>
        <w:rPr>
          <w:sz w:val="20"/>
          <w:szCs w:val="20"/>
          <w:color w:val="auto"/>
        </w:rPr>
      </w:pPr>
    </w:p>
    <w:p>
      <w:pPr>
        <w:ind w:left="2060" w:hanging="756"/>
        <w:spacing w:after="0"/>
        <w:tabs>
          <w:tab w:leader="none" w:pos="2060" w:val="left"/>
        </w:tabs>
        <w:numPr>
          <w:ilvl w:val="0"/>
          <w:numId w:val="225"/>
        </w:numPr>
        <w:rPr>
          <w:rFonts w:ascii="Arial" w:cs="Arial" w:eastAsia="Arial" w:hAnsi="Arial"/>
          <w:sz w:val="17"/>
          <w:szCs w:val="17"/>
          <w:color w:val="121212"/>
        </w:rPr>
      </w:pPr>
      <w:r>
        <w:rPr>
          <w:rFonts w:ascii="Arial" w:cs="Arial" w:eastAsia="Arial" w:hAnsi="Arial"/>
          <w:sz w:val="17"/>
          <w:szCs w:val="17"/>
          <w:u w:val="single" w:color="auto"/>
          <w:color w:val="auto"/>
        </w:rPr>
        <w:t>Book-Entry Provisions</w:t>
      </w:r>
      <w:r>
        <w:rPr>
          <w:rFonts w:ascii="Arial" w:cs="Arial" w:eastAsia="Arial" w:hAnsi="Arial"/>
          <w:sz w:val="17"/>
          <w:szCs w:val="17"/>
          <w:color w:val="auto"/>
        </w:rPr>
        <w:t xml:space="preserve">. This Section 2.1(b) shall apply only to a Global Note </w:t>
      </w:r>
      <w:r>
        <w:rPr>
          <w:rFonts w:ascii="Arial" w:cs="Arial" w:eastAsia="Arial" w:hAnsi="Arial"/>
          <w:sz w:val="17"/>
          <w:szCs w:val="17"/>
          <w:color w:val="121212"/>
        </w:rPr>
        <w:t>deposited with or on</w:t>
      </w:r>
      <w:r>
        <w:rPr>
          <w:rFonts w:ascii="Arial" w:cs="Arial" w:eastAsia="Arial" w:hAnsi="Arial"/>
          <w:sz w:val="17"/>
          <w:szCs w:val="17"/>
          <w:color w:val="auto"/>
        </w:rPr>
        <w:t xml:space="preserve"> behalf </w:t>
      </w:r>
      <w:r>
        <w:rPr>
          <w:rFonts w:ascii="Arial" w:cs="Arial" w:eastAsia="Arial" w:hAnsi="Arial"/>
          <w:sz w:val="17"/>
          <w:szCs w:val="17"/>
          <w:color w:val="121212"/>
        </w:rPr>
        <w:t>of the Depository.</w:t>
      </w:r>
    </w:p>
    <w:p>
      <w:pPr>
        <w:spacing w:after="0" w:line="23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shall execute and the Trustee shall, in accordance with this Section 2.1(b), authenticate and deliver initially one or more Global Notes that (a) shall be registered in the name of the Depository or the nominee of the Depository and (b) shall be delivered by the Trustee to the Depository or pursuant to the Depository’s instructions or held by the Trustee as custodian for the Depository.</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Members of, or participants in, the Depository (“</w:t>
      </w:r>
      <w:r>
        <w:rPr>
          <w:rFonts w:ascii="Arial" w:cs="Arial" w:eastAsia="Arial" w:hAnsi="Arial"/>
          <w:sz w:val="16"/>
          <w:szCs w:val="16"/>
          <w:u w:val="single" w:color="auto"/>
          <w:color w:val="auto"/>
        </w:rPr>
        <w:t>Agent Members</w:t>
      </w:r>
      <w:r>
        <w:rPr>
          <w:rFonts w:ascii="Arial" w:cs="Arial" w:eastAsia="Arial" w:hAnsi="Arial"/>
          <w:sz w:val="16"/>
          <w:szCs w:val="16"/>
          <w:color w:val="auto"/>
        </w:rPr>
        <w:t>”) shall have no rights under this Indenture with respect to any Global Note held on their behalf by the Depository or by the Trustee as the custodian of the Depository or under such Global Note, and the Company, the Trustee and any agent of the Company or the Trustee shall be entitled to treat the Depository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 Depository or impair, as between the Depository and its Agent Members, the operation of customary practices of such Depository governing the exercise of the rights of a Holder of a beneficial interest in any Global Note.</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8" w:name="page169"/>
    <w:bookmarkEnd w:id="168"/>
    <w:p>
      <w:pPr>
        <w:ind w:left="660" w:right="120" w:firstLine="644"/>
        <w:spacing w:after="0" w:line="277" w:lineRule="auto"/>
        <w:tabs>
          <w:tab w:leader="none" w:pos="2047"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Certificated Notes</w:t>
      </w:r>
      <w:r>
        <w:rPr>
          <w:rFonts w:ascii="Arial" w:cs="Arial" w:eastAsia="Arial" w:hAnsi="Arial"/>
          <w:sz w:val="18"/>
          <w:szCs w:val="18"/>
          <w:color w:val="auto"/>
        </w:rPr>
        <w:t>. Except as provided in this Section 2.1 or Section 2.3 or 2.4, owners of beneficial interests in Global Notes shall not be entitled to receive physical delivery of Certificated Notes.</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Authentication</w:t>
      </w:r>
      <w:r>
        <w:rPr>
          <w:rFonts w:ascii="Arial" w:cs="Arial" w:eastAsia="Arial" w:hAnsi="Arial"/>
          <w:sz w:val="16"/>
          <w:szCs w:val="16"/>
          <w:color w:val="auto"/>
        </w:rPr>
        <w:t>. The Trustee shall upon receipt of a Company Order specified in Section 2.02 of the Indenture authenticate and deliver:</w:t>
      </w:r>
    </w:p>
    <w:p>
      <w:pPr>
        <w:spacing w:after="0" w:line="23" w:lineRule="exact"/>
        <w:rPr>
          <w:sz w:val="20"/>
          <w:szCs w:val="20"/>
          <w:color w:val="auto"/>
        </w:rPr>
      </w:pPr>
    </w:p>
    <w:p>
      <w:pPr>
        <w:ind w:firstLine="8"/>
        <w:spacing w:after="0" w:line="271" w:lineRule="auto"/>
        <w:tabs>
          <w:tab w:leader="none" w:pos="25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on the Issue Date, an aggregate principal amount of $300,000,000 of 6.250% Senior Secured Notes Due 2028 and (2) any Additional Notes for an original issue in an aggregate principal amount specified in the written order of the Company pursuant to Section 2.02 of the Indenture, in each case upon a Company Order signed by one Officer of the Company. Such Company Order shall specify the amount of the Notes to be authenticated and the date on which the original issue of Notes is to be authenticated and, in the case of any issuance of Additional Notes pursuant to Section 3.12 of the Indenture, shall certify that such issuance is in compliance with Section 10.09 of the Indenture.</w:t>
      </w:r>
    </w:p>
    <w:p>
      <w:pPr>
        <w:spacing w:after="0" w:line="1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left="2040" w:hanging="736"/>
        <w:spacing w:after="0"/>
        <w:tabs>
          <w:tab w:leader="none" w:pos="204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Certificated Notes</w:t>
      </w:r>
      <w:r>
        <w:rPr>
          <w:rFonts w:ascii="Arial" w:cs="Arial" w:eastAsia="Arial" w:hAnsi="Arial"/>
          <w:sz w:val="17"/>
          <w:szCs w:val="17"/>
          <w:color w:val="auto"/>
        </w:rPr>
        <w:t>. When Certificated Notes are presented to the Note Registrar with a request:</w:t>
      </w:r>
    </w:p>
    <w:p>
      <w:pPr>
        <w:spacing w:after="0" w:line="236" w:lineRule="exact"/>
        <w:rPr>
          <w:rFonts w:ascii="Arial" w:cs="Arial" w:eastAsia="Arial" w:hAnsi="Arial"/>
          <w:sz w:val="17"/>
          <w:szCs w:val="17"/>
          <w:color w:val="auto"/>
        </w:rPr>
      </w:pPr>
    </w:p>
    <w:p>
      <w:pPr>
        <w:ind w:left="2700" w:hanging="748"/>
        <w:spacing w:after="0"/>
        <w:tabs>
          <w:tab w:leader="none" w:pos="27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register the transfer of such Certificated Notes; or</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exchange such Certificated Notes for an equal principal amount of Certificated Notes of other authorized</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denominations,</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the Note Registrar shall register the transfer or make the exchange as requested if its reasonable requirements for such transaction are met;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Certificated Notes surrendered for transfer or exchange:</w:t>
      </w:r>
    </w:p>
    <w:p>
      <w:pPr>
        <w:spacing w:after="0" w:line="170" w:lineRule="exact"/>
        <w:rPr>
          <w:sz w:val="20"/>
          <w:szCs w:val="20"/>
          <w:color w:val="auto"/>
        </w:rPr>
      </w:pPr>
    </w:p>
    <w:p>
      <w:pPr>
        <w:ind w:left="1300" w:right="500" w:firstLine="652"/>
        <w:spacing w:after="0" w:line="308" w:lineRule="auto"/>
        <w:tabs>
          <w:tab w:leader="none" w:pos="2658" w:val="left"/>
        </w:tabs>
        <w:numPr>
          <w:ilvl w:val="1"/>
          <w:numId w:val="229"/>
        </w:numPr>
        <w:rPr>
          <w:rFonts w:ascii="Arial" w:cs="Arial" w:eastAsia="Arial" w:hAnsi="Arial"/>
          <w:sz w:val="17"/>
          <w:szCs w:val="17"/>
          <w:color w:val="auto"/>
        </w:rPr>
      </w:pPr>
      <w:r>
        <w:rPr>
          <w:rFonts w:ascii="Arial" w:cs="Arial" w:eastAsia="Arial" w:hAnsi="Arial"/>
          <w:sz w:val="17"/>
          <w:szCs w:val="17"/>
          <w:color w:val="auto"/>
        </w:rPr>
        <w:t>shall be duly endorsed or accompanied by a written instrument of transfer in form reasonably satisfactory to the Company and the Note Registrar, duly executed by the Holder thereof or its attorney duly authorized in writing; and</w:t>
      </w:r>
    </w:p>
    <w:p>
      <w:pPr>
        <w:spacing w:after="0" w:line="146" w:lineRule="exact"/>
        <w:rPr>
          <w:rFonts w:ascii="Arial" w:cs="Arial" w:eastAsia="Arial" w:hAnsi="Arial"/>
          <w:sz w:val="17"/>
          <w:szCs w:val="17"/>
          <w:color w:val="auto"/>
        </w:rPr>
      </w:pPr>
    </w:p>
    <w:p>
      <w:pPr>
        <w:jc w:val="both"/>
        <w:ind w:left="1300" w:right="460" w:firstLine="652"/>
        <w:spacing w:after="0" w:line="291" w:lineRule="auto"/>
        <w:tabs>
          <w:tab w:leader="none" w:pos="2708"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if such Certificated Notes are required to bear a restricted notes legend, they are being transferred or exchanged pursuant to an effective registration statement under the Securities Act, pursuant to Section 2.3(b) or pursuant to clause (A), (B) or</w:t>
      </w:r>
    </w:p>
    <w:p>
      <w:pPr>
        <w:ind w:left="1580" w:hanging="276"/>
        <w:spacing w:after="0"/>
        <w:tabs>
          <w:tab w:leader="none" w:pos="1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below, and are accompanied by the following additional information and documents, as applicable:</w:t>
      </w:r>
    </w:p>
    <w:p>
      <w:pPr>
        <w:spacing w:after="0" w:line="210" w:lineRule="exact"/>
        <w:rPr>
          <w:rFonts w:ascii="Arial" w:cs="Arial" w:eastAsia="Arial" w:hAnsi="Arial"/>
          <w:sz w:val="18"/>
          <w:szCs w:val="18"/>
          <w:color w:val="auto"/>
        </w:rPr>
      </w:pPr>
    </w:p>
    <w:p>
      <w:pPr>
        <w:ind w:left="1960" w:right="100" w:firstLine="640"/>
        <w:spacing w:after="0" w:line="277" w:lineRule="auto"/>
        <w:tabs>
          <w:tab w:leader="none" w:pos="3398" w:val="left"/>
        </w:tabs>
        <w:numPr>
          <w:ilvl w:val="2"/>
          <w:numId w:val="230"/>
        </w:numPr>
        <w:rPr>
          <w:rFonts w:ascii="Arial" w:cs="Arial" w:eastAsia="Arial" w:hAnsi="Arial"/>
          <w:sz w:val="18"/>
          <w:szCs w:val="18"/>
          <w:color w:val="auto"/>
        </w:rPr>
      </w:pPr>
      <w:r>
        <w:rPr>
          <w:rFonts w:ascii="Arial" w:cs="Arial" w:eastAsia="Arial" w:hAnsi="Arial"/>
          <w:sz w:val="18"/>
          <w:szCs w:val="18"/>
          <w:color w:val="auto"/>
        </w:rPr>
        <w:t>if such Certificated Notes are being delivered to the Note Registrar by a Holder for registration in the name of such Holder, without transfer, a certification from such Holder to that effect; 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9" w:name="page170"/>
    <w:bookmarkEnd w:id="169"/>
    <w:p>
      <w:pPr>
        <w:ind w:left="2260" w:hanging="780"/>
        <w:spacing w:after="0"/>
        <w:tabs>
          <w:tab w:leader="none" w:pos="226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if such Certificated Notes are being transferred to the Company, a certification to that effect; or</w:t>
      </w:r>
    </w:p>
    <w:p>
      <w:pPr>
        <w:spacing w:after="0" w:line="225" w:lineRule="exact"/>
        <w:rPr>
          <w:rFonts w:ascii="Arial" w:cs="Arial" w:eastAsia="Arial" w:hAnsi="Arial"/>
          <w:sz w:val="18"/>
          <w:szCs w:val="18"/>
          <w:color w:val="auto"/>
        </w:rPr>
      </w:pPr>
    </w:p>
    <w:p>
      <w:pPr>
        <w:ind w:left="840" w:right="40" w:firstLine="640"/>
        <w:spacing w:after="0" w:line="257" w:lineRule="auto"/>
        <w:tabs>
          <w:tab w:leader="none" w:pos="2268" w:val="left"/>
        </w:tabs>
        <w:numPr>
          <w:ilvl w:val="2"/>
          <w:numId w:val="231"/>
        </w:numPr>
        <w:rPr>
          <w:rFonts w:ascii="Arial" w:cs="Arial" w:eastAsia="Arial" w:hAnsi="Arial"/>
          <w:sz w:val="18"/>
          <w:szCs w:val="18"/>
          <w:color w:val="auto"/>
        </w:rPr>
      </w:pPr>
      <w:r>
        <w:rPr>
          <w:rFonts w:ascii="Arial" w:cs="Arial" w:eastAsia="Arial" w:hAnsi="Arial"/>
          <w:sz w:val="18"/>
          <w:szCs w:val="18"/>
          <w:color w:val="auto"/>
        </w:rPr>
        <w:t>if such Certificated Notes are being transferred (x) pursuant to an exemption from registration in accordance with Rule 144A, Regulation S or Rule 144 under the Securities Act; or (y) in reliance upon another exemption from the requirements of the Securities Act: (i) a certification to that effect (in the form set forth on the reverse of the Note) and (ii) if the Company so requests, an Opinion of Counsel or other evidence reasonably satisfactory to it as to the compliance with the restrictions set forth in the legend set forth in Section 2.3(e)(i).</w:t>
      </w:r>
    </w:p>
    <w:p>
      <w:pPr>
        <w:spacing w:after="0" w:line="187" w:lineRule="exact"/>
        <w:rPr>
          <w:rFonts w:ascii="Arial" w:cs="Arial" w:eastAsia="Arial" w:hAnsi="Arial"/>
          <w:sz w:val="18"/>
          <w:szCs w:val="18"/>
          <w:color w:val="auto"/>
        </w:rPr>
      </w:pPr>
    </w:p>
    <w:p>
      <w:pPr>
        <w:ind w:left="-460" w:right="340" w:firstLine="644"/>
        <w:spacing w:after="0" w:line="259" w:lineRule="auto"/>
        <w:tabs>
          <w:tab w:leader="none" w:pos="937"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 Certificated Note for a Beneficial Interest in a Global Note</w:t>
      </w:r>
      <w:r>
        <w:rPr>
          <w:rFonts w:ascii="Arial" w:cs="Arial" w:eastAsia="Arial" w:hAnsi="Arial"/>
          <w:sz w:val="18"/>
          <w:szCs w:val="18"/>
          <w:color w:val="auto"/>
        </w:rPr>
        <w:t>. A Certificated Note may not be exchanged for a beneficial interest in a Rule 144A Global Note or a Permanent Regulation S Global Note except upon satisfaction of the requirements set forth below. Upon receipt by the Trustee of a Certificated Note, duly endorsed or accompanied by appropriate instruments of transfer, in form satisfactory to the Trustee, together with:</w:t>
      </w:r>
    </w:p>
    <w:p>
      <w:pPr>
        <w:spacing w:after="0" w:line="186" w:lineRule="exact"/>
        <w:rPr>
          <w:rFonts w:ascii="Arial" w:cs="Arial" w:eastAsia="Arial" w:hAnsi="Arial"/>
          <w:sz w:val="18"/>
          <w:szCs w:val="18"/>
          <w:color w:val="auto"/>
        </w:rPr>
      </w:pPr>
    </w:p>
    <w:p>
      <w:pPr>
        <w:ind w:left="1540" w:hanging="708"/>
        <w:spacing w:after="0"/>
        <w:tabs>
          <w:tab w:leader="none" w:pos="154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certification, in a form substantially similar to that attached hereto as Exhibit 2, that such Certificated Note is either</w:t>
      </w:r>
    </w:p>
    <w:p>
      <w:pPr>
        <w:spacing w:after="0" w:line="34" w:lineRule="exact"/>
        <w:rPr>
          <w:rFonts w:ascii="Arial" w:cs="Arial" w:eastAsia="Arial" w:hAnsi="Arial"/>
          <w:sz w:val="17"/>
          <w:szCs w:val="17"/>
          <w:color w:val="auto"/>
        </w:rPr>
      </w:pPr>
    </w:p>
    <w:p>
      <w:pPr>
        <w:ind w:left="180"/>
        <w:spacing w:after="0" w:line="255" w:lineRule="auto"/>
        <w:rPr>
          <w:rFonts w:ascii="Arial" w:cs="Arial" w:eastAsia="Arial" w:hAnsi="Arial"/>
          <w:sz w:val="17"/>
          <w:szCs w:val="17"/>
          <w:color w:val="auto"/>
        </w:rPr>
      </w:pPr>
      <w:r>
        <w:rPr>
          <w:rFonts w:ascii="Arial" w:cs="Arial" w:eastAsia="Arial" w:hAnsi="Arial"/>
          <w:sz w:val="18"/>
          <w:szCs w:val="18"/>
          <w:color w:val="auto"/>
        </w:rPr>
        <w:t>(A) being transferred to a QIB in accordance with Rule 144A or (B) being transferred after expiration of the Distribution Compliance Period by a Person who initially purchased such Note in reliance on Regulation S to a buyer who elects to hold its interest in such Note in the form of a beneficial interest in the Permanent Regulation S Global Note; and</w:t>
      </w:r>
    </w:p>
    <w:p>
      <w:pPr>
        <w:spacing w:after="0" w:line="189" w:lineRule="exact"/>
        <w:rPr>
          <w:rFonts w:ascii="Arial" w:cs="Arial" w:eastAsia="Arial" w:hAnsi="Arial"/>
          <w:sz w:val="17"/>
          <w:szCs w:val="17"/>
          <w:color w:val="auto"/>
        </w:rPr>
      </w:pPr>
    </w:p>
    <w:p>
      <w:pPr>
        <w:ind w:left="180" w:firstLine="652"/>
        <w:spacing w:after="0" w:line="268" w:lineRule="auto"/>
        <w:tabs>
          <w:tab w:leader="none" w:pos="1588" w:val="left"/>
        </w:tabs>
        <w:numPr>
          <w:ilvl w:val="1"/>
          <w:numId w:val="232"/>
        </w:numPr>
        <w:rPr>
          <w:rFonts w:ascii="Arial" w:cs="Arial" w:eastAsia="Arial" w:hAnsi="Arial"/>
          <w:sz w:val="17"/>
          <w:szCs w:val="17"/>
          <w:color w:val="121212"/>
        </w:rPr>
      </w:pPr>
      <w:r>
        <w:rPr>
          <w:rFonts w:ascii="Arial" w:cs="Arial" w:eastAsia="Arial" w:hAnsi="Arial"/>
          <w:sz w:val="17"/>
          <w:szCs w:val="17"/>
          <w:color w:val="auto"/>
        </w:rPr>
        <w:t>written instructions directing the Trustee to make, or to direct the Notes Custodian to make, an adjustment on its books and records with respect to such Rule 144A Global Note (in the case of a transfer pursuant to clause (b)(i)(A)) or Permanent Regulation S Global Note (in the case of a transfer pursuant to clause (b)(i)(B)) to reflect an increase in the aggregate principal amount of the Notes represented by the Rule 144A Global Note or Permanent Regulation S Global Note, as applicable, such instructions to contain information regarding the Depository account to be credited with such increase, then the Trustee shall cancel such Certificated Note and cause, or direct the Notes Custodian to cause, in accordance with the standing instructions and procedures existing between the Depository and the Notes Custodian, the aggregate principal amount of Notes represented by the Rule 144A Global Note or Permanent Regulation S Global Note, as applicable, to be increased by the aggregate principal amount of the Certificated Note to be exchanged and shall credit or cause to be credited to the account of the Person specified in such instructions a beneficial interest in the Rule 144A Global Note or Permanent Regulation S Global Note, as applicable, equal to the principal amount of the Certificated Note so canceled. If no Rule 144A Global Notes or Permanent Regulation S Global Notes, as applicable, are then outstanding, the Company shall issue and the Trustee shall authenticate, upon receipt of a Company Order, a new Rule 144 A Global Note or Permanent Regulation S Global Note, as applicable, in the appropriate principal amount.</w:t>
      </w:r>
    </w:p>
    <w:p>
      <w:pPr>
        <w:spacing w:after="0" w:line="200" w:lineRule="exact"/>
        <w:rPr>
          <w:sz w:val="20"/>
          <w:szCs w:val="20"/>
          <w:color w:val="auto"/>
        </w:rPr>
      </w:pPr>
    </w:p>
    <w:p>
      <w:pPr>
        <w:spacing w:after="0" w:line="20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70" w:name="page171"/>
    <w:bookmarkEnd w:id="170"/>
    <w:p>
      <w:pPr>
        <w:ind w:left="920" w:hanging="736"/>
        <w:spacing w:after="0"/>
        <w:tabs>
          <w:tab w:leader="none" w:pos="920" w:val="left"/>
        </w:tabs>
        <w:numPr>
          <w:ilvl w:val="0"/>
          <w:numId w:val="233"/>
        </w:numPr>
        <w:rPr>
          <w:rFonts w:ascii="Arial" w:cs="Arial" w:eastAsia="Arial" w:hAnsi="Arial"/>
          <w:sz w:val="18"/>
          <w:szCs w:val="18"/>
          <w:color w:val="121212"/>
        </w:rPr>
      </w:pPr>
      <w:r>
        <w:rPr>
          <w:rFonts w:ascii="Arial" w:cs="Arial" w:eastAsia="Arial" w:hAnsi="Arial"/>
          <w:sz w:val="18"/>
          <w:szCs w:val="18"/>
          <w:u w:val="single" w:color="auto"/>
          <w:color w:val="auto"/>
        </w:rPr>
        <w:t>Transfer and Exchange of Global Notes</w:t>
      </w:r>
      <w:r>
        <w:rPr>
          <w:rFonts w:ascii="Arial" w:cs="Arial" w:eastAsia="Arial" w:hAnsi="Arial"/>
          <w:sz w:val="18"/>
          <w:szCs w:val="18"/>
          <w:color w:val="auto"/>
        </w:rPr>
        <w:t>.</w:t>
      </w:r>
    </w:p>
    <w:p>
      <w:pPr>
        <w:spacing w:after="0" w:line="225" w:lineRule="exact"/>
        <w:rPr>
          <w:rFonts w:ascii="Arial" w:cs="Arial" w:eastAsia="Arial" w:hAnsi="Arial"/>
          <w:sz w:val="18"/>
          <w:szCs w:val="18"/>
          <w:color w:val="121212"/>
        </w:rPr>
      </w:pPr>
    </w:p>
    <w:p>
      <w:pPr>
        <w:ind w:left="180" w:right="60" w:firstLine="652"/>
        <w:spacing w:after="0" w:line="272" w:lineRule="auto"/>
        <w:tabs>
          <w:tab w:leader="none" w:pos="1538" w:val="left"/>
        </w:tabs>
        <w:numPr>
          <w:ilvl w:val="1"/>
          <w:numId w:val="233"/>
        </w:numPr>
        <w:rPr>
          <w:rFonts w:ascii="Arial" w:cs="Arial" w:eastAsia="Arial" w:hAnsi="Arial"/>
          <w:sz w:val="17"/>
          <w:szCs w:val="17"/>
          <w:color w:val="121212"/>
        </w:rPr>
      </w:pPr>
      <w:r>
        <w:rPr>
          <w:rFonts w:ascii="Arial" w:cs="Arial" w:eastAsia="Arial" w:hAnsi="Arial"/>
          <w:sz w:val="17"/>
          <w:szCs w:val="17"/>
          <w:color w:val="auto"/>
        </w:rPr>
        <w:t>The transfer and exchange of Global Notes or beneficial interests therein shall be effected through the Depository, in accordance with this Indenture (including applicable restrictions on transfer set forth herein, if any) and the procedures of the Depository therefor. A transferor of a beneficial interest in a Global Note shall deliver to the Note Registrar a written order given in accordance with the Depository’s procedures containing information regarding the participant account of the Depository to be credited with a beneficial interest in the Global Note. The Note Registrar shall, in accordance with such instructions instruct the Depository to credit to the account of the Person specified in such instructions a beneficial interest in the Global Note and to debit the account of the Person making the transfer the beneficial interest in the Global Note being transferred.</w:t>
      </w:r>
    </w:p>
    <w:p>
      <w:pPr>
        <w:spacing w:after="0" w:line="177" w:lineRule="exact"/>
        <w:rPr>
          <w:rFonts w:ascii="Arial" w:cs="Arial" w:eastAsia="Arial" w:hAnsi="Arial"/>
          <w:sz w:val="17"/>
          <w:szCs w:val="17"/>
          <w:color w:val="121212"/>
        </w:rPr>
      </w:pPr>
    </w:p>
    <w:p>
      <w:pPr>
        <w:ind w:left="180" w:right="60" w:firstLine="652"/>
        <w:spacing w:after="0" w:line="257" w:lineRule="auto"/>
        <w:tabs>
          <w:tab w:leader="none" w:pos="1588" w:val="left"/>
        </w:tabs>
        <w:numPr>
          <w:ilvl w:val="1"/>
          <w:numId w:val="233"/>
        </w:numPr>
        <w:rPr>
          <w:rFonts w:ascii="Arial" w:cs="Arial" w:eastAsia="Arial" w:hAnsi="Arial"/>
          <w:sz w:val="18"/>
          <w:szCs w:val="18"/>
          <w:color w:val="121212"/>
        </w:rPr>
      </w:pPr>
      <w:r>
        <w:rPr>
          <w:rFonts w:ascii="Arial" w:cs="Arial" w:eastAsia="Arial" w:hAnsi="Arial"/>
          <w:sz w:val="18"/>
          <w:szCs w:val="18"/>
          <w:color w:val="auto"/>
        </w:rPr>
        <w:t>If the proposed transfer is a transfer of a beneficial interest in one Global Note to a beneficial interest in another Global Note, the Note Registrar shall reflect on its books and records the date and an increase in the principal amount of the Global Note to which such interest is being transferred in an amount equal to the principal amount of the interest to be so transferred, and the Note Registrar shall reflect on its books and records the date and a corresponding decrease in the principal amount of the Global Note from which such interest is being transferred.</w:t>
      </w:r>
    </w:p>
    <w:p>
      <w:pPr>
        <w:spacing w:after="0" w:line="187" w:lineRule="exact"/>
        <w:rPr>
          <w:rFonts w:ascii="Arial" w:cs="Arial" w:eastAsia="Arial" w:hAnsi="Arial"/>
          <w:sz w:val="18"/>
          <w:szCs w:val="18"/>
          <w:color w:val="121212"/>
        </w:rPr>
      </w:pPr>
    </w:p>
    <w:p>
      <w:pPr>
        <w:ind w:left="180" w:firstLine="652"/>
        <w:spacing w:after="0" w:line="259" w:lineRule="auto"/>
        <w:tabs>
          <w:tab w:leader="none" w:pos="1638" w:val="left"/>
        </w:tabs>
        <w:numPr>
          <w:ilvl w:val="1"/>
          <w:numId w:val="233"/>
        </w:numPr>
        <w:rPr>
          <w:rFonts w:ascii="Arial" w:cs="Arial" w:eastAsia="Arial" w:hAnsi="Arial"/>
          <w:sz w:val="18"/>
          <w:szCs w:val="18"/>
          <w:color w:val="121212"/>
        </w:rPr>
      </w:pPr>
      <w:r>
        <w:rPr>
          <w:rFonts w:ascii="Arial" w:cs="Arial" w:eastAsia="Arial" w:hAnsi="Arial"/>
          <w:sz w:val="18"/>
          <w:szCs w:val="18"/>
          <w:color w:val="auto"/>
        </w:rPr>
        <w:t>Notwithstanding any other provisions of this Appendix (other than the provisions set forth in Section 2.4), a Global Note may not be transferred as a whole except by the Depository to a nominee of the Depository or by a nominee of the Depository to the Depository or another nominee of the Depository or by the Depository or any such nominee to a successor Depository or a nominee of such successor Depository.</w:t>
      </w:r>
    </w:p>
    <w:p>
      <w:pPr>
        <w:spacing w:after="0" w:line="186" w:lineRule="exact"/>
        <w:rPr>
          <w:rFonts w:ascii="Arial" w:cs="Arial" w:eastAsia="Arial" w:hAnsi="Arial"/>
          <w:sz w:val="18"/>
          <w:szCs w:val="18"/>
          <w:color w:val="121212"/>
        </w:rPr>
      </w:pPr>
    </w:p>
    <w:p>
      <w:pPr>
        <w:ind w:left="180" w:right="160" w:firstLine="652"/>
        <w:spacing w:after="0" w:line="275" w:lineRule="auto"/>
        <w:tabs>
          <w:tab w:leader="none" w:pos="1627" w:val="left"/>
        </w:tabs>
        <w:numPr>
          <w:ilvl w:val="1"/>
          <w:numId w:val="233"/>
        </w:numPr>
        <w:rPr>
          <w:rFonts w:ascii="Arial" w:cs="Arial" w:eastAsia="Arial" w:hAnsi="Arial"/>
          <w:sz w:val="17"/>
          <w:szCs w:val="17"/>
          <w:color w:val="121212"/>
        </w:rPr>
      </w:pPr>
      <w:r>
        <w:rPr>
          <w:rFonts w:ascii="Arial" w:cs="Arial" w:eastAsia="Arial" w:hAnsi="Arial"/>
          <w:sz w:val="17"/>
          <w:szCs w:val="17"/>
          <w:color w:val="auto"/>
        </w:rPr>
        <w:t>In the event that Global Note is exchanged for Certificated Notes pursuant to Section 2.4 of this Appendix, such Notes may be exchanged only in accordance with such procedures as are substantially consistent with the provisions of this Section 2.3 (including the certification requirements set forth on the reverse of the Initial Notes (as set forth in Exhibit 2, hereto) intended to ensure that such transfers comply with Rule 144A, Regulation S or another applicable exemption under the Securities Act, as the case may be) and such other procedures as may from time to time be adopted by the Company.</w:t>
      </w:r>
    </w:p>
    <w:p>
      <w:pPr>
        <w:spacing w:after="0" w:line="176" w:lineRule="exact"/>
        <w:rPr>
          <w:rFonts w:ascii="Arial" w:cs="Arial" w:eastAsia="Arial" w:hAnsi="Arial"/>
          <w:sz w:val="17"/>
          <w:szCs w:val="17"/>
          <w:color w:val="121212"/>
        </w:rPr>
      </w:pPr>
    </w:p>
    <w:p>
      <w:pPr>
        <w:ind w:left="-460" w:right="40" w:firstLine="644"/>
        <w:spacing w:after="0" w:line="275" w:lineRule="auto"/>
        <w:tabs>
          <w:tab w:leader="none" w:pos="937" w:val="left"/>
        </w:tabs>
        <w:numPr>
          <w:ilvl w:val="0"/>
          <w:numId w:val="233"/>
        </w:numPr>
        <w:rPr>
          <w:rFonts w:ascii="Arial" w:cs="Arial" w:eastAsia="Arial" w:hAnsi="Arial"/>
          <w:sz w:val="17"/>
          <w:szCs w:val="17"/>
          <w:color w:val="121212"/>
        </w:rPr>
      </w:pPr>
      <w:r>
        <w:rPr>
          <w:rFonts w:ascii="Arial" w:cs="Arial" w:eastAsia="Arial" w:hAnsi="Arial"/>
          <w:sz w:val="17"/>
          <w:szCs w:val="17"/>
          <w:u w:val="single" w:color="auto"/>
          <w:color w:val="auto"/>
        </w:rPr>
        <w:t>Restrictions on Transfer of Temporary Regulation S Global Notes</w:t>
      </w:r>
      <w:r>
        <w:rPr>
          <w:rFonts w:ascii="Arial" w:cs="Arial" w:eastAsia="Arial" w:hAnsi="Arial"/>
          <w:sz w:val="17"/>
          <w:szCs w:val="17"/>
          <w:color w:val="auto"/>
        </w:rPr>
        <w:t>. During the Distribution Compliance Period, beneficial ownership interests in Temporary Regulation S Global Notes may only be sold, pledged or transferred in accordance with the Applicable Procedures and only (i) to the Company, (ii) in an offshore transaction in accordance with Regulation S (other than a transaction resulting in an exchange for an interest in a Permanent Regulation S Global Note), (iii) pursuant to an effective registration statement under the Securities Act, in each case in accordance with any applicable securities laws of any State of the United States.</w:t>
      </w:r>
    </w:p>
    <w:p>
      <w:pPr>
        <w:spacing w:after="0" w:line="39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71" w:name="page172"/>
    <w:bookmarkEnd w:id="171"/>
    <w:p>
      <w:pPr>
        <w:ind w:left="920" w:hanging="736"/>
        <w:spacing w:after="0"/>
        <w:tabs>
          <w:tab w:leader="none" w:pos="920" w:val="left"/>
        </w:tabs>
        <w:numPr>
          <w:ilvl w:val="0"/>
          <w:numId w:val="234"/>
        </w:numPr>
        <w:rPr>
          <w:rFonts w:ascii="Arial" w:cs="Arial" w:eastAsia="Arial" w:hAnsi="Arial"/>
          <w:sz w:val="18"/>
          <w:szCs w:val="18"/>
          <w:color w:val="121212"/>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603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35" cy="128905"/>
                    </a:xfrm>
                    <a:prstGeom prst="rect">
                      <a:avLst/>
                    </a:prstGeom>
                    <a:noFill/>
                  </pic:spPr>
                </pic:pic>
              </a:graphicData>
            </a:graphic>
          </wp:anchor>
        </w:drawing>
        <w:t>Legend</w:t>
      </w:r>
      <w:r>
        <w:rPr>
          <w:rFonts w:ascii="Arial" w:cs="Arial" w:eastAsia="Arial" w:hAnsi="Arial"/>
          <w:sz w:val="18"/>
          <w:szCs w:val="18"/>
          <w:color w:val="auto"/>
        </w:rPr>
        <w:t>.</w:t>
      </w:r>
    </w:p>
    <w:p>
      <w:pPr>
        <w:spacing w:after="0" w:line="225" w:lineRule="exact"/>
        <w:rPr>
          <w:rFonts w:ascii="Arial" w:cs="Arial" w:eastAsia="Arial" w:hAnsi="Arial"/>
          <w:sz w:val="18"/>
          <w:szCs w:val="18"/>
          <w:color w:val="121212"/>
        </w:rPr>
      </w:pPr>
    </w:p>
    <w:p>
      <w:pPr>
        <w:ind w:left="180" w:firstLine="652"/>
        <w:spacing w:after="0" w:line="263" w:lineRule="auto"/>
        <w:tabs>
          <w:tab w:leader="none" w:pos="1538" w:val="left"/>
        </w:tabs>
        <w:numPr>
          <w:ilvl w:val="1"/>
          <w:numId w:val="234"/>
        </w:numPr>
        <w:rPr>
          <w:rFonts w:ascii="Arial" w:cs="Arial" w:eastAsia="Arial" w:hAnsi="Arial"/>
          <w:sz w:val="18"/>
          <w:szCs w:val="18"/>
          <w:color w:val="121212"/>
        </w:rPr>
      </w:pPr>
      <w:r>
        <w:rPr>
          <w:rFonts w:ascii="Arial" w:cs="Arial" w:eastAsia="Arial" w:hAnsi="Arial"/>
          <w:sz w:val="18"/>
          <w:szCs w:val="18"/>
          <w:color w:val="auto"/>
        </w:rPr>
        <w:t>Except as permitted by the following paragraphs (ii), (iii) and (iv), each Note certificate evidencing the Global Notes (and all Notes issued in exchange therefor or in substitution thereof), in the case of Notes offered otherwise than in reliance on Regulation S shall bear a legend in substantially the following form:</w:t>
      </w:r>
    </w:p>
    <w:p>
      <w:pPr>
        <w:spacing w:after="0" w:line="184" w:lineRule="exact"/>
        <w:rPr>
          <w:sz w:val="20"/>
          <w:szCs w:val="20"/>
          <w:color w:val="auto"/>
        </w:rPr>
      </w:pPr>
    </w:p>
    <w:p>
      <w:pPr>
        <w:ind w:left="180" w:right="160" w:firstLine="648"/>
        <w:spacing w:after="0" w:line="266" w:lineRule="auto"/>
        <w:rPr>
          <w:sz w:val="20"/>
          <w:szCs w:val="20"/>
          <w:color w:val="auto"/>
        </w:rPr>
      </w:pPr>
      <w:r>
        <w:rPr>
          <w:rFonts w:ascii="Arial" w:cs="Arial" w:eastAsia="Arial" w:hAnsi="Arial"/>
          <w:sz w:val="17"/>
          <w:szCs w:val="17"/>
          <w:color w:val="auto"/>
        </w:rPr>
        <w:t>THE SECURITY (OR ITS PREDECESSOR) EVIDENCED HEREBY WAS ORIGINALLY ISSUED IN A TRANSACTION EXEMPT FROM REGISTRATION UNDER SECTION 5 OF THE UNITED STATES SECURITIES ACT OF 1933, AS AMENDED (THE “SECURITIES ACT”),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AGREES FOR THE BENEFIT OF THE COMPANY THAT (A) SUCH SECURITY MAY BE RESOLD, PLEDGED OR OTHERWISE TRANSFERRED, ONLY (l)(a) INSIDE THE UNITED STATES TO A PERSON WHO THE SELLER REASONABLY BELIEVES IS A QUALIFIED INSTITUTIONAL BUYER (AS DEFINED IN RULE 144A UNDER THE SECURITIES ACT) PURCHASING FOR ITS OWN ACCOUNT OR FOR THE ACCOUNT OF A QUALIFIED INSTITUTIONAL BUYER IN A TRANSACTION MEETING THE REQUIREMENTS OF RULE 144A UNDER THE SECURITIES ACT. (b) OUTSIDE THE UNITED STATES TO A FOREIGN PERSON IN A TRANSACTION MEETING THE REQUIREMENTS OF RULE 903 OR RULE 904 OF REGULATION S UNDER THE SECURITIES ACT,</w:t>
      </w:r>
    </w:p>
    <w:p>
      <w:pPr>
        <w:spacing w:after="0" w:line="6" w:lineRule="exact"/>
        <w:rPr>
          <w:sz w:val="20"/>
          <w:szCs w:val="20"/>
          <w:color w:val="auto"/>
        </w:rPr>
      </w:pPr>
    </w:p>
    <w:p>
      <w:pPr>
        <w:ind w:left="180" w:right="20" w:firstLine="4"/>
        <w:spacing w:after="0" w:line="268" w:lineRule="auto"/>
        <w:tabs>
          <w:tab w:leader="none" w:pos="42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PURSUANT TO AN EXEMPTION FROM REGISTRATION UNDER THE SECURITIES ACT PROVIDED BY RULE 144 THEREUNDER (IF APPLICABLE) OR (d) IN ACCORDANCE WITH ANOTHER EXEMPTION FROM THE REGISTRATION REQUIREMENTS OF THE SECURITIES ACT (AND BASED UPON AN OPINION OF COUNSEL ACCEPTABLE TO THE COMPANY IF THE COMPANY SO REQUESTS), (2) TO THE COMPANY OR (3) PURSUANT TO AN EFFECTIVE REGISTRATION STATEMENT AND, IN EACH CASE, IN ACCORDANCE WITH ANY APPLICABLE SECURITIES LAWS OF ANY STATE OF THE UNITED STATES OR ANY OTHER APPLICABLE JURISDICTION AND (B) THE HOLDER WILL, AND EACH SUBSEQUENT HOLDER IS REQUIRED TO, NOTIFY ANY PURCHASER OF THE SECURITY EVIDENCED HEREBY OF THE RESALE RESTRICTIONS SET FORTH IN CLAUSE (A) ABOVE. NO REPRESENTATION CAN BE MADE AS TO THE AVAILABILITY OF THE EXEMPTION PROVIDED BY RULE 144 FOR RESALE OF THE SECURITY EVIDENCED HEREBY.</w:t>
      </w:r>
    </w:p>
    <w:p>
      <w:pPr>
        <w:spacing w:after="0" w:line="39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2" w:name="page173"/>
    <w:bookmarkEnd w:id="172"/>
    <w:p>
      <w:pPr>
        <w:ind w:right="560" w:firstLine="648"/>
        <w:spacing w:after="0" w:line="277" w:lineRule="auto"/>
        <w:rPr>
          <w:sz w:val="20"/>
          <w:szCs w:val="20"/>
          <w:color w:val="auto"/>
        </w:rPr>
      </w:pPr>
      <w:r>
        <w:rPr>
          <w:rFonts w:ascii="Arial" w:cs="Arial" w:eastAsia="Arial" w:hAnsi="Arial"/>
          <w:sz w:val="18"/>
          <w:szCs w:val="18"/>
          <w:color w:val="auto"/>
        </w:rPr>
        <w:t>Each certificate evidencing a Note offered in reliance on Regulation S shall, in addition to the foregoing, bear a legend in substantially the following form:</w:t>
      </w:r>
    </w:p>
    <w:p>
      <w:pPr>
        <w:spacing w:after="0" w:line="170" w:lineRule="exact"/>
        <w:rPr>
          <w:sz w:val="20"/>
          <w:szCs w:val="20"/>
          <w:color w:val="auto"/>
        </w:rPr>
      </w:pPr>
    </w:p>
    <w:p>
      <w:pPr>
        <w:ind w:left="1300" w:right="240" w:firstLine="648"/>
        <w:spacing w:after="0" w:line="255" w:lineRule="auto"/>
        <w:rPr>
          <w:sz w:val="20"/>
          <w:szCs w:val="20"/>
          <w:color w:val="auto"/>
        </w:rPr>
      </w:pPr>
      <w:r>
        <w:rPr>
          <w:rFonts w:ascii="Arial" w:cs="Arial" w:eastAsia="Arial" w:hAnsi="Arial"/>
          <w:sz w:val="18"/>
          <w:szCs w:val="18"/>
          <w:color w:val="auto"/>
        </w:rPr>
        <w:t>THE SECURITY EVIDENCED HEREBY WAS ORIGINALLY ISSUED IN A TRANSACTION ORIGINALLY EXEMPT FROM REGISTRATION UNDER THE U.S. SECURITIES ACT OF 1933, AS AMENDED (THE “SECURITIES ACT”), AND MAY NOT BE TRANSFERRED IN THE UNITED STATES OR TO, OR FOR THE ACCOUNT OR BENEFIT OF, ANY U.S. PERSON EXCEPT PURSUANT TO AN AVAILABLE EXEMPTION FROM THE REGISTRATION REQUIREMENTS OF THE SECURITIES ACT AND ALL APPLICABLE STATE SECURITIES LAWS. TERMS USED ABOVE HAVE THE MEANINGS GIVEN TO THEM IN REGULATION S UNDER THE SECURITIES ACT.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Certificated Note shall also bear the following additional legend:</w:t>
      </w:r>
    </w:p>
    <w:p>
      <w:pPr>
        <w:spacing w:after="0" w:line="225" w:lineRule="exact"/>
        <w:rPr>
          <w:sz w:val="20"/>
          <w:szCs w:val="20"/>
          <w:color w:val="auto"/>
        </w:rPr>
      </w:pPr>
    </w:p>
    <w:p>
      <w:pPr>
        <w:ind w:left="1300" w:right="40" w:firstLine="648"/>
        <w:spacing w:after="0" w:line="263" w:lineRule="auto"/>
        <w:rPr>
          <w:sz w:val="20"/>
          <w:szCs w:val="20"/>
          <w:color w:val="auto"/>
        </w:rPr>
      </w:pPr>
      <w:r>
        <w:rPr>
          <w:rFonts w:ascii="Arial" w:cs="Arial" w:eastAsia="Arial" w:hAnsi="Arial"/>
          <w:sz w:val="18"/>
          <w:szCs w:val="18"/>
          <w:color w:val="auto"/>
        </w:rPr>
        <w:t>IN CONNECTION WITH ANY TRANSFER, THE HOLDER WILL DELIVER TO THE NOTE REGISTRAR AND TRANSFER AGENT SUCH CERTIFICATES AND OTHER INFORMATION AS SUCH TRANSFER AGENT MAY REASONABLY REQUIRE TO CONFIRM THAT THE TRANSFER COMPLIES WITH THE FOREGOING RESTRICTIONS.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To the extent required by Section 1275(c)(1)(A) of the Internal Revenue Code of 1986, as amended, and Treasury Regulation Section 1.1275-3(b) (l), each Note issued at a discount to its stated redemption price at maturity shall bear a legend (the “OID Legend”) in substantially the following form (with any necessary amendments thereto to reflect any amendments occurring after the Issue Date to the applicable sections):</w:t>
      </w:r>
    </w:p>
    <w:p>
      <w:pPr>
        <w:spacing w:after="0" w:line="165" w:lineRule="exact"/>
        <w:rPr>
          <w:sz w:val="20"/>
          <w:szCs w:val="20"/>
          <w:color w:val="auto"/>
        </w:rPr>
      </w:pPr>
    </w:p>
    <w:p>
      <w:pPr>
        <w:ind w:left="1300" w:right="20" w:firstLine="648"/>
        <w:spacing w:after="0" w:line="257" w:lineRule="auto"/>
        <w:rPr>
          <w:sz w:val="20"/>
          <w:szCs w:val="20"/>
          <w:color w:val="auto"/>
        </w:rPr>
      </w:pPr>
      <w:r>
        <w:rPr>
          <w:rFonts w:ascii="Arial" w:cs="Arial" w:eastAsia="Arial" w:hAnsi="Arial"/>
          <w:sz w:val="18"/>
          <w:szCs w:val="18"/>
          <w:color w:val="auto"/>
        </w:rPr>
        <w:t>FOR THE PURPOSES OF SECTIONS 1272, 1273 AND 1275 OF THE INTERNAL REVENUE CODE OF 1986, AS AMENDED, THIS SECURITY IS BEING ISSUED WITH ORIGINAL ISSUE DISCOUNT. YOU MAY CONTACT THE COMPANY AT WINNEBAGO INDUSTRIES, INC., 13200 PIONEER TRAIL, EDEN PRAIRIE, MINNESOTA 55347, ATTENTION: GENERAL COUNSEL, AND THE COMPANY WILL PROVIDE YOU WITH THE ISSUE PRICE, THE AMOUNT OF ORIGINAL ISSUE DISCOUNT, THE ISSUE DATE AND THE YIELD TO MATURITY OF THIS SECURITY.</w:t>
      </w:r>
    </w:p>
    <w:p>
      <w:pPr>
        <w:spacing w:after="0" w:line="188" w:lineRule="exact"/>
        <w:rPr>
          <w:sz w:val="20"/>
          <w:szCs w:val="20"/>
          <w:color w:val="auto"/>
        </w:rPr>
      </w:pPr>
    </w:p>
    <w:p>
      <w:pPr>
        <w:ind w:left="1300" w:firstLine="652"/>
        <w:spacing w:after="0" w:line="275" w:lineRule="auto"/>
        <w:tabs>
          <w:tab w:leader="none" w:pos="2708" w:val="left"/>
        </w:tabs>
        <w:numPr>
          <w:ilvl w:val="0"/>
          <w:numId w:val="236"/>
        </w:numPr>
        <w:rPr>
          <w:rFonts w:ascii="Arial" w:cs="Arial" w:eastAsia="Arial" w:hAnsi="Arial"/>
          <w:sz w:val="17"/>
          <w:szCs w:val="17"/>
          <w:color w:val="121212"/>
        </w:rPr>
      </w:pPr>
      <w:r>
        <w:rPr>
          <w:rFonts w:ascii="Arial" w:cs="Arial" w:eastAsia="Arial" w:hAnsi="Arial"/>
          <w:sz w:val="17"/>
          <w:szCs w:val="17"/>
          <w:color w:val="auto"/>
        </w:rPr>
        <w:t xml:space="preserve">Upon any sale or transfer of a Transfer Restricted Note (including any Transfer Restricted Note represented by a Global Note) pursuant to Rule 144 under the Securities Act, the Note Registrar shall permit the transferee thereof to exchange such Transfer Restricted Note for a certificated Note that does not bear the legend set forth above and rescind any restriction on the transfer of such Transfer Restricted Note, if </w:t>
      </w:r>
      <w:r>
        <w:rPr>
          <w:rFonts w:ascii="Arial" w:cs="Arial" w:eastAsia="Arial" w:hAnsi="Arial"/>
          <w:sz w:val="17"/>
          <w:szCs w:val="17"/>
          <w:color w:val="121212"/>
        </w:rPr>
        <w:t>the transferor thereof certifies in writing to the Note Registrar that such sale or transfer was made in</w:t>
      </w:r>
      <w:r>
        <w:rPr>
          <w:rFonts w:ascii="Arial" w:cs="Arial" w:eastAsia="Arial" w:hAnsi="Arial"/>
          <w:sz w:val="17"/>
          <w:szCs w:val="17"/>
          <w:color w:val="auto"/>
        </w:rPr>
        <w:t xml:space="preserve"> </w:t>
      </w:r>
      <w:r>
        <w:rPr>
          <w:rFonts w:ascii="Arial" w:cs="Arial" w:eastAsia="Arial" w:hAnsi="Arial"/>
          <w:sz w:val="17"/>
          <w:szCs w:val="17"/>
          <w:color w:val="121212"/>
        </w:rPr>
        <w:t xml:space="preserve">reliance on Rule 144 (such certification to be in the form set forth </w:t>
      </w:r>
      <w:r>
        <w:rPr>
          <w:rFonts w:ascii="Arial" w:cs="Arial" w:eastAsia="Arial" w:hAnsi="Arial"/>
          <w:sz w:val="17"/>
          <w:szCs w:val="17"/>
          <w:color w:val="000000"/>
        </w:rPr>
        <w:t>on</w:t>
      </w:r>
      <w:r>
        <w:rPr>
          <w:rFonts w:ascii="Arial" w:cs="Arial" w:eastAsia="Arial" w:hAnsi="Arial"/>
          <w:sz w:val="17"/>
          <w:szCs w:val="17"/>
          <w:color w:val="121212"/>
        </w:rPr>
        <w:t xml:space="preserve"> the reverse of the Note).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73" w:name="page174"/>
    <w:bookmarkEnd w:id="173"/>
    <w:p>
      <w:pPr>
        <w:ind w:left="-460" w:right="200" w:firstLine="644"/>
        <w:spacing w:after="0" w:line="273" w:lineRule="auto"/>
        <w:tabs>
          <w:tab w:leader="none" w:pos="908"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Cancellation or Adjustment of Global Note</w:t>
      </w:r>
      <w:r>
        <w:rPr>
          <w:rFonts w:ascii="Arial" w:cs="Arial" w:eastAsia="Arial" w:hAnsi="Arial"/>
          <w:sz w:val="17"/>
          <w:szCs w:val="17"/>
          <w:color w:val="auto"/>
        </w:rPr>
        <w:t>. At such time as all beneficial interests in a Global Note have been exchanged for Certificated Notes, redeemed, purchased or canceled, such Global Note shall be returned to the Depository for cancellation or retained and canceled by the Trustee. At any time prior to such cancellation, if any beneficial interest in a Global Note is exchanged for certificated Notes, redeemed, 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w:t>
      </w:r>
    </w:p>
    <w:p>
      <w:pPr>
        <w:spacing w:after="0" w:line="177" w:lineRule="exact"/>
        <w:rPr>
          <w:rFonts w:ascii="Arial" w:cs="Arial" w:eastAsia="Arial" w:hAnsi="Arial"/>
          <w:sz w:val="17"/>
          <w:szCs w:val="17"/>
          <w:color w:val="auto"/>
        </w:rPr>
      </w:pPr>
    </w:p>
    <w:p>
      <w:pPr>
        <w:ind w:left="940" w:hanging="756"/>
        <w:spacing w:after="0"/>
        <w:tabs>
          <w:tab w:leader="none" w:pos="9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No Obligation of the Trustee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0" w:right="20" w:firstLine="652"/>
        <w:spacing w:after="0" w:line="289" w:lineRule="auto"/>
        <w:tabs>
          <w:tab w:leader="none" w:pos="153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Trustee shall have no responsibility or obligation to any beneficial owner of a Global Note, a member of, or a participant in the Depository or other Person with respect to the accuracy of the records of the Depository or its nominee or of any participant or member thereof, with respect to any ownership interest in the Notes or with respect to the delivery to any participant, member, beneficial owner or other Person (other than the Depository) of any notice (including any notice of redemption) or the payment of any amount, under or with respect to such Notes. All notices and communications to be given to the Holders and all payments to be made to Holders under the Notes shall be given or made only to or upon the order of the registered Holders (which shall be the Depository or its nominee in the case of a Global Note). The rights of beneficial owners in any Global Note shall be exercised only through the Depository subject to the applicable rules and procedures of the Depository. The Trustee may rely and shall be fully protected in relying upon information furnished by the Depository with respect to its members, participants and any beneficial owners.</w:t>
      </w:r>
    </w:p>
    <w:p>
      <w:pPr>
        <w:spacing w:after="0" w:line="166" w:lineRule="exact"/>
        <w:rPr>
          <w:rFonts w:ascii="Arial" w:cs="Arial" w:eastAsia="Arial" w:hAnsi="Arial"/>
          <w:sz w:val="16"/>
          <w:szCs w:val="16"/>
          <w:color w:val="auto"/>
        </w:rPr>
      </w:pPr>
    </w:p>
    <w:p>
      <w:pPr>
        <w:ind w:left="180" w:firstLine="652"/>
        <w:spacing w:after="0" w:line="296" w:lineRule="auto"/>
        <w:tabs>
          <w:tab w:leader="none" w:pos="158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Depository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61" w:lineRule="exact"/>
        <w:rPr>
          <w:rFonts w:ascii="Arial" w:cs="Arial" w:eastAsia="Arial" w:hAnsi="Arial"/>
          <w:sz w:val="16"/>
          <w:szCs w:val="16"/>
          <w:color w:val="auto"/>
        </w:rPr>
      </w:pPr>
    </w:p>
    <w:p>
      <w:pPr>
        <w:jc w:val="both"/>
        <w:ind w:left="-460" w:right="320" w:firstLine="644"/>
        <w:spacing w:after="0" w:line="263" w:lineRule="auto"/>
        <w:tabs>
          <w:tab w:leader="none" w:pos="937" w:val="left"/>
        </w:tabs>
        <w:numPr>
          <w:ilvl w:val="0"/>
          <w:numId w:val="237"/>
        </w:numPr>
        <w:rPr>
          <w:rFonts w:ascii="Arial" w:cs="Arial" w:eastAsia="Arial" w:hAnsi="Arial"/>
          <w:sz w:val="18"/>
          <w:szCs w:val="18"/>
          <w:color w:val="121212"/>
        </w:rPr>
      </w:pPr>
      <w:r>
        <w:rPr>
          <w:rFonts w:ascii="Arial" w:cs="Arial" w:eastAsia="Arial" w:hAnsi="Arial"/>
          <w:sz w:val="18"/>
          <w:szCs w:val="18"/>
          <w:color w:val="auto"/>
        </w:rPr>
        <w:t>To the extent that any Notes are issued at a discount to their stated redemption price at maturity and bears the OID Legend, each group of Notes bearing a given amount of original issue discount shall be treated as a separate series only for purposes of the transfer and exchange provisions of this Section 2.3 and may trade under a separate CUSIP number.</w:t>
      </w:r>
    </w:p>
    <w:p>
      <w:pPr>
        <w:spacing w:after="0" w:line="40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4" w:name="page175"/>
    <w:bookmarkEnd w:id="174"/>
    <w:p>
      <w:pPr>
        <w:spacing w:after="0"/>
        <w:tabs>
          <w:tab w:leader="none" w:pos="740" w:val="left"/>
        </w:tabs>
        <w:rPr>
          <w:sz w:val="20"/>
          <w:szCs w:val="20"/>
          <w:color w:val="auto"/>
        </w:rPr>
      </w:pPr>
      <w:r>
        <w:rPr>
          <w:rFonts w:ascii="Arial" w:cs="Arial" w:eastAsia="Arial" w:hAnsi="Arial"/>
          <w:sz w:val="18"/>
          <w:szCs w:val="18"/>
          <w:color w:val="121212"/>
        </w:rPr>
        <w:t>2.4</w:t>
      </w:r>
      <w:r>
        <w:rPr>
          <w:sz w:val="20"/>
          <w:szCs w:val="20"/>
          <w:color w:val="auto"/>
        </w:rPr>
        <w:tab/>
      </w:r>
      <w:r>
        <w:rPr>
          <w:rFonts w:ascii="Arial" w:cs="Arial" w:eastAsia="Arial" w:hAnsi="Arial"/>
          <w:sz w:val="16"/>
          <w:szCs w:val="16"/>
          <w:u w:val="single" w:color="auto"/>
          <w:color w:val="auto"/>
        </w:rPr>
        <w:t>Certificated Notes</w:t>
      </w:r>
      <w:r>
        <w:rPr>
          <w:rFonts w:ascii="Arial" w:cs="Arial" w:eastAsia="Arial" w:hAnsi="Arial"/>
          <w:sz w:val="16"/>
          <w:szCs w:val="16"/>
          <w:color w:val="auto"/>
        </w:rPr>
        <w:t>.</w:t>
      </w:r>
    </w:p>
    <w:p>
      <w:pPr>
        <w:spacing w:after="0" w:line="225" w:lineRule="exact"/>
        <w:rPr>
          <w:sz w:val="20"/>
          <w:szCs w:val="20"/>
          <w:color w:val="auto"/>
        </w:rPr>
      </w:pPr>
    </w:p>
    <w:p>
      <w:pPr>
        <w:ind w:firstLine="644"/>
        <w:spacing w:after="0" w:line="254" w:lineRule="auto"/>
        <w:tabs>
          <w:tab w:leader="none" w:pos="138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Global Note deposited with the Depository or with the Trustee as Notes Custodian for the Depository pursuant to Section 2.1 shall be transferred to the beneficial owners thereof in the form of Certificated Notes in an aggregate principal amount equal to the principal amount of such Global Note, in exchange for such Global Note, only if such transfer complies with Section 2.3 hereof and (i) the Depository notifies the Company that it is unwilling or unable to continue as depository for such Global Note and the Depository fails to appoint a successor depository or if at any time such Depository ceases to be a “clearing agency” registered under the Exchange Act, in either case, and a successor depository is not appointed by the Company within 90 days of such notice, or (ii) a Default has occurred and is continuing or (iii) if requested by a Holder of beneficial interest in a Global Note.</w:t>
      </w:r>
    </w:p>
    <w:p>
      <w:pPr>
        <w:spacing w:after="0" w:line="194" w:lineRule="exact"/>
        <w:rPr>
          <w:rFonts w:ascii="Arial" w:cs="Arial" w:eastAsia="Arial" w:hAnsi="Arial"/>
          <w:sz w:val="18"/>
          <w:szCs w:val="18"/>
          <w:color w:val="auto"/>
        </w:rPr>
      </w:pPr>
    </w:p>
    <w:p>
      <w:pPr>
        <w:ind w:right="20" w:firstLine="644"/>
        <w:spacing w:after="0" w:line="254" w:lineRule="auto"/>
        <w:tabs>
          <w:tab w:leader="none" w:pos="139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Global Note that is transferable to the beneficial owners thereof pursuant to this Section 2.4 shall be surrendered by the Depository to the Trustee located at its principal Corporate Trust Office to be so transferred, in whole or from time to time in part, without charge, and the Trustee shall authenticate and deliver, upon such transfer of each portion of such Global Note, an equal aggregate principal amount of Certificated Notes of authorized denominations. Any portion of a Global Note transferred pursuant to this Section 2.4 shall be executed, authenticated and delivered only in minimum denominations of $2,000 principal amount and any integral multiple of $1,000 in excess thereof and registered in such names as the depository shall direct. Any Certificated Note delivered in exchange for an interest in the Transfer Restricted Note shall, except as otherwise provided by Section 2.3(e) hereof, bear the applicable restricted notes legend and certificated notes legend set forth in Exhibit I hereto.</w:t>
      </w:r>
    </w:p>
    <w:p>
      <w:pPr>
        <w:spacing w:after="0" w:line="191" w:lineRule="exact"/>
        <w:rPr>
          <w:rFonts w:ascii="Arial" w:cs="Arial" w:eastAsia="Arial" w:hAnsi="Arial"/>
          <w:sz w:val="18"/>
          <w:szCs w:val="18"/>
          <w:color w:val="auto"/>
        </w:rPr>
      </w:pPr>
    </w:p>
    <w:p>
      <w:pPr>
        <w:jc w:val="both"/>
        <w:ind w:right="60" w:firstLine="644"/>
        <w:spacing w:after="0" w:line="263" w:lineRule="auto"/>
        <w:tabs>
          <w:tab w:leader="none" w:pos="138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Subject to the provisions of Section 2.4(b) hereof, the registered Holder of a Global Note shall be entitled to grant proxies and otherwise authorize any Person, including Agent Members and Persons that may hold interests through Agent Members, to take any action which a Holder is entitled to take under this Indenture or the Notes.</w:t>
      </w:r>
    </w:p>
    <w:p>
      <w:pPr>
        <w:spacing w:after="0" w:line="183" w:lineRule="exact"/>
        <w:rPr>
          <w:rFonts w:ascii="Arial" w:cs="Arial" w:eastAsia="Arial" w:hAnsi="Arial"/>
          <w:sz w:val="18"/>
          <w:szCs w:val="18"/>
          <w:color w:val="auto"/>
        </w:rPr>
      </w:pPr>
    </w:p>
    <w:p>
      <w:pPr>
        <w:ind w:right="60" w:firstLine="644"/>
        <w:spacing w:after="0" w:line="275" w:lineRule="auto"/>
        <w:tabs>
          <w:tab w:leader="none" w:pos="139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the event of the occurrence of one of the events specified in Section 2.4(a) hereof, the Company shall promptly make available to the Trustee a reasonable supply of Certificated Notes in definitive, fully registered form without interest coupons. In the event that such Certificated Notes are not issued, the Company expressly acknowledges, with respect to the right of any Holder to pursue a remedy pursuant to this Indenture, including pursuant to Section 5.07, the right of any beneficial owner of Notes to pursue such remedy with respect to the portion of the Global Note that represents such beneficial owner’s Notes as if such Certificated Notes had been issued.</w:t>
      </w:r>
    </w:p>
    <w:p>
      <w:pPr>
        <w:spacing w:after="0" w:line="39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121212"/>
        </w:rPr>
        <w:t>EXHIBIT 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to Rule 144A </w:t>
      </w:r>
      <w:r>
        <w:rPr>
          <w:rFonts w:ascii="Arial" w:cs="Arial" w:eastAsia="Arial" w:hAnsi="Arial"/>
          <w:sz w:val="18"/>
          <w:szCs w:val="18"/>
          <w:b w:val="1"/>
          <w:bCs w:val="1"/>
          <w:color w:val="202020"/>
        </w:rPr>
        <w:t>/</w:t>
      </w:r>
      <w:r>
        <w:rPr>
          <w:rFonts w:ascii="Arial" w:cs="Arial" w:eastAsia="Arial" w:hAnsi="Arial"/>
          <w:sz w:val="18"/>
          <w:szCs w:val="18"/>
          <w:b w:val="1"/>
          <w:bCs w:val="1"/>
          <w:color w:val="auto"/>
        </w:rPr>
        <w:t xml:space="preserve"> Regulation S Appendix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1D1D1D"/>
        </w:rPr>
        <w:t xml:space="preserve">[FORM OF FACE </w:t>
      </w:r>
      <w:r>
        <w:rPr>
          <w:rFonts w:ascii="Arial" w:cs="Arial" w:eastAsia="Arial" w:hAnsi="Arial"/>
          <w:sz w:val="18"/>
          <w:szCs w:val="18"/>
          <w:color w:val="000000"/>
        </w:rPr>
        <w:t>OF INITIAL</w:t>
      </w:r>
      <w:r>
        <w:rPr>
          <w:rFonts w:ascii="Arial" w:cs="Arial" w:eastAsia="Arial" w:hAnsi="Arial"/>
          <w:sz w:val="18"/>
          <w:szCs w:val="18"/>
          <w:color w:val="1D1D1D"/>
        </w:rPr>
        <w:t xml:space="preserve">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111111"/>
        </w:rPr>
        <w:t>[Global Notes Legend]</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187"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[[FOR REGULATION S GLOBAL NOTE ONLY] UNTIL 40 DAYS AFTER THE LATER OF COMMENCEMENT OR COMPLETION OF THE OFFERING, AN OFFER OR SALE OF SECURITIES WITHIN THE UNITED STATES BY A DEALER (AS DEFINED IN THE SECURITIES ACT) MAY VIOLATE THE REGISTRATION REQUIREMENTS OF THE SECURITIES ACT IF SUCH OFFER OR SALE IS MADE OTHERWISE THAN IN ACCORDANCE WITH RULE 144A THEREUNDER.]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Notes Legend for Notes offered otherwise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than in Reliance on Regulation S]</w:t>
      </w:r>
    </w:p>
    <w:p>
      <w:pPr>
        <w:spacing w:after="0" w:line="21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THIS SECURITY HAS NOT BEEN REGISTERED UNDER THE U.S. SECURITIES ACT OF 1933, AS AMENDED. (THE “SECURITIES ACT”), AND, ACCORDINGLY, MAY NOT BE OFFERED OR SOLD WITHIN THE UNITED STATES OR TO, OR FOR THE ACCOUNT OR BENEFIT OF, U.S. PERSONS EXCEPT AS SET FORTH BELOW. BY ITS ACQUISITION HEREOF, THE HOLDER (I) REPRESENTS THAT (A) IT IS A “QUALIFIED INSTITUTIONAL BUYER” (AS DEFINED IN RULE 144A UNDER THE SECURITIES ACT) OR (B) IT IS NOT A U.S. PERSON AND IS ACQUIRING THIS SECURITY IN AN OFFSHORE TRANSACTION IN COMPLIANCE WITH RULE 904 UNDER THE SECURITIES ACT,</w:t>
      </w:r>
    </w:p>
    <w:p>
      <w:pPr>
        <w:spacing w:after="0" w:line="3" w:lineRule="exact"/>
        <w:rPr>
          <w:sz w:val="20"/>
          <w:szCs w:val="20"/>
          <w:color w:val="auto"/>
        </w:rPr>
      </w:pPr>
    </w:p>
    <w:p>
      <w:pPr>
        <w:ind w:right="120" w:firstLine="8"/>
        <w:spacing w:after="0" w:line="265" w:lineRule="auto"/>
        <w:tabs>
          <w:tab w:leader="none" w:pos="24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AGREES THAT IT WILL NOT RESELL OR OTHERWISE TRANSFER THIS SECURITY EXCEPT (A) TO WINNEBAGO INDUSTRIES, INC. (THE “COMPANY”) OR ANY SUBSIDIARY THEREOF, (B) INSIDE THE UNITED STATES TO A QUALIFIED INSTITUTIONAL BUYER IN COMPLIANCE WITH RULE 144A UNDER THE SECURITIES ACT, (C) INSIDE THE UNITED STATES TO AN ACCREDITED INVESTOR (AS DEFINED IN RULE 501(A)(1), (2), (3), OR (7) UNDER THE SECURITIES ACT) (AN “ACCREDITED INVESTOR”) THAT, PRIOR TO SUCH TRANSFER, FURNISHES (OR HAS FURNISHED ON ITS BEHALF BY A U.S. BROKER-DEALER) TO THE TRUSTEE A SIGNED LETTER CONTAINING CERTAIN REPRESENTATIONS AND AGREEMENTS RELATING TO THE RESTRICTIONS ON TRANSFER OF THIS SECURITY (THE FORM OF WHICH LETTER CAN BE OBTAINED FROM THE TRUSTEE FOR THIS SECURITY), (D) OUTSIDE THE UNITED STATES IN AN OFFSHORE TRANSACTION IN COMPLIANCE WITH RULE 904 UNDER THE SECURITIES ACT, (E) PURSUANT TO THE EXEMPTION FROM REGISTRATION PROVIDED BY RULE 144 UNDER THE SECURITIES ACT (IF AVAILABLE), (F) IN ACCORDANCE WITH ANOTHER EXEMPTION FROM THE REGISTRATION REQUIREMENTS OF THE SECURITIES ACT (AND BASED UPON AN OPINION OF COUNSEL IF THE COMPANY SO REQUESTS) OR (G) PURSUANT TO AN EFFECTIVE REGISTRATION STATEMENT UNDER THE SECURITIES ACT AND</w:t>
      </w:r>
    </w:p>
    <w:p>
      <w:pPr>
        <w:spacing w:after="0" w:line="1" w:lineRule="exact"/>
        <w:rPr>
          <w:rFonts w:ascii="Arial" w:cs="Arial" w:eastAsia="Arial" w:hAnsi="Arial"/>
          <w:sz w:val="17"/>
          <w:szCs w:val="17"/>
          <w:color w:val="auto"/>
        </w:rPr>
      </w:pPr>
    </w:p>
    <w:p>
      <w:pPr>
        <w:jc w:val="both"/>
        <w:ind w:right="200" w:firstLine="8"/>
        <w:spacing w:after="0" w:line="255" w:lineRule="auto"/>
        <w:tabs>
          <w:tab w:leader="none" w:pos="24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AGREES THAT IT WILL GIVE TO EACH PERSON TO WHOM THIS SECURITY IS TRANSFERRED A NOTICE SUBSTANTIALLY TO THE EFFECT OF THIS LEGEND, AS USED HEREIN, THE TERMS “OFFSHORE TRANSACTION,” “UNITED STATES” AND “U.S. PERSON” HAVE THE MEANING GIVEN TO THEM BY REGULATION S UNDER THE SECURITIES ACT.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603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35" cy="128905"/>
                    </a:xfrm>
                    <a:prstGeom prst="rect">
                      <a:avLst/>
                    </a:prstGeom>
                    <a:noFill/>
                  </pic:spPr>
                </pic:pic>
              </a:graphicData>
            </a:graphic>
          </wp:anchor>
        </w:drawing>
        <w:t>[Restricted Notes Legend for Notes Offered in Reliance on Regulation 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THIS SECURITY WAS ORIGINALLY ISSUED IN A TRANSACTION ORIGINALLY EXEMPT FROM REGISTRATION UNDER THE UNITED STATES SECURITIES ACT OF 1933. AS AMENDED (THE “SECURITIES ACT”), AND MAY NOT BE TRANSFERRED IN THE UNITED STATES OR TO, OR FOR THE ACCOUNT OR BENEFIT OF, ANY U.S. PERSON EXCEPT PURSUANT TO AN AVAILABLE EXEMPTION FROM THE REGISTRATION REQUIREMENTS OF THE SECURITIES ACT AND ALL APPLICABLE STATE SECURITIES LAWS. TERMS USED ABOVE HAVE THE MEANINGS GIVEN TO THEM IN REGULATION S UNDER THE SECURITIES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[Temporary Regulation S Global Note Legend]</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7"/>
          <w:szCs w:val="17"/>
          <w:color w:val="auto"/>
        </w:rPr>
        <w:t>EXCEPT AS SET FORTH BELOW, BENEFICIAL OWNERSHIP INTERESTS IN THIS TEMPORARY REGULATION S GLOBAL NOTE WILL NOT BE EXCHANGEABLE FOR INTERESTS IN THE PERMANENT REGULATION S GLOBAL NOTE OR ANY OTHER NOTE REPRESENTING AN INTEREST IN THE NOTES REPRESENTED HEREBY WHICH DO NOT CONTAIN A LEGEND CONTAINING RESTRICTIONS ON TRANSFER, UNTIL THE EXPIRATION OF THE “40-DAY DISTRIBUTION COMPLIANCE PERIOD” (WITHIN THE MEANING OF RULE 903(b)(2) OF REGULATION S UNDER THE SECURITIES ACT) AND THEN ONLY UPON CERTIFICATION IN FORM REASONABLY SATISFACTORY TO THE TRUSTEE THAT SUCH BENEFICIAL INTERESTS ARE OWNED EITHER BY NON-U.S. PERSONS OR U.S. PERSONS WHO PURCHASED SUCH INTERESTS IN A TRANSACTION THAT DID NOT REQUIRE REGISTRATION UNDER THE SECURITIES ACT. DURING SUCH 40-DAY DISTRIBUTION COMPLIANCE PERIOD, BENEFICIAL OWNERSHIP INTERESTS IN THIS TEMPORARY REGULATION S GLOBAL NOTE MAY ONLY BE SOLD, PLEDGED OR TRANSFERRED (I) TO THE COMPANY, (II) OUTSIDE THE UNITED STATES IN A TRANSACTION IN ACCORDANCE WITH RULE 904 OF REGULATION S UNDER THE SECURITIES ACT, OR</w:t>
      </w:r>
    </w:p>
    <w:p>
      <w:pPr>
        <w:spacing w:after="0" w:line="8" w:lineRule="exact"/>
        <w:rPr>
          <w:sz w:val="20"/>
          <w:szCs w:val="20"/>
          <w:color w:val="auto"/>
        </w:rPr>
      </w:pPr>
    </w:p>
    <w:p>
      <w:pPr>
        <w:ind w:right="20" w:firstLine="8"/>
        <w:spacing w:after="0" w:line="253" w:lineRule="auto"/>
        <w:tabs>
          <w:tab w:leader="none" w:pos="34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IN EACH OF CASES (I) THROUGH (III) IN ACCORDANCE WITH ANY APPLICABLE SECURITIES LAWS OF ANY STATE OF THE UNITED STATES, HOLDERS OF INTERESTS IN THIS TEMPORARY REGULATION S GLOBAL NOTE WILL NOTIFY ANY PURCHASER OF THIS NOTE OF THE RESALE RESTRICTIONS REFERRED TO ABOVE, IF THEN APPLICABLE.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ind w:firstLine="648"/>
        <w:spacing w:after="0" w:line="253" w:lineRule="auto"/>
        <w:rPr>
          <w:sz w:val="20"/>
          <w:szCs w:val="20"/>
          <w:color w:val="auto"/>
        </w:rPr>
      </w:pPr>
      <w:r>
        <w:rPr>
          <w:rFonts w:ascii="Arial" w:cs="Arial" w:eastAsia="Arial" w:hAnsi="Arial"/>
          <w:sz w:val="18"/>
          <w:szCs w:val="18"/>
          <w:color w:val="auto"/>
        </w:rPr>
        <w:t>AFTER THE EXPIRATION OF THE DISTRIBUTION COMPLIANCE PERIOD BENEFICIAL INTERESTS IN THIS TEMPORARY REGULATION S GLOBAL NOTE MAY BE EXCHANGED FOR INTERESTS IN A RULE 144A GLOBAL NOTE ONLY IF (1) SUCH EXCHANGE OCCURS IN CONNECTION WITH A TRANSFER OF THE NOTES IN COMPLIANCE WITH RULE 144A AND (2) THE TRANSFEROR OF THE REGULATION S GLOBAL NOTE FIRST DELIVERS TO THE TRUSTEE A WRITTEN CERTIFICATE (IN THE FORM ATTACHED TO THIS CERTIFICATE) TO THE EFFECT THAT THE REGULATION S GLOBAL NOTE IS BEING TRANSFERRED (A) TO A PERSON WHO THE TRANSFEROR REASONABLY BELIEVES TO BE A QUALIFIED INSTITUTIONAL BUYER WITHIN THE MEANING OF RULE 144A, (B) TO A PERSON WHO IS PURCHASING FOR ITS OWN ACCOUNT OR THE ACCOUNT OF A QUALIFIED INSTITUTIONAL BUYER IN A TRANSACTION MEETING THE REQUIREMENTS OF RULE 144A, AND (C) IN ACCORDANCE WITH ALL APPLICABLE SECURITIES LAWS OF THE STATES OF THE UNITED STATES AND OTHER JURISDICTIONS.</w:t>
      </w:r>
    </w:p>
    <w:p>
      <w:pPr>
        <w:spacing w:after="0" w:line="19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BENEFICIAL INTERESTS IN A RULE 144A GLOBAL NOTE MAY BE TRANSFERRED TO A PERSON WHO TAKES DELIVERY IN THE FORM OF AN INTEREST IN THE REGULATION S GLOBAL NOTE, WHETHER BEFORE OR AFTER THE EXPIRATION OF THE 40-DAY DISTRIBUTION COMPLIANCE PERIOD, ONLY IF THE TRANSFEROR FIRST DELIVERS TO THE TRUSTEE A WRITTEN CERTIFICATE (IN THE FORM ATTACHED TO THIS CERTIFICATE) TO THE EFFECT THAT SUCH TRANSFER IS BEING MADE IN ACCORDANCE WITH RULE 903 OR 904 OF REGULATION S OR RULE 144 (IF AVAILABLE).</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[Certificated Notes Legend]</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CONNECTION WITH ANY TRANSFER, THE HOLDER WILL DELIVER TO THE NOTE REGISTRAR AND TRANSFER AGENT SUCH CERTIFICATES AND OTHER INFORMATION AS SUCH TRANSFER AGENT MAY REASONABLY REQUIRE TO CONFIRM THAT THE TRANSFER COMPLIES WITH THE FOREGOING RESTRICTIONS.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[OID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PURPOSES OF SECTIONS 1272, 1273 AND 1275 OF THE INTERNAL REVENUE CODE OF 1986, AS AMENDED,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SECURITY IS BEING ISSUED WITH ORIGINAL ISSUE DISCOUNT. YOU MAY CONTACT THE COMPANY AT WINNEBAGO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INDUSTRIES, INC., 13200 PIONEER TRAIL, EDEN PRAIRIE, MINNESOTA 55347 ATTENTION: GENERAL COUNSEL, AND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WILL PROVIDE YOU WITH THE ISSUE PRICE, THE AMOUNT OF ORIGINAL ISSUE DISCOUNT, THE ISSUE DATE AND THE YIELD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MATURITY OF THIS SECURITY.</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178" w:name="page179"/>
    <w:bookmarkEnd w:id="178"/>
    <w:tbl>
      <w:tblPr>
        <w:tblLayout w:type="fixed"/>
        <w:tblInd w:w="1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No.</w:t>
            </w:r>
          </w:p>
        </w:tc>
        <w:tc>
          <w:tcPr>
            <w:tcW w:w="10680" w:type="dxa"/>
            <w:vAlign w:val="bottom"/>
          </w:tcPr>
          <w:p>
            <w:pPr>
              <w:jc w:val="right"/>
              <w:ind w:right="29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680" w:type="dxa"/>
            <w:vAlign w:val="bottom"/>
            <w:vMerge w:val="restart"/>
          </w:tcPr>
          <w:p>
            <w:pPr>
              <w:jc w:val="right"/>
              <w:ind w:right="3970"/>
              <w:spacing w:after="0"/>
              <w:rPr>
                <w:sz w:val="20"/>
                <w:szCs w:val="20"/>
                <w:color w:val="auto"/>
              </w:rPr>
            </w:pPr>
            <w:r>
              <w:rPr>
                <w:rFonts w:ascii="Arial" w:cs="Arial" w:eastAsia="Arial" w:hAnsi="Arial"/>
                <w:sz w:val="18"/>
                <w:szCs w:val="18"/>
                <w:color w:val="auto"/>
              </w:rPr>
              <w:t>6.250% Senior Secured Notes Due 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D3D3D3"/>
            </w:tcBorders>
          </w:tcPr>
          <w:p>
            <w:pPr>
              <w:spacing w:after="0"/>
              <w:rPr>
                <w:sz w:val="17"/>
                <w:szCs w:val="17"/>
                <w:color w:val="auto"/>
              </w:rPr>
            </w:pPr>
          </w:p>
        </w:tc>
        <w:tc>
          <w:tcPr>
            <w:tcW w:w="10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0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Pr>
          <w:p>
            <w:pPr>
              <w:spacing w:after="0"/>
              <w:rPr>
                <w:sz w:val="24"/>
                <w:szCs w:val="24"/>
                <w:color w:val="auto"/>
              </w:rPr>
            </w:pPr>
          </w:p>
        </w:tc>
        <w:tc>
          <w:tcPr>
            <w:tcW w:w="10680" w:type="dxa"/>
            <w:vAlign w:val="bottom"/>
          </w:tcPr>
          <w:p>
            <w:pPr>
              <w:jc w:val="right"/>
              <w:ind w:right="190"/>
              <w:spacing w:after="0"/>
              <w:rPr>
                <w:sz w:val="20"/>
                <w:szCs w:val="20"/>
                <w:color w:val="auto"/>
              </w:rPr>
            </w:pPr>
            <w:r>
              <w:rPr>
                <w:rFonts w:ascii="Arial" w:cs="Arial" w:eastAsia="Arial" w:hAnsi="Arial"/>
                <w:sz w:val="18"/>
                <w:szCs w:val="18"/>
                <w:color w:val="auto"/>
              </w:rPr>
              <w:t>CUSIP No. [</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680" w:type="dxa"/>
            <w:vAlign w:val="bottom"/>
          </w:tcPr>
          <w:p>
            <w:pPr>
              <w:jc w:val="right"/>
              <w:ind w:right="310"/>
              <w:spacing w:after="0"/>
              <w:rPr>
                <w:sz w:val="20"/>
                <w:szCs w:val="20"/>
                <w:color w:val="auto"/>
              </w:rPr>
            </w:pPr>
            <w:r>
              <w:rPr>
                <w:rFonts w:ascii="Arial" w:cs="Arial" w:eastAsia="Arial" w:hAnsi="Arial"/>
                <w:sz w:val="18"/>
                <w:szCs w:val="18"/>
                <w:color w:val="auto"/>
              </w:rPr>
              <w:t>ISIN No. [</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0680" w:type="dxa"/>
            <w:vAlign w:val="bottom"/>
          </w:tcPr>
          <w:p>
            <w:pPr>
              <w:jc w:val="right"/>
              <w:spacing w:after="0"/>
              <w:rPr>
                <w:sz w:val="20"/>
                <w:szCs w:val="20"/>
                <w:color w:val="auto"/>
              </w:rPr>
            </w:pPr>
            <w:r>
              <w:rPr>
                <w:rFonts w:ascii="Arial" w:cs="Arial" w:eastAsia="Arial" w:hAnsi="Arial"/>
                <w:sz w:val="18"/>
                <w:szCs w:val="18"/>
                <w:color w:val="auto"/>
                <w:w w:val="92"/>
              </w:rPr>
              <w:t>Winnebago Industries, Inc., an Iowa corporation, promises to pay to [Cede &amp; Co.], or registered assigns, the principal sum of ___________ 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Dollars [as may be increased or decreased on the attached Schedule of Increases or Decreases in Global Note] on July 15, 2028.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January 15 and July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1 and July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IN WITNESS HEREOF, the Company has caused this instrument to be duly executed.</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WINNEBAGO INDUSTRIES, INC.</w:t>
      </w: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14605</wp:posOffset>
            </wp:positionV>
            <wp:extent cx="34201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515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[FORM OF REVERSE SIDE OF INITIAL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6.250% Senior Secured Note Due 2028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but not defined herein shall have the meanings given to such terms in the Indenture.</w:t>
      </w:r>
    </w:p>
    <w:p>
      <w:pPr>
        <w:spacing w:after="0" w:line="225" w:lineRule="exact"/>
        <w:rPr>
          <w:sz w:val="20"/>
          <w:szCs w:val="20"/>
          <w:color w:val="auto"/>
        </w:rPr>
      </w:pPr>
    </w:p>
    <w:p>
      <w:pPr>
        <w:ind w:left="660" w:hanging="652"/>
        <w:spacing w:after="0"/>
        <w:tabs>
          <w:tab w:leader="none" w:pos="660" w:val="left"/>
        </w:tabs>
        <w:numPr>
          <w:ilvl w:val="0"/>
          <w:numId w:val="241"/>
        </w:numPr>
        <w:rPr>
          <w:rFonts w:ascii="Arial" w:cs="Arial" w:eastAsia="Arial" w:hAnsi="Arial"/>
          <w:sz w:val="18"/>
          <w:szCs w:val="18"/>
          <w:color w:val="121212"/>
        </w:rPr>
      </w:pPr>
      <w:r>
        <w:rPr>
          <w:rFonts w:ascii="Arial" w:cs="Arial" w:eastAsia="Arial" w:hAnsi="Arial"/>
          <w:sz w:val="18"/>
          <w:szCs w:val="18"/>
          <w:u w:val="single" w:color="auto"/>
          <w:color w:val="auto"/>
        </w:rPr>
        <w:t>Principal and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121212"/>
        </w:rPr>
      </w:pPr>
    </w:p>
    <w:p>
      <w:pPr>
        <w:ind w:left="660"/>
        <w:spacing w:after="0"/>
        <w:rPr>
          <w:rFonts w:ascii="Arial" w:cs="Arial" w:eastAsia="Arial" w:hAnsi="Arial"/>
          <w:sz w:val="18"/>
          <w:szCs w:val="18"/>
          <w:color w:val="121212"/>
        </w:rPr>
      </w:pPr>
      <w:r>
        <w:rPr>
          <w:rFonts w:ascii="Arial" w:cs="Arial" w:eastAsia="Arial" w:hAnsi="Arial"/>
          <w:sz w:val="18"/>
          <w:szCs w:val="18"/>
          <w:color w:val="auto"/>
        </w:rPr>
        <w:t>Winnebago Industries, Inc. (the “Company”) shall pay the principal of this Note on July 15, 2028.</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promises to pay interest, if any, on the principal amount of this Note on each Interest Payment Date, as set forth below, at the rate set forth below (subject to adjustment as provided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on the Notes shall accrue at the rate of 6.250% per annum and be payable in cash.</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Interest, if any, shall be payable semi-annually (to the Holders of the Notes at the close of business on January 1 and July 1 (whether or not a Business Day) immediately preceding the Interest Payment Date) on each Interest Payment Date, commencing January 15, 2021.</w:t>
      </w:r>
    </w:p>
    <w:p>
      <w:pPr>
        <w:spacing w:after="0" w:line="1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Interest on this Note shall accrue from the most recent date to which interest has been paid or, if no interest has been paid, from July 8, 2020 (although any Additional Notes may accrue interest starting at other dates, and the first Interest Payment Date may be a different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is no existing Default in the payment of interest and if this Note is authenticated between a Regular Record Date referred to on the face hereof and the next succeeding Interest Payment Date, interest shall accrue from such next succeeding Interest Payment Date. Interest shall be computed on the basis of a 360-day year of twelve 30-day months.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shall pay interest, if any, on overdue principal and premium, if any, and interest on overdue installments of interest, to the extent lawful, at a rate per annum equal to the rate of interest applicable to the Notes.</w:t>
      </w:r>
    </w:p>
    <w:p>
      <w:pPr>
        <w:spacing w:after="0" w:line="170" w:lineRule="exact"/>
        <w:rPr>
          <w:sz w:val="20"/>
          <w:szCs w:val="20"/>
          <w:color w:val="auto"/>
        </w:rPr>
      </w:pPr>
    </w:p>
    <w:p>
      <w:pPr>
        <w:ind w:left="660" w:hanging="652"/>
        <w:spacing w:after="0"/>
        <w:tabs>
          <w:tab w:leader="none" w:pos="660" w:val="left"/>
        </w:tabs>
        <w:numPr>
          <w:ilvl w:val="0"/>
          <w:numId w:val="242"/>
        </w:numPr>
        <w:rPr>
          <w:rFonts w:ascii="Arial" w:cs="Arial" w:eastAsia="Arial" w:hAnsi="Arial"/>
          <w:sz w:val="18"/>
          <w:szCs w:val="18"/>
          <w:color w:val="121212"/>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225" w:lineRule="exact"/>
        <w:rPr>
          <w:sz w:val="20"/>
          <w:szCs w:val="20"/>
          <w:color w:val="auto"/>
        </w:rPr>
      </w:pPr>
    </w:p>
    <w:p>
      <w:pPr>
        <w:jc w:val="both"/>
        <w:ind w:right="240" w:firstLine="648"/>
        <w:spacing w:after="0" w:line="257" w:lineRule="auto"/>
        <w:rPr>
          <w:sz w:val="20"/>
          <w:szCs w:val="20"/>
          <w:color w:val="auto"/>
        </w:rPr>
      </w:pPr>
      <w:r>
        <w:rPr>
          <w:rFonts w:ascii="Arial" w:cs="Arial" w:eastAsia="Arial" w:hAnsi="Arial"/>
          <w:sz w:val="18"/>
          <w:szCs w:val="18"/>
          <w:color w:val="auto"/>
        </w:rPr>
        <w:t xml:space="preserve">The Company shall pay interest (except Defaulted Interest) on the principal amount of the Notes on each January 15 and July 15 to the Persons who are Holders (as reflected in the Note Register at the close of business on January 1 and July 1 immediately preceding the Interest Payment Date), in each case, even if the Note is transferred or exchanged after such Regular Record Date, except as provided in Section 3.06(b) with respect to Defaulted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the payment of principal, the Company shall make payment to the Holder that surrenders this Note to any Paying Agent on or after July 15, 2028.</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shall pay principal (premium, if any) and interest in money of the United States that at the time of payment is legal tender for payment of public and private debts.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1" w:name="page182"/>
    <w:bookmarkEnd w:id="181"/>
    <w:p>
      <w:pPr>
        <w:ind w:right="60" w:firstLine="648"/>
        <w:spacing w:after="0" w:line="301" w:lineRule="auto"/>
        <w:rPr>
          <w:sz w:val="20"/>
          <w:szCs w:val="20"/>
          <w:color w:val="auto"/>
        </w:rPr>
      </w:pPr>
      <w:r>
        <w:rPr>
          <w:rFonts w:ascii="Arial" w:cs="Arial" w:eastAsia="Arial" w:hAnsi="Arial"/>
          <w:sz w:val="16"/>
          <w:szCs w:val="16"/>
          <w:color w:val="auto"/>
        </w:rPr>
        <w:t>However, the Company may pay principal (premium, if any) and interest by its check payable in such money. The Company may pay interest on the Notes either (a) by mailing a check for such interest to a Holder’s registered address (as reflected in the Note Register) or (b) by wire transfer to an account located in the United States maintained by the payee. If a payment date is a date other than a Business Day at a place of payment, payment may be made at that place on the next succeeding day that is a Business Day and no interest shall accrue on such payment for the intervening period.</w:t>
      </w:r>
    </w:p>
    <w:p>
      <w:pPr>
        <w:spacing w:after="0" w:line="157" w:lineRule="exact"/>
        <w:rPr>
          <w:sz w:val="20"/>
          <w:szCs w:val="20"/>
          <w:color w:val="auto"/>
        </w:rPr>
      </w:pPr>
    </w:p>
    <w:p>
      <w:pPr>
        <w:ind w:left="660" w:hanging="652"/>
        <w:spacing w:after="0"/>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Paying Agent and Note Registrar</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Initially, U.S. Bank National Association (the “Trustee”) shall act as Paying Agent and Note Registrar. The Company may change any Paying Agent or Note Registrar upon written notice thereto and without notice to the Holders. The Company, any Subsidiary or any Affiliate of any of them may act as Paying Agent, Note Registrar or co-registrar.</w:t>
      </w:r>
    </w:p>
    <w:p>
      <w:pPr>
        <w:spacing w:after="0" w:line="184"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Indenture</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issued the Notes under an Indenture dated as of July 8, 2020 (the “Indenture”), among the Company, the Guarantors, the Trustee and the Collateral Trustee. The terms of the Notes include those stated in the Indenture. The Notes are subject to all such terms, and Holders are referred to the Indenture for a statement of all such terms. In the event of any inconsistency between the terms of this Note and the terms of the Indenture, the terms of the Indenture shall control. In the event of any inconsistency between (x) the terms of the Security Documents and (y) the terms of this Note, the terms of the Security Documents shall control.</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Notes are secured senior obligations of the Company. The Indenture does not limit the aggregate principal amount of the Notes. Subject to the conditions set forth in the Indenture, the Company may issue Additional Notes.</w:t>
      </w:r>
    </w:p>
    <w:p>
      <w:pPr>
        <w:spacing w:after="0" w:line="170"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18"/>
          <w:szCs w:val="18"/>
          <w:color w:val="121212"/>
        </w:rPr>
      </w:pPr>
      <w:r>
        <w:rPr>
          <w:rFonts w:ascii="Arial" w:cs="Arial" w:eastAsia="Arial" w:hAnsi="Arial"/>
          <w:sz w:val="18"/>
          <w:szCs w:val="18"/>
          <w:u w:val="single" w:color="auto"/>
          <w:color w:val="121212"/>
        </w:rPr>
        <w:t>Mandatory Redemption</w:t>
      </w:r>
      <w:r>
        <w:rPr>
          <w:rFonts w:ascii="Arial" w:cs="Arial" w:eastAsia="Arial" w:hAnsi="Arial"/>
          <w:sz w:val="18"/>
          <w:szCs w:val="18"/>
          <w:color w:val="121212"/>
        </w:rPr>
        <w:t>.</w:t>
      </w:r>
    </w:p>
    <w:p>
      <w:pPr>
        <w:spacing w:after="0" w:line="225" w:lineRule="exact"/>
        <w:rPr>
          <w:rFonts w:ascii="Arial" w:cs="Arial" w:eastAsia="Arial" w:hAnsi="Arial"/>
          <w:sz w:val="18"/>
          <w:szCs w:val="18"/>
          <w:color w:val="121212"/>
        </w:rPr>
      </w:pPr>
    </w:p>
    <w:p>
      <w:pPr>
        <w:ind w:left="660"/>
        <w:spacing w:after="0"/>
        <w:rPr>
          <w:rFonts w:ascii="Arial" w:cs="Arial" w:eastAsia="Arial" w:hAnsi="Arial"/>
          <w:sz w:val="18"/>
          <w:szCs w:val="18"/>
          <w:color w:val="121212"/>
        </w:rPr>
      </w:pPr>
      <w:r>
        <w:rPr>
          <w:rFonts w:ascii="Arial" w:cs="Arial" w:eastAsia="Arial" w:hAnsi="Arial"/>
          <w:sz w:val="18"/>
          <w:szCs w:val="18"/>
          <w:color w:val="auto"/>
        </w:rPr>
        <w:t>The Company is not required to make any mandatory redemption or sinking fund payments with respect to the Notes.</w:t>
      </w:r>
    </w:p>
    <w:p>
      <w:pPr>
        <w:spacing w:after="0" w:line="225" w:lineRule="exact"/>
        <w:rPr>
          <w:rFonts w:ascii="Arial" w:cs="Arial" w:eastAsia="Arial" w:hAnsi="Arial"/>
          <w:sz w:val="18"/>
          <w:szCs w:val="18"/>
          <w:color w:val="121212"/>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any time prior to July 15, 2023, the Company may also redeem all or a part of the Notes, upon not less than 15 nor more than 60 days’ prior notice, at a redemption price equal to 100% of the principal amount of Notes redeemed plus the Applicable Premium as of, and accrued and unpaid interest, if any, to (but not including) the Redemption Date, subject to the rights of Holders on the relevant record date to receive interest due on the relevant Interest Payment Date.</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From and after July 15, 2023, the Company may redeem the Notes, in whole or in part, upon not less than 15 nor more than 60 days’ prior notice at the redemption prices (expressed as percentages of principal amount) set forth below, plus accrued and unpaid interest, if any, thereon to (but not including) the applicable Redemption Date, subject to the right of Holders on the relevant record dat</w:t>
      </w:r>
      <w:r>
        <w:rPr>
          <w:rFonts w:ascii="Arial" w:cs="Arial" w:eastAsia="Arial" w:hAnsi="Arial"/>
          <w:sz w:val="17"/>
          <w:szCs w:val="17"/>
          <w:color w:val="121212"/>
        </w:rPr>
        <w:t>e to receive interest due on the relevant Interest</w:t>
      </w:r>
      <w:r>
        <w:rPr>
          <w:rFonts w:ascii="Arial" w:cs="Arial" w:eastAsia="Arial" w:hAnsi="Arial"/>
          <w:sz w:val="17"/>
          <w:szCs w:val="17"/>
          <w:color w:val="auto"/>
        </w:rPr>
        <w:t xml:space="preserve"> </w:t>
      </w:r>
      <w:r>
        <w:rPr>
          <w:rFonts w:ascii="Arial" w:cs="Arial" w:eastAsia="Arial" w:hAnsi="Arial"/>
          <w:sz w:val="17"/>
          <w:szCs w:val="17"/>
          <w:color w:val="121212"/>
        </w:rPr>
        <w:t>Payment Date, if redeemed during the twelve-month period beginning on July 15 of each of the years indicated below:</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2" w:name="page183"/>
    <w:bookmarkEnd w:id="182"/>
    <w:tbl>
      <w:tblPr>
        <w:tblLayout w:type="fixed"/>
        <w:tblInd w:w="282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0"/>
        </w:trPr>
        <w:tc>
          <w:tcPr>
            <w:tcW w:w="4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103.125%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101.563%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Prior to July 15, 2023, the Company may, at its option, redeem up to 40% of the sum of the original aggregate principal amount of the Notes (including the original principal amount of any Additional Notes) issued under the Indenture at a redemption price equal to 106.250% of the aggregate principal amount thereof, plus accrued and unpaid interest thereon to (but not including) the applicable Redemption Date, subject to the right of Holders on the relevant record date to receive interest due on the relevant Interest Payment Date, with the net proceeds of one or more Equity Offerings of the Company or any direct or indirect parent of the Company to the extent such net cash proceeds are contributed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60% of the sum of the aggregate principal amount of Notes originally issued under the Indenture and the aggregate principal amount of any Additional Notes issued under the Indenture after the Issue Date remains Outstanding immediately after the occurrence of each such redemption (unless all Notes are redeemed concurrently);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each such redemption occurs within 180 days of the date of closing of each such Equity Offering.</w:t>
      </w:r>
    </w:p>
    <w:p>
      <w:pPr>
        <w:spacing w:after="0" w:line="165"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18"/>
          <w:szCs w:val="18"/>
          <w:color w:val="121212"/>
        </w:rPr>
      </w:pPr>
      <w:r>
        <w:rPr>
          <w:rFonts w:ascii="Arial" w:cs="Arial" w:eastAsia="Arial" w:hAnsi="Arial"/>
          <w:sz w:val="18"/>
          <w:szCs w:val="18"/>
          <w:u w:val="single" w:color="auto"/>
          <w:color w:val="121212"/>
        </w:rPr>
        <w:t>Repurchase upon a Change of Control, Asset Sales and Loss Proceeds Sales</w:t>
      </w:r>
      <w:r>
        <w:rPr>
          <w:rFonts w:ascii="Arial" w:cs="Arial" w:eastAsia="Arial" w:hAnsi="Arial"/>
          <w:sz w:val="18"/>
          <w:szCs w:val="18"/>
          <w:color w:val="121212"/>
        </w:rPr>
        <w:t>.</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Upon the occurrence of (a) a Change of Control, the Holders shall have the right, pursuant to Section 10.15 of the Indenture, to require that the Company purchase such Holder’s Outstanding Notes, in whole or in part, at a purchase price of 101% of the principal amount thereof, plus accrued and unpaid interest, if any, to (but not including) the date of purchase and (b) Asset Sales, the Company may be obligated, pursuant to Section 10.16 of the Indenture, to make offers to purchase Notes and Senior Indebtedness of the Company with a portion of the Net Proceeds of such Asset Sales at a purchase price of 100% of the principal amount thereof plus accrued and unpaid interest, if any, to (but not including) the date of purchase.</w:t>
      </w:r>
    </w:p>
    <w:p>
      <w:pPr>
        <w:spacing w:after="0" w:line="161"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color w:val="121212"/>
        </w:rPr>
      </w:pPr>
      <w:r>
        <w:rPr>
          <w:rFonts w:ascii="Arial" w:cs="Arial" w:eastAsia="Arial" w:hAnsi="Arial"/>
          <w:sz w:val="18"/>
          <w:szCs w:val="18"/>
          <w:u w:val="single" w:color="auto"/>
          <w:color w:val="121212"/>
        </w:rPr>
        <w:t>Denominations; Transfer; Exchange</w:t>
      </w:r>
      <w:r>
        <w:rPr>
          <w:rFonts w:ascii="Arial" w:cs="Arial" w:eastAsia="Arial" w:hAnsi="Arial"/>
          <w:sz w:val="18"/>
          <w:szCs w:val="18"/>
          <w:color w:val="121212"/>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Notes are in registered form without coupons in minimum denominations of $2,000 principal amount and integral multiples of $1,000 in excess thereof. A Holder may transfer or exchange Notes in accordance with the Indenture. The Note Registrar and the Trustee may require a Holder, among other things, to furnish appropriate endorsements and transfer documents and the Company may require a Holder to pay any taxes and fees required by law or permitted by the Indenture. The Note Registrar need not register the transfer or exchange of a Note or portion of a Note selected for redemption (except, in the case of a Note to be redeemed in part, the portion of the Note not to be redeemed) or any Note or portion of a Note for a period of 15 days before a selection of Notes to be redeemed or 15 days before an Interest Payment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183" w:name="page184"/>
    <w:bookmarkEnd w:id="183"/>
    <w:p>
      <w:pPr>
        <w:ind w:left="660" w:hanging="652"/>
        <w:spacing w:after="0"/>
        <w:tabs>
          <w:tab w:leader="none" w:pos="660" w:val="left"/>
        </w:tabs>
        <w:numPr>
          <w:ilvl w:val="0"/>
          <w:numId w:val="248"/>
        </w:numPr>
        <w:rPr>
          <w:rFonts w:ascii="Arial" w:cs="Arial" w:eastAsia="Arial" w:hAnsi="Arial"/>
          <w:sz w:val="18"/>
          <w:szCs w:val="18"/>
          <w:color w:val="121212"/>
        </w:rPr>
      </w:pPr>
      <w:r>
        <w:rPr>
          <w:rFonts w:ascii="Arial" w:cs="Arial" w:eastAsia="Arial" w:hAnsi="Arial"/>
          <w:sz w:val="18"/>
          <w:szCs w:val="18"/>
          <w:u w:val="single" w:color="auto"/>
          <w:color w:val="121212"/>
        </w:rPr>
        <w:t>Persons Deemed Owners</w:t>
      </w:r>
      <w:r>
        <w:rPr>
          <w:rFonts w:ascii="Arial" w:cs="Arial" w:eastAsia="Arial" w:hAnsi="Arial"/>
          <w:sz w:val="18"/>
          <w:szCs w:val="18"/>
          <w:color w:val="121212"/>
        </w:rPr>
        <w:t>.</w:t>
      </w:r>
    </w:p>
    <w:p>
      <w:pPr>
        <w:spacing w:after="0" w:line="225" w:lineRule="exact"/>
        <w:rPr>
          <w:rFonts w:ascii="Arial" w:cs="Arial" w:eastAsia="Arial" w:hAnsi="Arial"/>
          <w:sz w:val="18"/>
          <w:szCs w:val="18"/>
          <w:color w:val="121212"/>
        </w:rPr>
      </w:pPr>
    </w:p>
    <w:p>
      <w:pPr>
        <w:ind w:left="660"/>
        <w:spacing w:after="0"/>
        <w:rPr>
          <w:rFonts w:ascii="Arial" w:cs="Arial" w:eastAsia="Arial" w:hAnsi="Arial"/>
          <w:sz w:val="18"/>
          <w:szCs w:val="18"/>
          <w:color w:val="121212"/>
        </w:rPr>
      </w:pPr>
      <w:r>
        <w:rPr>
          <w:rFonts w:ascii="Arial" w:cs="Arial" w:eastAsia="Arial" w:hAnsi="Arial"/>
          <w:sz w:val="18"/>
          <w:szCs w:val="18"/>
          <w:color w:val="auto"/>
        </w:rPr>
        <w:t>A registered Holder may be treated as the owner of a Note for all purposes.</w:t>
      </w:r>
    </w:p>
    <w:p>
      <w:pPr>
        <w:spacing w:after="0" w:line="225" w:lineRule="exact"/>
        <w:rPr>
          <w:rFonts w:ascii="Arial" w:cs="Arial" w:eastAsia="Arial" w:hAnsi="Arial"/>
          <w:sz w:val="18"/>
          <w:szCs w:val="18"/>
          <w:color w:val="121212"/>
        </w:rPr>
      </w:pPr>
    </w:p>
    <w:p>
      <w:pPr>
        <w:ind w:left="660" w:hanging="652"/>
        <w:spacing w:after="0"/>
        <w:tabs>
          <w:tab w:leader="none" w:pos="660" w:val="left"/>
        </w:tabs>
        <w:numPr>
          <w:ilvl w:val="0"/>
          <w:numId w:val="248"/>
        </w:numPr>
        <w:rPr>
          <w:rFonts w:ascii="Arial" w:cs="Arial" w:eastAsia="Arial" w:hAnsi="Arial"/>
          <w:sz w:val="18"/>
          <w:szCs w:val="18"/>
          <w:color w:val="121212"/>
        </w:rPr>
      </w:pPr>
      <w:r>
        <w:rPr>
          <w:rFonts w:ascii="Arial" w:cs="Arial" w:eastAsia="Arial" w:hAnsi="Arial"/>
          <w:sz w:val="18"/>
          <w:szCs w:val="18"/>
          <w:u w:val="single" w:color="auto"/>
          <w:color w:val="121212"/>
        </w:rPr>
        <w:t>Unclaimed Money</w:t>
      </w:r>
      <w:r>
        <w:rPr>
          <w:rFonts w:ascii="Arial" w:cs="Arial" w:eastAsia="Arial" w:hAnsi="Arial"/>
          <w:sz w:val="18"/>
          <w:szCs w:val="18"/>
          <w:color w:val="121212"/>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Subject to any laws relating to abandoned property, if money for the payment of principal (premium, if any) or interest remains unclaimed for two years, the Trustee and the Paying Agent shall pay the money back to the Company at its request or (if then held by the Company) shall be discharged from such trust. After that, Holders entitled to the money must look to the Company for payment and all liability of the Trustee and such Paying Agent with respect to such money, and all liability of the Company as trustee thereof, shall cease.</w:t>
      </w:r>
    </w:p>
    <w:p>
      <w:pPr>
        <w:spacing w:after="0" w:line="187"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18"/>
          <w:szCs w:val="18"/>
          <w:color w:val="121212"/>
        </w:rPr>
      </w:pPr>
      <w:r>
        <w:rPr>
          <w:rFonts w:ascii="Arial" w:cs="Arial" w:eastAsia="Arial" w:hAnsi="Arial"/>
          <w:sz w:val="18"/>
          <w:szCs w:val="18"/>
          <w:u w:val="single" w:color="auto"/>
          <w:color w:val="121212"/>
        </w:rPr>
        <w:t>Discharge and Defeasance Prior to Redemption or Maturity</w:t>
      </w:r>
      <w:r>
        <w:rPr>
          <w:rFonts w:ascii="Arial" w:cs="Arial" w:eastAsia="Arial" w:hAnsi="Arial"/>
          <w:sz w:val="18"/>
          <w:szCs w:val="18"/>
          <w:color w:val="121212"/>
        </w:rPr>
        <w: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Subject to satisfaction of conditions set forth in the Indenture, the Company at any time may terminate some or all of its obligations under the Notes pursuant to Article Four of the Indenture.</w:t>
      </w:r>
    </w:p>
    <w:p>
      <w:pPr>
        <w:spacing w:after="0" w:line="170"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18"/>
          <w:szCs w:val="18"/>
          <w:color w:val="121212"/>
        </w:rPr>
      </w:pPr>
      <w:r>
        <w:rPr>
          <w:rFonts w:ascii="Arial" w:cs="Arial" w:eastAsia="Arial" w:hAnsi="Arial"/>
          <w:sz w:val="18"/>
          <w:szCs w:val="18"/>
          <w:u w:val="single" w:color="auto"/>
          <w:color w:val="121212"/>
        </w:rPr>
        <w:t>Amendment; Supplement; Waiver</w:t>
      </w:r>
      <w:r>
        <w:rPr>
          <w:rFonts w:ascii="Arial" w:cs="Arial" w:eastAsia="Arial" w:hAnsi="Arial"/>
          <w:sz w:val="18"/>
          <w:szCs w:val="18"/>
          <w:color w:val="121212"/>
        </w:rPr>
        <w:t>.</w:t>
      </w:r>
    </w:p>
    <w:p>
      <w:pPr>
        <w:spacing w:after="0" w:line="225" w:lineRule="exact"/>
        <w:rPr>
          <w:rFonts w:ascii="Arial" w:cs="Arial" w:eastAsia="Arial" w:hAnsi="Arial"/>
          <w:sz w:val="18"/>
          <w:szCs w:val="18"/>
          <w:color w:val="121212"/>
        </w:rPr>
      </w:pPr>
    </w:p>
    <w:p>
      <w:pPr>
        <w:ind w:left="660"/>
        <w:spacing w:after="0"/>
        <w:rPr>
          <w:rFonts w:ascii="Arial" w:cs="Arial" w:eastAsia="Arial" w:hAnsi="Arial"/>
          <w:sz w:val="18"/>
          <w:szCs w:val="18"/>
          <w:color w:val="121212"/>
        </w:rPr>
      </w:pPr>
      <w:r>
        <w:rPr>
          <w:rFonts w:ascii="Arial" w:cs="Arial" w:eastAsia="Arial" w:hAnsi="Arial"/>
          <w:sz w:val="18"/>
          <w:szCs w:val="18"/>
          <w:color w:val="auto"/>
        </w:rPr>
        <w:t>The Indenture, the Notes and the Security Documents may be amended as provided in Article Nine of the Indenture.</w:t>
      </w:r>
    </w:p>
    <w:p>
      <w:pPr>
        <w:spacing w:after="0" w:line="225" w:lineRule="exact"/>
        <w:rPr>
          <w:rFonts w:ascii="Arial" w:cs="Arial" w:eastAsia="Arial" w:hAnsi="Arial"/>
          <w:sz w:val="18"/>
          <w:szCs w:val="18"/>
          <w:color w:val="121212"/>
        </w:rPr>
      </w:pPr>
    </w:p>
    <w:p>
      <w:pPr>
        <w:ind w:left="660" w:hanging="652"/>
        <w:spacing w:after="0"/>
        <w:tabs>
          <w:tab w:leader="none" w:pos="660" w:val="left"/>
        </w:tabs>
        <w:numPr>
          <w:ilvl w:val="0"/>
          <w:numId w:val="250"/>
        </w:numPr>
        <w:rPr>
          <w:rFonts w:ascii="Arial" w:cs="Arial" w:eastAsia="Arial" w:hAnsi="Arial"/>
          <w:sz w:val="18"/>
          <w:szCs w:val="18"/>
          <w:color w:val="121212"/>
        </w:rPr>
      </w:pPr>
      <w:r>
        <w:rPr>
          <w:rFonts w:ascii="Arial" w:cs="Arial" w:eastAsia="Arial" w:hAnsi="Arial"/>
          <w:sz w:val="18"/>
          <w:szCs w:val="18"/>
          <w:u w:val="single" w:color="auto"/>
          <w:color w:val="121212"/>
        </w:rPr>
        <w:t>Successor Persons</w:t>
      </w:r>
      <w:r>
        <w:rPr>
          <w:rFonts w:ascii="Arial" w:cs="Arial" w:eastAsia="Arial" w:hAnsi="Arial"/>
          <w:sz w:val="18"/>
          <w:szCs w:val="18"/>
          <w:color w:val="121212"/>
        </w:rPr>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When a successor Person or other entity assumes all the obligations of its predecessor under the Notes and the Indenture, the predecessor Person shall be released from those obligations, subject to certain exceptions.</w:t>
      </w:r>
    </w:p>
    <w:p>
      <w:pPr>
        <w:spacing w:after="0" w:line="170"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18"/>
          <w:szCs w:val="18"/>
          <w:color w:val="121212"/>
        </w:rPr>
      </w:pPr>
      <w:r>
        <w:rPr>
          <w:rFonts w:ascii="Arial" w:cs="Arial" w:eastAsia="Arial" w:hAnsi="Arial"/>
          <w:sz w:val="18"/>
          <w:szCs w:val="18"/>
          <w:u w:val="single" w:color="auto"/>
          <w:color w:val="121212"/>
        </w:rPr>
        <w:t>Remedies for Events of Default</w:t>
      </w:r>
      <w:r>
        <w:rPr>
          <w:rFonts w:ascii="Arial" w:cs="Arial" w:eastAsia="Arial" w:hAnsi="Arial"/>
          <w:sz w:val="18"/>
          <w:szCs w:val="18"/>
          <w:color w:val="121212"/>
        </w:rPr>
        <w:t>.</w:t>
      </w:r>
    </w:p>
    <w:p>
      <w:pPr>
        <w:spacing w:after="0" w:line="225" w:lineRule="exact"/>
        <w:rPr>
          <w:rFonts w:ascii="Arial" w:cs="Arial" w:eastAsia="Arial" w:hAnsi="Arial"/>
          <w:sz w:val="18"/>
          <w:szCs w:val="18"/>
          <w:color w:val="121212"/>
        </w:rPr>
      </w:pPr>
    </w:p>
    <w:p>
      <w:pPr>
        <w:ind w:left="660"/>
        <w:spacing w:after="0"/>
        <w:rPr>
          <w:rFonts w:ascii="Arial" w:cs="Arial" w:eastAsia="Arial" w:hAnsi="Arial"/>
          <w:sz w:val="18"/>
          <w:szCs w:val="18"/>
          <w:color w:val="121212"/>
        </w:rPr>
      </w:pPr>
      <w:r>
        <w:rPr>
          <w:rFonts w:ascii="Arial" w:cs="Arial" w:eastAsia="Arial" w:hAnsi="Arial"/>
          <w:sz w:val="18"/>
          <w:szCs w:val="18"/>
          <w:color w:val="auto"/>
        </w:rPr>
        <w:t>This Note is subject to certain Events of Default and the remedy provisions of Article Five of the Indenture.</w:t>
      </w:r>
    </w:p>
    <w:p>
      <w:pPr>
        <w:spacing w:after="0" w:line="225" w:lineRule="exact"/>
        <w:rPr>
          <w:rFonts w:ascii="Arial" w:cs="Arial" w:eastAsia="Arial" w:hAnsi="Arial"/>
          <w:sz w:val="18"/>
          <w:szCs w:val="18"/>
          <w:color w:val="121212"/>
        </w:rPr>
      </w:pPr>
    </w:p>
    <w:p>
      <w:pPr>
        <w:ind w:left="660" w:hanging="652"/>
        <w:spacing w:after="0"/>
        <w:tabs>
          <w:tab w:leader="none" w:pos="660" w:val="left"/>
        </w:tabs>
        <w:numPr>
          <w:ilvl w:val="0"/>
          <w:numId w:val="251"/>
        </w:numPr>
        <w:rPr>
          <w:rFonts w:ascii="Arial" w:cs="Arial" w:eastAsia="Arial" w:hAnsi="Arial"/>
          <w:sz w:val="18"/>
          <w:szCs w:val="18"/>
          <w:color w:val="121212"/>
        </w:rPr>
      </w:pPr>
      <w:r>
        <w:rPr>
          <w:rFonts w:ascii="Arial" w:cs="Arial" w:eastAsia="Arial" w:hAnsi="Arial"/>
          <w:sz w:val="18"/>
          <w:szCs w:val="18"/>
          <w:u w:val="single" w:color="auto"/>
          <w:color w:val="121212"/>
        </w:rPr>
        <w:t>Guarantees</w:t>
      </w:r>
      <w:r>
        <w:rPr>
          <w:rFonts w:ascii="Arial" w:cs="Arial" w:eastAsia="Arial" w:hAnsi="Arial"/>
          <w:sz w:val="18"/>
          <w:szCs w:val="18"/>
          <w:color w:val="121212"/>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Company’s obligations under the Notes are fully, irrevocably and unconditionally guaranteed on a secured senior basis, to the extent set forth in the Indenture, by each of the Guarantors.</w:t>
      </w:r>
    </w:p>
    <w:p>
      <w:pPr>
        <w:spacing w:after="0" w:line="170" w:lineRule="exact"/>
        <w:rPr>
          <w:sz w:val="20"/>
          <w:szCs w:val="20"/>
          <w:color w:val="auto"/>
        </w:rPr>
      </w:pPr>
    </w:p>
    <w:p>
      <w:pPr>
        <w:ind w:left="660" w:hanging="652"/>
        <w:spacing w:after="0"/>
        <w:tabs>
          <w:tab w:leader="none" w:pos="660" w:val="left"/>
        </w:tabs>
        <w:numPr>
          <w:ilvl w:val="0"/>
          <w:numId w:val="252"/>
        </w:numPr>
        <w:rPr>
          <w:rFonts w:ascii="Arial" w:cs="Arial" w:eastAsia="Arial" w:hAnsi="Arial"/>
          <w:sz w:val="18"/>
          <w:szCs w:val="18"/>
          <w:color w:val="121212"/>
        </w:rPr>
      </w:pPr>
      <w:r>
        <w:rPr>
          <w:rFonts w:ascii="Arial" w:cs="Arial" w:eastAsia="Arial" w:hAnsi="Arial"/>
          <w:sz w:val="18"/>
          <w:szCs w:val="18"/>
          <w:u w:val="single" w:color="auto"/>
          <w:color w:val="121212"/>
        </w:rPr>
        <w:t>Trustee Dealings with Company</w:t>
      </w:r>
      <w:r>
        <w:rPr>
          <w:rFonts w:ascii="Arial" w:cs="Arial" w:eastAsia="Arial" w:hAnsi="Arial"/>
          <w:sz w:val="18"/>
          <w:szCs w:val="18"/>
          <w:color w:val="121212"/>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Trustee under the Indenture, in its individual or any other capacity, may become the owner or pledgee </w:t>
      </w:r>
      <w:r>
        <w:rPr>
          <w:rFonts w:ascii="Arial" w:cs="Arial" w:eastAsia="Arial" w:hAnsi="Arial"/>
          <w:sz w:val="18"/>
          <w:szCs w:val="18"/>
          <w:color w:val="242424"/>
        </w:rPr>
        <w:t>of Notes</w:t>
      </w:r>
      <w:r>
        <w:rPr>
          <w:rFonts w:ascii="Arial" w:cs="Arial" w:eastAsia="Arial" w:hAnsi="Arial"/>
          <w:sz w:val="18"/>
          <w:szCs w:val="18"/>
          <w:color w:val="auto"/>
        </w:rPr>
        <w:t xml:space="preserve"> and may make loans to, accept deposits from, perform services for, and otherwise deal with, the Company and its Affiliates as if it were not the Trustee.</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4" w:name="page185"/>
    <w:bookmarkEnd w:id="184"/>
    <w:p>
      <w:pPr>
        <w:ind w:left="660" w:hanging="652"/>
        <w:spacing w:after="0"/>
        <w:tabs>
          <w:tab w:leader="none" w:pos="660" w:val="left"/>
        </w:tabs>
        <w:numPr>
          <w:ilvl w:val="0"/>
          <w:numId w:val="253"/>
        </w:numPr>
        <w:rPr>
          <w:rFonts w:ascii="Arial" w:cs="Arial" w:eastAsia="Arial" w:hAnsi="Arial"/>
          <w:sz w:val="18"/>
          <w:szCs w:val="18"/>
          <w:color w:val="121212"/>
        </w:rPr>
      </w:pPr>
      <w:r>
        <w:rPr>
          <w:rFonts w:ascii="Arial" w:cs="Arial" w:eastAsia="Arial" w:hAnsi="Arial"/>
          <w:sz w:val="18"/>
          <w:szCs w:val="18"/>
          <w:u w:val="single" w:color="auto"/>
          <w:color w:val="121212"/>
        </w:rPr>
        <w:t>Authentication</w:t>
      </w:r>
      <w:r>
        <w:rPr>
          <w:rFonts w:ascii="Arial" w:cs="Arial" w:eastAsia="Arial" w:hAnsi="Arial"/>
          <w:sz w:val="18"/>
          <w:szCs w:val="18"/>
          <w:color w:val="121212"/>
        </w:rPr>
        <w:t>.</w:t>
      </w:r>
    </w:p>
    <w:p>
      <w:pPr>
        <w:spacing w:after="0" w:line="225" w:lineRule="exact"/>
        <w:rPr>
          <w:rFonts w:ascii="Arial" w:cs="Arial" w:eastAsia="Arial" w:hAnsi="Arial"/>
          <w:sz w:val="18"/>
          <w:szCs w:val="18"/>
          <w:color w:val="121212"/>
        </w:rPr>
      </w:pPr>
    </w:p>
    <w:p>
      <w:pPr>
        <w:ind w:left="660"/>
        <w:spacing w:after="0"/>
        <w:rPr>
          <w:rFonts w:ascii="Arial" w:cs="Arial" w:eastAsia="Arial" w:hAnsi="Arial"/>
          <w:sz w:val="18"/>
          <w:szCs w:val="18"/>
          <w:color w:val="121212"/>
        </w:rPr>
      </w:pPr>
      <w:r>
        <w:rPr>
          <w:rFonts w:ascii="Arial" w:cs="Arial" w:eastAsia="Arial" w:hAnsi="Arial"/>
          <w:sz w:val="18"/>
          <w:szCs w:val="18"/>
          <w:color w:val="auto"/>
        </w:rPr>
        <w:t>This Note shall not be valid until the Trustee signs the certificate of authentication on the other side of this Note.</w:t>
      </w:r>
    </w:p>
    <w:p>
      <w:pPr>
        <w:spacing w:after="0" w:line="225" w:lineRule="exact"/>
        <w:rPr>
          <w:rFonts w:ascii="Arial" w:cs="Arial" w:eastAsia="Arial" w:hAnsi="Arial"/>
          <w:sz w:val="18"/>
          <w:szCs w:val="18"/>
          <w:color w:val="121212"/>
        </w:rPr>
      </w:pPr>
    </w:p>
    <w:p>
      <w:pPr>
        <w:ind w:left="660" w:hanging="652"/>
        <w:spacing w:after="0"/>
        <w:tabs>
          <w:tab w:leader="none" w:pos="660" w:val="left"/>
        </w:tabs>
        <w:numPr>
          <w:ilvl w:val="0"/>
          <w:numId w:val="253"/>
        </w:numPr>
        <w:rPr>
          <w:rFonts w:ascii="Arial" w:cs="Arial" w:eastAsia="Arial" w:hAnsi="Arial"/>
          <w:sz w:val="18"/>
          <w:szCs w:val="18"/>
          <w:color w:val="121212"/>
        </w:rPr>
      </w:pPr>
      <w:r>
        <w:rPr>
          <w:rFonts w:ascii="Arial" w:cs="Arial" w:eastAsia="Arial" w:hAnsi="Arial"/>
          <w:sz w:val="18"/>
          <w:szCs w:val="18"/>
          <w:u w:val="single" w:color="auto"/>
          <w:color w:val="121212"/>
        </w:rPr>
        <w:t>Abbreviations</w:t>
      </w:r>
      <w:r>
        <w:rPr>
          <w:rFonts w:ascii="Arial" w:cs="Arial" w:eastAsia="Arial" w:hAnsi="Arial"/>
          <w:sz w:val="18"/>
          <w:szCs w:val="18"/>
          <w:color w:val="121212"/>
        </w:rPr>
        <w:t>.</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Customary abbreviations may be used in the name </w:t>
      </w:r>
      <w:r>
        <w:rPr>
          <w:rFonts w:ascii="Arial" w:cs="Arial" w:eastAsia="Arial" w:hAnsi="Arial"/>
          <w:sz w:val="18"/>
          <w:szCs w:val="18"/>
          <w:color w:val="242424"/>
        </w:rPr>
        <w:t>of</w:t>
      </w:r>
      <w:r>
        <w:rPr>
          <w:rFonts w:ascii="Arial" w:cs="Arial" w:eastAsia="Arial" w:hAnsi="Arial"/>
          <w:sz w:val="18"/>
          <w:szCs w:val="18"/>
          <w:color w:val="auto"/>
        </w:rPr>
        <w:t xml:space="preserve"> a Holder or an assignee, such as: TEN COM </w:t>
      </w:r>
      <w:r>
        <w:rPr>
          <w:rFonts w:ascii="Arial" w:cs="Arial" w:eastAsia="Arial" w:hAnsi="Arial"/>
          <w:sz w:val="18"/>
          <w:szCs w:val="18"/>
          <w:color w:val="242424"/>
        </w:rPr>
        <w:t>(=</w:t>
      </w:r>
      <w:r>
        <w:rPr>
          <w:rFonts w:ascii="Arial" w:cs="Arial" w:eastAsia="Arial" w:hAnsi="Arial"/>
          <w:sz w:val="18"/>
          <w:szCs w:val="18"/>
          <w:color w:val="auto"/>
        </w:rPr>
        <w:t xml:space="preserve"> tenants in common), TEN ENT </w:t>
      </w:r>
      <w:r>
        <w:rPr>
          <w:rFonts w:ascii="Arial" w:cs="Arial" w:eastAsia="Arial" w:hAnsi="Arial"/>
          <w:sz w:val="18"/>
          <w:szCs w:val="18"/>
          <w:color w:val="242424"/>
        </w:rPr>
        <w:t>(=</w:t>
      </w:r>
      <w:r>
        <w:rPr>
          <w:rFonts w:ascii="Arial" w:cs="Arial" w:eastAsia="Arial" w:hAnsi="Arial"/>
          <w:sz w:val="18"/>
          <w:szCs w:val="18"/>
          <w:color w:val="auto"/>
        </w:rPr>
        <w:t xml:space="preserve"> tenants by the entireties), JT TEN </w:t>
      </w:r>
      <w:r>
        <w:rPr>
          <w:rFonts w:ascii="Arial" w:cs="Arial" w:eastAsia="Arial" w:hAnsi="Arial"/>
          <w:sz w:val="18"/>
          <w:szCs w:val="18"/>
          <w:color w:val="242424"/>
        </w:rPr>
        <w:t>(=</w:t>
      </w:r>
      <w:r>
        <w:rPr>
          <w:rFonts w:ascii="Arial" w:cs="Arial" w:eastAsia="Arial" w:hAnsi="Arial"/>
          <w:sz w:val="18"/>
          <w:szCs w:val="18"/>
          <w:color w:val="auto"/>
        </w:rPr>
        <w:t xml:space="preserve"> joint tenants with right of survivorship and not as tenants in common), CUST </w:t>
      </w:r>
      <w:r>
        <w:rPr>
          <w:rFonts w:ascii="Arial" w:cs="Arial" w:eastAsia="Arial" w:hAnsi="Arial"/>
          <w:sz w:val="18"/>
          <w:szCs w:val="18"/>
          <w:color w:val="242424"/>
        </w:rPr>
        <w:t>(=</w:t>
      </w:r>
      <w:r>
        <w:rPr>
          <w:rFonts w:ascii="Arial" w:cs="Arial" w:eastAsia="Arial" w:hAnsi="Arial"/>
          <w:sz w:val="18"/>
          <w:szCs w:val="18"/>
          <w:color w:val="auto"/>
        </w:rPr>
        <w:t xml:space="preserve"> Custodian) and U/G/M/A </w:t>
      </w:r>
      <w:r>
        <w:rPr>
          <w:rFonts w:ascii="Arial" w:cs="Arial" w:eastAsia="Arial" w:hAnsi="Arial"/>
          <w:sz w:val="18"/>
          <w:szCs w:val="18"/>
          <w:color w:val="242424"/>
        </w:rPr>
        <w:t>(=</w:t>
      </w:r>
      <w:r>
        <w:rPr>
          <w:rFonts w:ascii="Arial" w:cs="Arial" w:eastAsia="Arial" w:hAnsi="Arial"/>
          <w:sz w:val="18"/>
          <w:szCs w:val="18"/>
          <w:color w:val="auto"/>
        </w:rPr>
        <w:t xml:space="preserve"> Uniform Gifts to Minors </w:t>
      </w:r>
      <w:r>
        <w:rPr>
          <w:rFonts w:ascii="Arial" w:cs="Arial" w:eastAsia="Arial" w:hAnsi="Arial"/>
          <w:sz w:val="18"/>
          <w:szCs w:val="18"/>
          <w:color w:val="242424"/>
        </w:rPr>
        <w:t>Act).</w:t>
      </w:r>
    </w:p>
    <w:p>
      <w:pPr>
        <w:spacing w:after="0" w:line="184" w:lineRule="exact"/>
        <w:rPr>
          <w:sz w:val="20"/>
          <w:szCs w:val="20"/>
          <w:color w:val="auto"/>
        </w:rPr>
      </w:pPr>
    </w:p>
    <w:p>
      <w:pPr>
        <w:ind w:left="660" w:hanging="652"/>
        <w:spacing w:after="0"/>
        <w:tabs>
          <w:tab w:leader="none" w:pos="660" w:val="left"/>
        </w:tabs>
        <w:numPr>
          <w:ilvl w:val="0"/>
          <w:numId w:val="254"/>
        </w:numPr>
        <w:rPr>
          <w:rFonts w:ascii="Arial" w:cs="Arial" w:eastAsia="Arial" w:hAnsi="Arial"/>
          <w:sz w:val="18"/>
          <w:szCs w:val="18"/>
          <w:color w:val="121212"/>
        </w:rPr>
      </w:pPr>
      <w:r>
        <w:rPr>
          <w:rFonts w:ascii="Arial" w:cs="Arial" w:eastAsia="Arial" w:hAnsi="Arial"/>
          <w:sz w:val="18"/>
          <w:szCs w:val="18"/>
          <w:u w:val="single" w:color="auto"/>
          <w:color w:val="121212"/>
        </w:rPr>
        <w:t>CUSIP and ISIN Numbers</w:t>
      </w:r>
      <w:r>
        <w:rPr>
          <w:rFonts w:ascii="Arial" w:cs="Arial" w:eastAsia="Arial" w:hAnsi="Arial"/>
          <w:sz w:val="18"/>
          <w:szCs w:val="18"/>
          <w:color w:val="121212"/>
        </w:rPr>
        <w:t>.</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Pursuant to a recommendation promulgated by the Committee on Uniform Security Identification Procedures, the Company has caused CUSIP and ISIN numbers </w:t>
      </w:r>
      <w:r>
        <w:rPr>
          <w:rFonts w:ascii="Arial" w:cs="Arial" w:eastAsia="Arial" w:hAnsi="Arial"/>
          <w:sz w:val="18"/>
          <w:szCs w:val="18"/>
          <w:color w:val="242424"/>
        </w:rPr>
        <w:t>to</w:t>
      </w:r>
      <w:r>
        <w:rPr>
          <w:rFonts w:ascii="Arial" w:cs="Arial" w:eastAsia="Arial" w:hAnsi="Arial"/>
          <w:sz w:val="18"/>
          <w:szCs w:val="18"/>
          <w:color w:val="auto"/>
        </w:rPr>
        <w:t xml:space="preserve"> be printed on the Notes and has directed the Trustee to use CUSIP and ISIN numbers in notices of redemption as a convenience to Holders. </w:t>
      </w:r>
      <w:r>
        <w:rPr>
          <w:rFonts w:ascii="Arial" w:cs="Arial" w:eastAsia="Arial" w:hAnsi="Arial"/>
          <w:sz w:val="18"/>
          <w:szCs w:val="18"/>
          <w:color w:val="242424"/>
        </w:rPr>
        <w:t>No</w:t>
      </w:r>
      <w:r>
        <w:rPr>
          <w:rFonts w:ascii="Arial" w:cs="Arial" w:eastAsia="Arial" w:hAnsi="Arial"/>
          <w:sz w:val="18"/>
          <w:szCs w:val="18"/>
          <w:color w:val="auto"/>
        </w:rPr>
        <w:t xml:space="preserve"> representation is made as to the accuracy of such numbers either as printed on the Notes or as contained in any notice of redemption and reliance may be placed only on the other identification numbers placed thereon.</w:t>
      </w:r>
    </w:p>
    <w:p>
      <w:pPr>
        <w:spacing w:after="0" w:line="187"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18"/>
          <w:szCs w:val="18"/>
          <w:color w:val="121212"/>
        </w:rPr>
      </w:pPr>
      <w:r>
        <w:rPr>
          <w:rFonts w:ascii="Arial" w:cs="Arial" w:eastAsia="Arial" w:hAnsi="Arial"/>
          <w:sz w:val="18"/>
          <w:szCs w:val="18"/>
          <w:u w:val="single" w:color="auto"/>
          <w:color w:val="121212"/>
        </w:rPr>
        <w:t>Governing Law</w:t>
      </w:r>
      <w:r>
        <w:rPr>
          <w:rFonts w:ascii="Arial" w:cs="Arial" w:eastAsia="Arial" w:hAnsi="Arial"/>
          <w:sz w:val="18"/>
          <w:szCs w:val="18"/>
          <w:color w:val="121212"/>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THIS SECURITY AND INDENTURE SHALL BE GOVERNED BY, AND CONSTRUED IN ACCORDANCE WITH, THE LAWS OF THE STATE OF NEW YORK.</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shall furnish to any Holder upon written request and without charge a copy of the Indenture. Requests may be made to Winnebago Industries, Inc., 13200 Pioneer Trail Eden Prairie, MN 55347, Attention: General Counsel.</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121212"/>
        </w:rPr>
        <w:t>EXHIBIT 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to Rule 144A </w:t>
      </w:r>
      <w:r>
        <w:rPr>
          <w:rFonts w:ascii="Arial" w:cs="Arial" w:eastAsia="Arial" w:hAnsi="Arial"/>
          <w:sz w:val="18"/>
          <w:szCs w:val="18"/>
          <w:b w:val="1"/>
          <w:bCs w:val="1"/>
          <w:color w:val="1D1D1D"/>
        </w:rPr>
        <w:t>/</w:t>
      </w:r>
      <w:r>
        <w:rPr>
          <w:rFonts w:ascii="Arial" w:cs="Arial" w:eastAsia="Arial" w:hAnsi="Arial"/>
          <w:sz w:val="18"/>
          <w:szCs w:val="18"/>
          <w:b w:val="1"/>
          <w:bCs w:val="1"/>
          <w:color w:val="auto"/>
        </w:rPr>
        <w:t xml:space="preserve"> Regulation S Appendix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ASSIGNMENT/TRANSFER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and transfer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 _____________________ agent to transfer this Note on the books of the Company. The agent may substitute another to act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him.</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Date:_______________</w:t>
      </w:r>
      <w:r>
        <w:rPr>
          <w:sz w:val="20"/>
          <w:szCs w:val="20"/>
          <w:color w:val="auto"/>
        </w:rPr>
        <w:tab/>
      </w:r>
      <w:r>
        <w:rPr>
          <w:rFonts w:ascii="Arial" w:cs="Arial" w:eastAsia="Arial" w:hAnsi="Arial"/>
          <w:sz w:val="16"/>
          <w:szCs w:val="16"/>
          <w:color w:val="auto"/>
        </w:rPr>
        <w:t>Your Signature:_______________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any transfer of any of the Notes evidenced by this certificate occurring prior to the expiration of the period referred to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Rule 144(d) under the Securities Act after the later of the date of original issuance of such Notes and the last date, if any, on which such Notes were owned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Company or any Affiliate of the Company, the undersigned confirms that such Notes are being transferred in accordance with its terms: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Company; or</w:t>
      </w:r>
    </w:p>
    <w:p>
      <w:pPr>
        <w:spacing w:after="0" w:line="225" w:lineRule="exact"/>
        <w:rPr>
          <w:sz w:val="20"/>
          <w:szCs w:val="20"/>
          <w:color w:val="auto"/>
        </w:rPr>
      </w:pPr>
    </w:p>
    <w:p>
      <w:pPr>
        <w:ind w:left="860" w:hanging="204"/>
        <w:spacing w:after="0"/>
        <w:tabs>
          <w:tab w:leader="none" w:pos="860" w:val="left"/>
        </w:tabs>
        <w:numPr>
          <w:ilvl w:val="0"/>
          <w:numId w:val="256"/>
        </w:numPr>
        <w:rPr>
          <w:rFonts w:ascii="MS PGothic" w:cs="MS PGothic" w:eastAsia="MS PGothic" w:hAnsi="MS PGothic"/>
          <w:sz w:val="18"/>
          <w:szCs w:val="18"/>
          <w:color w:val="auto"/>
        </w:rPr>
      </w:pPr>
      <w:r>
        <w:rPr>
          <w:rFonts w:ascii="Arial" w:cs="Arial" w:eastAsia="Arial" w:hAnsi="Arial"/>
          <w:sz w:val="18"/>
          <w:szCs w:val="18"/>
          <w:color w:val="auto"/>
        </w:rPr>
        <w:t>pursuant to an effective registration statement under the Securities Act of 1933, as amended; or</w:t>
      </w:r>
    </w:p>
    <w:p>
      <w:pPr>
        <w:spacing w:after="0" w:line="225" w:lineRule="exact"/>
        <w:rPr>
          <w:rFonts w:ascii="MS PGothic" w:cs="MS PGothic" w:eastAsia="MS PGothic" w:hAnsi="MS PGothic"/>
          <w:sz w:val="18"/>
          <w:szCs w:val="18"/>
          <w:color w:val="auto"/>
        </w:rPr>
      </w:pPr>
    </w:p>
    <w:p>
      <w:pPr>
        <w:ind w:right="80" w:firstLine="656"/>
        <w:spacing w:after="0" w:line="263" w:lineRule="auto"/>
        <w:tabs>
          <w:tab w:leader="none" w:pos="855" w:val="left"/>
        </w:tabs>
        <w:numPr>
          <w:ilvl w:val="0"/>
          <w:numId w:val="256"/>
        </w:numPr>
        <w:rPr>
          <w:rFonts w:ascii="MS PGothic" w:cs="MS PGothic" w:eastAsia="MS PGothic" w:hAnsi="MS PGothic"/>
          <w:sz w:val="18"/>
          <w:szCs w:val="18"/>
          <w:color w:val="auto"/>
        </w:rPr>
      </w:pPr>
      <w:r>
        <w:rPr>
          <w:rFonts w:ascii="Arial" w:cs="Arial" w:eastAsia="Arial" w:hAnsi="Arial"/>
          <w:sz w:val="18"/>
          <w:szCs w:val="18"/>
          <w:color w:val="auto"/>
        </w:rPr>
        <w:t xml:space="preserve">inside the United States to a “qualified institutional buyer” (as defined in Rule 144A under the Securities Act of 1933) that purchases for its own account or for the account of a qualified institutional buyer </w:t>
      </w:r>
      <w:r>
        <w:rPr>
          <w:rFonts w:ascii="Arial" w:cs="Arial" w:eastAsia="Arial" w:hAnsi="Arial"/>
          <w:sz w:val="18"/>
          <w:szCs w:val="18"/>
          <w:color w:val="282828"/>
        </w:rPr>
        <w:t>to</w:t>
      </w:r>
      <w:r>
        <w:rPr>
          <w:rFonts w:ascii="Arial" w:cs="Arial" w:eastAsia="Arial" w:hAnsi="Arial"/>
          <w:sz w:val="18"/>
          <w:szCs w:val="18"/>
          <w:color w:val="auto"/>
        </w:rPr>
        <w:t xml:space="preserve"> whom notice is given that such transfer is being made in reliance on Rule 144A, in each case pursuant to and in compliance with Rule 144A under the Securities Act of 1933, as amended; or</w:t>
      </w:r>
    </w:p>
    <w:p>
      <w:pPr>
        <w:spacing w:after="0" w:line="183" w:lineRule="exact"/>
        <w:rPr>
          <w:rFonts w:ascii="MS PGothic" w:cs="MS PGothic" w:eastAsia="MS PGothic" w:hAnsi="MS PGothic"/>
          <w:sz w:val="18"/>
          <w:szCs w:val="18"/>
          <w:color w:val="auto"/>
        </w:rPr>
      </w:pPr>
    </w:p>
    <w:p>
      <w:pPr>
        <w:ind w:right="200" w:firstLine="656"/>
        <w:spacing w:after="0" w:line="277" w:lineRule="auto"/>
        <w:tabs>
          <w:tab w:leader="none" w:pos="855" w:val="left"/>
        </w:tabs>
        <w:numPr>
          <w:ilvl w:val="0"/>
          <w:numId w:val="256"/>
        </w:numPr>
        <w:rPr>
          <w:rFonts w:ascii="MS PGothic" w:cs="MS PGothic" w:eastAsia="MS PGothic" w:hAnsi="MS PGothic"/>
          <w:sz w:val="18"/>
          <w:szCs w:val="18"/>
          <w:color w:val="auto"/>
        </w:rPr>
      </w:pPr>
      <w:r>
        <w:rPr>
          <w:rFonts w:ascii="Arial" w:cs="Arial" w:eastAsia="Arial" w:hAnsi="Arial"/>
          <w:sz w:val="18"/>
          <w:szCs w:val="18"/>
          <w:color w:val="auto"/>
        </w:rPr>
        <w:t>outside the United States in an offshore transaction within the meaning of Regulation S under the Securities Act in compliance with Rule 904 under the Securities Act of 1933, as amended; or</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ind w:left="860" w:hanging="204"/>
        <w:spacing w:after="0"/>
        <w:tabs>
          <w:tab w:leader="none" w:pos="860"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pursuant to the exemption from registration provided by Rule 144 under the Securities Act of 1933, as amended.</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Unless one of the boxes is checked, the Trustee shall refuse to register any of the Notes evidenced by this certificate in the name of any person other than the registered holder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box (4) is checked, the Trustee shall be entitled to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 as amended, such as the exemption provided by Rule 144 under such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6350</wp:posOffset>
            </wp:positionV>
            <wp:extent cx="66008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6350</wp:posOffset>
            </wp:positionV>
            <wp:extent cx="6103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Note Registrar, which requirements include membership or participation in the Security Transfer Agent Medallion Program (“STAMP”) or such other “signature guarantee program” as may be determined by the Note Registrar in addition to, or in substitution for, STAMP, all in accordance with the Securities Exchange Act of 1934,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PURCHASER IF (2) ABOVE IS CHECKED.</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be executed by an executive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color w:val="auto"/>
        </w:rPr>
        <w:t>[TO BE ATTACHED TO GLOBAL NOTES]</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38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Amount of decrease in</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Amount of increase in</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amount of this</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Signature of authorized</w:t>
            </w:r>
          </w:p>
        </w:tc>
      </w:tr>
      <w:tr>
        <w:trPr>
          <w:trHeight w:val="216"/>
        </w:trPr>
        <w:tc>
          <w:tcPr>
            <w:tcW w:w="2120" w:type="dxa"/>
            <w:vAlign w:val="bottom"/>
          </w:tcPr>
          <w:p>
            <w:pPr>
              <w:spacing w:after="0"/>
              <w:rPr>
                <w:sz w:val="18"/>
                <w:szCs w:val="18"/>
                <w:color w:val="auto"/>
              </w:rPr>
            </w:pPr>
          </w:p>
        </w:tc>
        <w:tc>
          <w:tcPr>
            <w:tcW w:w="23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Principal amount of this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amount of this</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9"/>
              </w:rPr>
              <w:t>Global Note following such</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8"/>
              </w:rPr>
              <w:t>officer of Trustee or Notes</w:t>
            </w:r>
          </w:p>
        </w:tc>
      </w:tr>
      <w:tr>
        <w:trPr>
          <w:trHeight w:val="234"/>
        </w:trPr>
        <w:tc>
          <w:tcPr>
            <w:tcW w:w="2120" w:type="dxa"/>
            <w:vAlign w:val="bottom"/>
          </w:tcPr>
          <w:p>
            <w:pPr>
              <w:ind w:left="460"/>
              <w:spacing w:after="0"/>
              <w:rPr>
                <w:sz w:val="20"/>
                <w:szCs w:val="20"/>
                <w:color w:val="auto"/>
              </w:rPr>
            </w:pPr>
            <w:r>
              <w:rPr>
                <w:rFonts w:ascii="Arial" w:cs="Arial" w:eastAsia="Arial" w:hAnsi="Arial"/>
                <w:sz w:val="18"/>
                <w:szCs w:val="18"/>
                <w:b w:val="1"/>
                <w:bCs w:val="1"/>
                <w:color w:val="auto"/>
              </w:rPr>
              <w:t>Date of Exchange</w:t>
            </w:r>
          </w:p>
        </w:tc>
        <w:tc>
          <w:tcPr>
            <w:tcW w:w="238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Global Note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Global Note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5"/>
              </w:rPr>
              <w:t>decrease or increase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Custodian</w:t>
            </w:r>
          </w:p>
        </w:tc>
      </w:tr>
      <w:tr>
        <w:trPr>
          <w:trHeight w:val="864"/>
        </w:trPr>
        <w:tc>
          <w:tcPr>
            <w:tcW w:w="2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3</w:t>
            </w:r>
          </w:p>
        </w:tc>
        <w:tc>
          <w:tcPr>
            <w:tcW w:w="23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88" w:name="page189"/>
    <w:bookmarkEnd w:id="188"/>
    <w:p>
      <w:pPr>
        <w:jc w:val="center"/>
        <w:ind w:right="-39"/>
        <w:spacing w:after="0"/>
        <w:rPr>
          <w:sz w:val="20"/>
          <w:szCs w:val="20"/>
          <w:color w:val="auto"/>
        </w:rPr>
      </w:pPr>
      <w:r>
        <w:rPr>
          <w:rFonts w:ascii="Arial" w:cs="Arial" w:eastAsia="Arial" w:hAnsi="Arial"/>
          <w:sz w:val="18"/>
          <w:szCs w:val="18"/>
          <w:color w:val="auto"/>
        </w:rPr>
        <w:t>OPTION OF HOLDER TO ELECT PURCHASE</w:t>
      </w:r>
    </w:p>
    <w:p>
      <w:pPr>
        <w:spacing w:after="0" w:line="192"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 xml:space="preserve">If you want to elect to have this Note purchased by the Company pursuant to Section 10.15 or 10.16 of the Indenture, check the box: </w:t>
      </w:r>
      <w:r>
        <w:rPr>
          <w:rFonts w:ascii="MS PGothic" w:cs="MS PGothic" w:eastAsia="MS PGothic" w:hAnsi="MS PGothic"/>
          <w:sz w:val="17"/>
          <w:szCs w:val="17"/>
          <w:color w:val="auto"/>
        </w:rPr>
        <w:t>☐</w:t>
      </w:r>
    </w:p>
    <w:p>
      <w:pPr>
        <w:spacing w:after="0" w:line="26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only part of this Note purchased by the Company pursuant to Section 10.15 or 10.16 of the Indenture, state the amount in principal amount: $</w:t>
      </w:r>
    </w:p>
    <w:p>
      <w:pPr>
        <w:sectPr>
          <w:pgSz w:w="11900" w:h="16838" w:orient="portrait"/>
          <w:cols w:equalWidth="0" w:num="1">
            <w:col w:w="11200"/>
          </w:cols>
          <w:pgMar w:left="320" w:top="908" w:right="37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Dated:__________________________</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Your Signature:________________________________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(Sign exactly as your name appears on the other side of this Note.)</w:t>
      </w:r>
    </w:p>
    <w:p>
      <w:pPr>
        <w:spacing w:after="0" w:line="200" w:lineRule="exact"/>
        <w:rPr>
          <w:sz w:val="20"/>
          <w:szCs w:val="20"/>
          <w:color w:val="auto"/>
        </w:rPr>
      </w:pPr>
    </w:p>
    <w:p>
      <w:pPr>
        <w:sectPr>
          <w:pgSz w:w="11900" w:h="16838" w:orient="portrait"/>
          <w:cols w:equalWidth="0" w:num="2">
            <w:col w:w="4900" w:space="720"/>
            <w:col w:w="5580"/>
          </w:cols>
          <w:pgMar w:left="320" w:top="908" w:right="37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111111"/>
        </w:rPr>
        <w:t>Signature Guarantee:________________________________</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(Signature must be guaranteed)</w:t>
      </w:r>
    </w:p>
    <w:p>
      <w:pPr>
        <w:sectPr>
          <w:pgSz w:w="11900" w:h="16838" w:orient="portrait"/>
          <w:cols w:equalWidth="0" w:num="1">
            <w:col w:w="11200"/>
          </w:cols>
          <w:pgMar w:left="320" w:top="908" w:right="379" w:bottom="1440" w:gutter="0" w:footer="0" w:header="0"/>
          <w:type w:val="continuous"/>
        </w:sectPr>
      </w:pPr>
    </w:p>
    <w:p>
      <w:pPr>
        <w:spacing w:after="0" w:line="21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111111"/>
        </w:rPr>
        <w:t xml:space="preserve">Signatures must be guaranteed by an “eligible guarantor institution” meeting the requirements of the Note Registrar, which requirements include membership or participation </w:t>
      </w:r>
      <w:r>
        <w:rPr>
          <w:rFonts w:ascii="Arial" w:cs="Arial" w:eastAsia="Arial" w:hAnsi="Arial"/>
          <w:sz w:val="16"/>
          <w:szCs w:val="16"/>
          <w:color w:val="000000"/>
        </w:rPr>
        <w:t>in</w:t>
      </w:r>
      <w:r>
        <w:rPr>
          <w:rFonts w:ascii="Arial" w:cs="Arial" w:eastAsia="Arial" w:hAnsi="Arial"/>
          <w:sz w:val="16"/>
          <w:szCs w:val="16"/>
          <w:color w:val="111111"/>
        </w:rPr>
        <w:t xml:space="preserve"> the Security Transfer Agent Medallion Program (“STAMP”) or such other “signature guarantee program” as may be determined by the Note Registrar in addition to, or in substitution for, STAMP, all in accordance with the Securities Exchange Act of 1934, as amended.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121212"/>
        </w:rPr>
        <w:t>EXHIBIT 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to Rule 144A </w:t>
      </w:r>
      <w:r>
        <w:rPr>
          <w:rFonts w:ascii="Arial" w:cs="Arial" w:eastAsia="Arial" w:hAnsi="Arial"/>
          <w:sz w:val="18"/>
          <w:szCs w:val="18"/>
          <w:b w:val="1"/>
          <w:bCs w:val="1"/>
          <w:color w:val="121212"/>
        </w:rPr>
        <w:t>/</w:t>
      </w:r>
      <w:r>
        <w:rPr>
          <w:rFonts w:ascii="Arial" w:cs="Arial" w:eastAsia="Arial" w:hAnsi="Arial"/>
          <w:sz w:val="18"/>
          <w:szCs w:val="18"/>
          <w:b w:val="1"/>
          <w:bCs w:val="1"/>
          <w:color w:val="auto"/>
        </w:rPr>
        <w:t xml:space="preserve"> Regulation S Appendix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NON-U.S. BENEFICIAL OWNERSHIP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BY EUROCLEAR OR CLEARSTREAM LUXEMBOURG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31313"/>
        </w:rPr>
        <w:t xml:space="preserve">U.S. Bank </w:t>
      </w:r>
      <w:r>
        <w:rPr>
          <w:rFonts w:ascii="Arial" w:cs="Arial" w:eastAsia="Arial" w:hAnsi="Arial"/>
          <w:sz w:val="18"/>
          <w:szCs w:val="18"/>
          <w:color w:val="000000"/>
        </w:rPr>
        <w:t>National Association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6.250% Senior Secured Notes due 2028 (the “</w:t>
      </w:r>
      <w:r>
        <w:rPr>
          <w:rFonts w:ascii="Arial" w:cs="Arial" w:eastAsia="Arial" w:hAnsi="Arial"/>
          <w:sz w:val="18"/>
          <w:szCs w:val="18"/>
          <w:u w:val="single" w:color="auto"/>
          <w:color w:val="auto"/>
        </w:rPr>
        <w:t>Notes</w:t>
      </w:r>
      <w:r>
        <w:rPr>
          <w:rFonts w:ascii="Arial" w:cs="Arial" w:eastAsia="Arial" w:hAnsi="Arial"/>
          <w:sz w:val="18"/>
          <w:szCs w:val="18"/>
          <w:color w:val="auto"/>
        </w:rPr>
        <w:t>”) of Winnebago Industries,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Reference is hereby made to the Indenture, dated as of July 8, 2028 (as amended and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xml:space="preserve">”), among the Company, the Guarantors named therein and </w:t>
      </w:r>
      <w:r>
        <w:rPr>
          <w:rFonts w:ascii="Arial" w:cs="Arial" w:eastAsia="Arial" w:hAnsi="Arial"/>
          <w:sz w:val="18"/>
          <w:szCs w:val="18"/>
          <w:color w:val="131313"/>
        </w:rPr>
        <w:t>U.S. Bank</w:t>
      </w:r>
      <w:r>
        <w:rPr>
          <w:rFonts w:ascii="Arial" w:cs="Arial" w:eastAsia="Arial" w:hAnsi="Arial"/>
          <w:sz w:val="18"/>
          <w:szCs w:val="18"/>
          <w:color w:val="auto"/>
        </w:rPr>
        <w:t xml:space="preserve"> National Association, as Trustee and as Collateral Trustee. Capitalized terms used but not defined herein shall have the meanings given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is to certify with respect to $__________ principal amount of the Notes that, except as set forth below, we have received in writing, by tested</w:t>
      </w:r>
    </w:p>
    <w:p>
      <w:pPr>
        <w:spacing w:after="0" w:line="46"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telex or by electronic transmission, from member organizations appearing in our records as persons being entitled to a portion of such principal amount (our “</w:t>
      </w:r>
      <w:r>
        <w:rPr>
          <w:rFonts w:ascii="Arial" w:cs="Arial" w:eastAsia="Arial" w:hAnsi="Arial"/>
          <w:sz w:val="16"/>
          <w:szCs w:val="16"/>
          <w:u w:val="single" w:color="auto"/>
          <w:color w:val="auto"/>
        </w:rPr>
        <w:t>Member Organizations</w:t>
      </w:r>
      <w:r>
        <w:rPr>
          <w:rFonts w:ascii="Arial" w:cs="Arial" w:eastAsia="Arial" w:hAnsi="Arial"/>
          <w:sz w:val="16"/>
          <w:szCs w:val="16"/>
          <w:color w:val="auto"/>
        </w:rPr>
        <w:t>”) certifications with respect to such portion, that such portion is beneficially owned by (a) Non-U.S. Person(s) or (b) U.S. Person(s) who purchased the portion beneficially owned by such U.S. Person(s) in transactions that did not require registration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As used in this paragraph the term “U.S. Person” has the meaning given to it by Regulation S under the Act.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further certify:</w:t>
      </w:r>
    </w:p>
    <w:p>
      <w:pPr>
        <w:spacing w:after="0" w:line="225" w:lineRule="exact"/>
        <w:rPr>
          <w:sz w:val="20"/>
          <w:szCs w:val="20"/>
          <w:color w:val="auto"/>
        </w:rPr>
      </w:pPr>
    </w:p>
    <w:p>
      <w:pPr>
        <w:ind w:left="660" w:right="140" w:firstLine="644"/>
        <w:spacing w:after="0" w:line="277" w:lineRule="auto"/>
        <w:tabs>
          <w:tab w:leader="none" w:pos="201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that we are not making available herewith </w:t>
      </w:r>
      <w:r>
        <w:rPr>
          <w:rFonts w:ascii="Arial" w:cs="Arial" w:eastAsia="Arial" w:hAnsi="Arial"/>
          <w:sz w:val="18"/>
          <w:szCs w:val="18"/>
          <w:color w:val="373737"/>
        </w:rPr>
        <w:t>for</w:t>
      </w:r>
      <w:r>
        <w:rPr>
          <w:rFonts w:ascii="Arial" w:cs="Arial" w:eastAsia="Arial" w:hAnsi="Arial"/>
          <w:sz w:val="18"/>
          <w:szCs w:val="18"/>
          <w:color w:val="auto"/>
        </w:rPr>
        <w:t xml:space="preserve"> exchange (or, if relevant, exercise of any rights or collection of any interest) any portion of the Regulation S Temporary Global Note excepted in such certifications; and</w:t>
      </w:r>
    </w:p>
    <w:p>
      <w:pPr>
        <w:spacing w:after="0" w:line="170" w:lineRule="exact"/>
        <w:rPr>
          <w:rFonts w:ascii="Arial" w:cs="Arial" w:eastAsia="Arial" w:hAnsi="Arial"/>
          <w:sz w:val="18"/>
          <w:szCs w:val="18"/>
          <w:color w:val="auto"/>
        </w:rPr>
      </w:pPr>
    </w:p>
    <w:p>
      <w:pPr>
        <w:ind w:left="660" w:right="160" w:firstLine="644"/>
        <w:spacing w:after="0" w:line="286" w:lineRule="auto"/>
        <w:tabs>
          <w:tab w:leader="none" w:pos="2068"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that as of the date hereof we have not received any notification from any of our Member Organizations to the effect that the statements made by such Member Organizations with respect to any portion of the part submitted herewith for exchange (or, if relevant, exercise of any rights or collection of any interest) are no longer true and cannot be relied upon as the date hereof.</w:t>
      </w:r>
    </w:p>
    <w:p>
      <w:pPr>
        <w:spacing w:after="0" w:line="165"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 xml:space="preserve">We understand that this certification is required in connection with certain securities laws of the United States. In connection therewith, </w:t>
      </w:r>
      <w:r>
        <w:rPr>
          <w:rFonts w:ascii="Arial" w:cs="Arial" w:eastAsia="Arial" w:hAnsi="Arial"/>
          <w:sz w:val="18"/>
          <w:szCs w:val="18"/>
          <w:color w:val="373737"/>
        </w:rPr>
        <w:t>if</w:t>
      </w:r>
      <w:r>
        <w:rPr>
          <w:rFonts w:ascii="Arial" w:cs="Arial" w:eastAsia="Arial" w:hAnsi="Arial"/>
          <w:sz w:val="18"/>
          <w:szCs w:val="18"/>
          <w:color w:val="auto"/>
        </w:rPr>
        <w:t xml:space="preserve"> administrative or legal proceedings are commenced or threatened in connection with which this certification is or would be relevant, we irrevocably authorize you or the Company to produce this certification to any interested party in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color w:val="373737"/>
        </w:rPr>
        <w:t>_____________</w:t>
      </w:r>
      <w:r>
        <w:rPr>
          <w:rFonts w:ascii="Arial" w:cs="Arial" w:eastAsia="Arial" w:hAnsi="Arial"/>
          <w:sz w:val="18"/>
          <w:szCs w:val="18"/>
          <w:color w:val="auto"/>
        </w:rPr>
        <w:t>, 20__</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 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dated as of _______________, 20</w:t>
      </w:r>
      <w:r>
        <w:rPr>
          <w:rFonts w:ascii="Arial" w:cs="Arial" w:eastAsia="Arial" w:hAnsi="Arial"/>
          <w:sz w:val="16"/>
          <w:szCs w:val="16"/>
          <w:color w:val="787878"/>
        </w:rPr>
        <w:t>__</w:t>
      </w:r>
      <w:r>
        <w:rPr>
          <w:rFonts w:ascii="Arial" w:cs="Arial" w:eastAsia="Arial" w:hAnsi="Arial"/>
          <w:sz w:val="16"/>
          <w:szCs w:val="16"/>
          <w:color w:val="auto"/>
        </w:rPr>
        <w:t xml:space="preserve"> among (the “</w:t>
      </w:r>
      <w:r>
        <w:rPr>
          <w:rFonts w:ascii="Arial" w:cs="Arial" w:eastAsia="Arial" w:hAnsi="Arial"/>
          <w:sz w:val="16"/>
          <w:szCs w:val="16"/>
          <w:i w:val="1"/>
          <w:iCs w:val="1"/>
          <w:color w:val="auto"/>
        </w:rPr>
        <w:t>Guaranteeing</w:t>
      </w:r>
    </w:p>
    <w:p>
      <w:pPr>
        <w:spacing w:after="0" w:line="4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i w:val="1"/>
          <w:iCs w:val="1"/>
          <w:color w:val="auto"/>
        </w:rPr>
        <w:t>Subsidiary</w:t>
      </w:r>
      <w:r>
        <w:rPr>
          <w:rFonts w:ascii="Arial" w:cs="Arial" w:eastAsia="Arial" w:hAnsi="Arial"/>
          <w:sz w:val="18"/>
          <w:szCs w:val="18"/>
          <w:color w:val="auto"/>
        </w:rPr>
        <w:t>”), a subsidiary of Winnebago Industries, Inc. (or its permitted successor), an Iowa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Guarantors (as defined in the Indenture referred to herein) and </w:t>
      </w:r>
      <w:r>
        <w:rPr>
          <w:rFonts w:ascii="Arial" w:cs="Arial" w:eastAsia="Arial" w:hAnsi="Arial"/>
          <w:sz w:val="18"/>
          <w:szCs w:val="18"/>
          <w:color w:val="131313"/>
        </w:rPr>
        <w:t>U.S. Bank</w:t>
      </w:r>
      <w:r>
        <w:rPr>
          <w:rFonts w:ascii="Arial" w:cs="Arial" w:eastAsia="Arial" w:hAnsi="Arial"/>
          <w:sz w:val="18"/>
          <w:szCs w:val="18"/>
          <w:color w:val="auto"/>
        </w:rPr>
        <w:t xml:space="preserve"> National Association, as trustee under the Indenture referred to below (in such capacity, the “</w:t>
      </w:r>
      <w:r>
        <w:rPr>
          <w:rFonts w:ascii="Arial" w:cs="Arial" w:eastAsia="Arial" w:hAnsi="Arial"/>
          <w:sz w:val="18"/>
          <w:szCs w:val="18"/>
          <w:i w:val="1"/>
          <w:iCs w:val="1"/>
          <w:color w:val="auto"/>
        </w:rPr>
        <w:t>Trustee</w:t>
      </w:r>
      <w:r>
        <w:rPr>
          <w:rFonts w:ascii="Arial" w:cs="Arial" w:eastAsia="Arial" w:hAnsi="Arial"/>
          <w:sz w:val="18"/>
          <w:szCs w:val="18"/>
          <w:color w:val="auto"/>
        </w:rPr>
        <w:t>”) and as collateral trustee (in such capacity, the “</w:t>
      </w:r>
      <w:r>
        <w:rPr>
          <w:rFonts w:ascii="Arial" w:cs="Arial" w:eastAsia="Arial" w:hAnsi="Arial"/>
          <w:sz w:val="18"/>
          <w:szCs w:val="18"/>
          <w:i w:val="1"/>
          <w:iCs w:val="1"/>
          <w:color w:val="auto"/>
        </w:rPr>
        <w:t>Collateral Trustee</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 senior secured indenture (the “</w:t>
      </w:r>
      <w:r>
        <w:rPr>
          <w:rFonts w:ascii="Arial" w:cs="Arial" w:eastAsia="Arial" w:hAnsi="Arial"/>
          <w:sz w:val="18"/>
          <w:szCs w:val="18"/>
          <w:i w:val="1"/>
          <w:iCs w:val="1"/>
          <w:color w:val="auto"/>
        </w:rPr>
        <w:t>Indenture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 July 8, 2020 providing for the issuance of 6.250% Senior Secured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Guarantee</w:t>
      </w:r>
      <w:r>
        <w:rPr>
          <w:rFonts w:ascii="Arial" w:cs="Arial" w:eastAsia="Arial" w:hAnsi="Arial"/>
          <w:sz w:val="18"/>
          <w:szCs w:val="18"/>
          <w:color w:val="auto"/>
        </w:rPr>
        <w:t>”); and</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 without the consent of Holders of the Notes.</w:t>
      </w:r>
    </w:p>
    <w:p>
      <w:pPr>
        <w:spacing w:after="0" w:line="170"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Capitalized terms used herein without definition shall have the meanings assigned to them in the Indenture.</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Guarantee and in the Indenture including but not limited to Article Twelve thereof.</w:t>
      </w:r>
    </w:p>
    <w:p>
      <w:pPr>
        <w:spacing w:after="0" w:line="170"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NO RECOURSE AGAINST OTHERS. No past, present or future director, officer, employee, incorporator, stockholder or agent of the Guaranteeing Subsidiary, as such, shall have any liability for any obligations of the Company or any Guaranteeing Subsidiary under the Notes, any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ind w:left="660" w:right="240"/>
        <w:spacing w:after="0" w:line="277" w:lineRule="auto"/>
        <w:rPr>
          <w:sz w:val="20"/>
          <w:szCs w:val="20"/>
          <w:color w:val="auto"/>
        </w:rPr>
      </w:pPr>
      <w:r>
        <w:rPr>
          <w:rFonts w:ascii="Arial" w:cs="Arial" w:eastAsia="Arial" w:hAnsi="Arial"/>
          <w:sz w:val="18"/>
          <w:szCs w:val="18"/>
          <w:color w:val="auto"/>
        </w:rPr>
        <w:t>GOVERNING LAW. THIS SUPPLEMENTAL INDENTURE SHALL BE GOVERNED BY AND CONSTRUED IN ACCORDANCE WITH THE LAWS OF THE STATE OF NEW YORK.</w:t>
      </w:r>
    </w:p>
    <w:p>
      <w:pPr>
        <w:spacing w:after="0" w:line="170"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 The exchange of copies of this Supplemental Indenture and of signature pages by facsimile, .pdf transmission or other electronic means shall constitute effective execution and delivery of this Supplemental Indenture for all purposes. Signatures of the parties hereto transmitted by facsimile or .pdf transmission or other electronic means shall be deemed to be their original signatures for all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color w:val="373737"/>
        </w:rPr>
        <w:t>_____________</w:t>
      </w:r>
      <w:r>
        <w:rPr>
          <w:rFonts w:ascii="Arial" w:cs="Arial" w:eastAsia="Arial" w:hAnsi="Arial"/>
          <w:sz w:val="18"/>
          <w:szCs w:val="18"/>
          <w:color w:val="auto"/>
        </w:rPr>
        <w:t>, 20__</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92" w:name="page193"/>
    <w:bookmarkEnd w:id="192"/>
    <w:p>
      <w:pPr>
        <w:ind w:left="4480"/>
        <w:spacing w:after="0"/>
        <w:rPr>
          <w:sz w:val="20"/>
          <w:szCs w:val="20"/>
          <w:color w:val="auto"/>
        </w:rPr>
      </w:pPr>
      <w:r>
        <w:rPr>
          <w:rFonts w:ascii="Arial" w:cs="Arial" w:eastAsia="Arial" w:hAnsi="Arial"/>
          <w:sz w:val="18"/>
          <w:szCs w:val="18"/>
          <w:color w:val="auto"/>
        </w:rPr>
        <w:t>[Existing Guarantors]</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34118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34118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THIS AMENDMENT NO. 2 TO AMENDED AND RESTATED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July 8, 2020, is entered into by and among Winnebago Industries, Inc., an Iowa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Winnebago of Indiana, LLC, an Iowa limited liability company (“</w:t>
      </w:r>
      <w:r>
        <w:rPr>
          <w:rFonts w:ascii="Arial" w:cs="Arial" w:eastAsia="Arial" w:hAnsi="Arial"/>
          <w:sz w:val="17"/>
          <w:szCs w:val="17"/>
          <w:u w:val="single" w:color="auto"/>
          <w:color w:val="auto"/>
        </w:rPr>
        <w:t>Winnebago of Indiana</w:t>
      </w:r>
      <w:r>
        <w:rPr>
          <w:rFonts w:ascii="Arial" w:cs="Arial" w:eastAsia="Arial" w:hAnsi="Arial"/>
          <w:sz w:val="17"/>
          <w:szCs w:val="17"/>
          <w:color w:val="auto"/>
        </w:rPr>
        <w:t>”), Grand Design RV, LLC, an Indiana limited liability company (“</w:t>
      </w:r>
      <w:r>
        <w:rPr>
          <w:rFonts w:ascii="Arial" w:cs="Arial" w:eastAsia="Arial" w:hAnsi="Arial"/>
          <w:sz w:val="17"/>
          <w:szCs w:val="17"/>
          <w:u w:val="single" w:color="auto"/>
          <w:color w:val="auto"/>
        </w:rPr>
        <w:t>Grand Design</w:t>
      </w:r>
      <w:r>
        <w:rPr>
          <w:rFonts w:ascii="Arial" w:cs="Arial" w:eastAsia="Arial" w:hAnsi="Arial"/>
          <w:sz w:val="17"/>
          <w:szCs w:val="17"/>
          <w:color w:val="auto"/>
        </w:rPr>
        <w:t>”), Newmar Corporation, an Indiana corporation (“</w:t>
      </w:r>
      <w:r>
        <w:rPr>
          <w:rFonts w:ascii="Arial" w:cs="Arial" w:eastAsia="Arial" w:hAnsi="Arial"/>
          <w:sz w:val="17"/>
          <w:szCs w:val="17"/>
          <w:u w:val="single" w:color="auto"/>
          <w:color w:val="auto"/>
        </w:rPr>
        <w:t>Newmar</w:t>
      </w:r>
      <w:r>
        <w:rPr>
          <w:rFonts w:ascii="Arial" w:cs="Arial" w:eastAsia="Arial" w:hAnsi="Arial"/>
          <w:sz w:val="17"/>
          <w:szCs w:val="17"/>
          <w:color w:val="auto"/>
        </w:rPr>
        <w:t>”; and together with the Company, Winnebago of Indiana and Grand Design, the “</w:t>
      </w:r>
      <w:r>
        <w:rPr>
          <w:rFonts w:ascii="Arial" w:cs="Arial" w:eastAsia="Arial" w:hAnsi="Arial"/>
          <w:sz w:val="17"/>
          <w:szCs w:val="17"/>
          <w:u w:val="single" w:color="auto"/>
          <w:color w:val="auto"/>
        </w:rPr>
        <w:t>Borrowers</w:t>
      </w:r>
      <w:r>
        <w:rPr>
          <w:rFonts w:ascii="Arial" w:cs="Arial" w:eastAsia="Arial" w:hAnsi="Arial"/>
          <w:sz w:val="17"/>
          <w:szCs w:val="17"/>
          <w:color w:val="auto"/>
        </w:rPr>
        <w:t>”), the other Loan Parties party hereto, the financial institutions party hereto as Lenders,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Capitalized terms used but not otherwise defined herein shall have the meanings given to them in the Credit Agreement referenced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WHEREAS, the Borrowers, the other Loan Parties party thereto (including Octavius Corporation), the financial institutions from time to time party thereto as Lenders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 are parties to an Amended and Restated Credit Agreement, dated as of October 22, 2019 (as amended, restated,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as further amended by this Amendment,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WHEREAS, the Borrowers have requested that the Lenders and the Administrative Agent agree to make certain amendments to the Existing Credit Agreement;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Lenders party hereto and the Administrative Agent have agreed to such amendments on the terms and conditions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herein;</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Borrowers, the other Loan Parties party hereto, the Lenders party hereto and the Administrative Agent hereby agree as follows:</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Amendments to the Existing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that, effective as of the date of satisfaction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condition precedent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(such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(i) the Existing Credit Agreement and Exhibits thereto shall be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00FF"/>
        </w:rPr>
        <w:t>double-underlined text</w:t>
      </w:r>
      <w:r>
        <w:rPr>
          <w:rFonts w:ascii="Arial" w:cs="Arial" w:eastAsia="Arial" w:hAnsi="Arial"/>
          <w:sz w:val="18"/>
          <w:szCs w:val="18"/>
          <w:color w:val="auto"/>
        </w:rPr>
        <w:t xml:space="preserve">) as set forth in the pages of the Credit Agreement and Exhibits thereto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and (ii) Schedule 6.05 to the Credit Agreement is hereby amended and restated in its entirety to read as set forth on Annex B attached hereto.</w:t>
      </w:r>
    </w:p>
    <w:p>
      <w:pPr>
        <w:spacing w:after="0" w:line="18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effectiveness of this Amendment is subject to the condition precedent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shall have received counterparts to this Amendment, duly executed by each of the Borrowers, the other Loan Parties, the Required Lenders and the Administrative Agent.</w:t>
      </w:r>
    </w:p>
    <w:p>
      <w:pPr>
        <w:spacing w:after="0" w:line="176"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u w:val="single" w:color="auto"/>
          <w:color w:val="auto"/>
        </w:rPr>
        <w:t>Representations and Warranties of the Loan Parties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Each Loan Party hereby represents and warrants as follows:</w:t>
      </w:r>
    </w:p>
    <w:p>
      <w:pPr>
        <w:spacing w:after="0" w:line="229" w:lineRule="exact"/>
        <w:rPr>
          <w:sz w:val="20"/>
          <w:szCs w:val="20"/>
          <w:color w:val="auto"/>
        </w:rPr>
      </w:pPr>
    </w:p>
    <w:p>
      <w:pPr>
        <w:jc w:val="both"/>
        <w:ind w:firstLine="1304"/>
        <w:spacing w:after="0" w:line="286" w:lineRule="auto"/>
        <w:tabs>
          <w:tab w:leader="none" w:pos="239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This Amendment has been duly executed and delivered by it and constitutes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jc w:val="both"/>
        <w:ind w:firstLine="1304"/>
        <w:spacing w:after="0" w:line="296" w:lineRule="auto"/>
        <w:tabs>
          <w:tab w:leader="none" w:pos="206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Immediately after giving effect to this Amendment, the representations and warranties of the Loan Parties set forth in the Loan Documents shall be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or warranty that is qualified by materiality, Material Adverse Effect or similar language shall be true and correct in all respects) on and as of the date hereof, except to the extent that such representations and warranties specifically refer to an earlier date, in which case they shall be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or warranty that is qualified by materiality, Material Adverse Effect or similar language shall be true and correct in all respects) as of such earlier date.</w:t>
      </w:r>
    </w:p>
    <w:p>
      <w:pPr>
        <w:spacing w:after="0" w:line="161" w:lineRule="exact"/>
        <w:rPr>
          <w:rFonts w:ascii="Arial" w:cs="Arial" w:eastAsia="Arial" w:hAnsi="Arial"/>
          <w:sz w:val="16"/>
          <w:szCs w:val="16"/>
          <w:color w:val="auto"/>
        </w:rPr>
      </w:pPr>
    </w:p>
    <w:p>
      <w:pPr>
        <w:ind w:left="2040" w:hanging="736"/>
        <w:spacing w:after="0"/>
        <w:tabs>
          <w:tab w:leader="none" w:pos="20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Immediately after giving effect to this Amendment, no Default or Event of Default shall have occurred and be continuing.</w:t>
      </w:r>
    </w:p>
    <w:p>
      <w:pPr>
        <w:spacing w:after="0" w:line="23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Reaffirmation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specifically set forth in this Amendment, the Loan Documents shall remain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and are hereby reaffirmed, ratified and confirmed. To the extent that any provision of this Amendment conflicts with any terms or conditions set forth in the Loan Documents, the provisions of this Amendment shall supersede and control. Except as expressly provided herein, the execution and delivery of this Amendment shall not: (i) constitute an extension, modification, or waiver of any aspect of the Loan Documents or any right or remedy thereunder;</w:t>
      </w:r>
    </w:p>
    <w:p>
      <w:pPr>
        <w:spacing w:after="0" w:line="2" w:lineRule="exact"/>
        <w:rPr>
          <w:sz w:val="20"/>
          <w:szCs w:val="20"/>
          <w:color w:val="auto"/>
        </w:rPr>
      </w:pPr>
    </w:p>
    <w:p>
      <w:pPr>
        <w:jc w:val="both"/>
        <w:ind w:firstLine="8"/>
        <w:spacing w:after="0" w:line="287" w:lineRule="auto"/>
        <w:tabs>
          <w:tab w:leader="none" w:pos="30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extend the terms of the Loan Documents or the due date of any of the loans set forth therein; (iii) establish a course of dealing between the Administrative Agent, the Issuing Bank and/or the Lenders and the Loan Parties or give rise to any obligation on the part of the Administrative Agent, the Issuing Bank and/or any Lender to extend, modify or waive any term or condition of the Loan Documents; or (iv) give rise to any defenses or counterclaims to the Administrative Agent’s, the Issuing Bank’s and/or any Lender’s right to compel payment of any loan or to otherwise enforce its rights and remedies under the Loan Documents. Each of the Loan Parties restates, acknowledges and agrees that the Secured Obligations are outstanding without claim, offset, counterclaim, defense or affirmative defense of any kind and the Secured Obligations remain the continuing and individual obligations of the Loan Parties, until the termination of all Commitments, payment and satisfaction in full in cash of all Secured Obligations (other than Unliquidated Obligations), and the cash collateralization of all Unliquidated Obligations in a manner satisfactory to the Administrative Agent.</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Effect on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effectiveness of this Amendment, on and after the date hereof, each reference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 Agreement to “this Agreement,” “hereunder,” “hereof,” “herein” or words of like import shall mean and be a reference to the Credit Agreement, as amended and modified hereby. This Amendment is a Loan Document.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GOVERNED BY AND CONSTRUED IN ACCORDANCE WITH THE LAWS OF THE STATE OF NEW YORK.</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in this Amendment are included herein for convenience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of this Amendment for any other purpose.</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by one or more of the parties to this Amendment on any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 counterparts and all of said counterparts taken together shall be deemed to constitute one and the same instrument. A facsimile or PDF copy of any signature hereto shall have the same effect as the original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ind w:left="180"/>
        <w:spacing w:after="0"/>
        <w:rPr>
          <w:sz w:val="20"/>
          <w:szCs w:val="20"/>
          <w:color w:val="auto"/>
        </w:rPr>
      </w:pPr>
      <w:r>
        <w:rPr>
          <w:rFonts w:ascii="Arial" w:cs="Arial" w:eastAsia="Arial" w:hAnsi="Arial"/>
          <w:sz w:val="16"/>
          <w:szCs w:val="16"/>
          <w:color w:val="auto"/>
        </w:rPr>
        <w:t>IN WITNESS WHEREOF, this Amendment has been duly executed as of the day and year first above written.</w:t>
      </w:r>
    </w:p>
    <w:p>
      <w:pPr>
        <w:spacing w:after="0" w:line="24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WINNEBAGO INDUSTRIES, INC.</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By:</w:t>
        <w:tab/>
        <w:t>/s/ Bryan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Bryan Hughes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WINNEBAGO OF INDIANA, LLC</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By:</w:t>
        <w:tab/>
        <w:t>/s/ Bert Jameson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Bert Jameson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GRAND DESIGN RV, LLC</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By:</w:t>
        <w:tab/>
        <w:t>/s/ Bert Jameson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Bert Jameson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NEWMAR CORPORATION</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By:</w:t>
        <w:tab/>
        <w:t>/s/ Bert Jameson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Bert Jameson</w:t>
      </w:r>
    </w:p>
    <w:p>
      <w:pPr>
        <w:spacing w:after="0" w:line="23" w:lineRule="exact"/>
        <w:rPr>
          <w:sz w:val="20"/>
          <w:szCs w:val="20"/>
          <w:color w:val="auto"/>
        </w:rPr>
      </w:pPr>
    </w:p>
    <w:p>
      <w:pPr>
        <w:jc w:val="center"/>
        <w:ind w:left="242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OCTAVIUS CORPORATION</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By:</w:t>
        <w:tab/>
        <w:t>/s/ Bryan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Bryan Hughes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2 to Amended &amp; Restated Credit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96" w:name="page197"/>
    <w:bookmarkEnd w:id="196"/>
    <w:p>
      <w:pPr>
        <w:ind w:left="4620"/>
        <w:spacing w:after="0"/>
        <w:rPr>
          <w:sz w:val="20"/>
          <w:szCs w:val="20"/>
          <w:color w:val="auto"/>
        </w:rPr>
      </w:pPr>
      <w:r>
        <w:rPr>
          <w:rFonts w:ascii="Arial" w:cs="Arial" w:eastAsia="Arial" w:hAnsi="Arial"/>
          <w:sz w:val="17"/>
          <w:szCs w:val="17"/>
          <w:color w:val="auto"/>
        </w:rPr>
        <w:t>JPMORGAN CHASE BANK, N.A., individually as</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 Lender, as Swingline Lender, as an Issuing Bank</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and as Administrative Agent</w:t>
      </w:r>
    </w:p>
    <w:p>
      <w:pPr>
        <w:spacing w:after="0" w:line="211"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By:</w:t>
        <w:tab/>
        <w:t>/s/ John Morrone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John Morrone</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2 to Amended and Restated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97" w:name="page198"/>
    <w:bookmarkEnd w:id="197"/>
    <w:p>
      <w:pPr>
        <w:ind w:left="4620"/>
        <w:spacing w:after="0"/>
        <w:rPr>
          <w:sz w:val="20"/>
          <w:szCs w:val="20"/>
          <w:color w:val="auto"/>
        </w:rPr>
      </w:pPr>
      <w:r>
        <w:rPr>
          <w:rFonts w:ascii="Arial" w:cs="Arial" w:eastAsia="Arial" w:hAnsi="Arial"/>
          <w:sz w:val="17"/>
          <w:szCs w:val="17"/>
          <w:color w:val="auto"/>
        </w:rPr>
        <w:t>GOLDMAN SACHS BANK USA, individually as a</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By:</w:t>
        <w:tab/>
        <w:t>/s/ Charles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Charles Johnston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2 to Amended and Restated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98" w:name="page199"/>
    <w:bookmarkEnd w:id="198"/>
    <w:p>
      <w:pPr>
        <w:ind w:left="4620"/>
        <w:spacing w:after="0"/>
        <w:rPr>
          <w:sz w:val="20"/>
          <w:szCs w:val="20"/>
          <w:color w:val="auto"/>
        </w:rPr>
      </w:pPr>
      <w:r>
        <w:rPr>
          <w:rFonts w:ascii="Arial" w:cs="Arial" w:eastAsia="Arial" w:hAnsi="Arial"/>
          <w:sz w:val="17"/>
          <w:szCs w:val="17"/>
          <w:color w:val="auto"/>
        </w:rPr>
        <w:t>BMO HARRIS BANK N.A., individually as a</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By:</w:t>
        <w:tab/>
        <w:t>/s/ Stephanie 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Stephanie Bach</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Amendment No. 2 to Amended and Restated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465455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00" w:name="page201"/>
    <w:bookmarkEnd w:id="200"/>
    <w:p>
      <w:pPr>
        <w:jc w:val="right"/>
        <w:ind w:left="4260"/>
        <w:spacing w:after="0" w:line="261" w:lineRule="auto"/>
        <w:rPr>
          <w:sz w:val="20"/>
          <w:szCs w:val="20"/>
          <w:color w:val="auto"/>
        </w:rPr>
      </w:pPr>
      <w:r>
        <w:rPr>
          <w:rFonts w:ascii="Arial" w:cs="Arial" w:eastAsia="Arial" w:hAnsi="Arial"/>
          <w:sz w:val="18"/>
          <w:szCs w:val="18"/>
          <w:color w:val="auto"/>
        </w:rPr>
        <w:t xml:space="preserve">CONFORMED COPY FOR AMENDMENT NO. 1 DATED AS OF </w:t>
      </w:r>
      <w:r>
        <w:rPr>
          <w:rFonts w:ascii="Arial" w:cs="Arial" w:eastAsia="Arial" w:hAnsi="Arial"/>
          <w:sz w:val="18"/>
          <w:szCs w:val="18"/>
          <w:b w:val="1"/>
          <w:bCs w:val="1"/>
          <w:color w:val="FF0000"/>
          <w:strike w:val="1"/>
        </w:rPr>
        <w:t>OCTOBER</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22</w:t>
      </w:r>
      <w:r>
        <w:rPr>
          <w:rFonts w:ascii="Arial" w:cs="Arial" w:eastAsia="Arial" w:hAnsi="Arial"/>
          <w:sz w:val="18"/>
          <w:szCs w:val="18"/>
          <w:b w:val="1"/>
          <w:bCs w:val="1"/>
          <w:u w:val="single" w:color="auto"/>
          <w:color w:val="0000FF"/>
        </w:rPr>
        <w:t>NOVEMBER 15</w:t>
      </w:r>
      <w:r>
        <w:rPr>
          <w:rFonts w:ascii="Arial" w:cs="Arial" w:eastAsia="Arial" w:hAnsi="Arial"/>
          <w:sz w:val="18"/>
          <w:szCs w:val="18"/>
          <w:color w:val="000000"/>
        </w:rPr>
        <w:t>, 2019</w:t>
      </w:r>
    </w:p>
    <w:p>
      <w:pPr>
        <w:jc w:val="right"/>
        <w:spacing w:after="0"/>
        <w:rPr>
          <w:sz w:val="20"/>
          <w:szCs w:val="20"/>
          <w:color w:val="auto"/>
        </w:rPr>
      </w:pPr>
      <w:r>
        <w:rPr>
          <w:rFonts w:ascii="Arial" w:cs="Arial" w:eastAsia="Arial" w:hAnsi="Arial"/>
          <w:sz w:val="18"/>
          <w:szCs w:val="18"/>
          <w:b w:val="1"/>
          <w:bCs w:val="1"/>
          <w:u w:val="single" w:color="auto"/>
          <w:color w:val="0000FF"/>
        </w:rPr>
        <w:t>AND AMENDMENT NO. 2 DATED AS OF JULY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22860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168275</wp:posOffset>
            </wp:positionV>
            <wp:extent cx="1680210" cy="3683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8021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October 22, 2019</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WINNEBAGO OF INDIANA, LLC</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GRAND DESIGN RV,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NEWMAR CORPORATION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Other Loan Parties Party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BMO HARRIS BANK N.A.</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as Sole Bookrunner and Sole Lead Arranger</w:t>
      </w:r>
    </w:p>
    <w:p>
      <w:pPr>
        <w:spacing w:after="0" w:line="23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ASSET BASED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40" w:type="dxa"/>
            <w:vAlign w:val="bottom"/>
            <w:gridSpan w:val="8"/>
          </w:tcPr>
          <w:p>
            <w:pPr>
              <w:ind w:left="180"/>
              <w:spacing w:after="0"/>
              <w:rPr>
                <w:sz w:val="20"/>
                <w:szCs w:val="20"/>
                <w:color w:val="auto"/>
              </w:rPr>
            </w:pPr>
            <w:r>
              <w:rPr>
                <w:rFonts w:ascii="Arial" w:cs="Arial" w:eastAsia="Arial" w:hAnsi="Arial"/>
                <w:sz w:val="18"/>
                <w:szCs w:val="18"/>
                <w:color w:val="auto"/>
              </w:rPr>
              <w:t>TABLE OF CONTENTS</w:t>
            </w: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12"/>
        </w:trPr>
        <w:tc>
          <w:tcPr>
            <w:tcW w:w="9480" w:type="dxa"/>
            <w:vAlign w:val="bottom"/>
            <w:gridSpan w:val="31"/>
          </w:tcPr>
          <w:p>
            <w:pPr>
              <w:spacing w:after="0"/>
              <w:rPr>
                <w:sz w:val="20"/>
                <w:szCs w:val="20"/>
                <w:color w:val="auto"/>
              </w:rPr>
            </w:pPr>
            <w:r>
              <w:rPr>
                <w:rFonts w:ascii="Arial" w:cs="Arial" w:eastAsia="Arial" w:hAnsi="Arial"/>
                <w:sz w:val="18"/>
                <w:szCs w:val="18"/>
                <w:color w:val="auto"/>
              </w:rPr>
              <w:t>ARTICLE I DEFINITIONS</w:t>
            </w:r>
          </w:p>
        </w:tc>
        <w:tc>
          <w:tcPr>
            <w:tcW w:w="142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SECTION 1.01.</w:t>
            </w:r>
          </w:p>
        </w:tc>
        <w:tc>
          <w:tcPr>
            <w:tcW w:w="240" w:type="dxa"/>
            <w:vAlign w:val="bottom"/>
          </w:tcPr>
          <w:p>
            <w:pPr>
              <w:spacing w:after="0"/>
              <w:rPr>
                <w:sz w:val="24"/>
                <w:szCs w:val="24"/>
                <w:color w:val="auto"/>
              </w:rPr>
            </w:pPr>
          </w:p>
        </w:tc>
        <w:tc>
          <w:tcPr>
            <w:tcW w:w="10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Defined Terms</w:t>
            </w:r>
          </w:p>
        </w:tc>
        <w:tc>
          <w:tcPr>
            <w:tcW w:w="6480" w:type="dxa"/>
            <w:vAlign w:val="bottom"/>
            <w:gridSpan w:val="21"/>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1.02.   Classification of Loans and Borrowings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50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1.03.</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0"/>
              </w:rPr>
              <w:t>Terms Generally</w:t>
            </w:r>
          </w:p>
        </w:tc>
        <w:tc>
          <w:tcPr>
            <w:tcW w:w="1720" w:type="dxa"/>
            <w:vAlign w:val="bottom"/>
            <w:tcBorders>
              <w:top w:val="single" w:sz="8" w:color="auto"/>
            </w:tcBorders>
            <w:gridSpan w:val="12"/>
          </w:tcPr>
          <w:p>
            <w:pPr>
              <w:spacing w:after="0"/>
              <w:rPr>
                <w:sz w:val="17"/>
                <w:szCs w:val="17"/>
                <w:color w:val="auto"/>
              </w:rPr>
            </w:pPr>
          </w:p>
        </w:tc>
        <w:tc>
          <w:tcPr>
            <w:tcW w:w="4620" w:type="dxa"/>
            <w:vAlign w:val="bottom"/>
            <w:gridSpan w:val="6"/>
          </w:tcPr>
          <w:p>
            <w:pPr>
              <w:spacing w:after="0"/>
              <w:rPr>
                <w:sz w:val="17"/>
                <w:szCs w:val="17"/>
                <w:color w:val="auto"/>
              </w:rPr>
            </w:pP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1.04.   Accounting Terms; GAAP; Pro Forma Calculations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1.05.   Status of Obligations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1.06.   Interest Rates; LIBOR Notifications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1.07.   Amendment and Restatement of the Existing Credit Agreement</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1680" w:type="dxa"/>
            <w:vAlign w:val="bottom"/>
            <w:tcBorders>
              <w:right w:val="single" w:sz="8" w:color="auto"/>
            </w:tcBorders>
            <w:gridSpan w:val="2"/>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412"/>
        </w:trPr>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7"/>
              </w:rPr>
              <w:t>ARTICLE II THE CREDITS</w:t>
            </w:r>
          </w:p>
        </w:tc>
        <w:tc>
          <w:tcPr>
            <w:tcW w:w="7360" w:type="dxa"/>
            <w:vAlign w:val="bottom"/>
            <w:gridSpan w:val="26"/>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412"/>
        </w:trPr>
        <w:tc>
          <w:tcPr>
            <w:tcW w:w="5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91"/>
              </w:rPr>
              <w:t>SECTION 2.01.</w:t>
            </w:r>
          </w:p>
        </w:tc>
        <w:tc>
          <w:tcPr>
            <w:tcW w:w="240" w:type="dxa"/>
            <w:vAlign w:val="bottom"/>
          </w:tcPr>
          <w:p>
            <w:pPr>
              <w:spacing w:after="0"/>
              <w:rPr>
                <w:sz w:val="24"/>
                <w:szCs w:val="24"/>
                <w:color w:val="auto"/>
              </w:rPr>
            </w:pPr>
          </w:p>
        </w:tc>
        <w:tc>
          <w:tcPr>
            <w:tcW w:w="7560" w:type="dxa"/>
            <w:vAlign w:val="bottom"/>
            <w:gridSpan w:val="28"/>
          </w:tcPr>
          <w:p>
            <w:pPr>
              <w:spacing w:after="0"/>
              <w:rPr>
                <w:sz w:val="20"/>
                <w:szCs w:val="20"/>
                <w:color w:val="auto"/>
              </w:rPr>
            </w:pPr>
            <w:r>
              <w:rPr>
                <w:rFonts w:ascii="Arial" w:cs="Arial" w:eastAsia="Arial" w:hAnsi="Arial"/>
                <w:sz w:val="18"/>
                <w:szCs w:val="18"/>
                <w:color w:val="auto"/>
              </w:rPr>
              <w:t>Commitments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2.02.   Loans and Borrowings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2.03.   Requests for Borrowings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500" w:type="dxa"/>
            <w:vAlign w:val="bottom"/>
          </w:tcPr>
          <w:p>
            <w:pPr>
              <w:spacing w:after="0"/>
              <w:rPr>
                <w:sz w:val="17"/>
                <w:szCs w:val="17"/>
                <w:color w:val="auto"/>
              </w:rPr>
            </w:pPr>
          </w:p>
        </w:tc>
        <w:tc>
          <w:tcPr>
            <w:tcW w:w="11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1"/>
              </w:rPr>
              <w:t>SECTION 2.04.</w:t>
            </w:r>
          </w:p>
        </w:tc>
        <w:tc>
          <w:tcPr>
            <w:tcW w:w="240" w:type="dxa"/>
            <w:vAlign w:val="bottom"/>
          </w:tcPr>
          <w:p>
            <w:pPr>
              <w:spacing w:after="0"/>
              <w:rPr>
                <w:sz w:val="17"/>
                <w:szCs w:val="17"/>
                <w:color w:val="auto"/>
              </w:rPr>
            </w:pPr>
          </w:p>
        </w:tc>
        <w:tc>
          <w:tcPr>
            <w:tcW w:w="180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Protective Advances</w:t>
            </w:r>
          </w:p>
        </w:tc>
        <w:tc>
          <w:tcPr>
            <w:tcW w:w="5760" w:type="dxa"/>
            <w:vAlign w:val="bottom"/>
            <w:gridSpan w:val="11"/>
          </w:tcPr>
          <w:p>
            <w:pPr>
              <w:spacing w:after="0"/>
              <w:rPr>
                <w:sz w:val="17"/>
                <w:szCs w:val="17"/>
                <w:color w:val="auto"/>
              </w:rPr>
            </w:pP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2.05.   Swingline Loans and Overadvances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50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2.06.</w:t>
            </w:r>
          </w:p>
        </w:tc>
        <w:tc>
          <w:tcPr>
            <w:tcW w:w="240" w:type="dxa"/>
            <w:vAlign w:val="bottom"/>
          </w:tcPr>
          <w:p>
            <w:pPr>
              <w:spacing w:after="0"/>
              <w:rPr>
                <w:sz w:val="17"/>
                <w:szCs w:val="17"/>
                <w:color w:val="auto"/>
              </w:rPr>
            </w:pPr>
          </w:p>
        </w:tc>
        <w:tc>
          <w:tcPr>
            <w:tcW w:w="120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2"/>
              </w:rPr>
              <w:t>Letters of Credit</w:t>
            </w:r>
          </w:p>
        </w:tc>
        <w:tc>
          <w:tcPr>
            <w:tcW w:w="1420" w:type="dxa"/>
            <w:vAlign w:val="bottom"/>
            <w:tcBorders>
              <w:top w:val="single" w:sz="8" w:color="auto"/>
            </w:tcBorders>
            <w:gridSpan w:val="11"/>
          </w:tcPr>
          <w:p>
            <w:pPr>
              <w:spacing w:after="0"/>
              <w:rPr>
                <w:sz w:val="17"/>
                <w:szCs w:val="17"/>
                <w:color w:val="auto"/>
              </w:rPr>
            </w:pPr>
          </w:p>
        </w:tc>
        <w:tc>
          <w:tcPr>
            <w:tcW w:w="4940" w:type="dxa"/>
            <w:vAlign w:val="bottom"/>
            <w:gridSpan w:val="8"/>
          </w:tcPr>
          <w:p>
            <w:pPr>
              <w:spacing w:after="0"/>
              <w:rPr>
                <w:sz w:val="17"/>
                <w:szCs w:val="17"/>
                <w:color w:val="auto"/>
              </w:rPr>
            </w:pP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2.07.   Funding of Borrowings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50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2.08.</w:t>
            </w:r>
          </w:p>
        </w:tc>
        <w:tc>
          <w:tcPr>
            <w:tcW w:w="240" w:type="dxa"/>
            <w:vAlign w:val="bottom"/>
          </w:tcPr>
          <w:p>
            <w:pPr>
              <w:spacing w:after="0"/>
              <w:rPr>
                <w:sz w:val="17"/>
                <w:szCs w:val="17"/>
                <w:color w:val="auto"/>
              </w:rPr>
            </w:pPr>
          </w:p>
        </w:tc>
        <w:tc>
          <w:tcPr>
            <w:tcW w:w="126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89"/>
              </w:rPr>
              <w:t>Interest Elections</w:t>
            </w:r>
          </w:p>
        </w:tc>
        <w:tc>
          <w:tcPr>
            <w:tcW w:w="440" w:type="dxa"/>
            <w:vAlign w:val="bottom"/>
            <w:tcBorders>
              <w:top w:val="single" w:sz="8" w:color="auto"/>
            </w:tcBorders>
            <w:gridSpan w:val="5"/>
          </w:tcPr>
          <w:p>
            <w:pPr>
              <w:spacing w:after="0"/>
              <w:rPr>
                <w:sz w:val="17"/>
                <w:szCs w:val="17"/>
                <w:color w:val="auto"/>
              </w:rPr>
            </w:pPr>
          </w:p>
        </w:tc>
        <w:tc>
          <w:tcPr>
            <w:tcW w:w="5860" w:type="dxa"/>
            <w:vAlign w:val="bottom"/>
            <w:gridSpan w:val="12"/>
          </w:tcPr>
          <w:p>
            <w:pPr>
              <w:spacing w:after="0"/>
              <w:rPr>
                <w:sz w:val="17"/>
                <w:szCs w:val="17"/>
                <w:color w:val="auto"/>
              </w:rPr>
            </w:pP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500" w:type="dxa"/>
            <w:vAlign w:val="bottom"/>
          </w:tcPr>
          <w:p>
            <w:pPr>
              <w:spacing w:after="0"/>
              <w:rPr>
                <w:sz w:val="17"/>
                <w:szCs w:val="17"/>
                <w:color w:val="auto"/>
              </w:rPr>
            </w:pPr>
          </w:p>
        </w:tc>
        <w:tc>
          <w:tcPr>
            <w:tcW w:w="6600" w:type="dxa"/>
            <w:vAlign w:val="bottom"/>
            <w:tcBorders>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93"/>
              </w:rPr>
              <w:t>SECTION 2.09.   Termination and Reduction of Commitments; Increase in Commitments</w:t>
            </w:r>
          </w:p>
        </w:tc>
        <w:tc>
          <w:tcPr>
            <w:tcW w:w="2380" w:type="dxa"/>
            <w:vAlign w:val="bottom"/>
            <w:gridSpan w:val="2"/>
          </w:tcPr>
          <w:p>
            <w:pPr>
              <w:spacing w:after="0"/>
              <w:rPr>
                <w:sz w:val="17"/>
                <w:szCs w:val="17"/>
                <w:color w:val="auto"/>
              </w:rPr>
            </w:pP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2.10.   Repayment of Loans; Evidence of Debt</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2.11.   Prepayment of Loans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50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2.12.</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79"/>
              </w:rPr>
              <w:t>Fees</w:t>
            </w:r>
          </w:p>
        </w:tc>
        <w:tc>
          <w:tcPr>
            <w:tcW w:w="1200" w:type="dxa"/>
            <w:vAlign w:val="bottom"/>
            <w:tcBorders>
              <w:top w:val="single" w:sz="8" w:color="auto"/>
            </w:tcBorders>
            <w:gridSpan w:val="11"/>
          </w:tcPr>
          <w:p>
            <w:pPr>
              <w:spacing w:after="0"/>
              <w:rPr>
                <w:sz w:val="17"/>
                <w:szCs w:val="17"/>
                <w:color w:val="auto"/>
              </w:rPr>
            </w:pPr>
          </w:p>
        </w:tc>
        <w:tc>
          <w:tcPr>
            <w:tcW w:w="6020" w:type="dxa"/>
            <w:vAlign w:val="bottom"/>
            <w:gridSpan w:val="14"/>
          </w:tcPr>
          <w:p>
            <w:pPr>
              <w:spacing w:after="0"/>
              <w:rPr>
                <w:sz w:val="17"/>
                <w:szCs w:val="17"/>
                <w:color w:val="auto"/>
              </w:rPr>
            </w:pP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500" w:type="dxa"/>
            <w:vAlign w:val="bottom"/>
          </w:tcPr>
          <w:p>
            <w:pPr>
              <w:spacing w:after="0"/>
              <w:rPr>
                <w:sz w:val="17"/>
                <w:szCs w:val="17"/>
                <w:color w:val="auto"/>
              </w:rPr>
            </w:pPr>
          </w:p>
        </w:tc>
        <w:tc>
          <w:tcPr>
            <w:tcW w:w="1180" w:type="dxa"/>
            <w:vAlign w:val="bottom"/>
          </w:tcPr>
          <w:p>
            <w:pPr>
              <w:spacing w:after="0" w:line="196" w:lineRule="exact"/>
              <w:rPr>
                <w:sz w:val="20"/>
                <w:szCs w:val="20"/>
                <w:color w:val="auto"/>
              </w:rPr>
            </w:pPr>
            <w:r>
              <w:rPr>
                <w:rFonts w:ascii="Arial" w:cs="Arial" w:eastAsia="Arial" w:hAnsi="Arial"/>
                <w:sz w:val="18"/>
                <w:szCs w:val="18"/>
                <w:color w:val="auto"/>
                <w:w w:val="91"/>
              </w:rPr>
              <w:t>SECTION 2.13.</w:t>
            </w:r>
          </w:p>
        </w:tc>
        <w:tc>
          <w:tcPr>
            <w:tcW w:w="240" w:type="dxa"/>
            <w:vAlign w:val="bottom"/>
          </w:tcPr>
          <w:p>
            <w:pPr>
              <w:spacing w:after="0"/>
              <w:rPr>
                <w:sz w:val="17"/>
                <w:szCs w:val="17"/>
                <w:color w:val="auto"/>
              </w:rPr>
            </w:pPr>
          </w:p>
        </w:tc>
        <w:tc>
          <w:tcPr>
            <w:tcW w:w="7560" w:type="dxa"/>
            <w:vAlign w:val="bottom"/>
            <w:gridSpan w:val="28"/>
          </w:tcPr>
          <w:p>
            <w:pPr>
              <w:spacing w:after="0" w:line="196" w:lineRule="exact"/>
              <w:rPr>
                <w:sz w:val="20"/>
                <w:szCs w:val="20"/>
                <w:color w:val="auto"/>
              </w:rPr>
            </w:pPr>
            <w:r>
              <w:rPr>
                <w:rFonts w:ascii="Arial" w:cs="Arial" w:eastAsia="Arial" w:hAnsi="Arial"/>
                <w:sz w:val="18"/>
                <w:szCs w:val="18"/>
                <w:color w:val="auto"/>
              </w:rPr>
              <w:t>Interest</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2.14.   Alternate Rate of Interest; Illegality</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50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2.15.</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6"/>
              </w:rPr>
              <w:t>Increased Costs</w:t>
            </w:r>
          </w:p>
        </w:tc>
        <w:tc>
          <w:tcPr>
            <w:tcW w:w="1440" w:type="dxa"/>
            <w:vAlign w:val="bottom"/>
            <w:tcBorders>
              <w:top w:val="single" w:sz="8" w:color="auto"/>
            </w:tcBorders>
            <w:gridSpan w:val="11"/>
          </w:tcPr>
          <w:p>
            <w:pPr>
              <w:spacing w:after="0"/>
              <w:rPr>
                <w:sz w:val="17"/>
                <w:szCs w:val="17"/>
                <w:color w:val="auto"/>
              </w:rPr>
            </w:pPr>
          </w:p>
        </w:tc>
        <w:tc>
          <w:tcPr>
            <w:tcW w:w="4980" w:type="dxa"/>
            <w:vAlign w:val="bottom"/>
            <w:gridSpan w:val="9"/>
          </w:tcPr>
          <w:p>
            <w:pPr>
              <w:spacing w:after="0"/>
              <w:rPr>
                <w:sz w:val="17"/>
                <w:szCs w:val="17"/>
                <w:color w:val="auto"/>
              </w:rPr>
            </w:pP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2.16.   Break Funding Payments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500" w:type="dxa"/>
            <w:vAlign w:val="bottom"/>
          </w:tcPr>
          <w:p>
            <w:pPr>
              <w:spacing w:after="0"/>
              <w:rPr>
                <w:sz w:val="17"/>
                <w:szCs w:val="17"/>
                <w:color w:val="auto"/>
              </w:rPr>
            </w:pPr>
          </w:p>
        </w:tc>
        <w:tc>
          <w:tcPr>
            <w:tcW w:w="11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1"/>
              </w:rPr>
              <w:t>SECTION 2.17.</w:t>
            </w:r>
          </w:p>
        </w:tc>
        <w:tc>
          <w:tcPr>
            <w:tcW w:w="240" w:type="dxa"/>
            <w:vAlign w:val="bottom"/>
          </w:tcPr>
          <w:p>
            <w:pPr>
              <w:spacing w:after="0"/>
              <w:rPr>
                <w:sz w:val="17"/>
                <w:szCs w:val="17"/>
                <w:color w:val="auto"/>
              </w:rPr>
            </w:pPr>
          </w:p>
        </w:tc>
        <w:tc>
          <w:tcPr>
            <w:tcW w:w="182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Taxes</w:t>
            </w:r>
          </w:p>
        </w:tc>
        <w:tc>
          <w:tcPr>
            <w:tcW w:w="5740" w:type="dxa"/>
            <w:vAlign w:val="bottom"/>
            <w:gridSpan w:val="10"/>
          </w:tcPr>
          <w:p>
            <w:pPr>
              <w:spacing w:after="0"/>
              <w:rPr>
                <w:sz w:val="17"/>
                <w:szCs w:val="17"/>
                <w:color w:val="auto"/>
              </w:rPr>
            </w:pP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2.18.   Payments Generally; Allocation of Proceeds; Pro Rata Treatment; Sharing of Set-offs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0" w:type="dxa"/>
            <w:vAlign w:val="bottom"/>
            <w:gridSpan w:val="12"/>
            <w:shd w:val="clear" w:color="auto" w:fill="000000"/>
          </w:tcPr>
          <w:p>
            <w:pPr>
              <w:spacing w:after="0" w:line="20" w:lineRule="exact"/>
              <w:rPr>
                <w:sz w:val="1"/>
                <w:szCs w:val="1"/>
                <w:color w:val="auto"/>
              </w:rPr>
            </w:pPr>
          </w:p>
        </w:tc>
        <w:tc>
          <w:tcPr>
            <w:tcW w:w="1540" w:type="dxa"/>
            <w:vAlign w:val="bottom"/>
            <w:tcBorders>
              <w:right w:val="single" w:sz="8" w:color="auto"/>
            </w:tcBorders>
            <w:gridSpan w:val="10"/>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60" w:type="dxa"/>
            <w:vAlign w:val="bottom"/>
            <w:gridSpan w:val="4"/>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2.19.   Mitigation Obligations; Replacement of Lenders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50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2.20.</w:t>
            </w:r>
          </w:p>
        </w:tc>
        <w:tc>
          <w:tcPr>
            <w:tcW w:w="240" w:type="dxa"/>
            <w:vAlign w:val="bottom"/>
          </w:tcPr>
          <w:p>
            <w:pPr>
              <w:spacing w:after="0"/>
              <w:rPr>
                <w:sz w:val="17"/>
                <w:szCs w:val="17"/>
                <w:color w:val="auto"/>
              </w:rPr>
            </w:pPr>
          </w:p>
        </w:tc>
        <w:tc>
          <w:tcPr>
            <w:tcW w:w="140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1"/>
              </w:rPr>
              <w:t>Defaulting Lenders</w:t>
            </w:r>
          </w:p>
        </w:tc>
        <w:tc>
          <w:tcPr>
            <w:tcW w:w="2100" w:type="dxa"/>
            <w:vAlign w:val="bottom"/>
            <w:tcBorders>
              <w:top w:val="single" w:sz="8" w:color="auto"/>
            </w:tcBorders>
            <w:gridSpan w:val="11"/>
          </w:tcPr>
          <w:p>
            <w:pPr>
              <w:spacing w:after="0"/>
              <w:rPr>
                <w:sz w:val="17"/>
                <w:szCs w:val="17"/>
                <w:color w:val="auto"/>
              </w:rPr>
            </w:pPr>
          </w:p>
        </w:tc>
        <w:tc>
          <w:tcPr>
            <w:tcW w:w="4060" w:type="dxa"/>
            <w:vAlign w:val="bottom"/>
            <w:gridSpan w:val="5"/>
          </w:tcPr>
          <w:p>
            <w:pPr>
              <w:spacing w:after="0"/>
              <w:rPr>
                <w:sz w:val="17"/>
                <w:szCs w:val="17"/>
                <w:color w:val="auto"/>
              </w:rPr>
            </w:pP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500" w:type="dxa"/>
            <w:vAlign w:val="bottom"/>
          </w:tcPr>
          <w:p>
            <w:pPr>
              <w:spacing w:after="0"/>
              <w:rPr>
                <w:sz w:val="17"/>
                <w:szCs w:val="17"/>
                <w:color w:val="auto"/>
              </w:rPr>
            </w:pPr>
          </w:p>
        </w:tc>
        <w:tc>
          <w:tcPr>
            <w:tcW w:w="1180" w:type="dxa"/>
            <w:vAlign w:val="bottom"/>
          </w:tcPr>
          <w:p>
            <w:pPr>
              <w:spacing w:after="0" w:line="196" w:lineRule="exact"/>
              <w:rPr>
                <w:sz w:val="20"/>
                <w:szCs w:val="20"/>
                <w:color w:val="auto"/>
              </w:rPr>
            </w:pPr>
            <w:r>
              <w:rPr>
                <w:rFonts w:ascii="Arial" w:cs="Arial" w:eastAsia="Arial" w:hAnsi="Arial"/>
                <w:sz w:val="18"/>
                <w:szCs w:val="18"/>
                <w:color w:val="auto"/>
                <w:w w:val="91"/>
              </w:rPr>
              <w:t>SECTION 2.21.</w:t>
            </w:r>
          </w:p>
        </w:tc>
        <w:tc>
          <w:tcPr>
            <w:tcW w:w="240" w:type="dxa"/>
            <w:vAlign w:val="bottom"/>
          </w:tcPr>
          <w:p>
            <w:pPr>
              <w:spacing w:after="0"/>
              <w:rPr>
                <w:sz w:val="17"/>
                <w:szCs w:val="17"/>
                <w:color w:val="auto"/>
              </w:rPr>
            </w:pPr>
          </w:p>
        </w:tc>
        <w:tc>
          <w:tcPr>
            <w:tcW w:w="7560" w:type="dxa"/>
            <w:vAlign w:val="bottom"/>
            <w:gridSpan w:val="28"/>
          </w:tcPr>
          <w:p>
            <w:pPr>
              <w:spacing w:after="0" w:line="196" w:lineRule="exact"/>
              <w:rPr>
                <w:sz w:val="20"/>
                <w:szCs w:val="20"/>
                <w:color w:val="auto"/>
              </w:rPr>
            </w:pPr>
            <w:r>
              <w:rPr>
                <w:rFonts w:ascii="Arial" w:cs="Arial" w:eastAsia="Arial" w:hAnsi="Arial"/>
                <w:sz w:val="18"/>
                <w:szCs w:val="18"/>
                <w:color w:val="auto"/>
              </w:rPr>
              <w:t>Returned Payments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0" w:type="dxa"/>
            <w:vAlign w:val="bottom"/>
            <w:gridSpan w:val="12"/>
            <w:shd w:val="clear" w:color="auto" w:fill="000000"/>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980" w:type="dxa"/>
            <w:vAlign w:val="bottom"/>
            <w:gridSpan w:val="30"/>
          </w:tcPr>
          <w:p>
            <w:pPr>
              <w:spacing w:after="0" w:line="196" w:lineRule="exact"/>
              <w:rPr>
                <w:sz w:val="20"/>
                <w:szCs w:val="20"/>
                <w:color w:val="auto"/>
              </w:rPr>
            </w:pPr>
            <w:r>
              <w:rPr>
                <w:rFonts w:ascii="Arial" w:cs="Arial" w:eastAsia="Arial" w:hAnsi="Arial"/>
                <w:sz w:val="18"/>
                <w:szCs w:val="18"/>
                <w:color w:val="auto"/>
              </w:rPr>
              <w:t>SECTION 2.22.   Banking Services and Swap Agreements</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50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07"/>
        </w:trPr>
        <w:tc>
          <w:tcPr>
            <w:tcW w:w="8660" w:type="dxa"/>
            <w:vAlign w:val="bottom"/>
            <w:gridSpan w:val="35"/>
          </w:tcPr>
          <w:p>
            <w:pPr>
              <w:spacing w:after="0"/>
              <w:rPr>
                <w:sz w:val="20"/>
                <w:szCs w:val="20"/>
                <w:color w:val="auto"/>
              </w:rPr>
            </w:pPr>
            <w:r>
              <w:rPr>
                <w:rFonts w:ascii="Arial" w:cs="Arial" w:eastAsia="Arial" w:hAnsi="Arial"/>
                <w:sz w:val="18"/>
                <w:szCs w:val="18"/>
                <w:color w:val="auto"/>
              </w:rPr>
              <w:t>ARTICLE III REPRESENTATIONS AND 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12"/>
        </w:trPr>
        <w:tc>
          <w:tcPr>
            <w:tcW w:w="5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SECTION 3.01.</w:t>
            </w:r>
          </w:p>
        </w:tc>
        <w:tc>
          <w:tcPr>
            <w:tcW w:w="26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gridSpan w:val="23"/>
          </w:tcPr>
          <w:p>
            <w:pPr>
              <w:spacing w:after="0"/>
              <w:rPr>
                <w:sz w:val="20"/>
                <w:szCs w:val="20"/>
                <w:color w:val="auto"/>
              </w:rPr>
            </w:pPr>
            <w:r>
              <w:rPr>
                <w:rFonts w:ascii="Arial" w:cs="Arial" w:eastAsia="Arial" w:hAnsi="Arial"/>
                <w:sz w:val="18"/>
                <w:szCs w:val="18"/>
                <w:color w:val="auto"/>
              </w:rPr>
              <w:t>Organization; Powers</w:t>
            </w:r>
          </w:p>
        </w:tc>
        <w:tc>
          <w:tcPr>
            <w:tcW w:w="4360" w:type="dxa"/>
            <w:vAlign w:val="bottom"/>
            <w:gridSpan w:val="9"/>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color w:val="auto"/>
                <w:w w:val="91"/>
              </w:rPr>
              <w:t>SECTION 3.02.</w:t>
            </w:r>
          </w:p>
        </w:tc>
        <w:tc>
          <w:tcPr>
            <w:tcW w:w="260" w:type="dxa"/>
            <w:vAlign w:val="bottom"/>
          </w:tcPr>
          <w:p>
            <w:pPr>
              <w:spacing w:after="0"/>
              <w:rPr>
                <w:sz w:val="17"/>
                <w:szCs w:val="17"/>
                <w:color w:val="auto"/>
              </w:rPr>
            </w:pPr>
          </w:p>
        </w:tc>
        <w:tc>
          <w:tcPr>
            <w:tcW w:w="6740" w:type="dxa"/>
            <w:vAlign w:val="bottom"/>
            <w:gridSpan w:val="32"/>
          </w:tcPr>
          <w:p>
            <w:pPr>
              <w:spacing w:after="0" w:line="196" w:lineRule="exact"/>
              <w:rPr>
                <w:sz w:val="20"/>
                <w:szCs w:val="20"/>
                <w:color w:val="auto"/>
              </w:rPr>
            </w:pPr>
            <w:r>
              <w:rPr>
                <w:rFonts w:ascii="Arial" w:cs="Arial" w:eastAsia="Arial" w:hAnsi="Arial"/>
                <w:sz w:val="18"/>
                <w:szCs w:val="18"/>
                <w:color w:val="auto"/>
              </w:rPr>
              <w:t>Authorization; Enforceability</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3.03.   Governmental Approvals; No Conflicts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3.04.   Financial Condition; No Material Adverse Change</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3.05.</w:t>
            </w:r>
          </w:p>
        </w:tc>
        <w:tc>
          <w:tcPr>
            <w:tcW w:w="260" w:type="dxa"/>
            <w:vAlign w:val="bottom"/>
          </w:tcPr>
          <w:p>
            <w:pPr>
              <w:spacing w:after="0"/>
              <w:rPr>
                <w:sz w:val="17"/>
                <w:szCs w:val="17"/>
                <w:color w:val="auto"/>
              </w:rPr>
            </w:pPr>
          </w:p>
        </w:tc>
        <w:tc>
          <w:tcPr>
            <w:tcW w:w="7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7"/>
              </w:rPr>
              <w:t>Properties</w:t>
            </w:r>
          </w:p>
        </w:tc>
        <w:tc>
          <w:tcPr>
            <w:tcW w:w="2900" w:type="dxa"/>
            <w:vAlign w:val="bottom"/>
            <w:tcBorders>
              <w:top w:val="single" w:sz="8" w:color="auto"/>
            </w:tcBorders>
            <w:gridSpan w:val="23"/>
          </w:tcPr>
          <w:p>
            <w:pPr>
              <w:spacing w:after="0"/>
              <w:rPr>
                <w:sz w:val="17"/>
                <w:szCs w:val="17"/>
                <w:color w:val="auto"/>
              </w:rPr>
            </w:pPr>
          </w:p>
        </w:tc>
        <w:tc>
          <w:tcPr>
            <w:tcW w:w="3100" w:type="dxa"/>
            <w:vAlign w:val="bottom"/>
            <w:gridSpan w:val="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3.06.   Litigation and Environmental Matters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3.07.   Compliance with Laws and Agreements; No Default</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3.08.   Investment Company Status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1"/>
              </w:rPr>
              <w:t>SECTION 3.09.</w:t>
            </w:r>
          </w:p>
        </w:tc>
        <w:tc>
          <w:tcPr>
            <w:tcW w:w="260" w:type="dxa"/>
            <w:vAlign w:val="bottom"/>
          </w:tcPr>
          <w:p>
            <w:pPr>
              <w:spacing w:after="0"/>
              <w:rPr>
                <w:sz w:val="17"/>
                <w:szCs w:val="17"/>
                <w:color w:val="auto"/>
              </w:rPr>
            </w:pPr>
          </w:p>
        </w:tc>
        <w:tc>
          <w:tcPr>
            <w:tcW w:w="204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Taxes</w:t>
            </w:r>
          </w:p>
        </w:tc>
        <w:tc>
          <w:tcPr>
            <w:tcW w:w="4700" w:type="dxa"/>
            <w:vAlign w:val="bottom"/>
            <w:gridSpan w:val="1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color w:val="auto"/>
                <w:w w:val="91"/>
              </w:rPr>
              <w:t>SECTION 3.10.</w:t>
            </w:r>
          </w:p>
        </w:tc>
        <w:tc>
          <w:tcPr>
            <w:tcW w:w="260" w:type="dxa"/>
            <w:vAlign w:val="bottom"/>
          </w:tcPr>
          <w:p>
            <w:pPr>
              <w:spacing w:after="0"/>
              <w:rPr>
                <w:sz w:val="17"/>
                <w:szCs w:val="17"/>
                <w:color w:val="auto"/>
              </w:rPr>
            </w:pPr>
          </w:p>
        </w:tc>
        <w:tc>
          <w:tcPr>
            <w:tcW w:w="6740" w:type="dxa"/>
            <w:vAlign w:val="bottom"/>
            <w:gridSpan w:val="32"/>
          </w:tcPr>
          <w:p>
            <w:pPr>
              <w:spacing w:after="0" w:line="196" w:lineRule="exact"/>
              <w:rPr>
                <w:sz w:val="20"/>
                <w:szCs w:val="20"/>
                <w:color w:val="auto"/>
              </w:rPr>
            </w:pPr>
            <w:r>
              <w:rPr>
                <w:rFonts w:ascii="Arial" w:cs="Arial" w:eastAsia="Arial" w:hAnsi="Arial"/>
                <w:sz w:val="18"/>
                <w:szCs w:val="18"/>
                <w:color w:val="auto"/>
              </w:rPr>
              <w:t>ERISA</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3.11.</w:t>
            </w:r>
          </w:p>
        </w:tc>
        <w:tc>
          <w:tcPr>
            <w:tcW w:w="260" w:type="dxa"/>
            <w:vAlign w:val="bottom"/>
          </w:tcPr>
          <w:p>
            <w:pPr>
              <w:spacing w:after="0"/>
              <w:rPr>
                <w:sz w:val="17"/>
                <w:szCs w:val="17"/>
                <w:color w:val="auto"/>
              </w:rPr>
            </w:pPr>
          </w:p>
        </w:tc>
        <w:tc>
          <w:tcPr>
            <w:tcW w:w="7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Disclosure</w:t>
            </w:r>
          </w:p>
        </w:tc>
        <w:tc>
          <w:tcPr>
            <w:tcW w:w="5960" w:type="dxa"/>
            <w:vAlign w:val="bottom"/>
            <w:gridSpan w:val="2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50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color w:val="auto"/>
                <w:w w:val="91"/>
              </w:rPr>
              <w:t>SECTION 3.12.</w:t>
            </w:r>
          </w:p>
        </w:tc>
        <w:tc>
          <w:tcPr>
            <w:tcW w:w="260" w:type="dxa"/>
            <w:vAlign w:val="bottom"/>
          </w:tcPr>
          <w:p>
            <w:pPr>
              <w:spacing w:after="0"/>
              <w:rPr>
                <w:sz w:val="17"/>
                <w:szCs w:val="17"/>
                <w:color w:val="auto"/>
              </w:rPr>
            </w:pPr>
          </w:p>
        </w:tc>
        <w:tc>
          <w:tcPr>
            <w:tcW w:w="6740" w:type="dxa"/>
            <w:vAlign w:val="bottom"/>
            <w:gridSpan w:val="32"/>
          </w:tcPr>
          <w:p>
            <w:pPr>
              <w:spacing w:after="0" w:line="196" w:lineRule="exact"/>
              <w:rPr>
                <w:sz w:val="20"/>
                <w:szCs w:val="20"/>
                <w:color w:val="auto"/>
              </w:rPr>
            </w:pPr>
            <w:r>
              <w:rPr>
                <w:rFonts w:ascii="Arial" w:cs="Arial" w:eastAsia="Arial" w:hAnsi="Arial"/>
                <w:sz w:val="18"/>
                <w:szCs w:val="18"/>
                <w:color w:val="auto"/>
              </w:rPr>
              <w:t>Material Agreements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1"/>
              </w:rPr>
              <w:t>SECTION 3.13.</w:t>
            </w:r>
          </w:p>
        </w:tc>
        <w:tc>
          <w:tcPr>
            <w:tcW w:w="260" w:type="dxa"/>
            <w:vAlign w:val="bottom"/>
          </w:tcPr>
          <w:p>
            <w:pPr>
              <w:spacing w:after="0"/>
              <w:rPr>
                <w:sz w:val="17"/>
                <w:szCs w:val="17"/>
                <w:color w:val="auto"/>
              </w:rPr>
            </w:pPr>
          </w:p>
        </w:tc>
        <w:tc>
          <w:tcPr>
            <w:tcW w:w="1520" w:type="dxa"/>
            <w:vAlign w:val="bottom"/>
            <w:tcBorders>
              <w:top w:val="single" w:sz="8" w:color="auto"/>
            </w:tcBorders>
            <w:gridSpan w:val="13"/>
          </w:tcPr>
          <w:p>
            <w:pPr>
              <w:spacing w:after="0" w:line="196" w:lineRule="exact"/>
              <w:rPr>
                <w:sz w:val="20"/>
                <w:szCs w:val="20"/>
                <w:color w:val="auto"/>
              </w:rPr>
            </w:pPr>
            <w:r>
              <w:rPr>
                <w:rFonts w:ascii="Arial" w:cs="Arial" w:eastAsia="Arial" w:hAnsi="Arial"/>
                <w:sz w:val="18"/>
                <w:szCs w:val="18"/>
                <w:color w:val="auto"/>
              </w:rPr>
              <w:t>Margin Stock</w:t>
            </w:r>
          </w:p>
        </w:tc>
        <w:tc>
          <w:tcPr>
            <w:tcW w:w="5220" w:type="dxa"/>
            <w:vAlign w:val="bottom"/>
            <w:gridSpan w:val="1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1"/>
              </w:rPr>
              <w:t>SECTION 3.14.</w:t>
            </w:r>
          </w:p>
        </w:tc>
        <w:tc>
          <w:tcPr>
            <w:tcW w:w="260" w:type="dxa"/>
            <w:vAlign w:val="bottom"/>
          </w:tcPr>
          <w:p>
            <w:pPr>
              <w:spacing w:after="0"/>
              <w:rPr>
                <w:sz w:val="17"/>
                <w:szCs w:val="17"/>
                <w:color w:val="auto"/>
              </w:rPr>
            </w:pPr>
          </w:p>
        </w:tc>
        <w:tc>
          <w:tcPr>
            <w:tcW w:w="98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Liens</w:t>
            </w:r>
          </w:p>
        </w:tc>
        <w:tc>
          <w:tcPr>
            <w:tcW w:w="5760" w:type="dxa"/>
            <w:vAlign w:val="bottom"/>
            <w:gridSpan w:val="2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3.15.   Capitalization and Subsidiaries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3.16.   No Burdensome Restrictions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3.17.</w:t>
            </w:r>
          </w:p>
        </w:tc>
        <w:tc>
          <w:tcPr>
            <w:tcW w:w="260" w:type="dxa"/>
            <w:vAlign w:val="bottom"/>
          </w:tcPr>
          <w:p>
            <w:pPr>
              <w:spacing w:after="0"/>
              <w:rPr>
                <w:sz w:val="17"/>
                <w:szCs w:val="17"/>
                <w:color w:val="auto"/>
              </w:rPr>
            </w:pPr>
          </w:p>
        </w:tc>
        <w:tc>
          <w:tcPr>
            <w:tcW w:w="68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Solvency</w:t>
            </w:r>
          </w:p>
        </w:tc>
        <w:tc>
          <w:tcPr>
            <w:tcW w:w="1440" w:type="dxa"/>
            <w:vAlign w:val="bottom"/>
            <w:tcBorders>
              <w:top w:val="single" w:sz="8" w:color="auto"/>
            </w:tcBorders>
            <w:gridSpan w:val="16"/>
          </w:tcPr>
          <w:p>
            <w:pPr>
              <w:spacing w:after="0"/>
              <w:rPr>
                <w:sz w:val="17"/>
                <w:szCs w:val="17"/>
                <w:color w:val="auto"/>
              </w:rPr>
            </w:pPr>
          </w:p>
        </w:tc>
        <w:tc>
          <w:tcPr>
            <w:tcW w:w="4620" w:type="dxa"/>
            <w:vAlign w:val="bottom"/>
            <w:gridSpan w:val="1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0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color w:val="auto"/>
                <w:w w:val="91"/>
              </w:rPr>
              <w:t>SECTION 3.18.</w:t>
            </w:r>
          </w:p>
        </w:tc>
        <w:tc>
          <w:tcPr>
            <w:tcW w:w="260" w:type="dxa"/>
            <w:vAlign w:val="bottom"/>
          </w:tcPr>
          <w:p>
            <w:pPr>
              <w:spacing w:after="0"/>
              <w:rPr>
                <w:sz w:val="17"/>
                <w:szCs w:val="17"/>
                <w:color w:val="auto"/>
              </w:rPr>
            </w:pPr>
          </w:p>
        </w:tc>
        <w:tc>
          <w:tcPr>
            <w:tcW w:w="6740" w:type="dxa"/>
            <w:vAlign w:val="bottom"/>
            <w:gridSpan w:val="32"/>
          </w:tcPr>
          <w:p>
            <w:pPr>
              <w:spacing w:after="0" w:line="196" w:lineRule="exact"/>
              <w:rPr>
                <w:sz w:val="20"/>
                <w:szCs w:val="20"/>
                <w:color w:val="auto"/>
              </w:rPr>
            </w:pPr>
            <w:r>
              <w:rPr>
                <w:rFonts w:ascii="Arial" w:cs="Arial" w:eastAsia="Arial" w:hAnsi="Arial"/>
                <w:sz w:val="18"/>
                <w:szCs w:val="18"/>
                <w:color w:val="auto"/>
              </w:rPr>
              <w:t>Insurance</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3.19.   Security Interest in Collateral</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1"/>
              </w:rPr>
              <w:t>SECTION 3.20.</w:t>
            </w:r>
          </w:p>
        </w:tc>
        <w:tc>
          <w:tcPr>
            <w:tcW w:w="260" w:type="dxa"/>
            <w:vAlign w:val="bottom"/>
          </w:tcPr>
          <w:p>
            <w:pPr>
              <w:spacing w:after="0"/>
              <w:rPr>
                <w:sz w:val="17"/>
                <w:szCs w:val="17"/>
                <w:color w:val="auto"/>
              </w:rPr>
            </w:pPr>
          </w:p>
        </w:tc>
        <w:tc>
          <w:tcPr>
            <w:tcW w:w="212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Employment Matters</w:t>
            </w:r>
          </w:p>
        </w:tc>
        <w:tc>
          <w:tcPr>
            <w:tcW w:w="4620" w:type="dxa"/>
            <w:vAlign w:val="bottom"/>
            <w:gridSpan w:val="1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8"/>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3.21.   Anti-Corruption Laws and Sanctions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8"/>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3.22.   EEA Financial Institutions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3.23.</w:t>
            </w:r>
          </w:p>
        </w:tc>
        <w:tc>
          <w:tcPr>
            <w:tcW w:w="260" w:type="dxa"/>
            <w:vAlign w:val="bottom"/>
          </w:tcPr>
          <w:p>
            <w:pPr>
              <w:spacing w:after="0"/>
              <w:rPr>
                <w:sz w:val="17"/>
                <w:szCs w:val="17"/>
                <w:color w:val="auto"/>
              </w:rPr>
            </w:pPr>
          </w:p>
        </w:tc>
        <w:tc>
          <w:tcPr>
            <w:tcW w:w="1180" w:type="dxa"/>
            <w:vAlign w:val="bottom"/>
            <w:tcBorders>
              <w:top w:val="single" w:sz="8" w:color="auto"/>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87"/>
              </w:rPr>
              <w:t>Use of Proceeds</w:t>
            </w:r>
          </w:p>
        </w:tc>
        <w:tc>
          <w:tcPr>
            <w:tcW w:w="740" w:type="dxa"/>
            <w:vAlign w:val="bottom"/>
            <w:tcBorders>
              <w:top w:val="single" w:sz="8" w:color="auto"/>
            </w:tcBorders>
            <w:gridSpan w:val="7"/>
          </w:tcPr>
          <w:p>
            <w:pPr>
              <w:spacing w:after="0"/>
              <w:rPr>
                <w:sz w:val="17"/>
                <w:szCs w:val="17"/>
                <w:color w:val="auto"/>
              </w:rPr>
            </w:pPr>
          </w:p>
        </w:tc>
        <w:tc>
          <w:tcPr>
            <w:tcW w:w="4820" w:type="dxa"/>
            <w:vAlign w:val="bottom"/>
            <w:gridSpan w:val="1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3.24.   Plan Assets; Prohibited Transactions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8"/>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8"/>
              </w:rPr>
              <w:t>ARTICLE IV CONDITIONS</w:t>
            </w:r>
          </w:p>
        </w:tc>
        <w:tc>
          <w:tcPr>
            <w:tcW w:w="6520" w:type="dxa"/>
            <w:vAlign w:val="bottom"/>
            <w:gridSpan w:val="31"/>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5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1"/>
              </w:rPr>
              <w:t>SECTION 4.01.</w:t>
            </w:r>
          </w:p>
        </w:tc>
        <w:tc>
          <w:tcPr>
            <w:tcW w:w="260" w:type="dxa"/>
            <w:vAlign w:val="bottom"/>
          </w:tcPr>
          <w:p>
            <w:pPr>
              <w:spacing w:after="0"/>
              <w:rPr>
                <w:sz w:val="24"/>
                <w:szCs w:val="24"/>
                <w:color w:val="auto"/>
              </w:rPr>
            </w:pPr>
          </w:p>
        </w:tc>
        <w:tc>
          <w:tcPr>
            <w:tcW w:w="6740" w:type="dxa"/>
            <w:vAlign w:val="bottom"/>
            <w:gridSpan w:val="32"/>
          </w:tcPr>
          <w:p>
            <w:pPr>
              <w:spacing w:after="0"/>
              <w:rPr>
                <w:sz w:val="20"/>
                <w:szCs w:val="20"/>
                <w:color w:val="auto"/>
              </w:rPr>
            </w:pPr>
            <w:r>
              <w:rPr>
                <w:rFonts w:ascii="Arial" w:cs="Arial" w:eastAsia="Arial" w:hAnsi="Arial"/>
                <w:sz w:val="18"/>
                <w:szCs w:val="18"/>
                <w:color w:val="auto"/>
              </w:rPr>
              <w:t>Effective Date</w:t>
            </w:r>
          </w:p>
        </w:tc>
        <w:tc>
          <w:tcPr>
            <w:tcW w:w="2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9"/>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4.02.   Each Other Credit Event</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330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8"/>
              </w:rPr>
              <w:t>ARTICLE V AFFIRMATIVE COVENANTS</w:t>
            </w:r>
          </w:p>
        </w:tc>
        <w:tc>
          <w:tcPr>
            <w:tcW w:w="5360" w:type="dxa"/>
            <w:vAlign w:val="bottom"/>
            <w:gridSpan w:val="21"/>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2"/>
        </w:trPr>
        <w:tc>
          <w:tcPr>
            <w:tcW w:w="500" w:type="dxa"/>
            <w:vAlign w:val="bottom"/>
          </w:tcPr>
          <w:p>
            <w:pPr>
              <w:spacing w:after="0"/>
              <w:rPr>
                <w:sz w:val="24"/>
                <w:szCs w:val="24"/>
                <w:color w:val="auto"/>
              </w:rPr>
            </w:pPr>
          </w:p>
        </w:tc>
        <w:tc>
          <w:tcPr>
            <w:tcW w:w="8160" w:type="dxa"/>
            <w:vAlign w:val="bottom"/>
            <w:gridSpan w:val="34"/>
          </w:tcPr>
          <w:p>
            <w:pPr>
              <w:spacing w:after="0"/>
              <w:rPr>
                <w:sz w:val="20"/>
                <w:szCs w:val="20"/>
                <w:color w:val="auto"/>
              </w:rPr>
            </w:pPr>
            <w:r>
              <w:rPr>
                <w:rFonts w:ascii="Arial" w:cs="Arial" w:eastAsia="Arial" w:hAnsi="Arial"/>
                <w:sz w:val="18"/>
                <w:szCs w:val="18"/>
                <w:color w:val="auto"/>
              </w:rPr>
              <w:t>SECTION 5.01.   Financial Statements; Borrowing Base and Other Information</w:t>
            </w:r>
          </w:p>
        </w:tc>
        <w:tc>
          <w:tcPr>
            <w:tcW w:w="25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1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20" w:type="dxa"/>
            <w:vAlign w:val="bottom"/>
            <w:tcBorders>
              <w:right w:val="single" w:sz="8" w:color="auto"/>
            </w:tcBorders>
            <w:gridSpan w:val="3"/>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5.02.   Notices of Material Events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1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5.03.   Existence; Conduct of Business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1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5.04.   Payment of Obligations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1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5.05.   Maintenance of Properties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1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5.06.   Books and Records; Inspection Rights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1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720" w:type="dxa"/>
            <w:vAlign w:val="bottom"/>
            <w:gridSpan w:val="7"/>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5.07.   Compliance with Laws and Material Contractual Obligations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5.08.</w:t>
            </w:r>
          </w:p>
        </w:tc>
        <w:tc>
          <w:tcPr>
            <w:tcW w:w="260" w:type="dxa"/>
            <w:vAlign w:val="bottom"/>
          </w:tcPr>
          <w:p>
            <w:pPr>
              <w:spacing w:after="0"/>
              <w:rPr>
                <w:sz w:val="17"/>
                <w:szCs w:val="17"/>
                <w:color w:val="auto"/>
              </w:rPr>
            </w:pPr>
          </w:p>
        </w:tc>
        <w:tc>
          <w:tcPr>
            <w:tcW w:w="1180" w:type="dxa"/>
            <w:vAlign w:val="bottom"/>
            <w:tcBorders>
              <w:top w:val="single" w:sz="8" w:color="auto"/>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87"/>
              </w:rPr>
              <w:t>Use of Proceeds</w:t>
            </w:r>
          </w:p>
        </w:tc>
        <w:tc>
          <w:tcPr>
            <w:tcW w:w="3260" w:type="dxa"/>
            <w:vAlign w:val="bottom"/>
            <w:tcBorders>
              <w:top w:val="single" w:sz="8" w:color="auto"/>
            </w:tcBorders>
            <w:gridSpan w:val="21"/>
          </w:tcPr>
          <w:p>
            <w:pPr>
              <w:spacing w:after="0"/>
              <w:rPr>
                <w:sz w:val="17"/>
                <w:szCs w:val="17"/>
                <w:color w:val="auto"/>
              </w:rPr>
            </w:pPr>
          </w:p>
        </w:tc>
        <w:tc>
          <w:tcPr>
            <w:tcW w:w="230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50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color w:val="auto"/>
                <w:w w:val="91"/>
              </w:rPr>
              <w:t>SECTION 5.09.</w:t>
            </w:r>
          </w:p>
        </w:tc>
        <w:tc>
          <w:tcPr>
            <w:tcW w:w="260" w:type="dxa"/>
            <w:vAlign w:val="bottom"/>
          </w:tcPr>
          <w:p>
            <w:pPr>
              <w:spacing w:after="0"/>
              <w:rPr>
                <w:sz w:val="17"/>
                <w:szCs w:val="17"/>
                <w:color w:val="auto"/>
              </w:rPr>
            </w:pPr>
          </w:p>
        </w:tc>
        <w:tc>
          <w:tcPr>
            <w:tcW w:w="6740" w:type="dxa"/>
            <w:vAlign w:val="bottom"/>
            <w:gridSpan w:val="32"/>
          </w:tcPr>
          <w:p>
            <w:pPr>
              <w:spacing w:after="0" w:line="196" w:lineRule="exact"/>
              <w:rPr>
                <w:sz w:val="20"/>
                <w:szCs w:val="20"/>
                <w:color w:val="auto"/>
              </w:rPr>
            </w:pPr>
            <w:r>
              <w:rPr>
                <w:rFonts w:ascii="Arial" w:cs="Arial" w:eastAsia="Arial" w:hAnsi="Arial"/>
                <w:sz w:val="18"/>
                <w:szCs w:val="18"/>
                <w:color w:val="auto"/>
              </w:rPr>
              <w:t>Insurance</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5.10.   Casualty and Condemnation</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1"/>
              </w:rPr>
              <w:t>SECTION 5.11.</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Appraisals</w:t>
            </w:r>
          </w:p>
        </w:tc>
        <w:tc>
          <w:tcPr>
            <w:tcW w:w="1260" w:type="dxa"/>
            <w:vAlign w:val="bottom"/>
            <w:tcBorders>
              <w:top w:val="single" w:sz="8" w:color="auto"/>
            </w:tcBorders>
            <w:gridSpan w:val="12"/>
          </w:tcPr>
          <w:p>
            <w:pPr>
              <w:spacing w:after="0"/>
              <w:rPr>
                <w:sz w:val="17"/>
                <w:szCs w:val="17"/>
                <w:color w:val="auto"/>
              </w:rPr>
            </w:pPr>
          </w:p>
        </w:tc>
        <w:tc>
          <w:tcPr>
            <w:tcW w:w="4700" w:type="dxa"/>
            <w:vAlign w:val="bottom"/>
            <w:gridSpan w:val="1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50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color w:val="auto"/>
                <w:w w:val="91"/>
              </w:rPr>
              <w:t>SECTION 5.12.</w:t>
            </w:r>
          </w:p>
        </w:tc>
        <w:tc>
          <w:tcPr>
            <w:tcW w:w="260" w:type="dxa"/>
            <w:vAlign w:val="bottom"/>
          </w:tcPr>
          <w:p>
            <w:pPr>
              <w:spacing w:after="0"/>
              <w:rPr>
                <w:sz w:val="17"/>
                <w:szCs w:val="17"/>
                <w:color w:val="auto"/>
              </w:rPr>
            </w:pPr>
          </w:p>
        </w:tc>
        <w:tc>
          <w:tcPr>
            <w:tcW w:w="6740" w:type="dxa"/>
            <w:vAlign w:val="bottom"/>
            <w:gridSpan w:val="32"/>
          </w:tcPr>
          <w:p>
            <w:pPr>
              <w:spacing w:after="0" w:line="196" w:lineRule="exact"/>
              <w:rPr>
                <w:sz w:val="20"/>
                <w:szCs w:val="20"/>
                <w:color w:val="auto"/>
              </w:rPr>
            </w:pPr>
            <w:r>
              <w:rPr>
                <w:rFonts w:ascii="Arial" w:cs="Arial" w:eastAsia="Arial" w:hAnsi="Arial"/>
                <w:sz w:val="18"/>
                <w:szCs w:val="18"/>
                <w:color w:val="auto"/>
              </w:rPr>
              <w:t>Field Examinations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12"/>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20" w:type="dxa"/>
            <w:vAlign w:val="bottom"/>
            <w:gridSpan w:val="1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5.13.   Accuracy of Information</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15"/>
            <w:shd w:val="clear" w:color="auto" w:fill="000000"/>
          </w:tcPr>
          <w:p>
            <w:pPr>
              <w:spacing w:after="0" w:line="20" w:lineRule="exact"/>
              <w:rPr>
                <w:sz w:val="1"/>
                <w:szCs w:val="1"/>
                <w:color w:val="auto"/>
              </w:rPr>
            </w:pPr>
          </w:p>
        </w:tc>
        <w:tc>
          <w:tcPr>
            <w:tcW w:w="1220" w:type="dxa"/>
            <w:vAlign w:val="bottom"/>
            <w:gridSpan w:val="1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160" w:type="dxa"/>
            <w:vAlign w:val="bottom"/>
            <w:gridSpan w:val="34"/>
          </w:tcPr>
          <w:p>
            <w:pPr>
              <w:spacing w:after="0" w:line="196" w:lineRule="exact"/>
              <w:rPr>
                <w:sz w:val="20"/>
                <w:szCs w:val="20"/>
                <w:color w:val="auto"/>
              </w:rPr>
            </w:pPr>
            <w:r>
              <w:rPr>
                <w:rFonts w:ascii="Arial" w:cs="Arial" w:eastAsia="Arial" w:hAnsi="Arial"/>
                <w:sz w:val="18"/>
                <w:szCs w:val="18"/>
                <w:color w:val="auto"/>
              </w:rPr>
              <w:t>SECTION 5.14.   Additional Collateral; Further Assurances</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07"/>
        </w:trPr>
        <w:tc>
          <w:tcPr>
            <w:tcW w:w="306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7"/>
              </w:rPr>
              <w:t>ARTICLE VI NEGATIVE COVENANTS</w:t>
            </w:r>
          </w:p>
        </w:tc>
        <w:tc>
          <w:tcPr>
            <w:tcW w:w="5160" w:type="dxa"/>
            <w:vAlign w:val="bottom"/>
            <w:gridSpan w:val="24"/>
          </w:tcPr>
          <w:p>
            <w:pPr>
              <w:spacing w:after="0"/>
              <w:rPr>
                <w:sz w:val="17"/>
                <w:szCs w:val="17"/>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12"/>
        </w:trPr>
        <w:tc>
          <w:tcPr>
            <w:tcW w:w="5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89"/>
              </w:rPr>
              <w:t>SECTION 6.01.</w:t>
            </w:r>
          </w:p>
        </w:tc>
        <w:tc>
          <w:tcPr>
            <w:tcW w:w="260" w:type="dxa"/>
            <w:vAlign w:val="bottom"/>
          </w:tcPr>
          <w:p>
            <w:pPr>
              <w:spacing w:after="0"/>
              <w:rPr>
                <w:sz w:val="24"/>
                <w:szCs w:val="24"/>
                <w:color w:val="auto"/>
              </w:rPr>
            </w:pPr>
          </w:p>
        </w:tc>
        <w:tc>
          <w:tcPr>
            <w:tcW w:w="6300" w:type="dxa"/>
            <w:vAlign w:val="bottom"/>
            <w:gridSpan w:val="37"/>
          </w:tcPr>
          <w:p>
            <w:pPr>
              <w:spacing w:after="0"/>
              <w:rPr>
                <w:sz w:val="20"/>
                <w:szCs w:val="20"/>
                <w:color w:val="auto"/>
              </w:rPr>
            </w:pPr>
            <w:r>
              <w:rPr>
                <w:rFonts w:ascii="Arial" w:cs="Arial" w:eastAsia="Arial" w:hAnsi="Arial"/>
                <w:sz w:val="18"/>
                <w:szCs w:val="18"/>
                <w:color w:val="auto"/>
              </w:rPr>
              <w:t>Indebtedness</w:t>
            </w:r>
          </w:p>
        </w:tc>
        <w:tc>
          <w:tcPr>
            <w:tcW w:w="3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89"/>
              </w:rPr>
              <w:t>SECTION 6.02.</w:t>
            </w:r>
          </w:p>
        </w:tc>
        <w:tc>
          <w:tcPr>
            <w:tcW w:w="260" w:type="dxa"/>
            <w:vAlign w:val="bottom"/>
          </w:tcPr>
          <w:p>
            <w:pPr>
              <w:spacing w:after="0"/>
              <w:rPr>
                <w:sz w:val="17"/>
                <w:szCs w:val="17"/>
                <w:color w:val="auto"/>
              </w:rPr>
            </w:pPr>
          </w:p>
        </w:tc>
        <w:tc>
          <w:tcPr>
            <w:tcW w:w="94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Liens</w:t>
            </w:r>
          </w:p>
        </w:tc>
        <w:tc>
          <w:tcPr>
            <w:tcW w:w="5360" w:type="dxa"/>
            <w:vAlign w:val="bottom"/>
            <w:gridSpan w:val="28"/>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color w:val="auto"/>
                <w:w w:val="89"/>
              </w:rPr>
              <w:t>SECTION 6.03.</w:t>
            </w:r>
          </w:p>
        </w:tc>
        <w:tc>
          <w:tcPr>
            <w:tcW w:w="2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Arial" w:cs="Arial" w:eastAsia="Arial" w:hAnsi="Arial"/>
                <w:sz w:val="18"/>
                <w:szCs w:val="18"/>
                <w:color w:val="auto"/>
              </w:rPr>
              <w:t>Fundamental Changes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6.04.   Investments, Loans, Advances, Guarantees and Acquisitions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89"/>
              </w:rPr>
              <w:t>SECTION 6.05.</w:t>
            </w:r>
          </w:p>
        </w:tc>
        <w:tc>
          <w:tcPr>
            <w:tcW w:w="260" w:type="dxa"/>
            <w:vAlign w:val="bottom"/>
          </w:tcPr>
          <w:p>
            <w:pPr>
              <w:spacing w:after="0"/>
              <w:rPr>
                <w:sz w:val="17"/>
                <w:szCs w:val="17"/>
                <w:color w:val="auto"/>
              </w:rPr>
            </w:pPr>
          </w:p>
        </w:tc>
        <w:tc>
          <w:tcPr>
            <w:tcW w:w="4360" w:type="dxa"/>
            <w:vAlign w:val="bottom"/>
            <w:tcBorders>
              <w:top w:val="single" w:sz="8" w:color="auto"/>
            </w:tcBorders>
            <w:gridSpan w:val="34"/>
          </w:tcPr>
          <w:p>
            <w:pPr>
              <w:spacing w:after="0" w:line="196" w:lineRule="exact"/>
              <w:rPr>
                <w:sz w:val="20"/>
                <w:szCs w:val="20"/>
                <w:color w:val="auto"/>
              </w:rPr>
            </w:pPr>
            <w:r>
              <w:rPr>
                <w:rFonts w:ascii="Arial" w:cs="Arial" w:eastAsia="Arial" w:hAnsi="Arial"/>
                <w:sz w:val="18"/>
                <w:szCs w:val="18"/>
                <w:color w:val="auto"/>
              </w:rPr>
              <w:t>Asset Sales</w:t>
            </w:r>
          </w:p>
        </w:tc>
        <w:tc>
          <w:tcPr>
            <w:tcW w:w="1940" w:type="dxa"/>
            <w:vAlign w:val="bottom"/>
            <w:gridSpan w:val="3"/>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6.06.   Sale and Leaseback Transactions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6.07.</w:t>
            </w:r>
          </w:p>
        </w:tc>
        <w:tc>
          <w:tcPr>
            <w:tcW w:w="260" w:type="dxa"/>
            <w:vAlign w:val="bottom"/>
          </w:tcPr>
          <w:p>
            <w:pPr>
              <w:spacing w:after="0"/>
              <w:rPr>
                <w:sz w:val="17"/>
                <w:szCs w:val="17"/>
                <w:color w:val="auto"/>
              </w:rPr>
            </w:pPr>
          </w:p>
        </w:tc>
        <w:tc>
          <w:tcPr>
            <w:tcW w:w="1320" w:type="dxa"/>
            <w:vAlign w:val="bottom"/>
            <w:tcBorders>
              <w:top w:val="single" w:sz="8" w:color="auto"/>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8"/>
              </w:rPr>
              <w:t>Swap Agreements</w:t>
            </w:r>
          </w:p>
        </w:tc>
        <w:tc>
          <w:tcPr>
            <w:tcW w:w="1060" w:type="dxa"/>
            <w:vAlign w:val="bottom"/>
            <w:tcBorders>
              <w:top w:val="single" w:sz="8" w:color="auto"/>
            </w:tcBorders>
            <w:gridSpan w:val="13"/>
          </w:tcPr>
          <w:p>
            <w:pPr>
              <w:spacing w:after="0"/>
              <w:rPr>
                <w:sz w:val="17"/>
                <w:szCs w:val="17"/>
                <w:color w:val="auto"/>
              </w:rPr>
            </w:pPr>
          </w:p>
        </w:tc>
        <w:tc>
          <w:tcPr>
            <w:tcW w:w="3920" w:type="dxa"/>
            <w:vAlign w:val="bottom"/>
            <w:gridSpan w:val="9"/>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6.08.   Transactions with Affiliates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6.09.</w:t>
            </w:r>
          </w:p>
        </w:tc>
        <w:tc>
          <w:tcPr>
            <w:tcW w:w="260" w:type="dxa"/>
            <w:vAlign w:val="bottom"/>
          </w:tcPr>
          <w:p>
            <w:pPr>
              <w:spacing w:after="0"/>
              <w:rPr>
                <w:sz w:val="17"/>
                <w:szCs w:val="17"/>
                <w:color w:val="auto"/>
              </w:rPr>
            </w:pPr>
          </w:p>
        </w:tc>
        <w:tc>
          <w:tcPr>
            <w:tcW w:w="148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7"/>
              </w:rPr>
              <w:t>Restricted Payments</w:t>
            </w:r>
          </w:p>
        </w:tc>
        <w:tc>
          <w:tcPr>
            <w:tcW w:w="520" w:type="dxa"/>
            <w:vAlign w:val="bottom"/>
            <w:tcBorders>
              <w:top w:val="single" w:sz="8" w:color="auto"/>
            </w:tcBorders>
            <w:gridSpan w:val="7"/>
          </w:tcPr>
          <w:p>
            <w:pPr>
              <w:spacing w:after="0"/>
              <w:rPr>
                <w:sz w:val="17"/>
                <w:szCs w:val="17"/>
                <w:color w:val="auto"/>
              </w:rPr>
            </w:pPr>
          </w:p>
        </w:tc>
        <w:tc>
          <w:tcPr>
            <w:tcW w:w="4300" w:type="dxa"/>
            <w:vAlign w:val="bottom"/>
            <w:gridSpan w:val="13"/>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w w:val="90"/>
              </w:rPr>
              <w:t>SECTION 6.10.   Subordinated Indebtedness and Amendments to Subordinated Indebtedness Documents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6.11.</w:t>
            </w:r>
          </w:p>
        </w:tc>
        <w:tc>
          <w:tcPr>
            <w:tcW w:w="260" w:type="dxa"/>
            <w:vAlign w:val="bottom"/>
          </w:tcPr>
          <w:p>
            <w:pPr>
              <w:spacing w:after="0"/>
              <w:rPr>
                <w:sz w:val="17"/>
                <w:szCs w:val="17"/>
                <w:color w:val="auto"/>
              </w:rPr>
            </w:pPr>
          </w:p>
        </w:tc>
        <w:tc>
          <w:tcPr>
            <w:tcW w:w="1700" w:type="dxa"/>
            <w:vAlign w:val="bottom"/>
            <w:tcBorders>
              <w:top w:val="single" w:sz="8" w:color="auto"/>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9"/>
              </w:rPr>
              <w:t>Restrictive Agreements</w:t>
            </w:r>
          </w:p>
        </w:tc>
        <w:tc>
          <w:tcPr>
            <w:tcW w:w="4600" w:type="dxa"/>
            <w:vAlign w:val="bottom"/>
            <w:tcBorders>
              <w:top w:val="single" w:sz="8" w:color="auto"/>
            </w:tcBorders>
            <w:gridSpan w:val="16"/>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6.12.   Fixed Charge Coverage Ratio</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6.13.</w:t>
            </w:r>
          </w:p>
        </w:tc>
        <w:tc>
          <w:tcPr>
            <w:tcW w:w="260" w:type="dxa"/>
            <w:vAlign w:val="bottom"/>
          </w:tcPr>
          <w:p>
            <w:pPr>
              <w:spacing w:after="0"/>
              <w:rPr>
                <w:sz w:val="17"/>
                <w:szCs w:val="17"/>
                <w:color w:val="auto"/>
              </w:rPr>
            </w:pPr>
          </w:p>
        </w:tc>
        <w:tc>
          <w:tcPr>
            <w:tcW w:w="1680" w:type="dxa"/>
            <w:vAlign w:val="bottom"/>
            <w:tcBorders>
              <w:top w:val="single" w:sz="8" w:color="auto"/>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5"/>
              </w:rPr>
              <w:t>[Intentionally Omitted]</w:t>
            </w:r>
          </w:p>
        </w:tc>
        <w:tc>
          <w:tcPr>
            <w:tcW w:w="460" w:type="dxa"/>
            <w:vAlign w:val="bottom"/>
            <w:tcBorders>
              <w:top w:val="single" w:sz="8" w:color="auto"/>
            </w:tcBorders>
            <w:gridSpan w:val="6"/>
          </w:tcPr>
          <w:p>
            <w:pPr>
              <w:spacing w:after="0"/>
              <w:rPr>
                <w:sz w:val="17"/>
                <w:szCs w:val="17"/>
                <w:color w:val="auto"/>
              </w:rPr>
            </w:pPr>
          </w:p>
        </w:tc>
        <w:tc>
          <w:tcPr>
            <w:tcW w:w="4160" w:type="dxa"/>
            <w:vAlign w:val="bottom"/>
            <w:gridSpan w:val="11"/>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500" w:type="dxa"/>
            <w:vAlign w:val="bottom"/>
          </w:tcPr>
          <w:p>
            <w:pPr>
              <w:spacing w:after="0"/>
              <w:rPr>
                <w:sz w:val="17"/>
                <w:szCs w:val="17"/>
                <w:color w:val="auto"/>
              </w:rPr>
            </w:pPr>
          </w:p>
        </w:tc>
        <w:tc>
          <w:tcPr>
            <w:tcW w:w="1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6.14.</w:t>
            </w:r>
          </w:p>
        </w:tc>
        <w:tc>
          <w:tcPr>
            <w:tcW w:w="260" w:type="dxa"/>
            <w:vAlign w:val="bottom"/>
          </w:tcPr>
          <w:p>
            <w:pPr>
              <w:spacing w:after="0"/>
              <w:rPr>
                <w:sz w:val="17"/>
                <w:szCs w:val="17"/>
                <w:color w:val="auto"/>
              </w:rPr>
            </w:pPr>
          </w:p>
        </w:tc>
        <w:tc>
          <w:tcPr>
            <w:tcW w:w="130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0"/>
              </w:rPr>
              <w:t>Depository Banks</w:t>
            </w:r>
          </w:p>
        </w:tc>
        <w:tc>
          <w:tcPr>
            <w:tcW w:w="5000" w:type="dxa"/>
            <w:vAlign w:val="bottom"/>
            <w:gridSpan w:val="23"/>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412"/>
        </w:trPr>
        <w:tc>
          <w:tcPr>
            <w:tcW w:w="290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6"/>
              </w:rPr>
              <w:t>ARTICLE VII EVENTS OF DEFAULT</w:t>
            </w:r>
          </w:p>
        </w:tc>
        <w:tc>
          <w:tcPr>
            <w:tcW w:w="5320" w:type="dxa"/>
            <w:vAlign w:val="bottom"/>
            <w:gridSpan w:val="27"/>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12"/>
        </w:trPr>
        <w:tc>
          <w:tcPr>
            <w:tcW w:w="8220" w:type="dxa"/>
            <w:vAlign w:val="bottom"/>
            <w:gridSpan w:val="40"/>
          </w:tcPr>
          <w:p>
            <w:pPr>
              <w:spacing w:after="0"/>
              <w:rPr>
                <w:sz w:val="20"/>
                <w:szCs w:val="20"/>
                <w:color w:val="auto"/>
              </w:rPr>
            </w:pPr>
            <w:r>
              <w:rPr>
                <w:rFonts w:ascii="Arial" w:cs="Arial" w:eastAsia="Arial" w:hAnsi="Arial"/>
                <w:sz w:val="18"/>
                <w:szCs w:val="18"/>
                <w:color w:val="auto"/>
              </w:rPr>
              <w:t>ARTICLE VIII THE ADMINISTRATIVE AGENT</w:t>
            </w:r>
          </w:p>
        </w:tc>
        <w:tc>
          <w:tcPr>
            <w:tcW w:w="30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500" w:type="dxa"/>
            <w:vAlign w:val="bottom"/>
            <w:shd w:val="clear" w:color="auto" w:fill="000000"/>
          </w:tcPr>
          <w:p>
            <w:pPr>
              <w:spacing w:after="0" w:line="20" w:lineRule="exact"/>
              <w:rPr>
                <w:sz w:val="1"/>
                <w:szCs w:val="1"/>
                <w:color w:val="auto"/>
              </w:rPr>
            </w:pPr>
          </w:p>
        </w:tc>
        <w:tc>
          <w:tcPr>
            <w:tcW w:w="198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7720" w:type="dxa"/>
            <w:vAlign w:val="bottom"/>
            <w:gridSpan w:val="39"/>
          </w:tcPr>
          <w:p>
            <w:pPr>
              <w:spacing w:after="0"/>
              <w:rPr>
                <w:sz w:val="20"/>
                <w:szCs w:val="20"/>
                <w:color w:val="auto"/>
              </w:rPr>
            </w:pPr>
            <w:r>
              <w:rPr>
                <w:rFonts w:ascii="Arial" w:cs="Arial" w:eastAsia="Arial" w:hAnsi="Arial"/>
                <w:sz w:val="18"/>
                <w:szCs w:val="18"/>
                <w:color w:val="auto"/>
              </w:rPr>
              <w:t>SECTION 8.01.   Authorization and Action</w:t>
            </w:r>
          </w:p>
        </w:tc>
        <w:tc>
          <w:tcPr>
            <w:tcW w:w="30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0" w:type="dxa"/>
            <w:vAlign w:val="bottom"/>
            <w:tcBorders>
              <w:bottom w:val="single" w:sz="8" w:color="auto"/>
            </w:tcBorders>
            <w:gridSpan w:val="34"/>
          </w:tcPr>
          <w:p>
            <w:pPr>
              <w:spacing w:after="0" w:line="196" w:lineRule="exact"/>
              <w:rPr>
                <w:sz w:val="20"/>
                <w:szCs w:val="20"/>
                <w:color w:val="auto"/>
              </w:rPr>
            </w:pPr>
            <w:r>
              <w:rPr>
                <w:rFonts w:ascii="Arial" w:cs="Arial" w:eastAsia="Arial" w:hAnsi="Arial"/>
                <w:sz w:val="18"/>
                <w:szCs w:val="18"/>
                <w:color w:val="auto"/>
                <w:w w:val="95"/>
              </w:rPr>
              <w:t>SECTION 8.02.   Administrative Agent’s Reliance, Indemnification, Etc.</w:t>
            </w:r>
          </w:p>
        </w:tc>
        <w:tc>
          <w:tcPr>
            <w:tcW w:w="2320" w:type="dxa"/>
            <w:vAlign w:val="bottom"/>
            <w:gridSpan w:val="5"/>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8.03.   Posting of Communications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8.04.   The Administrative Agent Individually</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8.05.   Successor Administrative Agent</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8.06.   Acknowledgements of Lenders and Issuing Bank</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89"/>
              </w:rPr>
              <w:t>SECTION 8.07.</w:t>
            </w:r>
          </w:p>
        </w:tc>
        <w:tc>
          <w:tcPr>
            <w:tcW w:w="260" w:type="dxa"/>
            <w:vAlign w:val="bottom"/>
          </w:tcPr>
          <w:p>
            <w:pPr>
              <w:spacing w:after="0"/>
              <w:rPr>
                <w:sz w:val="17"/>
                <w:szCs w:val="17"/>
                <w:color w:val="auto"/>
              </w:rPr>
            </w:pPr>
          </w:p>
        </w:tc>
        <w:tc>
          <w:tcPr>
            <w:tcW w:w="3540" w:type="dxa"/>
            <w:vAlign w:val="bottom"/>
            <w:tcBorders>
              <w:top w:val="single" w:sz="8" w:color="auto"/>
            </w:tcBorders>
            <w:gridSpan w:val="30"/>
          </w:tcPr>
          <w:p>
            <w:pPr>
              <w:spacing w:after="0" w:line="196" w:lineRule="exact"/>
              <w:rPr>
                <w:sz w:val="20"/>
                <w:szCs w:val="20"/>
                <w:color w:val="auto"/>
              </w:rPr>
            </w:pPr>
            <w:r>
              <w:rPr>
                <w:rFonts w:ascii="Arial" w:cs="Arial" w:eastAsia="Arial" w:hAnsi="Arial"/>
                <w:sz w:val="18"/>
                <w:szCs w:val="18"/>
                <w:color w:val="auto"/>
              </w:rPr>
              <w:t>Collateral Matters</w:t>
            </w:r>
          </w:p>
        </w:tc>
        <w:tc>
          <w:tcPr>
            <w:tcW w:w="2760" w:type="dxa"/>
            <w:vAlign w:val="bottom"/>
            <w:gridSpan w:val="7"/>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8.08.</w:t>
            </w:r>
          </w:p>
        </w:tc>
        <w:tc>
          <w:tcPr>
            <w:tcW w:w="260" w:type="dxa"/>
            <w:vAlign w:val="bottom"/>
          </w:tcPr>
          <w:p>
            <w:pPr>
              <w:spacing w:after="0"/>
              <w:rPr>
                <w:sz w:val="17"/>
                <w:szCs w:val="17"/>
                <w:color w:val="auto"/>
              </w:rPr>
            </w:pPr>
          </w:p>
        </w:tc>
        <w:tc>
          <w:tcPr>
            <w:tcW w:w="108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3"/>
              </w:rPr>
              <w:t>Credit Bidding</w:t>
            </w:r>
          </w:p>
        </w:tc>
        <w:tc>
          <w:tcPr>
            <w:tcW w:w="220" w:type="dxa"/>
            <w:vAlign w:val="bottom"/>
            <w:tcBorders>
              <w:top w:val="single" w:sz="8" w:color="auto"/>
            </w:tcBorders>
            <w:gridSpan w:val="3"/>
          </w:tcPr>
          <w:p>
            <w:pPr>
              <w:spacing w:after="0"/>
              <w:rPr>
                <w:sz w:val="17"/>
                <w:szCs w:val="17"/>
                <w:color w:val="auto"/>
              </w:rPr>
            </w:pPr>
          </w:p>
        </w:tc>
        <w:tc>
          <w:tcPr>
            <w:tcW w:w="5000" w:type="dxa"/>
            <w:vAlign w:val="bottom"/>
            <w:gridSpan w:val="23"/>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8.09.   Certain ERISA Matters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8.10.</w:t>
            </w:r>
          </w:p>
        </w:tc>
        <w:tc>
          <w:tcPr>
            <w:tcW w:w="260" w:type="dxa"/>
            <w:vAlign w:val="bottom"/>
          </w:tcPr>
          <w:p>
            <w:pPr>
              <w:spacing w:after="0"/>
              <w:rPr>
                <w:sz w:val="17"/>
                <w:szCs w:val="17"/>
                <w:color w:val="auto"/>
              </w:rPr>
            </w:pPr>
          </w:p>
        </w:tc>
        <w:tc>
          <w:tcPr>
            <w:tcW w:w="86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1"/>
              </w:rPr>
              <w:t>Flood Laws</w:t>
            </w:r>
          </w:p>
        </w:tc>
        <w:tc>
          <w:tcPr>
            <w:tcW w:w="840" w:type="dxa"/>
            <w:vAlign w:val="bottom"/>
            <w:tcBorders>
              <w:top w:val="single" w:sz="8" w:color="auto"/>
            </w:tcBorders>
            <w:gridSpan w:val="14"/>
          </w:tcPr>
          <w:p>
            <w:pPr>
              <w:spacing w:after="0"/>
              <w:rPr>
                <w:sz w:val="17"/>
                <w:szCs w:val="17"/>
                <w:color w:val="auto"/>
              </w:rPr>
            </w:pPr>
          </w:p>
        </w:tc>
        <w:tc>
          <w:tcPr>
            <w:tcW w:w="4600" w:type="dxa"/>
            <w:vAlign w:val="bottom"/>
            <w:gridSpan w:val="16"/>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412"/>
        </w:trPr>
        <w:tc>
          <w:tcPr>
            <w:tcW w:w="25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ARTICLE IX MISCELLANEOUS</w:t>
            </w:r>
          </w:p>
        </w:tc>
        <w:tc>
          <w:tcPr>
            <w:tcW w:w="5660" w:type="dxa"/>
            <w:vAlign w:val="bottom"/>
            <w:gridSpan w:val="33"/>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12"/>
        </w:trPr>
        <w:tc>
          <w:tcPr>
            <w:tcW w:w="5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SECTION 9.01.</w:t>
            </w:r>
          </w:p>
        </w:tc>
        <w:tc>
          <w:tcPr>
            <w:tcW w:w="260" w:type="dxa"/>
            <w:vAlign w:val="bottom"/>
          </w:tcPr>
          <w:p>
            <w:pPr>
              <w:spacing w:after="0"/>
              <w:rPr>
                <w:sz w:val="24"/>
                <w:szCs w:val="2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Notices</w:t>
            </w:r>
          </w:p>
        </w:tc>
        <w:tc>
          <w:tcPr>
            <w:tcW w:w="5740" w:type="dxa"/>
            <w:vAlign w:val="bottom"/>
            <w:gridSpan w:val="35"/>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196"/>
        </w:trPr>
        <w:tc>
          <w:tcPr>
            <w:tcW w:w="50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color w:val="auto"/>
                <w:w w:val="89"/>
              </w:rPr>
              <w:t>SECTION 9.02.</w:t>
            </w:r>
          </w:p>
        </w:tc>
        <w:tc>
          <w:tcPr>
            <w:tcW w:w="2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Arial" w:cs="Arial" w:eastAsia="Arial" w:hAnsi="Arial"/>
                <w:sz w:val="18"/>
                <w:szCs w:val="18"/>
                <w:color w:val="auto"/>
              </w:rPr>
              <w:t>Waivers; Amendments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9.03.   Expenses; Indemnity; Damage Waiver</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32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9.04.   Successors and Assigns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9.05.</w:t>
            </w:r>
          </w:p>
        </w:tc>
        <w:tc>
          <w:tcPr>
            <w:tcW w:w="260" w:type="dxa"/>
            <w:vAlign w:val="bottom"/>
          </w:tcPr>
          <w:p>
            <w:pPr>
              <w:spacing w:after="0"/>
              <w:rPr>
                <w:sz w:val="17"/>
                <w:szCs w:val="17"/>
                <w:color w:val="auto"/>
              </w:rPr>
            </w:pPr>
          </w:p>
        </w:tc>
        <w:tc>
          <w:tcPr>
            <w:tcW w:w="6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3"/>
              </w:rPr>
              <w:t>Survival</w:t>
            </w:r>
          </w:p>
        </w:tc>
        <w:tc>
          <w:tcPr>
            <w:tcW w:w="1080" w:type="dxa"/>
            <w:vAlign w:val="bottom"/>
            <w:tcBorders>
              <w:top w:val="single" w:sz="8" w:color="auto"/>
            </w:tcBorders>
            <w:gridSpan w:val="18"/>
          </w:tcPr>
          <w:p>
            <w:pPr>
              <w:spacing w:after="0"/>
              <w:rPr>
                <w:sz w:val="17"/>
                <w:szCs w:val="17"/>
                <w:color w:val="auto"/>
              </w:rPr>
            </w:pPr>
          </w:p>
        </w:tc>
        <w:tc>
          <w:tcPr>
            <w:tcW w:w="4600" w:type="dxa"/>
            <w:vAlign w:val="bottom"/>
            <w:gridSpan w:val="16"/>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9.06.   Counterparts; Integration; Effectiveness; Electronic Execution</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9.07.</w:t>
            </w:r>
          </w:p>
        </w:tc>
        <w:tc>
          <w:tcPr>
            <w:tcW w:w="260" w:type="dxa"/>
            <w:vAlign w:val="bottom"/>
          </w:tcPr>
          <w:p>
            <w:pPr>
              <w:spacing w:after="0"/>
              <w:rPr>
                <w:sz w:val="17"/>
                <w:szCs w:val="17"/>
                <w:color w:val="auto"/>
              </w:rPr>
            </w:pPr>
          </w:p>
        </w:tc>
        <w:tc>
          <w:tcPr>
            <w:tcW w:w="88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2"/>
              </w:rPr>
              <w:t>Severability</w:t>
            </w:r>
          </w:p>
        </w:tc>
        <w:tc>
          <w:tcPr>
            <w:tcW w:w="3600" w:type="dxa"/>
            <w:vAlign w:val="bottom"/>
            <w:tcBorders>
              <w:top w:val="single" w:sz="8" w:color="auto"/>
            </w:tcBorders>
            <w:gridSpan w:val="27"/>
          </w:tcPr>
          <w:p>
            <w:pPr>
              <w:spacing w:after="0"/>
              <w:rPr>
                <w:sz w:val="17"/>
                <w:szCs w:val="17"/>
                <w:color w:val="auto"/>
              </w:rPr>
            </w:pPr>
          </w:p>
        </w:tc>
        <w:tc>
          <w:tcPr>
            <w:tcW w:w="1820" w:type="dxa"/>
            <w:vAlign w:val="bottom"/>
            <w:gridSpan w:val="2"/>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196"/>
        </w:trPr>
        <w:tc>
          <w:tcPr>
            <w:tcW w:w="50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color w:val="auto"/>
                <w:w w:val="89"/>
              </w:rPr>
              <w:t>SECTION 9.08.</w:t>
            </w:r>
          </w:p>
        </w:tc>
        <w:tc>
          <w:tcPr>
            <w:tcW w:w="2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Arial" w:cs="Arial" w:eastAsia="Arial" w:hAnsi="Arial"/>
                <w:sz w:val="18"/>
                <w:szCs w:val="18"/>
                <w:color w:val="auto"/>
              </w:rPr>
              <w:t>Right of Setoff</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9.09.   Governing Law; Jurisdiction; Consent to Service of Process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6"/>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32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gridSpan w:val="6"/>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9.10.   WAIVER OF JURY TRIAL</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89"/>
              </w:rPr>
              <w:t>SECTION 9.11.</w:t>
            </w:r>
          </w:p>
        </w:tc>
        <w:tc>
          <w:tcPr>
            <w:tcW w:w="260" w:type="dxa"/>
            <w:vAlign w:val="bottom"/>
          </w:tcPr>
          <w:p>
            <w:pPr>
              <w:spacing w:after="0"/>
              <w:rPr>
                <w:sz w:val="17"/>
                <w:szCs w:val="17"/>
                <w:color w:val="auto"/>
              </w:rPr>
            </w:pPr>
          </w:p>
        </w:tc>
        <w:tc>
          <w:tcPr>
            <w:tcW w:w="204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Headings</w:t>
            </w:r>
          </w:p>
        </w:tc>
        <w:tc>
          <w:tcPr>
            <w:tcW w:w="4260" w:type="dxa"/>
            <w:vAlign w:val="bottom"/>
            <w:gridSpan w:val="12"/>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9.12.</w:t>
            </w:r>
          </w:p>
        </w:tc>
        <w:tc>
          <w:tcPr>
            <w:tcW w:w="260" w:type="dxa"/>
            <w:vAlign w:val="bottom"/>
          </w:tcPr>
          <w:p>
            <w:pPr>
              <w:spacing w:after="0"/>
              <w:rPr>
                <w:sz w:val="17"/>
                <w:szCs w:val="17"/>
                <w:color w:val="auto"/>
              </w:rPr>
            </w:pPr>
          </w:p>
        </w:tc>
        <w:tc>
          <w:tcPr>
            <w:tcW w:w="110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5"/>
              </w:rPr>
              <w:t>Confidentiality</w:t>
            </w:r>
          </w:p>
        </w:tc>
        <w:tc>
          <w:tcPr>
            <w:tcW w:w="5200" w:type="dxa"/>
            <w:vAlign w:val="bottom"/>
            <w:gridSpan w:val="25"/>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9.13.   USA PATRIOT Act</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20" w:type="dxa"/>
            <w:vAlign w:val="bottom"/>
            <w:tcBorders>
              <w:right w:val="single" w:sz="8" w:color="auto"/>
            </w:tcBorders>
            <w:gridSpan w:val="6"/>
            <w:shd w:val="clear" w:color="auto" w:fill="000000"/>
          </w:tcPr>
          <w:p>
            <w:pPr>
              <w:spacing w:after="0" w:line="20" w:lineRule="exact"/>
              <w:rPr>
                <w:sz w:val="1"/>
                <w:szCs w:val="1"/>
                <w:color w:val="auto"/>
              </w:rPr>
            </w:pPr>
          </w:p>
        </w:tc>
        <w:tc>
          <w:tcPr>
            <w:tcW w:w="560" w:type="dxa"/>
            <w:vAlign w:val="bottom"/>
            <w:gridSpan w:val="10"/>
            <w:shd w:val="clear" w:color="auto" w:fill="000000"/>
          </w:tcPr>
          <w:p>
            <w:pPr>
              <w:spacing w:after="0" w:line="20" w:lineRule="exact"/>
              <w:rPr>
                <w:sz w:val="1"/>
                <w:szCs w:val="1"/>
                <w:color w:val="auto"/>
              </w:rPr>
            </w:pPr>
          </w:p>
        </w:tc>
        <w:tc>
          <w:tcPr>
            <w:tcW w:w="320" w:type="dxa"/>
            <w:vAlign w:val="bottom"/>
            <w:tcBorders>
              <w:left w:val="single" w:sz="8" w:color="auto"/>
            </w:tcBorders>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9.14.   Several Obligations; Nonreliance; Violation of Law</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9.15.</w:t>
            </w:r>
          </w:p>
        </w:tc>
        <w:tc>
          <w:tcPr>
            <w:tcW w:w="260" w:type="dxa"/>
            <w:vAlign w:val="bottom"/>
          </w:tcPr>
          <w:p>
            <w:pPr>
              <w:spacing w:after="0"/>
              <w:rPr>
                <w:sz w:val="17"/>
                <w:szCs w:val="17"/>
                <w:color w:val="auto"/>
              </w:rPr>
            </w:pPr>
          </w:p>
        </w:tc>
        <w:tc>
          <w:tcPr>
            <w:tcW w:w="82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2"/>
              </w:rPr>
              <w:t>Disclosure</w:t>
            </w:r>
          </w:p>
        </w:tc>
        <w:tc>
          <w:tcPr>
            <w:tcW w:w="2940" w:type="dxa"/>
            <w:vAlign w:val="bottom"/>
            <w:tcBorders>
              <w:top w:val="single" w:sz="8" w:color="auto"/>
            </w:tcBorders>
            <w:gridSpan w:val="25"/>
          </w:tcPr>
          <w:p>
            <w:pPr>
              <w:spacing w:after="0"/>
              <w:rPr>
                <w:sz w:val="17"/>
                <w:szCs w:val="17"/>
                <w:color w:val="auto"/>
              </w:rPr>
            </w:pPr>
          </w:p>
        </w:tc>
        <w:tc>
          <w:tcPr>
            <w:tcW w:w="2540" w:type="dxa"/>
            <w:vAlign w:val="bottom"/>
            <w:gridSpan w:val="6"/>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9.16.   Appointment for Perfection</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380" w:type="dxa"/>
            <w:vAlign w:val="bottom"/>
            <w:gridSpan w:val="16"/>
            <w:shd w:val="clear" w:color="auto" w:fill="000000"/>
          </w:tcPr>
          <w:p>
            <w:pPr>
              <w:spacing w:after="0" w:line="20" w:lineRule="exact"/>
              <w:rPr>
                <w:sz w:val="1"/>
                <w:szCs w:val="1"/>
                <w:color w:val="auto"/>
              </w:rPr>
            </w:pPr>
          </w:p>
        </w:tc>
        <w:tc>
          <w:tcPr>
            <w:tcW w:w="32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9.17.   Interest Rate Limitation</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380" w:type="dxa"/>
            <w:vAlign w:val="bottom"/>
            <w:gridSpan w:val="16"/>
            <w:shd w:val="clear" w:color="auto" w:fill="000000"/>
          </w:tcPr>
          <w:p>
            <w:pPr>
              <w:spacing w:after="0" w:line="20" w:lineRule="exact"/>
              <w:rPr>
                <w:sz w:val="1"/>
                <w:szCs w:val="1"/>
                <w:color w:val="auto"/>
              </w:rPr>
            </w:pPr>
          </w:p>
        </w:tc>
        <w:tc>
          <w:tcPr>
            <w:tcW w:w="32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9.18.   Release of Loan Guarantors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196"/>
        </w:trPr>
        <w:tc>
          <w:tcPr>
            <w:tcW w:w="50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9.19.</w:t>
            </w:r>
          </w:p>
        </w:tc>
        <w:tc>
          <w:tcPr>
            <w:tcW w:w="260" w:type="dxa"/>
            <w:vAlign w:val="bottom"/>
          </w:tcPr>
          <w:p>
            <w:pPr>
              <w:spacing w:after="0"/>
              <w:rPr>
                <w:sz w:val="17"/>
                <w:szCs w:val="17"/>
                <w:color w:val="auto"/>
              </w:rPr>
            </w:pPr>
          </w:p>
        </w:tc>
        <w:tc>
          <w:tcPr>
            <w:tcW w:w="1840" w:type="dxa"/>
            <w:vAlign w:val="bottom"/>
            <w:tcBorders>
              <w:top w:val="single" w:sz="8" w:color="auto"/>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0"/>
              </w:rPr>
              <w:t>Intercreditor Agreements</w:t>
            </w:r>
          </w:p>
        </w:tc>
        <w:tc>
          <w:tcPr>
            <w:tcW w:w="160" w:type="dxa"/>
            <w:vAlign w:val="bottom"/>
            <w:tcBorders>
              <w:top w:val="single" w:sz="8" w:color="auto"/>
            </w:tcBorders>
          </w:tcPr>
          <w:p>
            <w:pPr>
              <w:spacing w:after="0"/>
              <w:rPr>
                <w:sz w:val="17"/>
                <w:szCs w:val="17"/>
                <w:color w:val="auto"/>
              </w:rPr>
            </w:pPr>
          </w:p>
        </w:tc>
        <w:tc>
          <w:tcPr>
            <w:tcW w:w="4300" w:type="dxa"/>
            <w:vAlign w:val="bottom"/>
            <w:gridSpan w:val="13"/>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50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color w:val="auto"/>
                <w:w w:val="89"/>
              </w:rPr>
              <w:t>SECTION 9.20.</w:t>
            </w:r>
          </w:p>
        </w:tc>
        <w:tc>
          <w:tcPr>
            <w:tcW w:w="2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Arial" w:cs="Arial" w:eastAsia="Arial" w:hAnsi="Arial"/>
                <w:sz w:val="18"/>
                <w:szCs w:val="18"/>
                <w:color w:val="auto"/>
              </w:rPr>
              <w:t>Marketing Consent</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380" w:type="dxa"/>
            <w:vAlign w:val="bottom"/>
            <w:gridSpan w:val="16"/>
            <w:shd w:val="clear" w:color="auto" w:fill="00000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9.21.   Acknowledgement and Consent to Bail-In of EEA Financial Institutions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700" w:type="dxa"/>
            <w:vAlign w:val="bottom"/>
            <w:gridSpan w:val="21"/>
            <w:shd w:val="clear" w:color="auto" w:fill="000000"/>
          </w:tcPr>
          <w:p>
            <w:pPr>
              <w:spacing w:after="0" w:line="20" w:lineRule="exact"/>
              <w:rPr>
                <w:sz w:val="1"/>
                <w:szCs w:val="1"/>
                <w:color w:val="auto"/>
              </w:rPr>
            </w:pPr>
          </w:p>
        </w:tc>
        <w:tc>
          <w:tcPr>
            <w:tcW w:w="2060" w:type="dxa"/>
            <w:vAlign w:val="bottom"/>
            <w:tcBorders>
              <w:left w:val="single" w:sz="8" w:color="auto"/>
              <w:right w:val="single" w:sz="8" w:color="auto"/>
            </w:tcBorders>
            <w:gridSpan w:val="10"/>
            <w:shd w:val="clear" w:color="auto" w:fill="000000"/>
          </w:tcPr>
          <w:p>
            <w:pPr>
              <w:spacing w:after="0" w:line="20" w:lineRule="exact"/>
              <w:rPr>
                <w:sz w:val="1"/>
                <w:szCs w:val="1"/>
                <w:color w:val="auto"/>
              </w:rPr>
            </w:pPr>
          </w:p>
        </w:tc>
        <w:tc>
          <w:tcPr>
            <w:tcW w:w="1440" w:type="dxa"/>
            <w:vAlign w:val="bottom"/>
            <w:gridSpan w:val="5"/>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9.22.   No Fiduciary Duty, etc.</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700" w:type="dxa"/>
            <w:vAlign w:val="bottom"/>
            <w:gridSpan w:val="21"/>
            <w:shd w:val="clear" w:color="auto" w:fill="000000"/>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720" w:type="dxa"/>
            <w:vAlign w:val="bottom"/>
            <w:gridSpan w:val="39"/>
          </w:tcPr>
          <w:p>
            <w:pPr>
              <w:spacing w:after="0" w:line="196" w:lineRule="exact"/>
              <w:rPr>
                <w:sz w:val="20"/>
                <w:szCs w:val="20"/>
                <w:color w:val="auto"/>
              </w:rPr>
            </w:pPr>
            <w:r>
              <w:rPr>
                <w:rFonts w:ascii="Arial" w:cs="Arial" w:eastAsia="Arial" w:hAnsi="Arial"/>
                <w:sz w:val="18"/>
                <w:szCs w:val="18"/>
                <w:color w:val="auto"/>
              </w:rPr>
              <w:t>SECTION 9.23.   Acknowledgement Regarding Any Supported QFCs</w:t>
            </w: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7"/>
        </w:trPr>
        <w:tc>
          <w:tcPr>
            <w:tcW w:w="25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9"/>
              </w:rPr>
              <w:t>ARTICLE X LOAN GUARANTY</w:t>
            </w:r>
          </w:p>
        </w:tc>
        <w:tc>
          <w:tcPr>
            <w:tcW w:w="7760" w:type="dxa"/>
            <w:vAlign w:val="bottom"/>
            <w:gridSpan w:val="16"/>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412"/>
        </w:trPr>
        <w:tc>
          <w:tcPr>
            <w:tcW w:w="500" w:type="dxa"/>
            <w:vAlign w:val="bottom"/>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SECTION 10.01.</w:t>
            </w:r>
          </w:p>
        </w:tc>
        <w:tc>
          <w:tcPr>
            <w:tcW w:w="180" w:type="dxa"/>
            <w:vAlign w:val="bottom"/>
          </w:tcPr>
          <w:p>
            <w:pPr>
              <w:spacing w:after="0"/>
              <w:rPr>
                <w:sz w:val="24"/>
                <w:szCs w:val="24"/>
                <w:color w:val="auto"/>
              </w:rPr>
            </w:pPr>
          </w:p>
        </w:tc>
        <w:tc>
          <w:tcPr>
            <w:tcW w:w="6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Guaranty</w:t>
            </w:r>
          </w:p>
        </w:tc>
        <w:tc>
          <w:tcPr>
            <w:tcW w:w="7700" w:type="dxa"/>
            <w:vAlign w:val="bottom"/>
            <w:gridSpan w:val="1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196"/>
        </w:trPr>
        <w:tc>
          <w:tcPr>
            <w:tcW w:w="50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Arial" w:cs="Arial" w:eastAsia="Arial" w:hAnsi="Arial"/>
                <w:sz w:val="18"/>
                <w:szCs w:val="18"/>
                <w:color w:val="auto"/>
              </w:rPr>
              <w:t>SECTION 10.02.  Guaranty of Payment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20"/>
        </w:trPr>
        <w:tc>
          <w:tcPr>
            <w:tcW w:w="500" w:type="dxa"/>
            <w:vAlign w:val="bottom"/>
          </w:tcPr>
          <w:p>
            <w:pPr>
              <w:spacing w:after="0" w:line="20" w:lineRule="exact"/>
              <w:rPr>
                <w:sz w:val="1"/>
                <w:szCs w:val="1"/>
                <w:color w:val="auto"/>
              </w:rPr>
            </w:pPr>
          </w:p>
        </w:tc>
        <w:tc>
          <w:tcPr>
            <w:tcW w:w="12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Arial" w:cs="Arial" w:eastAsia="Arial" w:hAnsi="Arial"/>
                <w:sz w:val="18"/>
                <w:szCs w:val="18"/>
                <w:color w:val="auto"/>
              </w:rPr>
              <w:t>SECTION 10.03.  No Discharge or Diminishment of Loan Guaranty</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196"/>
        </w:trPr>
        <w:tc>
          <w:tcPr>
            <w:tcW w:w="50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10.04.</w:t>
            </w:r>
          </w:p>
        </w:tc>
        <w:tc>
          <w:tcPr>
            <w:tcW w:w="180" w:type="dxa"/>
            <w:vAlign w:val="bottom"/>
          </w:tcPr>
          <w:p>
            <w:pPr>
              <w:spacing w:after="0"/>
              <w:rPr>
                <w:sz w:val="17"/>
                <w:szCs w:val="17"/>
                <w:color w:val="auto"/>
              </w:rPr>
            </w:pPr>
          </w:p>
        </w:tc>
        <w:tc>
          <w:tcPr>
            <w:tcW w:w="1260" w:type="dxa"/>
            <w:vAlign w:val="bottom"/>
            <w:tcBorders>
              <w:top w:val="single" w:sz="8" w:color="auto"/>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87"/>
              </w:rPr>
              <w:t>Defenses Waived</w:t>
            </w:r>
          </w:p>
        </w:tc>
        <w:tc>
          <w:tcPr>
            <w:tcW w:w="2320" w:type="dxa"/>
            <w:vAlign w:val="bottom"/>
            <w:tcBorders>
              <w:top w:val="single" w:sz="8" w:color="auto"/>
            </w:tcBorders>
            <w:gridSpan w:val="8"/>
          </w:tcPr>
          <w:p>
            <w:pPr>
              <w:spacing w:after="0"/>
              <w:rPr>
                <w:sz w:val="17"/>
                <w:szCs w:val="17"/>
                <w:color w:val="auto"/>
              </w:rPr>
            </w:pPr>
          </w:p>
        </w:tc>
        <w:tc>
          <w:tcPr>
            <w:tcW w:w="480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50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Arial" w:cs="Arial" w:eastAsia="Arial" w:hAnsi="Arial"/>
                <w:sz w:val="18"/>
                <w:szCs w:val="18"/>
                <w:color w:val="auto"/>
              </w:rPr>
              <w:t>SECTION 10.05.  Rights of Subrogation</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500" w:type="dxa"/>
            <w:vAlign w:val="bottom"/>
          </w:tcPr>
          <w:p>
            <w:pPr>
              <w:spacing w:after="0" w:line="20" w:lineRule="exact"/>
              <w:rPr>
                <w:sz w:val="1"/>
                <w:szCs w:val="1"/>
                <w:color w:val="auto"/>
              </w:rPr>
            </w:pPr>
          </w:p>
        </w:tc>
        <w:tc>
          <w:tcPr>
            <w:tcW w:w="12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Arial" w:cs="Arial" w:eastAsia="Arial" w:hAnsi="Arial"/>
                <w:sz w:val="18"/>
                <w:szCs w:val="18"/>
                <w:color w:val="auto"/>
              </w:rPr>
              <w:t>SECTION 10.06.  Reinstatement; Stay of Acceleration</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500" w:type="dxa"/>
            <w:vAlign w:val="bottom"/>
          </w:tcPr>
          <w:p>
            <w:pPr>
              <w:spacing w:after="0"/>
              <w:rPr>
                <w:sz w:val="17"/>
                <w:szCs w:val="17"/>
                <w:color w:val="auto"/>
              </w:rPr>
            </w:pPr>
          </w:p>
        </w:tc>
        <w:tc>
          <w:tcPr>
            <w:tcW w:w="12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10.07.</w:t>
            </w:r>
          </w:p>
        </w:tc>
        <w:tc>
          <w:tcPr>
            <w:tcW w:w="180" w:type="dxa"/>
            <w:vAlign w:val="bottom"/>
          </w:tcPr>
          <w:p>
            <w:pPr>
              <w:spacing w:after="0"/>
              <w:rPr>
                <w:sz w:val="17"/>
                <w:szCs w:val="17"/>
                <w:color w:val="auto"/>
              </w:rPr>
            </w:pPr>
          </w:p>
        </w:tc>
        <w:tc>
          <w:tcPr>
            <w:tcW w:w="260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Information</w:t>
            </w:r>
          </w:p>
        </w:tc>
        <w:tc>
          <w:tcPr>
            <w:tcW w:w="5780" w:type="dxa"/>
            <w:vAlign w:val="bottom"/>
            <w:gridSpan w:val="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500" w:type="dxa"/>
            <w:vAlign w:val="bottom"/>
          </w:tcPr>
          <w:p>
            <w:pPr>
              <w:spacing w:after="0" w:line="20" w:lineRule="exact"/>
              <w:rPr>
                <w:sz w:val="1"/>
                <w:szCs w:val="1"/>
                <w:color w:val="auto"/>
              </w:rPr>
            </w:pPr>
          </w:p>
        </w:tc>
        <w:tc>
          <w:tcPr>
            <w:tcW w:w="12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w w:val="88"/>
              </w:rPr>
              <w:t>SECTION 10.08.</w:t>
            </w:r>
          </w:p>
        </w:tc>
        <w:tc>
          <w:tcPr>
            <w:tcW w:w="180" w:type="dxa"/>
            <w:vAlign w:val="bottom"/>
          </w:tcPr>
          <w:p>
            <w:pPr>
              <w:spacing w:after="0"/>
              <w:rPr>
                <w:sz w:val="17"/>
                <w:szCs w:val="17"/>
                <w:color w:val="auto"/>
              </w:rPr>
            </w:pPr>
          </w:p>
        </w:tc>
        <w:tc>
          <w:tcPr>
            <w:tcW w:w="8380" w:type="dxa"/>
            <w:vAlign w:val="bottom"/>
            <w:gridSpan w:val="20"/>
          </w:tcPr>
          <w:p>
            <w:pPr>
              <w:spacing w:after="0" w:line="196" w:lineRule="exact"/>
              <w:rPr>
                <w:sz w:val="20"/>
                <w:szCs w:val="20"/>
                <w:color w:val="auto"/>
              </w:rPr>
            </w:pPr>
            <w:r>
              <w:rPr>
                <w:rFonts w:ascii="Arial" w:cs="Arial" w:eastAsia="Arial" w:hAnsi="Arial"/>
                <w:sz w:val="18"/>
                <w:szCs w:val="18"/>
                <w:color w:val="auto"/>
              </w:rPr>
              <w:t>Termination</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500" w:type="dxa"/>
            <w:vAlign w:val="bottom"/>
          </w:tcPr>
          <w:p>
            <w:pPr>
              <w:spacing w:after="0"/>
              <w:rPr>
                <w:sz w:val="17"/>
                <w:szCs w:val="17"/>
                <w:color w:val="auto"/>
              </w:rPr>
            </w:pPr>
          </w:p>
        </w:tc>
        <w:tc>
          <w:tcPr>
            <w:tcW w:w="12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10.09.</w:t>
            </w:r>
          </w:p>
        </w:tc>
        <w:tc>
          <w:tcPr>
            <w:tcW w:w="180" w:type="dxa"/>
            <w:vAlign w:val="bottom"/>
          </w:tcPr>
          <w:p>
            <w:pPr>
              <w:spacing w:after="0"/>
              <w:rPr>
                <w:sz w:val="17"/>
                <w:szCs w:val="17"/>
                <w:color w:val="auto"/>
              </w:rPr>
            </w:pPr>
          </w:p>
        </w:tc>
        <w:tc>
          <w:tcPr>
            <w:tcW w:w="88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Taxes</w:t>
            </w:r>
          </w:p>
        </w:tc>
        <w:tc>
          <w:tcPr>
            <w:tcW w:w="7500" w:type="dxa"/>
            <w:vAlign w:val="bottom"/>
            <w:gridSpan w:val="1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500" w:type="dxa"/>
            <w:vAlign w:val="bottom"/>
          </w:tcPr>
          <w:p>
            <w:pPr>
              <w:spacing w:after="0" w:line="20" w:lineRule="exact"/>
              <w:rPr>
                <w:sz w:val="1"/>
                <w:szCs w:val="1"/>
                <w:color w:val="auto"/>
              </w:rPr>
            </w:pPr>
          </w:p>
        </w:tc>
        <w:tc>
          <w:tcPr>
            <w:tcW w:w="12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10.10.</w:t>
            </w:r>
          </w:p>
        </w:tc>
        <w:tc>
          <w:tcPr>
            <w:tcW w:w="180" w:type="dxa"/>
            <w:vAlign w:val="bottom"/>
          </w:tcPr>
          <w:p>
            <w:pPr>
              <w:spacing w:after="0"/>
              <w:rPr>
                <w:sz w:val="17"/>
                <w:szCs w:val="17"/>
                <w:color w:val="auto"/>
              </w:rPr>
            </w:pPr>
          </w:p>
        </w:tc>
        <w:tc>
          <w:tcPr>
            <w:tcW w:w="142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7"/>
              </w:rPr>
              <w:t>Maximum Liability</w:t>
            </w:r>
          </w:p>
        </w:tc>
        <w:tc>
          <w:tcPr>
            <w:tcW w:w="6960" w:type="dxa"/>
            <w:vAlign w:val="bottom"/>
            <w:gridSpan w:val="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196"/>
        </w:trPr>
        <w:tc>
          <w:tcPr>
            <w:tcW w:w="500" w:type="dxa"/>
            <w:vAlign w:val="bottom"/>
          </w:tcPr>
          <w:p>
            <w:pPr>
              <w:spacing w:after="0"/>
              <w:rPr>
                <w:sz w:val="17"/>
                <w:szCs w:val="17"/>
                <w:color w:val="auto"/>
              </w:rPr>
            </w:pPr>
          </w:p>
        </w:tc>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w w:val="88"/>
              </w:rPr>
              <w:t>SECTION 10.11.</w:t>
            </w:r>
          </w:p>
        </w:tc>
        <w:tc>
          <w:tcPr>
            <w:tcW w:w="180" w:type="dxa"/>
            <w:vAlign w:val="bottom"/>
          </w:tcPr>
          <w:p>
            <w:pPr>
              <w:spacing w:after="0"/>
              <w:rPr>
                <w:sz w:val="17"/>
                <w:szCs w:val="17"/>
                <w:color w:val="auto"/>
              </w:rPr>
            </w:pPr>
          </w:p>
        </w:tc>
        <w:tc>
          <w:tcPr>
            <w:tcW w:w="8380" w:type="dxa"/>
            <w:vAlign w:val="bottom"/>
            <w:gridSpan w:val="20"/>
          </w:tcPr>
          <w:p>
            <w:pPr>
              <w:spacing w:after="0" w:line="196" w:lineRule="exact"/>
              <w:rPr>
                <w:sz w:val="20"/>
                <w:szCs w:val="20"/>
                <w:color w:val="auto"/>
              </w:rPr>
            </w:pPr>
            <w:r>
              <w:rPr>
                <w:rFonts w:ascii="Arial" w:cs="Arial" w:eastAsia="Arial" w:hAnsi="Arial"/>
                <w:sz w:val="18"/>
                <w:szCs w:val="18"/>
                <w:color w:val="auto"/>
              </w:rPr>
              <w:t>Contribution</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20"/>
        </w:trPr>
        <w:tc>
          <w:tcPr>
            <w:tcW w:w="500" w:type="dxa"/>
            <w:vAlign w:val="bottom"/>
          </w:tcPr>
          <w:p>
            <w:pPr>
              <w:spacing w:after="0" w:line="20" w:lineRule="exact"/>
              <w:rPr>
                <w:sz w:val="1"/>
                <w:szCs w:val="1"/>
                <w:color w:val="auto"/>
              </w:rPr>
            </w:pPr>
          </w:p>
        </w:tc>
        <w:tc>
          <w:tcPr>
            <w:tcW w:w="12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w w:val="88"/>
              </w:rPr>
              <w:t>SECTION 10.12.</w:t>
            </w:r>
          </w:p>
        </w:tc>
        <w:tc>
          <w:tcPr>
            <w:tcW w:w="180" w:type="dxa"/>
            <w:vAlign w:val="bottom"/>
          </w:tcPr>
          <w:p>
            <w:pPr>
              <w:spacing w:after="0"/>
              <w:rPr>
                <w:sz w:val="17"/>
                <w:szCs w:val="17"/>
                <w:color w:val="auto"/>
              </w:rPr>
            </w:pPr>
          </w:p>
        </w:tc>
        <w:tc>
          <w:tcPr>
            <w:tcW w:w="8380" w:type="dxa"/>
            <w:vAlign w:val="bottom"/>
            <w:gridSpan w:val="20"/>
          </w:tcPr>
          <w:p>
            <w:pPr>
              <w:spacing w:after="0" w:line="196" w:lineRule="exact"/>
              <w:rPr>
                <w:sz w:val="20"/>
                <w:szCs w:val="20"/>
                <w:color w:val="auto"/>
              </w:rPr>
            </w:pPr>
            <w:r>
              <w:rPr>
                <w:rFonts w:ascii="Arial" w:cs="Arial" w:eastAsia="Arial" w:hAnsi="Arial"/>
                <w:sz w:val="18"/>
                <w:szCs w:val="18"/>
                <w:color w:val="auto"/>
              </w:rPr>
              <w:t>Liability Cumulative</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50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10.13.</w:t>
            </w:r>
          </w:p>
        </w:tc>
        <w:tc>
          <w:tcPr>
            <w:tcW w:w="180" w:type="dxa"/>
            <w:vAlign w:val="bottom"/>
          </w:tcPr>
          <w:p>
            <w:pPr>
              <w:spacing w:after="0"/>
              <w:rPr>
                <w:sz w:val="17"/>
                <w:szCs w:val="17"/>
                <w:color w:val="auto"/>
              </w:rPr>
            </w:pPr>
          </w:p>
        </w:tc>
        <w:tc>
          <w:tcPr>
            <w:tcW w:w="72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3"/>
              </w:rPr>
              <w:t>Keepwell</w:t>
            </w:r>
          </w:p>
        </w:tc>
        <w:tc>
          <w:tcPr>
            <w:tcW w:w="820" w:type="dxa"/>
            <w:vAlign w:val="bottom"/>
            <w:tcBorders>
              <w:top w:val="single" w:sz="8" w:color="auto"/>
            </w:tcBorders>
            <w:gridSpan w:val="6"/>
          </w:tcPr>
          <w:p>
            <w:pPr>
              <w:spacing w:after="0"/>
              <w:rPr>
                <w:sz w:val="17"/>
                <w:szCs w:val="17"/>
                <w:color w:val="auto"/>
              </w:rPr>
            </w:pPr>
          </w:p>
        </w:tc>
        <w:tc>
          <w:tcPr>
            <w:tcW w:w="6840" w:type="dxa"/>
            <w:vAlign w:val="bottom"/>
            <w:gridSpan w:val="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412"/>
        </w:trPr>
        <w:tc>
          <w:tcPr>
            <w:tcW w:w="402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5"/>
              </w:rPr>
              <w:t>ARTICLE XI THE BORROWER REPRESENTATIVE</w:t>
            </w:r>
          </w:p>
        </w:tc>
        <w:tc>
          <w:tcPr>
            <w:tcW w:w="628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412"/>
        </w:trPr>
        <w:tc>
          <w:tcPr>
            <w:tcW w:w="50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Arial" w:cs="Arial" w:eastAsia="Arial" w:hAnsi="Arial"/>
                <w:sz w:val="18"/>
                <w:szCs w:val="18"/>
                <w:color w:val="auto"/>
              </w:rPr>
              <w:t>SECTION 11.01.  Appointment; Nature of Relationship</w:t>
            </w: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196"/>
        </w:trPr>
        <w:tc>
          <w:tcPr>
            <w:tcW w:w="50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11.02.</w:t>
            </w:r>
          </w:p>
        </w:tc>
        <w:tc>
          <w:tcPr>
            <w:tcW w:w="180" w:type="dxa"/>
            <w:vAlign w:val="bottom"/>
          </w:tcPr>
          <w:p>
            <w:pPr>
              <w:spacing w:after="0"/>
              <w:rPr>
                <w:sz w:val="17"/>
                <w:szCs w:val="17"/>
                <w:color w:val="auto"/>
              </w:rPr>
            </w:pPr>
          </w:p>
        </w:tc>
        <w:tc>
          <w:tcPr>
            <w:tcW w:w="5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Powers</w:t>
            </w:r>
          </w:p>
        </w:tc>
        <w:tc>
          <w:tcPr>
            <w:tcW w:w="2140" w:type="dxa"/>
            <w:vAlign w:val="bottom"/>
            <w:tcBorders>
              <w:top w:val="single" w:sz="8" w:color="auto"/>
            </w:tcBorders>
            <w:gridSpan w:val="15"/>
          </w:tcPr>
          <w:p>
            <w:pPr>
              <w:spacing w:after="0"/>
              <w:rPr>
                <w:sz w:val="17"/>
                <w:szCs w:val="17"/>
                <w:color w:val="auto"/>
              </w:rPr>
            </w:pPr>
          </w:p>
        </w:tc>
        <w:tc>
          <w:tcPr>
            <w:tcW w:w="570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50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Arial" w:cs="Arial" w:eastAsia="Arial" w:hAnsi="Arial"/>
                <w:sz w:val="18"/>
                <w:szCs w:val="18"/>
                <w:color w:val="auto"/>
              </w:rPr>
              <w:t>SECTION 11.03.  Employment of Agents</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50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11.04.</w:t>
            </w:r>
          </w:p>
        </w:tc>
        <w:tc>
          <w:tcPr>
            <w:tcW w:w="180" w:type="dxa"/>
            <w:vAlign w:val="bottom"/>
          </w:tcPr>
          <w:p>
            <w:pPr>
              <w:spacing w:after="0"/>
              <w:rPr>
                <w:sz w:val="17"/>
                <w:szCs w:val="17"/>
                <w:color w:val="auto"/>
              </w:rPr>
            </w:pPr>
          </w:p>
        </w:tc>
        <w:tc>
          <w:tcPr>
            <w:tcW w:w="56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Notices</w:t>
            </w:r>
          </w:p>
        </w:tc>
        <w:tc>
          <w:tcPr>
            <w:tcW w:w="1120" w:type="dxa"/>
            <w:vAlign w:val="bottom"/>
            <w:tcBorders>
              <w:top w:val="single" w:sz="8" w:color="auto"/>
            </w:tcBorders>
            <w:gridSpan w:val="10"/>
          </w:tcPr>
          <w:p>
            <w:pPr>
              <w:spacing w:after="0"/>
              <w:rPr>
                <w:sz w:val="17"/>
                <w:szCs w:val="17"/>
                <w:color w:val="auto"/>
              </w:rPr>
            </w:pPr>
          </w:p>
        </w:tc>
        <w:tc>
          <w:tcPr>
            <w:tcW w:w="6700" w:type="dxa"/>
            <w:vAlign w:val="bottom"/>
            <w:gridSpan w:val="7"/>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50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Arial" w:cs="Arial" w:eastAsia="Arial" w:hAnsi="Arial"/>
                <w:sz w:val="18"/>
                <w:szCs w:val="18"/>
                <w:color w:val="auto"/>
              </w:rPr>
              <w:t>SECTION 11.05.  Successor Borrower Representative</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20"/>
        </w:trPr>
        <w:tc>
          <w:tcPr>
            <w:tcW w:w="500" w:type="dxa"/>
            <w:vAlign w:val="bottom"/>
          </w:tcPr>
          <w:p>
            <w:pPr>
              <w:spacing w:after="0" w:line="20" w:lineRule="exact"/>
              <w:rPr>
                <w:sz w:val="1"/>
                <w:szCs w:val="1"/>
                <w:color w:val="auto"/>
              </w:rPr>
            </w:pPr>
          </w:p>
        </w:tc>
        <w:tc>
          <w:tcPr>
            <w:tcW w:w="12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right w:val="single" w:sz="8" w:color="auto"/>
            </w:tcBorders>
            <w:gridSpan w:val="6"/>
            <w:shd w:val="clear" w:color="auto" w:fill="000000"/>
          </w:tcPr>
          <w:p>
            <w:pPr>
              <w:spacing w:after="0" w:line="20" w:lineRule="exact"/>
              <w:rPr>
                <w:sz w:val="1"/>
                <w:szCs w:val="1"/>
                <w:color w:val="auto"/>
              </w:rPr>
            </w:pPr>
          </w:p>
        </w:tc>
        <w:tc>
          <w:tcPr>
            <w:tcW w:w="1860" w:type="dxa"/>
            <w:vAlign w:val="bottom"/>
            <w:gridSpan w:val="9"/>
            <w:shd w:val="clear" w:color="auto" w:fill="000000"/>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800" w:type="dxa"/>
            <w:vAlign w:val="bottom"/>
            <w:gridSpan w:val="23"/>
          </w:tcPr>
          <w:p>
            <w:pPr>
              <w:spacing w:after="0" w:line="196" w:lineRule="exact"/>
              <w:rPr>
                <w:sz w:val="20"/>
                <w:szCs w:val="20"/>
                <w:color w:val="auto"/>
              </w:rPr>
            </w:pPr>
            <w:r>
              <w:rPr>
                <w:rFonts w:ascii="Arial" w:cs="Arial" w:eastAsia="Arial" w:hAnsi="Arial"/>
                <w:sz w:val="18"/>
                <w:szCs w:val="18"/>
                <w:color w:val="auto"/>
              </w:rPr>
              <w:t>SECTION 11.06.  Execution of Loan Documents; Borrowing Base Certificate</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500" w:type="dxa"/>
            <w:vAlign w:val="bottom"/>
          </w:tcPr>
          <w:p>
            <w:pPr>
              <w:spacing w:after="0"/>
              <w:rPr>
                <w:sz w:val="17"/>
                <w:szCs w:val="17"/>
                <w:color w:val="auto"/>
              </w:rPr>
            </w:pPr>
          </w:p>
        </w:tc>
        <w:tc>
          <w:tcPr>
            <w:tcW w:w="12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SECTION 11.07.</w:t>
            </w:r>
          </w:p>
        </w:tc>
        <w:tc>
          <w:tcPr>
            <w:tcW w:w="180" w:type="dxa"/>
            <w:vAlign w:val="bottom"/>
          </w:tcPr>
          <w:p>
            <w:pPr>
              <w:spacing w:after="0"/>
              <w:rPr>
                <w:sz w:val="17"/>
                <w:szCs w:val="17"/>
                <w:color w:val="auto"/>
              </w:rPr>
            </w:pPr>
          </w:p>
        </w:tc>
        <w:tc>
          <w:tcPr>
            <w:tcW w:w="428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Reporting</w:t>
            </w:r>
          </w:p>
        </w:tc>
        <w:tc>
          <w:tcPr>
            <w:tcW w:w="41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r>
      <w:tr>
        <w:trPr>
          <w:trHeight w:val="20"/>
        </w:trPr>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2"/>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1740" w:type="dxa"/>
            <w:vAlign w:val="bottom"/>
            <w:gridSpan w:val="3"/>
          </w:tcPr>
          <w:p>
            <w:pPr>
              <w:spacing w:after="0"/>
              <w:rPr>
                <w:sz w:val="20"/>
                <w:szCs w:val="20"/>
                <w:color w:val="auto"/>
              </w:rPr>
            </w:pPr>
            <w:r>
              <w:rPr>
                <w:rFonts w:ascii="Arial" w:cs="Arial" w:eastAsia="Arial" w:hAnsi="Arial"/>
                <w:sz w:val="18"/>
                <w:szCs w:val="18"/>
                <w:color w:val="auto"/>
                <w:w w:val="93"/>
              </w:rPr>
              <w:t>Commitment Schedule</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 3.15</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Capitalizations and Subsidiaries</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 3.18</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Insurance</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 6.01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Existing Indebtedness</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 6.02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Existing Liens</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 6.04</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Existing Investments</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 6.05</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Dispositions</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 6.08</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Transactions with Affiliates</w:t>
            </w:r>
          </w:p>
        </w:tc>
        <w:tc>
          <w:tcPr>
            <w:tcW w:w="940" w:type="dxa"/>
            <w:vAlign w:val="bottom"/>
          </w:tcPr>
          <w:p>
            <w:pPr>
              <w:spacing w:after="0"/>
              <w:rPr>
                <w:sz w:val="18"/>
                <w:szCs w:val="18"/>
                <w:color w:val="auto"/>
              </w:rPr>
            </w:pP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 6.11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Restrictive Agreements</w:t>
            </w:r>
          </w:p>
        </w:tc>
        <w:tc>
          <w:tcPr>
            <w:tcW w:w="940" w:type="dxa"/>
            <w:vAlign w:val="bottom"/>
          </w:tcPr>
          <w:p>
            <w:pPr>
              <w:spacing w:after="0"/>
              <w:rPr>
                <w:sz w:val="20"/>
                <w:szCs w:val="20"/>
                <w:color w:val="auto"/>
              </w:rPr>
            </w:pPr>
          </w:p>
        </w:tc>
      </w:tr>
      <w:tr>
        <w:trPr>
          <w:trHeight w:val="432"/>
        </w:trPr>
        <w:tc>
          <w:tcPr>
            <w:tcW w:w="11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11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Form of Assignment and Assumption</w:t>
            </w:r>
          </w:p>
        </w:tc>
        <w:tc>
          <w:tcPr>
            <w:tcW w:w="940" w:type="dxa"/>
            <w:vAlign w:val="bottom"/>
          </w:tcPr>
          <w:p>
            <w:pPr>
              <w:spacing w:after="0"/>
              <w:rPr>
                <w:sz w:val="24"/>
                <w:szCs w:val="24"/>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Form of Borrowing Base Certificate</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B-2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Form Aggregate Borrowing Base Certificate</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Form of Compliance Certificate</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List of Closing Documents</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Form of Joinder Agreement</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F-1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U.S. Tax Certificate (For Foreign Lenders that are not Partnerships for U.S. Federal Income Tax Purposes)</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F-2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w w:val="97"/>
              </w:rPr>
              <w:t>U.S. Tax Certificate (For Foreign Participants that are not Partnerships for U.S. Federal Income Tax Purposes)</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F-3</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U.S. Tax Certificate (For Foreign Participants that are Partnerships for U.S. Federal Income Tax Purposes)</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F-4</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U.S. Tax Certificate (For Foreign that are Partnerships for U.S. Federal Income Tax Purposes)</w:t>
            </w:r>
          </w:p>
        </w:tc>
        <w:tc>
          <w:tcPr>
            <w:tcW w:w="9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G-1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Form of Borrowing Request</w:t>
            </w:r>
          </w:p>
        </w:tc>
        <w:tc>
          <w:tcPr>
            <w:tcW w:w="940" w:type="dxa"/>
            <w:vAlign w:val="bottom"/>
          </w:tcPr>
          <w:p>
            <w:pPr>
              <w:spacing w:after="0"/>
              <w:rPr>
                <w:sz w:val="18"/>
                <w:szCs w:val="18"/>
                <w:color w:val="auto"/>
              </w:rPr>
            </w:pP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Exhibit G-2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560" w:type="dxa"/>
            <w:vAlign w:val="bottom"/>
            <w:gridSpan w:val="21"/>
          </w:tcPr>
          <w:p>
            <w:pPr>
              <w:spacing w:after="0"/>
              <w:rPr>
                <w:sz w:val="20"/>
                <w:szCs w:val="20"/>
                <w:color w:val="auto"/>
              </w:rPr>
            </w:pPr>
            <w:r>
              <w:rPr>
                <w:rFonts w:ascii="Arial" w:cs="Arial" w:eastAsia="Arial" w:hAnsi="Arial"/>
                <w:sz w:val="18"/>
                <w:szCs w:val="18"/>
                <w:color w:val="auto"/>
              </w:rPr>
              <w:t>Form of Interest Election Request</w:t>
            </w:r>
          </w:p>
        </w:tc>
        <w:tc>
          <w:tcPr>
            <w:tcW w:w="9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color w:val="auto"/>
        </w:rPr>
        <w:t xml:space="preserve">CONFORMED COPY FOR AMENDMENT NO. 1 DATED AS OF </w:t>
      </w:r>
      <w:r>
        <w:rPr>
          <w:rFonts w:ascii="Arial" w:cs="Arial" w:eastAsia="Arial" w:hAnsi="Arial"/>
          <w:sz w:val="18"/>
          <w:szCs w:val="18"/>
          <w:b w:val="1"/>
          <w:bCs w:val="1"/>
          <w:color w:val="FF0000"/>
          <w:strike w:val="1"/>
        </w:rPr>
        <w:t>OCTOBER 22</w:t>
      </w:r>
      <w:r>
        <w:rPr>
          <w:rFonts w:ascii="Arial" w:cs="Arial" w:eastAsia="Arial" w:hAnsi="Arial"/>
          <w:sz w:val="18"/>
          <w:szCs w:val="18"/>
          <w:b w:val="1"/>
          <w:bCs w:val="1"/>
          <w:u w:val="single" w:color="auto"/>
          <w:color w:val="0000FF"/>
        </w:rPr>
        <w:t>NOVEMBER 15</w:t>
      </w:r>
      <w:r>
        <w:rPr>
          <w:rFonts w:ascii="Arial" w:cs="Arial" w:eastAsia="Arial" w:hAnsi="Arial"/>
          <w:sz w:val="18"/>
          <w:szCs w:val="18"/>
          <w:color w:val="auto"/>
        </w:rPr>
        <w:t>, 2019</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7"/>
          <w:szCs w:val="17"/>
          <w:b w:val="1"/>
          <w:bCs w:val="1"/>
          <w:u w:val="single" w:color="auto"/>
          <w:color w:val="0000FF"/>
        </w:rPr>
        <w:t>AND AMENDMENT NO. 2 DATED AS OF JULY 8, 2020</w:t>
      </w:r>
    </w:p>
    <w:p>
      <w:pPr>
        <w:spacing w:after="0" w:line="222"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AMENDED AND RESTATED CREDIT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October 22, 2019 among Winnebago Industries, Inc., Winnebago of Indiana, LLC, GRAND DESIGN RV, LLC and NEWMAR CORPORATION, as Borrowers, the other LOAN PARTIES from time to time party hereto, the LENDERS from time to time party hereto and JPMORGAN CHASE BANK, N.A., as Administrative Agent.</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Loan Parties, certain of the Lenders and the Administrative Agent are currently party to the Credit Agreement, dated as of November 8, 2016 (as amended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Borrowers, the other Loan Parties, the Lenders and the Administrative Agent have agreed to enter into this Agreement in order to</w:t>
      </w:r>
    </w:p>
    <w:p>
      <w:pPr>
        <w:spacing w:after="0" w:line="46" w:lineRule="exact"/>
        <w:rPr>
          <w:sz w:val="20"/>
          <w:szCs w:val="20"/>
          <w:color w:val="auto"/>
        </w:rPr>
      </w:pPr>
    </w:p>
    <w:p>
      <w:pPr>
        <w:jc w:val="both"/>
        <w:ind w:firstLine="8"/>
        <w:spacing w:after="0" w:line="253" w:lineRule="auto"/>
        <w:tabs>
          <w:tab w:leader="none" w:pos="23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amend and restate the Existing Credit Agreement in its entirety; (ii) modify and re-evidence the “</w:t>
      </w:r>
      <w:r>
        <w:rPr>
          <w:rFonts w:ascii="Arial" w:cs="Arial" w:eastAsia="Arial" w:hAnsi="Arial"/>
          <w:sz w:val="18"/>
          <w:szCs w:val="18"/>
          <w:u w:val="single" w:color="auto"/>
          <w:color w:val="auto"/>
        </w:rPr>
        <w:t>Obligations</w:t>
      </w:r>
      <w:r>
        <w:rPr>
          <w:rFonts w:ascii="Arial" w:cs="Arial" w:eastAsia="Arial" w:hAnsi="Arial"/>
          <w:sz w:val="18"/>
          <w:szCs w:val="18"/>
          <w:color w:val="auto"/>
        </w:rPr>
        <w:t>” under, and as defined in, the Existing Credit Agreement, which shall be repayable in accordance with the terms of this Agreement and the other Loan Documents; and (iii) set forth the terms and conditions under which the Lenders will, from time to time, make loans and extend other financial accommodations to or for the benefit of the Loan Parties;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Borrowers and the other Loan Parties outstanding thereunder, which shall be payable in accordance with the terms hereof; and</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WHEREAS, it is also the intent of the Borrowers and the “</w:t>
      </w:r>
      <w:r>
        <w:rPr>
          <w:rFonts w:ascii="Arial" w:cs="Arial" w:eastAsia="Arial" w:hAnsi="Arial"/>
          <w:sz w:val="18"/>
          <w:szCs w:val="18"/>
          <w:u w:val="single" w:color="auto"/>
          <w:color w:val="auto"/>
        </w:rPr>
        <w:t>Loan Guarantors</w:t>
      </w:r>
      <w:r>
        <w:rPr>
          <w:rFonts w:ascii="Arial" w:cs="Arial" w:eastAsia="Arial" w:hAnsi="Arial"/>
          <w:sz w:val="18"/>
          <w:szCs w:val="18"/>
          <w:color w:val="auto"/>
        </w:rPr>
        <w:t>” (as referred to and defined in the Existing Credit Agreement) to confirm that all obligations under the “</w:t>
      </w:r>
      <w:r>
        <w:rPr>
          <w:rFonts w:ascii="Arial" w:cs="Arial" w:eastAsia="Arial" w:hAnsi="Arial"/>
          <w:sz w:val="18"/>
          <w:szCs w:val="18"/>
          <w:u w:val="single" w:color="auto"/>
          <w:color w:val="auto"/>
        </w:rPr>
        <w:t>Loan Documents</w:t>
      </w:r>
      <w:r>
        <w:rPr>
          <w:rFonts w:ascii="Arial" w:cs="Arial" w:eastAsia="Arial" w:hAnsi="Arial"/>
          <w:sz w:val="18"/>
          <w:szCs w:val="18"/>
          <w:color w:val="auto"/>
        </w:rPr>
        <w:t>” (as referred to and defined in the Existing Credit Agreement) shall continue in full force and effect as modified and/or restated by the Loan Documents and that, from and after the Effective Date, all references to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contained in any such existing “</w:t>
      </w:r>
      <w:r>
        <w:rPr>
          <w:rFonts w:ascii="Arial" w:cs="Arial" w:eastAsia="Arial" w:hAnsi="Arial"/>
          <w:sz w:val="18"/>
          <w:szCs w:val="18"/>
          <w:u w:val="single" w:color="auto"/>
          <w:color w:val="auto"/>
        </w:rPr>
        <w:t>Loan Documents</w:t>
      </w:r>
      <w:r>
        <w:rPr>
          <w:rFonts w:ascii="Arial" w:cs="Arial" w:eastAsia="Arial" w:hAnsi="Arial"/>
          <w:sz w:val="18"/>
          <w:szCs w:val="18"/>
          <w:color w:val="auto"/>
        </w:rPr>
        <w:t>” shall be deemed to refer to this Agreement;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the parties hereto hereby agree that the Existing Credit Agreement is hereby amended and restated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1960"/>
        <w:spacing w:after="0"/>
        <w:tabs>
          <w:tab w:leader="none" w:pos="33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Defined Terms. As used in this Agreement, the following terms have the meanings specified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bear interest at a rate determined by reference to the REVLIBOR30 Rate.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has the meaning assigned thereto in the ABL/</w:t>
      </w:r>
      <w:r>
        <w:rPr>
          <w:rFonts w:ascii="Arial" w:cs="Arial" w:eastAsia="Arial" w:hAnsi="Arial"/>
          <w:sz w:val="18"/>
          <w:szCs w:val="18"/>
          <w:b w:val="1"/>
          <w:bCs w:val="1"/>
          <w:color w:val="FF0000"/>
          <w:strike w:val="1"/>
        </w:rPr>
        <w:t>Term Loan</w:t>
      </w:r>
      <w:r>
        <w:rPr>
          <w:rFonts w:ascii="Arial" w:cs="Arial" w:eastAsia="Arial" w:hAnsi="Arial"/>
          <w:sz w:val="18"/>
          <w:szCs w:val="18"/>
          <w:b w:val="1"/>
          <w:bCs w:val="1"/>
          <w:u w:val="single" w:color="auto"/>
          <w:color w:val="0000FF"/>
        </w:rPr>
        <w:t>Fixed Asset</w:t>
      </w:r>
      <w:r>
        <w:rPr>
          <w:rFonts w:ascii="Arial" w:cs="Arial" w:eastAsia="Arial" w:hAnsi="Arial"/>
          <w:sz w:val="18"/>
          <w:szCs w:val="18"/>
          <w:color w:val="auto"/>
        </w:rPr>
        <w:t xml:space="preserve"> Intercreditor Agreement, and is intended to indicate that portion of the Collateral subject to a prior Lien in favor of the Administrative Agent on behalf of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06" w:name="page207"/>
    <w:bookmarkEnd w:id="206"/>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w:t>
      </w:r>
      <w:r>
        <w:rPr>
          <w:rFonts w:ascii="Arial" w:cs="Arial" w:eastAsia="Arial" w:hAnsi="Arial"/>
          <w:sz w:val="17"/>
          <w:szCs w:val="17"/>
          <w:b w:val="1"/>
          <w:bCs w:val="1"/>
          <w:u w:val="single" w:color="auto"/>
          <w:color w:val="FF0000"/>
          <w:strike w:val="1"/>
        </w:rPr>
        <w:t>Term Loan</w:t>
      </w:r>
      <w:r>
        <w:rPr>
          <w:rFonts w:ascii="Arial" w:cs="Arial" w:eastAsia="Arial" w:hAnsi="Arial"/>
          <w:sz w:val="17"/>
          <w:szCs w:val="17"/>
          <w:b w:val="1"/>
          <w:bCs w:val="1"/>
          <w:u w:val="single" w:color="auto"/>
          <w:color w:val="0000FF"/>
        </w:rPr>
        <w:t>Fixed Asset</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xml:space="preserve">” means the Intercreditor Agreement, dated as of </w:t>
      </w:r>
      <w:r>
        <w:rPr>
          <w:rFonts w:ascii="Arial" w:cs="Arial" w:eastAsia="Arial" w:hAnsi="Arial"/>
          <w:sz w:val="17"/>
          <w:szCs w:val="17"/>
          <w:b w:val="1"/>
          <w:bCs w:val="1"/>
          <w:color w:val="FF0000"/>
          <w:strike w:val="1"/>
        </w:rPr>
        <w:t>November</w:t>
      </w:r>
      <w:r>
        <w:rPr>
          <w:rFonts w:ascii="Arial" w:cs="Arial" w:eastAsia="Arial" w:hAnsi="Arial"/>
          <w:sz w:val="17"/>
          <w:szCs w:val="17"/>
          <w:b w:val="1"/>
          <w:bCs w:val="1"/>
          <w:u w:val="single" w:color="auto"/>
          <w:color w:val="0000FF"/>
        </w:rPr>
        <w:t>July</w:t>
      </w:r>
      <w:r>
        <w:rPr>
          <w:rFonts w:ascii="Arial" w:cs="Arial" w:eastAsia="Arial" w:hAnsi="Arial"/>
          <w:sz w:val="17"/>
          <w:szCs w:val="17"/>
          <w:color w:val="auto"/>
        </w:rPr>
        <w:t xml:space="preserve"> 8, </w:t>
      </w:r>
      <w:r>
        <w:rPr>
          <w:rFonts w:ascii="Arial" w:cs="Arial" w:eastAsia="Arial" w:hAnsi="Arial"/>
          <w:sz w:val="17"/>
          <w:szCs w:val="17"/>
          <w:b w:val="1"/>
          <w:bCs w:val="1"/>
          <w:color w:val="FF0000"/>
          <w:strike w:val="1"/>
        </w:rPr>
        <w:t>2016</w:t>
      </w:r>
      <w:r>
        <w:rPr>
          <w:rFonts w:ascii="Arial" w:cs="Arial" w:eastAsia="Arial" w:hAnsi="Arial"/>
          <w:sz w:val="17"/>
          <w:szCs w:val="17"/>
          <w:b w:val="1"/>
          <w:bCs w:val="1"/>
          <w:u w:val="single" w:color="auto"/>
          <w:color w:val="0000FF"/>
        </w:rPr>
        <w:t>2020</w:t>
      </w:r>
      <w:r>
        <w:rPr>
          <w:rFonts w:ascii="Arial" w:cs="Arial" w:eastAsia="Arial" w:hAnsi="Arial"/>
          <w:sz w:val="17"/>
          <w:szCs w:val="17"/>
          <w:color w:val="auto"/>
        </w:rPr>
        <w:t xml:space="preserve">, by and among the Administrative Agent, as ABL Representative, </w:t>
      </w:r>
      <w:r>
        <w:rPr>
          <w:rFonts w:ascii="Arial" w:cs="Arial" w:eastAsia="Arial" w:hAnsi="Arial"/>
          <w:sz w:val="17"/>
          <w:szCs w:val="17"/>
          <w:b w:val="1"/>
          <w:bCs w:val="1"/>
          <w:color w:val="FF0000"/>
          <w:strike w:val="1"/>
        </w:rPr>
        <w:t>the Term Loan Agent, as Term Loan Representative</w:t>
      </w:r>
      <w:r>
        <w:rPr>
          <w:rFonts w:ascii="Arial" w:cs="Arial" w:eastAsia="Arial" w:hAnsi="Arial"/>
          <w:sz w:val="17"/>
          <w:szCs w:val="17"/>
          <w:u w:val="single" w:color="auto"/>
          <w:color w:val="0000FF"/>
        </w:rPr>
        <w:t>U.S. Bank National Association, as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collateral trustee for the Fixed Asset Secured Parties (as defined therein)</w:t>
      </w:r>
      <w:r>
        <w:rPr>
          <w:rFonts w:ascii="Arial" w:cs="Arial" w:eastAsia="Arial" w:hAnsi="Arial"/>
          <w:sz w:val="17"/>
          <w:szCs w:val="17"/>
          <w:color w:val="000000"/>
        </w:rPr>
        <w:t>, and each of the Loan Parties party thereto.</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Field Examination</w:t>
      </w:r>
      <w:r>
        <w:rPr>
          <w:rFonts w:ascii="Arial" w:cs="Arial" w:eastAsia="Arial" w:hAnsi="Arial"/>
          <w:sz w:val="18"/>
          <w:szCs w:val="18"/>
          <w:color w:val="auto"/>
        </w:rPr>
        <w:t>” means, with respect to any assets of any Loan Party, a field examination conducted by the Administrative Agent or its designee of such assets and related working capital matters and of such Loan Party’s related data processing and other systems, the results of which shall be satisfactory to the Administrative Agent in its Permitted Discretion.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Inventory Appraisal</w:t>
      </w:r>
      <w:r>
        <w:rPr>
          <w:rFonts w:ascii="Arial" w:cs="Arial" w:eastAsia="Arial" w:hAnsi="Arial"/>
          <w:sz w:val="18"/>
          <w:szCs w:val="18"/>
          <w:color w:val="auto"/>
        </w:rPr>
        <w:t>” means, with respect to any Inventory, an appraisal of such Inventory from one or more firms satisfactory to the Administrative Agent, which appraisals shall be satisfactory to the Administrative Agent in its Permitted Discretion.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obligated on an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any series of related transactions, consummated on or after the Effective Date, by which any Loan Party</w:t>
      </w:r>
    </w:p>
    <w:p>
      <w:pPr>
        <w:spacing w:after="0" w:line="46" w:lineRule="exact"/>
        <w:rPr>
          <w:sz w:val="20"/>
          <w:szCs w:val="20"/>
          <w:color w:val="auto"/>
        </w:rPr>
      </w:pPr>
    </w:p>
    <w:p>
      <w:pPr>
        <w:jc w:val="both"/>
        <w:ind w:firstLine="8"/>
        <w:spacing w:after="0" w:line="295" w:lineRule="auto"/>
        <w:tabs>
          <w:tab w:leader="none" w:pos="24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means, with respect to any Eurodollar Borrowing for any Interest Period or for any ABR Borrowing, an interest rate per annum (rounded upwards, if necessary, to the next 1/100 of 1%) equal to (a) the LIBO Rate for such Interest Period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Statutory Reserve Rate.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(including its successors, branches and affiliates), in its capacity as administrative agent for the Lenders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Indemnitee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9.03(c)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Availability</w:t>
      </w:r>
      <w:r>
        <w:rPr>
          <w:rFonts w:ascii="Arial" w:cs="Arial" w:eastAsia="Arial" w:hAnsi="Arial"/>
          <w:sz w:val="18"/>
          <w:szCs w:val="18"/>
          <w:color w:val="auto"/>
        </w:rPr>
        <w:t>” means, at any time, the aggregate Availability of all the Borrowers.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Borrowing Base</w:t>
      </w:r>
      <w:r>
        <w:rPr>
          <w:rFonts w:ascii="Arial" w:cs="Arial" w:eastAsia="Arial" w:hAnsi="Arial"/>
          <w:sz w:val="18"/>
          <w:szCs w:val="18"/>
          <w:color w:val="auto"/>
        </w:rPr>
        <w:t>” means the aggregate of the Borrowing Bases of all the Borrowers.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Borrowing Base Certificate</w:t>
      </w:r>
      <w:r>
        <w:rPr>
          <w:rFonts w:ascii="Arial" w:cs="Arial" w:eastAsia="Arial" w:hAnsi="Arial"/>
          <w:sz w:val="17"/>
          <w:szCs w:val="17"/>
          <w:color w:val="auto"/>
        </w:rPr>
        <w:t xml:space="preserve">” means a certificate, signed and certified as accurate and complete by a Financial Officer of the Borrower Representative, in substantially the form of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or another form which is acceptable to the Administrative Agent in its sole discretion.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Commitment</w:t>
      </w:r>
      <w:r>
        <w:rPr>
          <w:rFonts w:ascii="Arial" w:cs="Arial" w:eastAsia="Arial" w:hAnsi="Arial"/>
          <w:sz w:val="16"/>
          <w:szCs w:val="16"/>
          <w:color w:val="auto"/>
        </w:rPr>
        <w:t>” means the aggregate of the Commitments of all of the Lenders, as reduced or increased from time to time pursuant to the terms and conditions hereof. Subject to the other terms set forth herein, as of the Effective Date, the Aggregate Commitment is $192,500,000.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Exposure</w:t>
      </w:r>
      <w:r>
        <w:rPr>
          <w:rFonts w:ascii="Arial" w:cs="Arial" w:eastAsia="Arial" w:hAnsi="Arial"/>
          <w:sz w:val="18"/>
          <w:szCs w:val="18"/>
          <w:color w:val="auto"/>
        </w:rPr>
        <w:t>” means, at any time, the aggregate Revolving Exposures of all the Lenders at such time.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½ of 1% and (c) the Adjusted LIBO Rate for a one month Interest Period in Dollars on such day (or if such day is not a Business Day, the immediately preceding Business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day, subject to the interest rate floors set forth therein.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hereof, then the Alternate Base Rate shall be the greater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and shall be determined without reference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For the avoidance of doubt, if the Alternative Base Rate as determined pursuant to the foregoing would be less than 1.00%, such rate shall be deemed to be 1.00% for purposes of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means November 15, 2019.</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“Amendment No. 2 Effective Date” means July 8, 2020.</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or corruption.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 percentage equal to a fraction the numerator of which is such Lender’s Commitment and the denominator of which is the Aggregate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Commitments have terminated or expired, the Applicable Percentage with respect to any Lender shall be determined based upon such Lender’s share of the Aggregate Revolving Exposure at such time. Notwithstanding the foregoing, in accordance with </w:t>
      </w:r>
      <w:r>
        <w:rPr>
          <w:rFonts w:ascii="Arial" w:cs="Arial" w:eastAsia="Arial" w:hAnsi="Arial"/>
          <w:sz w:val="18"/>
          <w:szCs w:val="18"/>
          <w:u w:val="single" w:color="auto"/>
          <w:color w:val="auto"/>
        </w:rPr>
        <w:t>Section 2.20</w:t>
      </w:r>
      <w:r>
        <w:rPr>
          <w:rFonts w:ascii="Arial" w:cs="Arial" w:eastAsia="Arial" w:hAnsi="Arial"/>
          <w:sz w:val="18"/>
          <w:szCs w:val="18"/>
          <w:color w:val="auto"/>
        </w:rPr>
        <w:t>, so long as any Lender shall be a Defaulting Lender, such Defaulting Lender’s Commitment shall be disregarded in the foregoing calculations.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Pledge Percentage</w:t>
      </w:r>
      <w:r>
        <w:rPr>
          <w:rFonts w:ascii="Arial" w:cs="Arial" w:eastAsia="Arial" w:hAnsi="Arial"/>
          <w:sz w:val="18"/>
          <w:szCs w:val="18"/>
          <w:color w:val="auto"/>
        </w:rPr>
        <w:t>” means (a) in the case of a pledge by the Company or any Subsidiary of its voting Equity Interests in an Excluded Domestic Subsidiary or an Excluded Foreign Subsidiary, 65%, and (b) in all other cases, 100%.</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means, for any day, with respect to any Loan, the applicable rate per annum set forth below under the caption “</w:t>
      </w:r>
      <w:r>
        <w:rPr>
          <w:rFonts w:ascii="Arial" w:cs="Arial" w:eastAsia="Arial" w:hAnsi="Arial"/>
          <w:sz w:val="17"/>
          <w:szCs w:val="17"/>
          <w:u w:val="single" w:color="auto"/>
          <w:color w:val="auto"/>
        </w:rPr>
        <w:t>Eurodollar or</w:t>
      </w:r>
      <w:r>
        <w:rPr>
          <w:rFonts w:ascii="Arial" w:cs="Arial" w:eastAsia="Arial" w:hAnsi="Arial"/>
          <w:sz w:val="17"/>
          <w:szCs w:val="17"/>
          <w:color w:val="auto"/>
        </w:rPr>
        <w:t xml:space="preserve"> </w:t>
      </w:r>
      <w:r>
        <w:rPr>
          <w:rFonts w:ascii="Arial" w:cs="Arial" w:eastAsia="Arial" w:hAnsi="Arial"/>
          <w:sz w:val="17"/>
          <w:szCs w:val="17"/>
          <w:u w:val="single" w:color="auto"/>
          <w:color w:val="auto"/>
        </w:rPr>
        <w:t>REVLIBOR30 Spread</w:t>
      </w:r>
      <w:r>
        <w:rPr>
          <w:rFonts w:ascii="Arial" w:cs="Arial" w:eastAsia="Arial" w:hAnsi="Arial"/>
          <w:sz w:val="17"/>
          <w:szCs w:val="17"/>
          <w:color w:val="auto"/>
        </w:rPr>
        <w:t>” or “</w:t>
      </w:r>
      <w:r>
        <w:rPr>
          <w:rFonts w:ascii="Arial" w:cs="Arial" w:eastAsia="Arial" w:hAnsi="Arial"/>
          <w:sz w:val="17"/>
          <w:szCs w:val="17"/>
          <w:u w:val="single" w:color="auto"/>
          <w:color w:val="auto"/>
        </w:rPr>
        <w:t>Alternate Base Rate Spread</w:t>
      </w:r>
      <w:r>
        <w:rPr>
          <w:rFonts w:ascii="Arial" w:cs="Arial" w:eastAsia="Arial" w:hAnsi="Arial"/>
          <w:sz w:val="17"/>
          <w:szCs w:val="17"/>
          <w:color w:val="auto"/>
        </w:rPr>
        <w:t xml:space="preserve">”, as the case may be, based upon the Average Quarterly Availability during the most recently ended fiscal quarter of the Company (it being understood and agreed, for purposes of clarity, that the “Eurodollar or REVLIBOR30 Spread” shall be applicable to ABR Loans at all times that ABR Loans bear interest by reference to the REVLIBOR30 Screen Rate and the “Alternate Base Rate Spread” shall be applicable to ABR Loans at all times that ABR Loans bear interest by reference to the Alternate Base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Rate” shall be the applicable rates per annum set forth below in Category 1 during the period from the Effective Date to, but excluding, the first day following the end of the first full fiscal quarter of the Company ending after the Effective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tbl>
      <w:tblPr>
        <w:tblLayout w:type="fixed"/>
        <w:tblInd w:w="10" w:type="dxa"/>
        <w:tblCellMar>
          <w:top w:w="0" w:type="dxa"/>
          <w:left w:w="0" w:type="dxa"/>
          <w:bottom w:w="0" w:type="dxa"/>
          <w:right w:w="0" w:type="dxa"/>
        </w:tblCellMar>
      </w:tblPr>
      <w:tr>
        <w:trPr>
          <w:trHeight w:val="189"/>
        </w:trPr>
        <w:tc>
          <w:tcPr>
            <w:tcW w:w="1120" w:type="dxa"/>
            <w:vAlign w:val="bottom"/>
            <w:tcBorders>
              <w:top w:val="single" w:sz="8" w:color="auto"/>
              <w:left w:val="single" w:sz="8" w:color="auto"/>
            </w:tcBorders>
            <w:shd w:val="clear" w:color="auto" w:fill="D9D9D9"/>
          </w:tcPr>
          <w:p>
            <w:pPr>
              <w:spacing w:after="0"/>
              <w:rPr>
                <w:sz w:val="16"/>
                <w:szCs w:val="16"/>
                <w:color w:val="auto"/>
              </w:rPr>
            </w:pPr>
          </w:p>
        </w:tc>
        <w:tc>
          <w:tcPr>
            <w:tcW w:w="140" w:type="dxa"/>
            <w:vAlign w:val="bottom"/>
            <w:tcBorders>
              <w:top w:val="single" w:sz="8" w:color="auto"/>
            </w:tcBorders>
            <w:shd w:val="clear" w:color="auto" w:fill="D9D9D9"/>
          </w:tcPr>
          <w:p>
            <w:pPr>
              <w:spacing w:after="0"/>
              <w:rPr>
                <w:sz w:val="16"/>
                <w:szCs w:val="16"/>
                <w:color w:val="auto"/>
              </w:rPr>
            </w:pPr>
          </w:p>
        </w:tc>
        <w:tc>
          <w:tcPr>
            <w:tcW w:w="120" w:type="dxa"/>
            <w:vAlign w:val="bottom"/>
            <w:tcBorders>
              <w:top w:val="single" w:sz="8" w:color="auto"/>
            </w:tcBorders>
            <w:shd w:val="clear" w:color="auto" w:fill="D9D9D9"/>
          </w:tcPr>
          <w:p>
            <w:pPr>
              <w:spacing w:after="0"/>
              <w:rPr>
                <w:sz w:val="16"/>
                <w:szCs w:val="16"/>
                <w:color w:val="auto"/>
              </w:rPr>
            </w:pPr>
          </w:p>
        </w:tc>
        <w:tc>
          <w:tcPr>
            <w:tcW w:w="2160" w:type="dxa"/>
            <w:vAlign w:val="bottom"/>
            <w:tcBorders>
              <w:top w:val="single" w:sz="8" w:color="auto"/>
            </w:tcBorders>
            <w:shd w:val="clear" w:color="auto" w:fill="D9D9D9"/>
          </w:tcPr>
          <w:p>
            <w:pPr>
              <w:spacing w:after="0"/>
              <w:rPr>
                <w:sz w:val="16"/>
                <w:szCs w:val="16"/>
                <w:color w:val="auto"/>
              </w:rPr>
            </w:pPr>
          </w:p>
        </w:tc>
        <w:tc>
          <w:tcPr>
            <w:tcW w:w="60" w:type="dxa"/>
            <w:vAlign w:val="bottom"/>
            <w:tcBorders>
              <w:top w:val="single" w:sz="8" w:color="auto"/>
            </w:tcBorders>
            <w:shd w:val="clear" w:color="auto" w:fill="D9D9D9"/>
          </w:tcPr>
          <w:p>
            <w:pPr>
              <w:spacing w:after="0"/>
              <w:rPr>
                <w:sz w:val="16"/>
                <w:szCs w:val="16"/>
                <w:color w:val="auto"/>
              </w:rPr>
            </w:pPr>
          </w:p>
        </w:tc>
        <w:tc>
          <w:tcPr>
            <w:tcW w:w="40" w:type="dxa"/>
            <w:vAlign w:val="bottom"/>
            <w:tcBorders>
              <w:top w:val="single" w:sz="8" w:color="auto"/>
            </w:tcBorders>
            <w:shd w:val="clear" w:color="auto" w:fill="D9D9D9"/>
          </w:tcPr>
          <w:p>
            <w:pPr>
              <w:spacing w:after="0"/>
              <w:rPr>
                <w:sz w:val="16"/>
                <w:szCs w:val="16"/>
                <w:color w:val="auto"/>
              </w:rPr>
            </w:pPr>
          </w:p>
        </w:tc>
        <w:tc>
          <w:tcPr>
            <w:tcW w:w="1320" w:type="dxa"/>
            <w:vAlign w:val="bottom"/>
            <w:tcBorders>
              <w:top w:val="single" w:sz="8" w:color="auto"/>
              <w:right w:val="single" w:sz="8" w:color="auto"/>
            </w:tcBorders>
            <w:shd w:val="clear" w:color="auto" w:fill="D9D9D9"/>
          </w:tcPr>
          <w:p>
            <w:pPr>
              <w:spacing w:after="0"/>
              <w:rPr>
                <w:sz w:val="16"/>
                <w:szCs w:val="16"/>
                <w:color w:val="auto"/>
              </w:rPr>
            </w:pPr>
          </w:p>
        </w:tc>
        <w:tc>
          <w:tcPr>
            <w:tcW w:w="760" w:type="dxa"/>
            <w:vAlign w:val="bottom"/>
            <w:tcBorders>
              <w:top w:val="single" w:sz="8" w:color="auto"/>
            </w:tcBorders>
            <w:shd w:val="clear" w:color="auto" w:fill="D9D9D9"/>
          </w:tcPr>
          <w:p>
            <w:pPr>
              <w:spacing w:after="0"/>
              <w:rPr>
                <w:sz w:val="16"/>
                <w:szCs w:val="16"/>
                <w:color w:val="auto"/>
              </w:rPr>
            </w:pPr>
          </w:p>
        </w:tc>
        <w:tc>
          <w:tcPr>
            <w:tcW w:w="300" w:type="dxa"/>
            <w:vAlign w:val="bottom"/>
            <w:tcBorders>
              <w:top w:val="single" w:sz="8" w:color="auto"/>
            </w:tcBorders>
            <w:shd w:val="clear" w:color="auto" w:fill="D9D9D9"/>
          </w:tcPr>
          <w:p>
            <w:pPr>
              <w:spacing w:after="0"/>
              <w:rPr>
                <w:sz w:val="16"/>
                <w:szCs w:val="16"/>
                <w:color w:val="auto"/>
              </w:rPr>
            </w:pPr>
          </w:p>
        </w:tc>
        <w:tc>
          <w:tcPr>
            <w:tcW w:w="1020" w:type="dxa"/>
            <w:vAlign w:val="bottom"/>
            <w:tcBorders>
              <w:top w:val="single" w:sz="8" w:color="auto"/>
            </w:tcBorders>
            <w:shd w:val="clear" w:color="auto" w:fill="D9D9D9"/>
          </w:tcPr>
          <w:p>
            <w:pPr>
              <w:jc w:val="center"/>
              <w:spacing w:after="0" w:line="189" w:lineRule="exact"/>
              <w:rPr>
                <w:sz w:val="20"/>
                <w:szCs w:val="20"/>
                <w:color w:val="auto"/>
              </w:rPr>
            </w:pPr>
            <w:r>
              <w:rPr>
                <w:rFonts w:ascii="Arial" w:cs="Arial" w:eastAsia="Arial" w:hAnsi="Arial"/>
                <w:sz w:val="18"/>
                <w:szCs w:val="18"/>
                <w:color w:val="auto"/>
                <w:w w:val="93"/>
              </w:rPr>
              <w:t>Eurodollar or</w:t>
            </w:r>
          </w:p>
        </w:tc>
        <w:tc>
          <w:tcPr>
            <w:tcW w:w="1080" w:type="dxa"/>
            <w:vAlign w:val="bottom"/>
            <w:tcBorders>
              <w:top w:val="single" w:sz="8" w:color="auto"/>
              <w:right w:val="single" w:sz="8" w:color="auto"/>
            </w:tcBorders>
            <w:gridSpan w:val="2"/>
            <w:shd w:val="clear" w:color="auto" w:fill="D9D9D9"/>
          </w:tcPr>
          <w:p>
            <w:pPr>
              <w:spacing w:after="0"/>
              <w:rPr>
                <w:sz w:val="16"/>
                <w:szCs w:val="16"/>
                <w:color w:val="auto"/>
              </w:rPr>
            </w:pPr>
          </w:p>
        </w:tc>
        <w:tc>
          <w:tcPr>
            <w:tcW w:w="820" w:type="dxa"/>
            <w:vAlign w:val="bottom"/>
            <w:tcBorders>
              <w:top w:val="single" w:sz="8" w:color="auto"/>
            </w:tcBorders>
            <w:shd w:val="clear" w:color="auto" w:fill="D9D9D9"/>
          </w:tcPr>
          <w:p>
            <w:pPr>
              <w:spacing w:after="0"/>
              <w:rPr>
                <w:sz w:val="16"/>
                <w:szCs w:val="16"/>
                <w:color w:val="auto"/>
              </w:rPr>
            </w:pPr>
          </w:p>
        </w:tc>
        <w:tc>
          <w:tcPr>
            <w:tcW w:w="2300" w:type="dxa"/>
            <w:vAlign w:val="bottom"/>
            <w:tcBorders>
              <w:top w:val="single" w:sz="8" w:color="auto"/>
              <w:right w:val="single" w:sz="8" w:color="auto"/>
            </w:tcBorders>
            <w:gridSpan w:val="4"/>
            <w:shd w:val="clear" w:color="auto" w:fill="D9D9D9"/>
          </w:tcPr>
          <w:p>
            <w:pPr>
              <w:jc w:val="center"/>
              <w:ind w:right="860"/>
              <w:spacing w:after="0" w:line="189" w:lineRule="exact"/>
              <w:rPr>
                <w:sz w:val="20"/>
                <w:szCs w:val="20"/>
                <w:color w:val="auto"/>
              </w:rPr>
            </w:pPr>
            <w:r>
              <w:rPr>
                <w:rFonts w:ascii="Arial" w:cs="Arial" w:eastAsia="Arial" w:hAnsi="Arial"/>
                <w:sz w:val="18"/>
                <w:szCs w:val="18"/>
                <w:color w:val="auto"/>
                <w:w w:val="89"/>
              </w:rPr>
              <w:t>Alternate Base Rate</w:t>
            </w:r>
          </w:p>
        </w:tc>
      </w:tr>
      <w:tr>
        <w:trPr>
          <w:trHeight w:val="20"/>
        </w:trPr>
        <w:tc>
          <w:tcPr>
            <w:tcW w:w="1120" w:type="dxa"/>
            <w:vAlign w:val="bottom"/>
            <w:tcBorders>
              <w:left w:val="single" w:sz="8" w:color="auto"/>
            </w:tcBorders>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280" w:type="dxa"/>
            <w:vAlign w:val="bottom"/>
            <w:gridSpan w:val="2"/>
            <w:shd w:val="clear" w:color="auto" w:fill="D9D9D9"/>
          </w:tcPr>
          <w:p>
            <w:pPr>
              <w:spacing w:after="0" w:line="20" w:lineRule="exact"/>
              <w:rPr>
                <w:sz w:val="1"/>
                <w:szCs w:val="1"/>
                <w:color w:val="auto"/>
              </w:rPr>
            </w:pPr>
          </w:p>
        </w:tc>
        <w:tc>
          <w:tcPr>
            <w:tcW w:w="100" w:type="dxa"/>
            <w:vAlign w:val="bottom"/>
            <w:gridSpan w:val="2"/>
            <w:shd w:val="clear" w:color="auto" w:fill="D9D9D9"/>
          </w:tcPr>
          <w:p>
            <w:pPr>
              <w:spacing w:after="0" w:line="20" w:lineRule="exact"/>
              <w:rPr>
                <w:sz w:val="1"/>
                <w:szCs w:val="1"/>
                <w:color w:val="auto"/>
              </w:rPr>
            </w:pPr>
          </w:p>
        </w:tc>
        <w:tc>
          <w:tcPr>
            <w:tcW w:w="1320" w:type="dxa"/>
            <w:vAlign w:val="bottom"/>
            <w:tcBorders>
              <w:right w:val="single" w:sz="8" w:color="auto"/>
            </w:tcBorders>
            <w:shd w:val="clear" w:color="auto" w:fill="D9D9D9"/>
          </w:tcPr>
          <w:p>
            <w:pPr>
              <w:spacing w:after="0" w:line="20" w:lineRule="exact"/>
              <w:rPr>
                <w:sz w:val="1"/>
                <w:szCs w:val="1"/>
                <w:color w:val="auto"/>
              </w:rPr>
            </w:pPr>
          </w:p>
        </w:tc>
        <w:tc>
          <w:tcPr>
            <w:tcW w:w="76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780" w:type="dxa"/>
            <w:vAlign w:val="bottom"/>
            <w:tcBorders>
              <w:right w:val="single" w:sz="8" w:color="auto"/>
            </w:tcBorders>
            <w:shd w:val="clear" w:color="auto" w:fill="D9D9D9"/>
          </w:tcPr>
          <w:p>
            <w:pPr>
              <w:spacing w:after="0" w:line="20" w:lineRule="exact"/>
              <w:rPr>
                <w:sz w:val="1"/>
                <w:szCs w:val="1"/>
                <w:color w:val="auto"/>
              </w:rPr>
            </w:pPr>
          </w:p>
        </w:tc>
        <w:tc>
          <w:tcPr>
            <w:tcW w:w="820" w:type="dxa"/>
            <w:vAlign w:val="bottom"/>
            <w:shd w:val="clear" w:color="auto" w:fill="D9D9D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D9D9D9"/>
          </w:tcPr>
          <w:p>
            <w:pPr>
              <w:spacing w:after="0" w:line="20" w:lineRule="exact"/>
              <w:rPr>
                <w:sz w:val="1"/>
                <w:szCs w:val="1"/>
                <w:color w:val="auto"/>
              </w:rPr>
            </w:pPr>
          </w:p>
        </w:tc>
      </w:tr>
      <w:tr>
        <w:trPr>
          <w:trHeight w:val="237"/>
        </w:trPr>
        <w:tc>
          <w:tcPr>
            <w:tcW w:w="1120" w:type="dxa"/>
            <w:vAlign w:val="bottom"/>
            <w:tcBorders>
              <w:left w:val="single" w:sz="8" w:color="auto"/>
              <w:bottom w:val="single" w:sz="8" w:color="auto"/>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3700" w:type="dxa"/>
            <w:vAlign w:val="bottom"/>
            <w:tcBorders>
              <w:bottom w:val="single" w:sz="8" w:color="auto"/>
              <w:right w:val="single" w:sz="8" w:color="auto"/>
            </w:tcBorders>
            <w:gridSpan w:val="5"/>
            <w:shd w:val="clear" w:color="auto" w:fill="D9D9D9"/>
          </w:tcPr>
          <w:p>
            <w:pPr>
              <w:jc w:val="center"/>
              <w:ind w:right="1240"/>
              <w:spacing w:after="0" w:line="196" w:lineRule="exact"/>
              <w:rPr>
                <w:sz w:val="20"/>
                <w:szCs w:val="20"/>
                <w:color w:val="auto"/>
              </w:rPr>
            </w:pPr>
            <w:r>
              <w:rPr>
                <w:rFonts w:ascii="Arial" w:cs="Arial" w:eastAsia="Arial" w:hAnsi="Arial"/>
                <w:sz w:val="18"/>
                <w:szCs w:val="18"/>
                <w:color w:val="auto"/>
                <w:w w:val="94"/>
              </w:rPr>
              <w:t>Average Quarterly Availability</w:t>
            </w:r>
          </w:p>
        </w:tc>
        <w:tc>
          <w:tcPr>
            <w:tcW w:w="760" w:type="dxa"/>
            <w:vAlign w:val="bottom"/>
            <w:tcBorders>
              <w:bottom w:val="single" w:sz="8" w:color="auto"/>
            </w:tcBorders>
            <w:shd w:val="clear" w:color="auto" w:fill="D9D9D9"/>
          </w:tcPr>
          <w:p>
            <w:pPr>
              <w:spacing w:after="0"/>
              <w:rPr>
                <w:sz w:val="20"/>
                <w:szCs w:val="20"/>
                <w:color w:val="auto"/>
              </w:rPr>
            </w:pPr>
          </w:p>
        </w:tc>
        <w:tc>
          <w:tcPr>
            <w:tcW w:w="2400" w:type="dxa"/>
            <w:vAlign w:val="bottom"/>
            <w:tcBorders>
              <w:bottom w:val="single" w:sz="8" w:color="auto"/>
              <w:right w:val="single" w:sz="8" w:color="auto"/>
            </w:tcBorders>
            <w:gridSpan w:val="4"/>
            <w:shd w:val="clear" w:color="auto" w:fill="D9D9D9"/>
          </w:tcPr>
          <w:p>
            <w:pPr>
              <w:jc w:val="center"/>
              <w:ind w:right="780"/>
              <w:spacing w:after="0" w:line="196" w:lineRule="exact"/>
              <w:rPr>
                <w:sz w:val="20"/>
                <w:szCs w:val="20"/>
                <w:color w:val="auto"/>
              </w:rPr>
            </w:pPr>
            <w:r>
              <w:rPr>
                <w:rFonts w:ascii="Arial" w:cs="Arial" w:eastAsia="Arial" w:hAnsi="Arial"/>
                <w:sz w:val="18"/>
                <w:szCs w:val="18"/>
                <w:color w:val="auto"/>
                <w:w w:val="93"/>
              </w:rPr>
              <w:t>REVLIBOR30 Spread</w:t>
            </w:r>
          </w:p>
        </w:tc>
        <w:tc>
          <w:tcPr>
            <w:tcW w:w="820" w:type="dxa"/>
            <w:vAlign w:val="bottom"/>
            <w:tcBorders>
              <w:bottom w:val="single" w:sz="8" w:color="auto"/>
            </w:tcBorders>
            <w:shd w:val="clear" w:color="auto" w:fill="D9D9D9"/>
          </w:tcPr>
          <w:p>
            <w:pPr>
              <w:spacing w:after="0"/>
              <w:rPr>
                <w:sz w:val="20"/>
                <w:szCs w:val="20"/>
                <w:color w:val="auto"/>
              </w:rPr>
            </w:pPr>
          </w:p>
        </w:tc>
        <w:tc>
          <w:tcPr>
            <w:tcW w:w="2300" w:type="dxa"/>
            <w:vAlign w:val="bottom"/>
            <w:tcBorders>
              <w:bottom w:val="single" w:sz="8" w:color="auto"/>
              <w:right w:val="single" w:sz="8" w:color="auto"/>
            </w:tcBorders>
            <w:gridSpan w:val="4"/>
            <w:shd w:val="clear" w:color="auto" w:fill="D9D9D9"/>
          </w:tcPr>
          <w:p>
            <w:pPr>
              <w:jc w:val="center"/>
              <w:ind w:right="840"/>
              <w:spacing w:after="0" w:line="196" w:lineRule="exact"/>
              <w:rPr>
                <w:sz w:val="20"/>
                <w:szCs w:val="20"/>
                <w:color w:val="auto"/>
              </w:rPr>
            </w:pPr>
            <w:r>
              <w:rPr>
                <w:rFonts w:ascii="Arial" w:cs="Arial" w:eastAsia="Arial" w:hAnsi="Arial"/>
                <w:sz w:val="18"/>
                <w:szCs w:val="18"/>
                <w:color w:val="auto"/>
                <w:w w:val="86"/>
              </w:rPr>
              <w:t>Spread</w:t>
            </w:r>
          </w:p>
        </w:tc>
      </w:tr>
      <w:tr>
        <w:trPr>
          <w:trHeight w:val="195"/>
        </w:trPr>
        <w:tc>
          <w:tcPr>
            <w:tcW w:w="112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Borders>
              <w:right w:val="single" w:sz="8" w:color="auto"/>
            </w:tcBorders>
            <w:gridSpan w:val="4"/>
          </w:tcPr>
          <w:p>
            <w:pPr>
              <w:jc w:val="center"/>
              <w:ind w:right="1380"/>
              <w:spacing w:after="0" w:line="195" w:lineRule="exact"/>
              <w:rPr>
                <w:sz w:val="20"/>
                <w:szCs w:val="20"/>
                <w:color w:val="auto"/>
              </w:rPr>
            </w:pPr>
            <w:r>
              <w:rPr>
                <w:rFonts w:ascii="Arial" w:cs="Arial" w:eastAsia="Arial" w:hAnsi="Arial"/>
                <w:sz w:val="18"/>
                <w:szCs w:val="18"/>
                <w:color w:val="auto"/>
                <w:w w:val="90"/>
              </w:rPr>
              <w:t>Category 1</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190"/>
        </w:trPr>
        <w:tc>
          <w:tcPr>
            <w:tcW w:w="4960" w:type="dxa"/>
            <w:vAlign w:val="bottom"/>
            <w:tcBorders>
              <w:left w:val="single" w:sz="8" w:color="auto"/>
              <w:right w:val="single" w:sz="8" w:color="auto"/>
            </w:tcBorders>
            <w:gridSpan w:val="7"/>
          </w:tcPr>
          <w:p>
            <w:pPr>
              <w:jc w:val="center"/>
              <w:spacing w:after="0" w:line="190" w:lineRule="exact"/>
              <w:rPr>
                <w:sz w:val="20"/>
                <w:szCs w:val="20"/>
                <w:color w:val="auto"/>
              </w:rPr>
            </w:pPr>
            <w:r>
              <w:rPr>
                <w:rFonts w:ascii="Arial" w:cs="Arial" w:eastAsia="Arial" w:hAnsi="Arial"/>
                <w:sz w:val="18"/>
                <w:szCs w:val="18"/>
                <w:color w:val="auto"/>
                <w:w w:val="91"/>
              </w:rPr>
              <w:t>&gt; 66% of the Aggregate Commitment</w:t>
            </w:r>
          </w:p>
        </w:tc>
        <w:tc>
          <w:tcPr>
            <w:tcW w:w="2080" w:type="dxa"/>
            <w:vAlign w:val="bottom"/>
            <w:gridSpan w:val="3"/>
          </w:tcPr>
          <w:p>
            <w:pPr>
              <w:jc w:val="center"/>
              <w:ind w:left="970"/>
              <w:spacing w:after="0" w:line="190" w:lineRule="exact"/>
              <w:rPr>
                <w:sz w:val="20"/>
                <w:szCs w:val="20"/>
                <w:color w:val="auto"/>
              </w:rPr>
            </w:pPr>
            <w:r>
              <w:rPr>
                <w:rFonts w:ascii="Arial" w:cs="Arial" w:eastAsia="Arial" w:hAnsi="Arial"/>
                <w:sz w:val="18"/>
                <w:szCs w:val="18"/>
                <w:color w:val="auto"/>
                <w:w w:val="90"/>
              </w:rPr>
              <w:t>1.25%</w:t>
            </w:r>
          </w:p>
        </w:tc>
        <w:tc>
          <w:tcPr>
            <w:tcW w:w="3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800" w:type="dxa"/>
            <w:vAlign w:val="bottom"/>
            <w:gridSpan w:val="3"/>
          </w:tcPr>
          <w:p>
            <w:pPr>
              <w:jc w:val="center"/>
              <w:ind w:left="1210"/>
              <w:spacing w:after="0" w:line="190" w:lineRule="exact"/>
              <w:rPr>
                <w:sz w:val="20"/>
                <w:szCs w:val="20"/>
                <w:color w:val="auto"/>
              </w:rPr>
            </w:pPr>
            <w:r>
              <w:rPr>
                <w:rFonts w:ascii="Arial" w:cs="Arial" w:eastAsia="Arial" w:hAnsi="Arial"/>
                <w:sz w:val="18"/>
                <w:szCs w:val="18"/>
                <w:color w:val="auto"/>
                <w:w w:val="90"/>
              </w:rPr>
              <w:t>0.25%</w:t>
            </w:r>
          </w:p>
        </w:tc>
        <w:tc>
          <w:tcPr>
            <w:tcW w:w="4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
        </w:trPr>
        <w:tc>
          <w:tcPr>
            <w:tcW w:w="112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112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Borders>
              <w:right w:val="single" w:sz="8" w:color="auto"/>
            </w:tcBorders>
            <w:gridSpan w:val="4"/>
          </w:tcPr>
          <w:p>
            <w:pPr>
              <w:jc w:val="center"/>
              <w:ind w:right="1380"/>
              <w:spacing w:after="0" w:line="195" w:lineRule="exact"/>
              <w:rPr>
                <w:sz w:val="20"/>
                <w:szCs w:val="20"/>
                <w:color w:val="auto"/>
              </w:rPr>
            </w:pPr>
            <w:r>
              <w:rPr>
                <w:rFonts w:ascii="Arial" w:cs="Arial" w:eastAsia="Arial" w:hAnsi="Arial"/>
                <w:sz w:val="18"/>
                <w:szCs w:val="18"/>
                <w:color w:val="auto"/>
                <w:w w:val="90"/>
              </w:rPr>
              <w:t>Category 2</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190"/>
        </w:trPr>
        <w:tc>
          <w:tcPr>
            <w:tcW w:w="4960" w:type="dxa"/>
            <w:vAlign w:val="bottom"/>
            <w:tcBorders>
              <w:left w:val="single" w:sz="8" w:color="auto"/>
              <w:right w:val="single" w:sz="8" w:color="auto"/>
            </w:tcBorders>
            <w:gridSpan w:val="7"/>
          </w:tcPr>
          <w:p>
            <w:pPr>
              <w:jc w:val="center"/>
              <w:spacing w:after="0" w:line="190" w:lineRule="exact"/>
              <w:rPr>
                <w:sz w:val="20"/>
                <w:szCs w:val="20"/>
                <w:color w:val="auto"/>
              </w:rPr>
            </w:pPr>
            <w:r>
              <w:rPr>
                <w:rFonts w:ascii="Arial" w:cs="Arial" w:eastAsia="Arial" w:hAnsi="Arial"/>
                <w:sz w:val="18"/>
                <w:szCs w:val="18"/>
                <w:color w:val="auto"/>
                <w:w w:val="91"/>
              </w:rPr>
              <w:t>&lt; 66% of the Aggregate Commitment but &gt; 33% of the</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37"/>
        </w:trPr>
        <w:tc>
          <w:tcPr>
            <w:tcW w:w="1120" w:type="dxa"/>
            <w:vAlign w:val="bottom"/>
            <w:tcBorders>
              <w:left w:val="single" w:sz="8" w:color="auto"/>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Aggregate Commitment</w:t>
            </w:r>
          </w:p>
        </w:tc>
        <w:tc>
          <w:tcPr>
            <w:tcW w:w="100" w:type="dxa"/>
            <w:vAlign w:val="bottom"/>
            <w:tcBorders>
              <w:top w:val="single" w:sz="8" w:color="auto"/>
              <w:bottom w:val="single" w:sz="8" w:color="auto"/>
            </w:tcBorders>
            <w:gridSpan w:val="2"/>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90"/>
              </w:rPr>
              <w:t>1.50%</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1210"/>
              <w:spacing w:after="0"/>
              <w:rPr>
                <w:sz w:val="20"/>
                <w:szCs w:val="20"/>
                <w:color w:val="auto"/>
              </w:rPr>
            </w:pPr>
            <w:r>
              <w:rPr>
                <w:rFonts w:ascii="Arial" w:cs="Arial" w:eastAsia="Arial" w:hAnsi="Arial"/>
                <w:sz w:val="18"/>
                <w:szCs w:val="18"/>
                <w:color w:val="auto"/>
                <w:w w:val="90"/>
              </w:rPr>
              <w:t>0.50%</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195"/>
        </w:trPr>
        <w:tc>
          <w:tcPr>
            <w:tcW w:w="112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Borders>
              <w:right w:val="single" w:sz="8" w:color="auto"/>
            </w:tcBorders>
            <w:gridSpan w:val="4"/>
          </w:tcPr>
          <w:p>
            <w:pPr>
              <w:jc w:val="center"/>
              <w:ind w:right="1380"/>
              <w:spacing w:after="0" w:line="195" w:lineRule="exact"/>
              <w:rPr>
                <w:sz w:val="20"/>
                <w:szCs w:val="20"/>
                <w:color w:val="auto"/>
              </w:rPr>
            </w:pPr>
            <w:r>
              <w:rPr>
                <w:rFonts w:ascii="Arial" w:cs="Arial" w:eastAsia="Arial" w:hAnsi="Arial"/>
                <w:sz w:val="18"/>
                <w:szCs w:val="18"/>
                <w:color w:val="auto"/>
                <w:w w:val="90"/>
              </w:rPr>
              <w:t>Category 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30"/>
        </w:trPr>
        <w:tc>
          <w:tcPr>
            <w:tcW w:w="4960" w:type="dxa"/>
            <w:vAlign w:val="bottom"/>
            <w:tcBorders>
              <w:left w:val="single" w:sz="8" w:color="auto"/>
              <w:bottom w:val="single" w:sz="8" w:color="auto"/>
              <w:right w:val="single" w:sz="8" w:color="auto"/>
            </w:tcBorders>
            <w:gridSpan w:val="7"/>
          </w:tcPr>
          <w:p>
            <w:pPr>
              <w:jc w:val="center"/>
              <w:spacing w:after="0"/>
              <w:rPr>
                <w:sz w:val="20"/>
                <w:szCs w:val="20"/>
                <w:color w:val="auto"/>
              </w:rPr>
            </w:pPr>
            <w:r>
              <w:rPr>
                <w:rFonts w:ascii="Arial" w:cs="Arial" w:eastAsia="Arial" w:hAnsi="Arial"/>
                <w:sz w:val="18"/>
                <w:szCs w:val="18"/>
                <w:color w:val="auto"/>
                <w:w w:val="91"/>
              </w:rPr>
              <w:t>&lt; 33% of the Aggregate Commitment</w:t>
            </w:r>
          </w:p>
        </w:tc>
        <w:tc>
          <w:tcPr>
            <w:tcW w:w="208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90"/>
              </w:rPr>
              <w:t>1.75%</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1210"/>
              <w:spacing w:after="0"/>
              <w:rPr>
                <w:sz w:val="20"/>
                <w:szCs w:val="20"/>
                <w:color w:val="auto"/>
              </w:rPr>
            </w:pPr>
            <w:r>
              <w:rPr>
                <w:rFonts w:ascii="Arial" w:cs="Arial" w:eastAsia="Arial" w:hAnsi="Arial"/>
                <w:sz w:val="18"/>
                <w:szCs w:val="18"/>
                <w:color w:val="auto"/>
                <w:w w:val="90"/>
              </w:rPr>
              <w:t>0.75%</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the foregoing, each change in the Applicable Rate shall be effective during the period commencing on and including the first day of each fiscal quarter of the Company and ending on the last day of such fiscal quarter, it being understood and agreed that, for purposes of determining the Applicable Rate on the first day of any fiscal quarter of the Company, the Average Quarterly Availability during the most recently ended fiscal quarter of the Company shall be used.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Notwithstanding the foregoing, the Average Quarterly Availability shall be deemed to be in </w:t>
      </w:r>
      <w:r>
        <w:rPr>
          <w:rFonts w:ascii="Arial" w:cs="Arial" w:eastAsia="Arial" w:hAnsi="Arial"/>
          <w:sz w:val="17"/>
          <w:szCs w:val="17"/>
          <w:u w:val="single" w:color="auto"/>
          <w:color w:val="auto"/>
        </w:rPr>
        <w:t>Category 3</w:t>
      </w:r>
      <w:r>
        <w:rPr>
          <w:rFonts w:ascii="Arial" w:cs="Arial" w:eastAsia="Arial" w:hAnsi="Arial"/>
          <w:sz w:val="17"/>
          <w:szCs w:val="17"/>
          <w:color w:val="auto"/>
        </w:rPr>
        <w:t xml:space="preserve"> at the option of the Administrative Agent or at the request of the Required Lenders if the Borrowers fail to deliver any Aggregate Borrowing Base Certificate or Borrowing Base Certificate required to be delivered by them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during the period from the expiration of the time for delivery thereof until five (5) days after the date each such Aggregate Borrowing Base Certificate or Borrowing Base Certificates, as applicable, are so delivered.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the use of an electronic platform) approved by the Administrative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w:t>
      </w:r>
      <w:r>
        <w:rPr>
          <w:rFonts w:ascii="Arial" w:cs="Arial" w:eastAsia="Arial" w:hAnsi="Arial"/>
          <w:sz w:val="18"/>
          <w:szCs w:val="18"/>
          <w:color w:val="auto"/>
        </w:rPr>
        <w:t>” means, at any time:</w:t>
      </w:r>
    </w:p>
    <w:p>
      <w:pPr>
        <w:spacing w:after="0" w:line="225" w:lineRule="exact"/>
        <w:rPr>
          <w:sz w:val="20"/>
          <w:szCs w:val="20"/>
          <w:color w:val="auto"/>
        </w:rPr>
      </w:pPr>
    </w:p>
    <w:p>
      <w:pPr>
        <w:ind w:firstLine="656"/>
        <w:spacing w:after="0" w:line="308" w:lineRule="auto"/>
        <w:tabs>
          <w:tab w:leader="none" w:pos="1545" w:val="left"/>
        </w:tabs>
        <w:numPr>
          <w:ilvl w:val="1"/>
          <w:numId w:val="264"/>
        </w:numPr>
        <w:rPr>
          <w:rFonts w:ascii="Arial" w:cs="Arial" w:eastAsia="Arial" w:hAnsi="Arial"/>
          <w:sz w:val="17"/>
          <w:szCs w:val="17"/>
          <w:color w:val="auto"/>
        </w:rPr>
      </w:pPr>
      <w:r>
        <w:rPr>
          <w:rFonts w:ascii="Arial" w:cs="Arial" w:eastAsia="Arial" w:hAnsi="Arial"/>
          <w:sz w:val="17"/>
          <w:szCs w:val="17"/>
          <w:color w:val="auto"/>
        </w:rPr>
        <w:t xml:space="preserve">with respect to the Company, an amount equal to the lesser of (i) an amount equal to (x) the Aggregate Commitment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Aggregate Revolving Exposure and (ii) an amount equal to (x) the Aggregate Borrowing Base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Aggregate Revolving Exposure;</w:t>
      </w:r>
    </w:p>
    <w:p>
      <w:pPr>
        <w:spacing w:after="0" w:line="146" w:lineRule="exact"/>
        <w:rPr>
          <w:rFonts w:ascii="Arial" w:cs="Arial" w:eastAsia="Arial" w:hAnsi="Arial"/>
          <w:sz w:val="17"/>
          <w:szCs w:val="17"/>
          <w:color w:val="auto"/>
        </w:rPr>
      </w:pPr>
    </w:p>
    <w:p>
      <w:pPr>
        <w:ind w:left="1520" w:hanging="864"/>
        <w:spacing w:after="0"/>
        <w:tabs>
          <w:tab w:leader="none" w:pos="15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with respect to Winnebago of Indiana, an amount equal to the lesser of (i) an amount equal to (x) the Aggregate Commitment </w:t>
      </w:r>
      <w:r>
        <w:rPr>
          <w:rFonts w:ascii="Arial" w:cs="Arial" w:eastAsia="Arial" w:hAnsi="Arial"/>
          <w:sz w:val="16"/>
          <w:szCs w:val="16"/>
          <w:u w:val="single" w:color="auto"/>
          <w:color w:val="auto"/>
        </w:rPr>
        <w:t>minus</w:t>
      </w:r>
    </w:p>
    <w:p>
      <w:pPr>
        <w:spacing w:after="0" w:line="46" w:lineRule="exact"/>
        <w:rPr>
          <w:rFonts w:ascii="Arial" w:cs="Arial" w:eastAsia="Arial" w:hAnsi="Arial"/>
          <w:sz w:val="16"/>
          <w:szCs w:val="16"/>
          <w:color w:val="auto"/>
        </w:rPr>
      </w:pPr>
    </w:p>
    <w:p>
      <w:pPr>
        <w:jc w:val="both"/>
        <w:ind w:firstLine="8"/>
        <w:spacing w:after="0" w:line="273" w:lineRule="auto"/>
        <w:tabs>
          <w:tab w:leader="none" w:pos="2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the Aggregate Revolving Exposure and (ii) an amount equal to (x) the sum of Winnebago of Indiana’s Borrowing Base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Company’s Borrowing Base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sum of (A) the Winnebago of Indiana Revolving Exposures of all Lenders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excess, if any, of the aggregate Company Revolving Exposures of all Lenders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an amount equal to the sum of (x) the Excess Grand Design Borrowing Base plus (y) the Excess Newmar Borrowing Base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an amount equal to the sum of (x) the Grand Design Utilization and (y) the Newmar Utilization;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09" w:name="page210"/>
    <w:bookmarkEnd w:id="209"/>
    <w:p>
      <w:pPr>
        <w:jc w:val="both"/>
        <w:ind w:firstLine="656"/>
        <w:spacing w:after="0" w:line="291" w:lineRule="auto"/>
        <w:tabs>
          <w:tab w:leader="none" w:pos="1525"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with respect to Grand Design, an amount equal to the lesser of (i) an amount equal to (x) the Aggregate Commitment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the Aggregate Revolving Exposure and (ii) an amount equal to (x) the sum of Grand Design’s Borrowing Base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Company’s Borrowing Base </w:t>
      </w:r>
      <w:r>
        <w:rPr>
          <w:rFonts w:ascii="Arial" w:cs="Arial" w:eastAsia="Arial" w:hAnsi="Arial"/>
          <w:sz w:val="16"/>
          <w:szCs w:val="16"/>
          <w:u w:val="single" w:color="auto"/>
          <w:color w:val="auto"/>
        </w:rPr>
        <w:t>minus</w:t>
      </w:r>
    </w:p>
    <w:p>
      <w:pPr>
        <w:jc w:val="both"/>
        <w:ind w:firstLine="8"/>
        <w:spacing w:after="0" w:line="281" w:lineRule="auto"/>
        <w:tabs>
          <w:tab w:leader="none" w:pos="25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the sum of (A) the Grand Design Revolving Exposures of all Lenders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excess, if any, of the aggregate Company Revolving Exposures of all Lenders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an amount equal to the sum of (x) the Excess Winnebago of Indiana Borrowing Base plus (y) the Excess Newmar Borrowing Base </w:t>
      </w:r>
      <w:r>
        <w:rPr>
          <w:rFonts w:ascii="Arial" w:cs="Arial" w:eastAsia="Arial" w:hAnsi="Arial"/>
          <w:sz w:val="16"/>
          <w:szCs w:val="16"/>
          <w:u w:val="single" w:color="auto"/>
          <w:color w:val="auto"/>
        </w:rPr>
        <w:t>plus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 an amount equal to the sum of (x) the Winnebago of Indiana Utilization and (y) the Newmar Utilization; and</w:t>
      </w:r>
    </w:p>
    <w:p>
      <w:pPr>
        <w:spacing w:after="0" w:line="210" w:lineRule="exact"/>
        <w:rPr>
          <w:rFonts w:ascii="Arial" w:cs="Arial" w:eastAsia="Arial" w:hAnsi="Arial"/>
          <w:sz w:val="16"/>
          <w:szCs w:val="16"/>
          <w:color w:val="auto"/>
        </w:rPr>
      </w:pPr>
    </w:p>
    <w:p>
      <w:pPr>
        <w:jc w:val="both"/>
        <w:ind w:firstLine="656"/>
        <w:spacing w:after="0" w:line="275" w:lineRule="auto"/>
        <w:tabs>
          <w:tab w:leader="none" w:pos="1676" w:val="left"/>
        </w:tabs>
        <w:numPr>
          <w:ilvl w:val="1"/>
          <w:numId w:val="267"/>
        </w:numPr>
        <w:rPr>
          <w:rFonts w:ascii="Arial" w:cs="Arial" w:eastAsia="Arial" w:hAnsi="Arial"/>
          <w:sz w:val="17"/>
          <w:szCs w:val="17"/>
          <w:color w:val="auto"/>
        </w:rPr>
      </w:pPr>
      <w:r>
        <w:rPr>
          <w:rFonts w:ascii="Arial" w:cs="Arial" w:eastAsia="Arial" w:hAnsi="Arial"/>
          <w:sz w:val="17"/>
          <w:szCs w:val="17"/>
          <w:color w:val="auto"/>
        </w:rPr>
        <w:t xml:space="preserve">with respect to Newmar, an amount equal to the lesser of (i) an amount equal to (x) the Aggregate Commitment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Aggregate Revolving Exposure and (ii) an amount equal to (x) the sum of Newmar’s Borrowing Base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Company’s Borrowing Base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sum of (A) the Newmar Revolving Exposures of all Lenders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excess, if any, of the aggregate Company Revolving Exposures of all Lenders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an amount equal to the sum of (x) the Excess Winnebago of Indiana Borrowing Base plus (y) the Excess Grand Design Borrowing Base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an amount equal to the sum of (x) the Winnebago of Indiana Utilization and (y) the Grand Design Utilization.</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Commitment</w:t>
      </w:r>
      <w:r>
        <w:rPr>
          <w:rFonts w:ascii="Arial" w:cs="Arial" w:eastAsia="Arial" w:hAnsi="Arial"/>
          <w:sz w:val="16"/>
          <w:szCs w:val="16"/>
          <w:color w:val="auto"/>
        </w:rPr>
        <w:t>” means, with respect to any Lender at any time, such Lender’s Commitment minus such Lender’s Revolving Exposure.</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Quarterly Availability</w:t>
      </w:r>
      <w:r>
        <w:rPr>
          <w:rFonts w:ascii="Arial" w:cs="Arial" w:eastAsia="Arial" w:hAnsi="Arial"/>
          <w:sz w:val="18"/>
          <w:szCs w:val="18"/>
          <w:color w:val="auto"/>
        </w:rPr>
        <w:t xml:space="preserve">” means, for any fiscal quarter of the Company, an amount equal to the average daily Aggregate Availability during such fiscal quarter,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order to determine Aggregate Availability on any day for purposes of this definition, the Aggregate Borrowing Base and each Borrower’s Borrowing Base for such day shall be determined by reference to the most recent Aggregate Borrowing Base Certificate and each other Borrowing Base Certificate delivered to the Administrative Agent pursuant to </w:t>
      </w:r>
      <w:r>
        <w:rPr>
          <w:rFonts w:ascii="Arial" w:cs="Arial" w:eastAsia="Arial" w:hAnsi="Arial"/>
          <w:sz w:val="18"/>
          <w:szCs w:val="18"/>
          <w:u w:val="single" w:color="auto"/>
          <w:color w:val="auto"/>
        </w:rPr>
        <w:t>Section 5.01(f)</w:t>
      </w:r>
      <w:r>
        <w:rPr>
          <w:rFonts w:ascii="Arial" w:cs="Arial" w:eastAsia="Arial" w:hAnsi="Arial"/>
          <w:sz w:val="18"/>
          <w:szCs w:val="18"/>
          <w:color w:val="auto"/>
        </w:rPr>
        <w:t xml:space="preserve"> as of such day.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w:t>
      </w:r>
      <w:r>
        <w:rPr>
          <w:rFonts w:ascii="Arial" w:cs="Arial" w:eastAsia="Arial" w:hAnsi="Arial"/>
          <w:sz w:val="16"/>
          <w:szCs w:val="16"/>
          <w:color w:val="auto"/>
        </w:rPr>
        <w:t>” means each and any of the following bank services provided to the Company or any Subsidiary by any Lender or any of its Affiliates: (a) credit cards for commercial customers (including, without limitation, commercial credit cards and purchasing cards), (b) stored value cards,</w:t>
      </w:r>
    </w:p>
    <w:p>
      <w:pPr>
        <w:ind w:firstLine="8"/>
        <w:spacing w:after="0" w:line="290" w:lineRule="auto"/>
        <w:tabs>
          <w:tab w:leader="none" w:pos="279" w:val="left"/>
        </w:tabs>
        <w:numPr>
          <w:ilvl w:val="0"/>
          <w:numId w:val="268"/>
        </w:numPr>
        <w:rPr>
          <w:rFonts w:ascii="Arial" w:cs="Arial" w:eastAsia="Arial" w:hAnsi="Arial"/>
          <w:sz w:val="17"/>
          <w:szCs w:val="17"/>
          <w:color w:val="auto"/>
        </w:rPr>
      </w:pPr>
      <w:r>
        <w:rPr>
          <w:rFonts w:ascii="Arial" w:cs="Arial" w:eastAsia="Arial" w:hAnsi="Arial"/>
          <w:sz w:val="17"/>
          <w:szCs w:val="17"/>
          <w:color w:val="auto"/>
        </w:rPr>
        <w:t>merchant processing services, (d) treasury management services (including, without limitation, controlled disbursement, automated clearinghouse transactions, return items, any direct debit scheme or arrangement, overdrafts and interstate depository network services) and (e) Lease Financing.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 Agreement</w:t>
      </w:r>
      <w:r>
        <w:rPr>
          <w:rFonts w:ascii="Arial" w:cs="Arial" w:eastAsia="Arial" w:hAnsi="Arial"/>
          <w:sz w:val="17"/>
          <w:szCs w:val="17"/>
          <w:color w:val="auto"/>
        </w:rPr>
        <w:t>” means any agreement entered into by the Company or any Subsidiary in connection with Banking Services.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xml:space="preserve">” means any and all obligations of the Company and its Subsidiaries, whether absolute or contingent and howsoever and whensoever created, arising, evidenced or acquired (including all renewals, extensions and modifications thereof and substitutions therefor) in connection with Banking Services;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Banking Services Obligations in respect of Lease Financing shall be limited to Lease Deficiency Obligations.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Reserves</w:t>
      </w:r>
      <w:r>
        <w:rPr>
          <w:rFonts w:ascii="Arial" w:cs="Arial" w:eastAsia="Arial" w:hAnsi="Arial"/>
          <w:sz w:val="18"/>
          <w:szCs w:val="18"/>
          <w:color w:val="auto"/>
        </w:rPr>
        <w:t>” means all Reserves which the Administrative Agent from time to time establishes in its Permitted Discretion for Banking Services then provided or outstanding.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means Title 11 of the United States Code entitled “Bankruptcy”, as now and hereafter in effect, or any successor statute.</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xml:space="preserve">”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9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Bond Hedge Transaction</w:t>
      </w:r>
      <w:r>
        <w:rPr>
          <w:rFonts w:ascii="Arial" w:cs="Arial" w:eastAsia="Arial" w:hAnsi="Arial"/>
          <w:sz w:val="18"/>
          <w:szCs w:val="18"/>
          <w:color w:val="auto"/>
        </w:rPr>
        <w:t>” has the meaning assigned to such term in the definition of “Permitted Call Spread Swap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or “</w:t>
      </w:r>
      <w:r>
        <w:rPr>
          <w:rFonts w:ascii="Arial" w:cs="Arial" w:eastAsia="Arial" w:hAnsi="Arial"/>
          <w:sz w:val="17"/>
          <w:szCs w:val="17"/>
          <w:u w:val="single" w:color="auto"/>
          <w:color w:val="auto"/>
        </w:rPr>
        <w:t>Borrowers</w:t>
      </w:r>
      <w:r>
        <w:rPr>
          <w:rFonts w:ascii="Arial" w:cs="Arial" w:eastAsia="Arial" w:hAnsi="Arial"/>
          <w:sz w:val="17"/>
          <w:szCs w:val="17"/>
          <w:color w:val="auto"/>
        </w:rPr>
        <w:t>” means, individually or collectively, (a) the Company, (b) Winnebago of Indiana, (c) Grand Design and (d) Newmar.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Representative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(a) Revolving Loans of the same Type, made, converted or continued on the same date and, in the case of Eurodollar Loans, as to which a single Interest Period is in effect, (b) Loans of the same Type, made, converted or continued on the same date and, in the case of Eurodollar Loans, as to which a single Interest Period is in effect, (c) a Swingline Loan, (d) a Protective Advance and (e) an Overadvance.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w:t>
      </w:r>
      <w:r>
        <w:rPr>
          <w:rFonts w:ascii="Arial" w:cs="Arial" w:eastAsia="Arial" w:hAnsi="Arial"/>
          <w:sz w:val="17"/>
          <w:szCs w:val="17"/>
          <w:color w:val="auto"/>
        </w:rPr>
        <w:t xml:space="preserve">” means, at any time, with respect to each Borrower, the sum of (a) 90% (less the Dilution Percentage then in effect) of an amount equal to (i) such Borrower’s Eligible Accounts at such time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Specified Reserves with respect to such Borrower at such time </w:t>
      </w:r>
      <w:r>
        <w:rPr>
          <w:rFonts w:ascii="Arial" w:cs="Arial" w:eastAsia="Arial" w:hAnsi="Arial"/>
          <w:sz w:val="17"/>
          <w:szCs w:val="17"/>
          <w:u w:val="single" w:color="auto"/>
          <w:color w:val="auto"/>
        </w:rPr>
        <w:t>plus</w:t>
      </w:r>
    </w:p>
    <w:p>
      <w:pPr>
        <w:jc w:val="both"/>
        <w:ind w:firstLine="8"/>
        <w:spacing w:after="0" w:line="281" w:lineRule="auto"/>
        <w:tabs>
          <w:tab w:leader="none" w:pos="26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the lesser of (i) 75% of such Borrower’s Eligible Inventory (other than any Eligible Non-Perpetual Inventory and any Eligible Non-U16 Inventory), at such time, valued at the lower of cost or market value, determined on a first-in-first-out basis and (ii) the product of 85%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the Net Orderly Liquidation Value percentage identified in the most recent inventory appraisal ordered by the Administrative Agent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such Borrower’s Eligible Inventory (other than any Eligible Non-Perpetual Inventory and any Eligible Non-U16 Inventory), valued at the lower of cost or market value, determined on a first-in-first-out basis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lesser of (i) 55% of such Borrower’s Eligible Non-Perpetual Inventory and Eligible Non-U16 Inventory, at such time, valued at the lower of cost or market value, determined on a first-in-first-out basis and (ii) the product of 65%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the Net Orderly Liquidation Value percentage identified in the most recent inventory appraisal ordered by the Administrative Agent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such Borrower’s Eligible Non-Perpetual Inventory and Eligible Non-U16 Inventory, valued at the lower of cost or market value, determined on a first-in-first-out basis </w:t>
      </w:r>
      <w:r>
        <w:rPr>
          <w:rFonts w:ascii="Arial" w:cs="Arial" w:eastAsia="Arial" w:hAnsi="Arial"/>
          <w:sz w:val="16"/>
          <w:szCs w:val="16"/>
          <w:u w:val="single" w:color="auto"/>
          <w:color w:val="auto"/>
        </w:rPr>
        <w:t>minus</w:t>
      </w:r>
    </w:p>
    <w:p>
      <w:pPr>
        <w:spacing w:after="0" w:line="4" w:lineRule="exact"/>
        <w:rPr>
          <w:rFonts w:ascii="Arial" w:cs="Arial" w:eastAsia="Arial" w:hAnsi="Arial"/>
          <w:sz w:val="16"/>
          <w:szCs w:val="16"/>
          <w:color w:val="auto"/>
        </w:rPr>
      </w:pPr>
    </w:p>
    <w:p>
      <w:pPr>
        <w:ind w:firstLine="8"/>
        <w:spacing w:after="0" w:line="260" w:lineRule="auto"/>
        <w:tabs>
          <w:tab w:leader="none" w:pos="26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Reserves (other than the Specified Reserves or any Reserves related to dilution of Accounts that are captured in the definition of Dilution Percentage) related to such Borrower, such Eligible Accounts or such Eligible Inventory.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the foregoing, no assets acquired pursuant to any Acquisition shall be included in the calculation of any Borrowing Base until such time as the Administrative Agent shall have received an Acceptable Inventory Appraisal and an Acceptable Field Examination shall have been completed with respect to such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Eligible Accounts and Eligible Inventory acquired pursuant to any Acquisition but for which no Acceptable Inventory Appraisal has been received or no Acceptable Field Examination has been completed may be included in a Borrowing Base for a period of up to ninety (90) days following such Acquisition (or such longer period as the Administrative Agent may agree to in its sole discretion), so long as (i) the aggregate amount of such acquired assets included in such Borrowing Base shall not exceed an amount equal to 20% of such Borrowing Base (prior to giving effect to such acquired assets) at any time and (ii) subject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proviso, such Eligible Accounts and Eligible Inventory shall be included in such Borrowing Base with the following adjustments: (A) the advance rate set forth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75% and (B) in lieu of including such Eligible Inventory in any Borrowing Base in accordance with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the applicable Borrowing Base shall include an amount equal to 50% of such Eligible Inventory, valued at the lower of cost or market value, determined on a first-in-first-out basis. For purposes of clarity, any such assets included in any Borrowing Base pursuant to the proviso of the preceding sentence shall be subject to all future appraisals and field examinations conducted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5.12</w:t>
      </w:r>
      <w:r>
        <w:rPr>
          <w:rFonts w:ascii="Arial" w:cs="Arial" w:eastAsia="Arial" w:hAnsi="Arial"/>
          <w:sz w:val="17"/>
          <w:szCs w:val="17"/>
          <w:color w:val="auto"/>
        </w:rPr>
        <w:t>, as applicable, after the acquisition thereof.</w:t>
      </w:r>
    </w:p>
    <w:p>
      <w:pPr>
        <w:spacing w:after="0" w:line="17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 Certificate</w:t>
      </w:r>
      <w:r>
        <w:rPr>
          <w:rFonts w:ascii="Arial" w:cs="Arial" w:eastAsia="Arial" w:hAnsi="Arial"/>
          <w:sz w:val="17"/>
          <w:szCs w:val="17"/>
          <w:color w:val="auto"/>
        </w:rPr>
        <w:t xml:space="preserve">” means a certificate, signed and certified as accurate and complete by a Financial Officer of the Borrower Representative, in substantially the form of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or another form which is acceptable to the Administrative Agent in its sole discretion.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Representative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Burdensome Restrictions</w:t>
      </w:r>
      <w:r>
        <w:rPr>
          <w:rFonts w:ascii="Arial" w:cs="Arial" w:eastAsia="Arial" w:hAnsi="Arial"/>
          <w:sz w:val="18"/>
          <w:szCs w:val="18"/>
          <w:color w:val="auto"/>
        </w:rPr>
        <w:t xml:space="preserve">” means any consensual encumbrance or restriction of the type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(without giving effect to any exceptions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the proviso to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or a Loan accruing interest at REVLIBOR30 Rate without giving effect to the proviso contained in the definition for “REVLIBOR30 Rate, the term “Business Day” shall also exclude any day on which banks are not open for general business in London.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Cdn.$</w:t>
      </w:r>
      <w:r>
        <w:rPr>
          <w:rFonts w:ascii="Arial" w:cs="Arial" w:eastAsia="Arial" w:hAnsi="Arial"/>
          <w:sz w:val="18"/>
          <w:szCs w:val="18"/>
          <w:color w:val="auto"/>
        </w:rPr>
        <w:t>” means dollars in the lawful currency of Canada.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for any period, (a) the additions to property, plant and equipment and other capital expenditures of the Company and its Subsidiaries that are (or should be) set forth in a consolidated statement of cash flows of the Company and its Subsidiaries for such period prepared in accordance with GAAP, excluding (i) any such expenditures made to restore, replace or rebuild assets to the condition of such assets immediately prior to any casualty or other insured damage to, or any taking under power of eminent domain or by condemnation or similar proceeding of, such assets to the extent such expenditures are made with insurance proceeds, condemnation awards or damage recovery proceeds relating to any such casualty, damage, taking, condemnation or similar proceeding, (ii) any such expenditures constituting Permitted Acquisitions or any other acquisition of all the Equity Interests in, or all or substantially all the assets of (or the assets constituting a business unit, division, product line or line of business of), any Person and related costs and expenses and (iii) any such expenditures in the form of a substantially contemporaneous exchange of similar property, plant, equipment or other capital assets, except to the extent of cash or other consideration (other than the assets so exchanged), if any, paid or payable by the Company and its Subsidiaries, and (b) such portion of principal payments on Capital Lease Obligations made by the Company and its Subsidiaries during such period as is attributable to additions to property, plant and equipment that have not otherwise been reflected on the consolidated statement of cash flows as additions to property, plant and equipment for such period.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any Subsidiary organized under the laws of any jurisdiction other than the United States of America, any state thereof or the District of Columbia, that is a “controlled foreign corporation” for purposes of Section 957 of the Code.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 (b) occupation at any time of a majority of the seats (other than vacant seats) on the board of directors of the Company by Persons who were neither (i) nominated, appointed or approved for consideration by shareholders for election by the board of directors of the Company nor (ii) appointed by the directors of the Company so nominated, appointed or approved; (c) the acquisition of direct or indirect Control of the Company by any Person or group; (d) the occurrence of a change in control, or other similar provision, as defined in any agreement or instrument evidencing any Material Indebtedness (triggering a default or mandatory prepayment, which default or mandatory prepayment has not been waived in writing); or (e) the Company ceases to own, directly or indirectly, and Control 100% (other than directors’ qualifying shares) of the ordinary voting and economic power of any Borrower.</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any Issuing Bank (or, for purposes of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by any lending office of such Lender or by such Lender’s or such Issuing Bank’s holding company, if any) with any request, rules, guideline, requirement or directive (whether or not having the force of law) by any Governmental Authority;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Arial" w:cs="Arial" w:eastAsia="Arial" w:hAnsi="Arial"/>
          <w:sz w:val="17"/>
          <w:szCs w:val="17"/>
          <w:u w:val="single" w:color="auto"/>
          <w:color w:val="auto"/>
        </w:rPr>
        <w:t>Change in Law</w:t>
      </w:r>
      <w:r>
        <w:rPr>
          <w:rFonts w:ascii="Arial" w:cs="Arial" w:eastAsia="Arial" w:hAnsi="Arial"/>
          <w:sz w:val="17"/>
          <w:szCs w:val="17"/>
          <w:color w:val="auto"/>
        </w:rPr>
        <w:t>” regardless of the date enacted, adopted, issued or implemented.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Swingline Loans, Protective Advances or Overadvances.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means any and all property owned by a Person covered by the Collateral Documents and any and all other property of any Loan Party, now existing or hereafter acquired, that may at any time be or become subject to a security interest or Lien in favor of the Administrative Agent, on behalf of itself and the Secured Parties, to secure the Secured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case shall the “</w:t>
      </w:r>
      <w:r>
        <w:rPr>
          <w:rFonts w:ascii="Arial" w:cs="Arial" w:eastAsia="Arial" w:hAnsi="Arial"/>
          <w:sz w:val="16"/>
          <w:szCs w:val="16"/>
          <w:u w:val="single" w:color="auto"/>
          <w:color w:val="auto"/>
        </w:rPr>
        <w:t>Collateral</w:t>
      </w:r>
      <w:r>
        <w:rPr>
          <w:rFonts w:ascii="Arial" w:cs="Arial" w:eastAsia="Arial" w:hAnsi="Arial"/>
          <w:sz w:val="16"/>
          <w:szCs w:val="16"/>
          <w:color w:val="auto"/>
        </w:rPr>
        <w:t>” include any Excluded Assets.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 the Mortgages and all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heretofore, now, or hereafter executed by the Company or any of its Subsidiaries and delivered to the Administrative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Commercial LC Exposure</w:t>
      </w:r>
      <w:r>
        <w:rPr>
          <w:rFonts w:ascii="Arial" w:cs="Arial" w:eastAsia="Arial" w:hAnsi="Arial"/>
          <w:sz w:val="16"/>
          <w:szCs w:val="16"/>
          <w:color w:val="auto"/>
        </w:rPr>
        <w:t xml:space="preserve">” means, at any time, the sum of (a) the aggregate undrawn amount of all outstanding commercial Letters of Credit </w:t>
      </w:r>
      <w:r>
        <w:rPr>
          <w:rFonts w:ascii="Arial" w:cs="Arial" w:eastAsia="Arial" w:hAnsi="Arial"/>
          <w:sz w:val="16"/>
          <w:szCs w:val="16"/>
          <w:u w:val="single" w:color="auto"/>
          <w:color w:val="auto"/>
        </w:rPr>
        <w:t>plus</w:t>
      </w:r>
    </w:p>
    <w:p>
      <w:pPr>
        <w:spacing w:after="0" w:line="46" w:lineRule="exact"/>
        <w:rPr>
          <w:sz w:val="20"/>
          <w:szCs w:val="20"/>
          <w:color w:val="auto"/>
        </w:rPr>
      </w:pPr>
    </w:p>
    <w:p>
      <w:pPr>
        <w:jc w:val="both"/>
        <w:ind w:firstLine="8"/>
        <w:spacing w:after="0" w:line="255" w:lineRule="auto"/>
        <w:tabs>
          <w:tab w:leader="none" w:pos="2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aggregate amount of all LC Disbursements relating to commercial Letters of Credit that have not yet been reimbursed by or on behalf of the Borrowers. The Commercial LC Exposure of any Lender at any time shall be its Applicable Percentage of the aggregate Commercial LC Exposure at such time.</w:t>
      </w:r>
    </w:p>
    <w:p>
      <w:pPr>
        <w:spacing w:after="0" w:line="19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with respect to each Lender, the commitment, if any, of such Lender to make Revolving Loans and to acquire participations in Letters of Credit, Overadvances, Protective Advances and Swingline Loans hereunder, expressed as an amount representing the maximum aggregate permitted amount of such Lender’s Revolving Exposure hereunder, as such commitment may be reduced or increased from time to time pursuant to (a)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and (b) assignments by or to such Lender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The initial amount of each Lender’s Commitment is set forth on the </w:t>
      </w:r>
      <w:r>
        <w:rPr>
          <w:rFonts w:ascii="Arial" w:cs="Arial" w:eastAsia="Arial" w:hAnsi="Arial"/>
          <w:sz w:val="16"/>
          <w:szCs w:val="16"/>
          <w:u w:val="single" w:color="auto"/>
          <w:color w:val="auto"/>
        </w:rPr>
        <w:t>Commitment Schedule</w:t>
      </w:r>
      <w:r>
        <w:rPr>
          <w:rFonts w:ascii="Arial" w:cs="Arial" w:eastAsia="Arial" w:hAnsi="Arial"/>
          <w:sz w:val="16"/>
          <w:szCs w:val="16"/>
          <w:color w:val="auto"/>
        </w:rPr>
        <w:t>, or in the Assignment and Assumption pursuant to which such Lender shall have assumed its Commitment, as applicable.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Schedule</w:t>
      </w:r>
      <w:r>
        <w:rPr>
          <w:rFonts w:ascii="Arial" w:cs="Arial" w:eastAsia="Arial" w:hAnsi="Arial"/>
          <w:sz w:val="18"/>
          <w:szCs w:val="18"/>
          <w:color w:val="auto"/>
        </w:rPr>
        <w:t>” means the Schedule attached hereto identified as such.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Winnebago Industries, Inc., an Iowa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Revolving Exposures</w:t>
      </w:r>
      <w:r>
        <w:rPr>
          <w:rFonts w:ascii="Arial" w:cs="Arial" w:eastAsia="Arial" w:hAnsi="Arial"/>
          <w:sz w:val="18"/>
          <w:szCs w:val="18"/>
          <w:color w:val="auto"/>
        </w:rPr>
        <w:t xml:space="preserve">” means, with respect to any Lender at any time, and without duplication, the sum of (a) the outstanding principal amount of the Revolving Loans made by such Lender to the Company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Lender’s LC Exposure with respect to Letters of Credit issued for the account of the Company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such Lender’s Swingline Exposure with respect to Swingline Loans made to the Company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an amount equal to its Applicable Percentage of the aggregate principal amount of outstanding Protective Advances made to the Company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an amount equal to its Applicable Percentage of the aggregate principal amount of outstanding Overadvances made to the Company at such time.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Consolidated Net Income </w:t>
      </w:r>
      <w:r>
        <w:rPr>
          <w:rFonts w:ascii="Arial" w:cs="Arial" w:eastAsia="Arial" w:hAnsi="Arial"/>
          <w:sz w:val="16"/>
          <w:szCs w:val="16"/>
          <w:u w:val="single" w:color="auto"/>
          <w:color w:val="auto"/>
        </w:rPr>
        <w:t>plus</w:t>
      </w:r>
      <w:r>
        <w:rPr>
          <w:rFonts w:ascii="Arial" w:cs="Arial" w:eastAsia="Arial" w:hAnsi="Arial"/>
          <w:sz w:val="16"/>
          <w:szCs w:val="16"/>
          <w:color w:val="auto"/>
        </w:rPr>
        <w:t>, to the extent deducted from revenues in determining Consolidated Net Income,</w:t>
      </w:r>
    </w:p>
    <w:p>
      <w:pPr>
        <w:spacing w:after="0" w:line="46" w:lineRule="exact"/>
        <w:rPr>
          <w:sz w:val="20"/>
          <w:szCs w:val="20"/>
          <w:color w:val="auto"/>
        </w:rPr>
      </w:pPr>
    </w:p>
    <w:p>
      <w:pPr>
        <w:jc w:val="both"/>
        <w:ind w:firstLine="8"/>
        <w:spacing w:after="0" w:line="281" w:lineRule="auto"/>
        <w:tabs>
          <w:tab w:leader="none" w:pos="21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Consolidated Interest Expense, (ii) expense for taxes paid or accrued, (iii) depreciation, (iv) amortization, (v) extraordinary losses incurred other than in the ordinary course of business, (vi) non-cash charges, expenses or losses, (vii) any losses for such period attributable to early extinguishment of Indebtedness or obligations under any Swap Agreement, (viii) any unrealized losses for such period attributable to the application of “mark to market” accounting in respect of Swap Agreements, (ix) the cumulative effect for such period of a change in accounting principles, (x) non-recurring out-of-pocket transactional fees, costs and expenses relating to Permitted Acquisitions (or any failed Acquisitions), Investments, Indebtedness, securities offerings and Dispositions, including legal fees, advisory fees and upfront financing fees, (xi) non-recurring out-of-pocket fees, costs and expenses relating to the incurrence, refinancing, amendment or modification of Indebtedness on or prior to the Effective Date, (xii) (A) non-recurring restructuring charges (including, without limitation, relocation costs and costs relating to the opening, closure and/or consolidation of facilities) that are paid or to be paid in cash and (B) with respect to any acquisition or disposition, or issuance, incurrence or assumption of Indebtedness, or other transaction occurring during such period, (1) any projected cost savings (net of continuing associated expenses) expected to be realized as a result of such event, to the extent such cost savings would be permitted to be reflected in financial statements prepared in compliance with Article 11 of Regulation S-X under the Securities Act and</w:t>
      </w:r>
    </w:p>
    <w:p>
      <w:pPr>
        <w:spacing w:after="0" w:line="6" w:lineRule="exact"/>
        <w:rPr>
          <w:rFonts w:ascii="Arial" w:cs="Arial" w:eastAsia="Arial" w:hAnsi="Arial"/>
          <w:sz w:val="16"/>
          <w:szCs w:val="16"/>
          <w:color w:val="auto"/>
        </w:rPr>
      </w:pPr>
    </w:p>
    <w:p>
      <w:pPr>
        <w:jc w:val="both"/>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(2) any other demonstrable cost-savings (net of continuing associated expenses) not included in the foregoing </w:t>
      </w:r>
      <w:r>
        <w:rPr>
          <w:rFonts w:ascii="Arial" w:cs="Arial" w:eastAsia="Arial" w:hAnsi="Arial"/>
          <w:sz w:val="16"/>
          <w:szCs w:val="16"/>
          <w:u w:val="single" w:color="auto"/>
          <w:color w:val="auto"/>
        </w:rPr>
        <w:t>subclause (B)(1)</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that are reasonably projected in good faith by the Borrower Representative to be achieved in connection with any such event within the 18-month period following the consummation of such event, that are reasonably identifiable, quantifiable and factually supportable in the good faith judgment of the Company and that are set forth in reasonable detail in a certificate of a Financial Officer of the Company (in the case of each of the foregoing </w:t>
      </w:r>
      <w:r>
        <w:rPr>
          <w:rFonts w:ascii="Arial" w:cs="Arial" w:eastAsia="Arial" w:hAnsi="Arial"/>
          <w:sz w:val="16"/>
          <w:szCs w:val="16"/>
          <w:u w:val="single" w:color="auto"/>
          <w:color w:val="auto"/>
        </w:rPr>
        <w:t>subclauses (B)(1)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calculated on a pro forma basis as though such cost savings had been realized on the first day of such period, net of the amount of actual benefits realized during such period from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for purposes of determining Consolidated EBITDA for any period of four (4) consecutive fiscal quarters, the aggregate amount added back under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in respect of such period shall not exceed fifteen percent (15%) of Consolidated EBITDA (as calculated without giving effect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(y) all adjustments pursuant to the foregoing </w:t>
      </w:r>
      <w:r>
        <w:rPr>
          <w:rFonts w:ascii="Arial" w:cs="Arial" w:eastAsia="Arial" w:hAnsi="Arial"/>
          <w:sz w:val="16"/>
          <w:szCs w:val="16"/>
          <w:u w:val="single" w:color="auto"/>
          <w:color w:val="auto"/>
        </w:rPr>
        <w:t>subclause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will be without duplication of any amounts that are otherwise included or added back in computing Consolidated EBITDA in accordance with this definition and (z) with respect to the foregoing </w:t>
      </w:r>
      <w:r>
        <w:rPr>
          <w:rFonts w:ascii="Arial" w:cs="Arial" w:eastAsia="Arial" w:hAnsi="Arial"/>
          <w:sz w:val="16"/>
          <w:szCs w:val="16"/>
          <w:u w:val="single" w:color="auto"/>
          <w:color w:val="auto"/>
        </w:rPr>
        <w:t>subclause (B)(2)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if any cost savings included in any pro forma calculations based on the anticipation that such cost savings will be achieved within such 18-month period shall at any time cease to be reasonably anticipated by the Company to be so achieved, then on and after such time, such cost savings shall no longer be added to Consolidated EBITDA pursuant to this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and (xiii) fees, costs and expenses incurred in connection with the Company’s implementation of enterprise resource planning (ERP);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Consolidated EBITDA for any period of four (4) consecutive fiscal quarters of the Company, the aggregate amount added back under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in respect of such period shall not exceed $8,000,000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to the extent included in Consolidated Net Income, (1) interest income, (2) any cash payments made during such period in respect of items described in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above subsequent to the fiscal quarter in which the relevant non-cash expenses or losses were incurred, (3) extraordinary gains realized other than in the ordinary course of business, (4) any non-cash gains for such period, including with respect to write-ups of assets or goodwill, determined on a consolidated basis in accordance with GAAP, (5) any gains attributable to the early extinguishment of Indebtedness or obligations under any Swap Agreement, determined on a consolidated basis in accordance with GAAP, (6) the cumulative effect for such period of a change in accounting principles and (7) any unrealized gains for such period attributable to the application of “mark to market” accounting in respect of Swap Agreements, all calculated for the Company and its Subsidiaries in accordance with GAAP on a consolidated basis. For the purposes of calculating Consolidated EBITDA for any period of four consecutive fiscal quarters (each such period, a “</w:t>
      </w:r>
      <w:r>
        <w:rPr>
          <w:rFonts w:ascii="Arial" w:cs="Arial" w:eastAsia="Arial" w:hAnsi="Arial"/>
          <w:sz w:val="16"/>
          <w:szCs w:val="16"/>
          <w:u w:val="single" w:color="auto"/>
          <w:color w:val="auto"/>
        </w:rPr>
        <w:t>Reference Period</w:t>
      </w:r>
      <w:r>
        <w:rPr>
          <w:rFonts w:ascii="Arial" w:cs="Arial" w:eastAsia="Arial" w:hAnsi="Arial"/>
          <w:sz w:val="16"/>
          <w:szCs w:val="16"/>
          <w:color w:val="auto"/>
        </w:rPr>
        <w:t xml:space="preserve">”), (i)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Company or any Subsidiary shall have made a Material Acquisition, Consolidated EBITDA for such Reference Period shall be calculated after giving pro forma effect thereto (in the manner described in </w:t>
      </w:r>
      <w:r>
        <w:rPr>
          <w:rFonts w:ascii="Arial" w:cs="Arial" w:eastAsia="Arial" w:hAnsi="Arial"/>
          <w:sz w:val="16"/>
          <w:szCs w:val="16"/>
          <w:u w:val="single" w:color="auto"/>
          <w:color w:val="auto"/>
        </w:rPr>
        <w:t>Section 1.04(b)</w:t>
      </w:r>
      <w:r>
        <w:rPr>
          <w:rFonts w:ascii="Arial" w:cs="Arial" w:eastAsia="Arial" w:hAnsi="Arial"/>
          <w:sz w:val="16"/>
          <w:szCs w:val="16"/>
          <w:color w:val="auto"/>
        </w:rPr>
        <w:t>) as if such Material Acquisition occurred on the first day of such Reference Period. As used in this Agreement, “</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$10,000,000; and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Disposition</w:t>
      </w:r>
      <w:r>
        <w:rPr>
          <w:rFonts w:ascii="Arial" w:cs="Arial" w:eastAsia="Arial" w:hAnsi="Arial"/>
          <w:sz w:val="16"/>
          <w:szCs w:val="16"/>
          <w:color w:val="auto"/>
        </w:rPr>
        <w:t>” means any Disposition of property or series of related sales, transfers, or dispositions of property that yields gross proceeds to the Company or any of its Subsidiaries in excess of $10,000,000.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reference to any period, the interest expense (including without limitation interest expense under Capital Lease Obligations that is treated as interest in accordance with GAAP) of the Company and its Subsidiaries calculated on a consolidated basis for such period with respect to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In the event that the Company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with reference to any period, the net income (or loss) of the Company and its Subsidiaries calculated in accordance with GAAP on a consolidated basis (without duplication)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be excluded any income (or loss) of any Person other than the Company or a Subsidiary, but any such income so excluded may be included in such period or any later period to the extent of any cash dividends or distributions actually paid in the relevant period to the Company or any Subsidiary of the Company.</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w:t>
      </w:r>
      <w:r>
        <w:rPr>
          <w:rFonts w:ascii="Arial" w:cs="Arial" w:eastAsia="Arial" w:hAnsi="Arial"/>
          <w:sz w:val="17"/>
          <w:szCs w:val="17"/>
          <w:color w:val="auto"/>
        </w:rPr>
        <w:t>” means, as of the date of any determination thereof, total assets of the Company and its Subsidiaries calculated in accordance with GAAP on a consolidated basis as of the last day of the most recent Test Period, determined on a pro forma basis.</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Indebtedness</w:t>
      </w:r>
      <w:r>
        <w:rPr>
          <w:rFonts w:ascii="Arial" w:cs="Arial" w:eastAsia="Arial" w:hAnsi="Arial"/>
          <w:sz w:val="18"/>
          <w:szCs w:val="18"/>
          <w:color w:val="auto"/>
        </w:rPr>
        <w:t xml:space="preserve">” means at any time the sum, without duplication, of (a) the aggregate Indebtedness of the Company and its Subsidiaries calculated on a consolidated basis as of such time in accordance with GAAP, (b) the aggregate amount of Indebtedness of the Company and its Subsidiaries relating to the maximum drawing amount of all letters of credit outstanding and bankers’ acceptances and (c) Indebtedness of the type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hereof of another Person guaranteed by the Company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Total Indebtedness shall exclude the aggregate amount of Indebtedness of the Company and its Subsidiaries in respect of undrawn performance and commercial letters of credit, Guarantees related thereto, obligations with respect to deposits and advances in the ordinary course of business, and obligations in respect of Repurchase Agreements.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Secured Indebtedness</w:t>
      </w:r>
      <w:r>
        <w:rPr>
          <w:rFonts w:ascii="Arial" w:cs="Arial" w:eastAsia="Arial" w:hAnsi="Arial"/>
          <w:sz w:val="18"/>
          <w:szCs w:val="18"/>
          <w:color w:val="auto"/>
        </w:rPr>
        <w:t>” means, as of any date of determination, any Consolidated Total Indebtedness that is secured by Liens on any assets or property of the Company or any of its Subsidiaries.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2020" w:hanging="716"/>
        <w:spacing w:after="0"/>
        <w:tabs>
          <w:tab w:leader="none" w:pos="20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660" w:right="1960" w:firstLine="644"/>
        <w:spacing w:after="0" w:line="500" w:lineRule="auto"/>
        <w:tabs>
          <w:tab w:leader="none" w:pos="211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9.23</w:t>
      </w:r>
      <w:r>
        <w:rPr>
          <w:rFonts w:ascii="Arial" w:cs="Arial" w:eastAsia="Arial" w:hAnsi="Arial"/>
          <w:sz w:val="18"/>
          <w:szCs w:val="18"/>
          <w:color w:val="auto"/>
        </w:rPr>
        <w:t>.</w:t>
      </w:r>
    </w:p>
    <w:p>
      <w:pPr>
        <w:spacing w:after="0" w:line="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means a Borrowing, the issuance, amendment, renewal or extension of a Letter of Credit, an LC Disbursement or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each Issuing Bank, the Swingline Lender or any other Lender.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DDA Access Product</w:t>
      </w:r>
      <w:r>
        <w:rPr>
          <w:rFonts w:ascii="Arial" w:cs="Arial" w:eastAsia="Arial" w:hAnsi="Arial"/>
          <w:sz w:val="18"/>
          <w:szCs w:val="18"/>
          <w:color w:val="auto"/>
        </w:rPr>
        <w:t>” means the bank service provided to any Loan Party by JPMCB in its sole discretion consisting of direct access to schedule payments from the Funding Account by electronic, internet or other access mechanisms that may be agreed upon from time to time by JPMCB and the funding of such payments under the Loan Borrowing Option in the DDA Access Product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DDA Access Product Agreement</w:t>
      </w:r>
      <w:r>
        <w:rPr>
          <w:rFonts w:ascii="Arial" w:cs="Arial" w:eastAsia="Arial" w:hAnsi="Arial"/>
          <w:sz w:val="18"/>
          <w:szCs w:val="18"/>
          <w:color w:val="auto"/>
        </w:rPr>
        <w:t>” means JPMCB’s Treasury Services End of Day Investment &amp; Loan Sweep Service Terms, as in effect on the date of this Agreement, as the same may be amended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such Credit Party’s receipt of such certification in form and substance satisfactory to it and the Administrative Agent, or (d) has become the subject of (A) a Bankruptcy Event or (B) a Bail-In Action.</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Percentage</w:t>
      </w:r>
      <w:r>
        <w:rPr>
          <w:rFonts w:ascii="Arial" w:cs="Arial" w:eastAsia="Arial" w:hAnsi="Arial"/>
          <w:sz w:val="18"/>
          <w:szCs w:val="18"/>
          <w:color w:val="auto"/>
        </w:rPr>
        <w:t>” means, with respect to each Borrower at any time, for any twelve-month period, a percentage (rounded to the nearest tenth of one percent) determined by the Administrative Agent, based on information contained in the most recent field examination conducted by or on behalf of the Administrative Agent (or, in the Permitted Discretion of the Administrative Agent, based on updated information provided to the Administrative Agent by the Borrowers), that reflects the amount of dilution of such Borrower’s Accounts expressed as a percentage of gross sales for the applicable twelve-month measurement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4" w:lineRule="exact"/>
        <w:rPr>
          <w:sz w:val="20"/>
          <w:szCs w:val="20"/>
          <w:color w:val="auto"/>
        </w:rPr>
      </w:pPr>
    </w:p>
    <w:p>
      <w:pPr>
        <w:ind w:firstLine="656"/>
        <w:spacing w:after="0" w:line="308" w:lineRule="auto"/>
        <w:tabs>
          <w:tab w:leader="none" w:pos="1492" w:val="left"/>
        </w:tabs>
        <w:numPr>
          <w:ilvl w:val="0"/>
          <w:numId w:val="274"/>
        </w:numPr>
        <w:rPr>
          <w:rFonts w:ascii="Arial" w:cs="Arial" w:eastAsia="Arial" w:hAnsi="Arial"/>
          <w:sz w:val="17"/>
          <w:szCs w:val="17"/>
          <w:color w:val="auto"/>
        </w:rPr>
      </w:pPr>
      <w:r>
        <w:rPr>
          <w:rFonts w:ascii="Arial" w:cs="Arial" w:eastAsia="Arial" w:hAnsi="Arial"/>
          <w:sz w:val="17"/>
          <w:szCs w:val="17"/>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41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is or becomes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5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each case, on or prior to the date that is ninety one (91) days after the Maturity Date (determined as of the date of issuance thereof or, in the case of any such Equity Interests outstanding on the Effective Date,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Secured Obligations that are accrued and payable, the cancellation or expiration of all Letters of Credit and the termination or expiration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Lenders</w:t>
      </w:r>
      <w:r>
        <w:rPr>
          <w:rFonts w:ascii="Arial" w:cs="Arial" w:eastAsia="Arial" w:hAnsi="Arial"/>
          <w:sz w:val="16"/>
          <w:szCs w:val="16"/>
          <w:color w:val="auto"/>
        </w:rPr>
        <w:t xml:space="preserve">” means (a) entities that have been specifically identified by the Company to the Administrative Agent in writing prior to October 2, 2016, or after October 2, 2016 and prior to November 8, 2016 with the reasonable consent of the Lead Arranger, (b) entities that are reasonably determined by the Company to be competitors of the Company or its subsidiaries (including Grand Design and its subsidiaries) and which are specifically identified by the Company to the Administrative Agent in writing prior to November 8, 2016 and (c) in the case of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any of such entities’ Affiliates to the extent such Affiliates (x)(i) are clearly identifiable as Affiliates of such entities based solely on the similarity of such Affiliates’ and such entities’ names and (ii) are not bona fide debt investment funds or (y)(i) upon reasonable notice to the Administrative Agent after the Effective Date, are identified as Affiliates in writing after the Effective Date in a written supplement to the list of “</w:t>
      </w:r>
      <w:r>
        <w:rPr>
          <w:rFonts w:ascii="Arial" w:cs="Arial" w:eastAsia="Arial" w:hAnsi="Arial"/>
          <w:sz w:val="16"/>
          <w:szCs w:val="16"/>
          <w:u w:val="single" w:color="auto"/>
          <w:color w:val="auto"/>
        </w:rPr>
        <w:t>Disqualified Lenders</w:t>
      </w:r>
      <w:r>
        <w:rPr>
          <w:rFonts w:ascii="Arial" w:cs="Arial" w:eastAsia="Arial" w:hAnsi="Arial"/>
          <w:sz w:val="16"/>
          <w:szCs w:val="16"/>
          <w:color w:val="auto"/>
        </w:rPr>
        <w:t xml:space="preserve">”, which supplement shall become effective three (3) Business Days after delivery to the Administrative Agent and the Lenders, but which shall not apply retroactively to disqualify any parties that have previously acquired an assignment or participation interest in the Loans and (ii) are not bona fide debt investment funds. It is understood and agreed that (i) any supplement to the list of Persons that are Disqualified Lenders contemplated by the foregoing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apply retroactively to disqualify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Lender, (iii) the Company’s failure to deliver such list (or supplement thereto) in accordance with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shall render such list (or supplement) not received and not effective and (iv) “</w:t>
      </w:r>
      <w:r>
        <w:rPr>
          <w:rFonts w:ascii="Arial" w:cs="Arial" w:eastAsia="Arial" w:hAnsi="Arial"/>
          <w:sz w:val="16"/>
          <w:szCs w:val="16"/>
          <w:u w:val="single" w:color="auto"/>
          <w:color w:val="auto"/>
        </w:rPr>
        <w:t>Disqualified Lender</w:t>
      </w:r>
      <w:r>
        <w:rPr>
          <w:rFonts w:ascii="Arial" w:cs="Arial" w:eastAsia="Arial" w:hAnsi="Arial"/>
          <w:sz w:val="16"/>
          <w:szCs w:val="16"/>
          <w:color w:val="auto"/>
        </w:rPr>
        <w:t>” shall exclude any Person that the Company has designated as no longer being a “</w:t>
      </w:r>
      <w:r>
        <w:rPr>
          <w:rFonts w:ascii="Arial" w:cs="Arial" w:eastAsia="Arial" w:hAnsi="Arial"/>
          <w:sz w:val="16"/>
          <w:szCs w:val="16"/>
          <w:u w:val="single" w:color="auto"/>
          <w:color w:val="auto"/>
        </w:rPr>
        <w:t>Disqualified Lender</w:t>
      </w:r>
      <w:r>
        <w:rPr>
          <w:rFonts w:ascii="Arial" w:cs="Arial" w:eastAsia="Arial" w:hAnsi="Arial"/>
          <w:sz w:val="16"/>
          <w:szCs w:val="16"/>
          <w:color w:val="auto"/>
        </w:rPr>
        <w:t xml:space="preserve">” by written notice delivered to the Administrative Agent from time to time in accordance with </w:t>
      </w:r>
      <w:r>
        <w:rPr>
          <w:rFonts w:ascii="Arial" w:cs="Arial" w:eastAsia="Arial" w:hAnsi="Arial"/>
          <w:sz w:val="16"/>
          <w:szCs w:val="16"/>
          <w:u w:val="single" w:color="auto"/>
          <w:color w:val="auto"/>
        </w:rPr>
        <w:t>Section 9.01</w:t>
      </w:r>
      <w:r>
        <w:rPr>
          <w:rFonts w:ascii="Arial" w:cs="Arial" w:eastAsia="Arial" w:hAnsi="Arial"/>
          <w:sz w:val="16"/>
          <w:szCs w:val="16"/>
          <w:color w:val="auto"/>
        </w:rPr>
        <w: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assigned to it in the definition of “</w:t>
      </w:r>
      <w:r>
        <w:rPr>
          <w:rFonts w:ascii="Arial" w:cs="Arial" w:eastAsia="Arial" w:hAnsi="Arial"/>
          <w:sz w:val="18"/>
          <w:szCs w:val="18"/>
          <w:u w:val="single" w:color="auto"/>
          <w:color w:val="auto"/>
        </w:rPr>
        <w:t>Division.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Division Successor</w:t>
      </w:r>
      <w:r>
        <w:rPr>
          <w:rFonts w:ascii="Arial" w:cs="Arial" w:eastAsia="Arial" w:hAnsi="Arial"/>
          <w:sz w:val="16"/>
          <w:szCs w:val="16"/>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Foreign Holdco Subsidiary</w:t>
      </w:r>
      <w:r>
        <w:rPr>
          <w:rFonts w:ascii="Arial" w:cs="Arial" w:eastAsia="Arial" w:hAnsi="Arial"/>
          <w:sz w:val="18"/>
          <w:szCs w:val="18"/>
          <w:color w:val="auto"/>
        </w:rPr>
        <w:t>” means any Domestic Subsidiary substantially all of the assets of which consist of the Equity Interests (or Equity Interests and Indebtedness) of one or more CFCs.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DQ List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9.04(e)(iv)</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means (a) any institution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 or</w:t>
      </w:r>
    </w:p>
    <w:p>
      <w:pPr>
        <w:ind w:right="20" w:firstLine="8"/>
        <w:spacing w:after="0" w:line="260" w:lineRule="auto"/>
        <w:tabs>
          <w:tab w:leader="none" w:pos="25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any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means the date on which the conditions specified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System</w:t>
      </w:r>
      <w:r>
        <w:rPr>
          <w:rFonts w:ascii="Arial" w:cs="Arial" w:eastAsia="Arial" w:hAnsi="Arial"/>
          <w:sz w:val="18"/>
          <w:szCs w:val="18"/>
          <w:color w:val="auto"/>
        </w:rPr>
        <w:t>” means any electronic system, including e-mail, e-fax, web portal access for any Borrower,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means, at any time, the Accounts of any Borrower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Borrower:</w:t>
      </w:r>
    </w:p>
    <w:p>
      <w:pPr>
        <w:spacing w:after="0" w:line="184" w:lineRule="exact"/>
        <w:rPr>
          <w:sz w:val="20"/>
          <w:szCs w:val="20"/>
          <w:color w:val="auto"/>
        </w:rPr>
      </w:pPr>
    </w:p>
    <w:p>
      <w:pPr>
        <w:ind w:firstLine="656"/>
        <w:spacing w:after="0" w:line="277" w:lineRule="auto"/>
        <w:tabs>
          <w:tab w:leader="none" w:pos="144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other than to the extent a Reserve is established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which is not subject to a first priority perfected security interest in favor of the Administrative Agent;</w:t>
      </w:r>
    </w:p>
    <w:p>
      <w:pPr>
        <w:spacing w:after="0" w:line="170" w:lineRule="exact"/>
        <w:rPr>
          <w:rFonts w:ascii="Arial" w:cs="Arial" w:eastAsia="Arial" w:hAnsi="Arial"/>
          <w:sz w:val="18"/>
          <w:szCs w:val="18"/>
          <w:color w:val="auto"/>
        </w:rPr>
      </w:pPr>
    </w:p>
    <w:p>
      <w:pPr>
        <w:jc w:val="both"/>
        <w:ind w:right="20" w:firstLine="656"/>
        <w:spacing w:after="0" w:line="286" w:lineRule="auto"/>
        <w:tabs>
          <w:tab w:leader="none" w:pos="1707"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which is subject to any Lien, unless (i) such Lien constitutes (x) a Lien in favor of the Administrative Agent, (y) a Permitted Encumbrance which does not have priority over the Lien in favor of the Administrative Agent or (z) a Lien permitted under </w:t>
      </w:r>
      <w:r>
        <w:rPr>
          <w:rFonts w:ascii="Arial" w:cs="Arial" w:eastAsia="Arial" w:hAnsi="Arial"/>
          <w:sz w:val="17"/>
          <w:szCs w:val="17"/>
          <w:u w:val="single" w:color="auto"/>
          <w:color w:val="auto"/>
        </w:rPr>
        <w:t>Section 6.02(a)(ii)</w:t>
      </w:r>
      <w:r>
        <w:rPr>
          <w:rFonts w:ascii="Arial" w:cs="Arial" w:eastAsia="Arial" w:hAnsi="Arial"/>
          <w:sz w:val="17"/>
          <w:szCs w:val="17"/>
          <w:color w:val="auto"/>
        </w:rPr>
        <w:t xml:space="preserve"> or (ii) the Administrative Agent shall have established a Reserve in its Permitted Discretion for liabilities of such Borrower that are secured by such Lien;</w:t>
      </w:r>
    </w:p>
    <w:p>
      <w:pPr>
        <w:spacing w:after="0" w:line="165" w:lineRule="exact"/>
        <w:rPr>
          <w:rFonts w:ascii="Arial" w:cs="Arial" w:eastAsia="Arial" w:hAnsi="Arial"/>
          <w:sz w:val="17"/>
          <w:szCs w:val="17"/>
          <w:color w:val="auto"/>
        </w:rPr>
      </w:pPr>
    </w:p>
    <w:p>
      <w:pPr>
        <w:jc w:val="both"/>
        <w:ind w:firstLine="656"/>
        <w:spacing w:after="0" w:line="279" w:lineRule="auto"/>
        <w:tabs>
          <w:tab w:leader="none" w:pos="1567"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 which is unpaid more than ninety (90) days after the date of the original invoice therefor or more than sixty (60) days after the original due date therefor (“</w:t>
      </w:r>
      <w:r>
        <w:rPr>
          <w:rFonts w:ascii="Arial" w:cs="Arial" w:eastAsia="Arial" w:hAnsi="Arial"/>
          <w:sz w:val="17"/>
          <w:szCs w:val="17"/>
          <w:u w:val="single" w:color="auto"/>
          <w:color w:val="auto"/>
        </w:rPr>
        <w:t>Overage</w:t>
      </w:r>
      <w:r>
        <w:rPr>
          <w:rFonts w:ascii="Arial" w:cs="Arial" w:eastAsia="Arial" w:hAnsi="Arial"/>
          <w:sz w:val="17"/>
          <w:szCs w:val="17"/>
          <w:color w:val="auto"/>
        </w:rPr>
        <w:t xml:space="preserve">”) (when calculating the amount under this </w:t>
      </w:r>
      <w:r>
        <w:rPr>
          <w:rFonts w:ascii="Arial" w:cs="Arial" w:eastAsia="Arial" w:hAnsi="Arial"/>
          <w:sz w:val="17"/>
          <w:szCs w:val="17"/>
          <w:u w:val="single" w:color="auto"/>
          <w:color w:val="auto"/>
        </w:rPr>
        <w:t>clause (i)</w:t>
      </w:r>
      <w:r>
        <w:rPr>
          <w:rFonts w:ascii="Arial" w:cs="Arial" w:eastAsia="Arial" w:hAnsi="Arial"/>
          <w:sz w:val="17"/>
          <w:szCs w:val="17"/>
          <w:color w:val="auto"/>
        </w:rPr>
        <w:t>, for the same Account Debtor, the Administrative Agent shall include the net amount of such Overage and add back any credits, but only to the extent that such credits do not exceed the total gross receivables from such Account Debtor), or (ii) which has been written off the books of such Borrower or otherwise designated as uncollectible;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ind w:firstLine="656"/>
        <w:spacing w:after="0" w:line="277" w:lineRule="auto"/>
        <w:tabs>
          <w:tab w:leader="none" w:pos="1416"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which is owing by an Account Debtor for which more than 50% of the Accounts owing from such Account Debtor and its Affiliates are ineligible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633"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which is owing by an Account Debtor to the extent the aggregate amount of Accounts owing from such Account Debtor and its Affiliates to the Borrowers exceeds 20% or such greater percentage as the Administrative Agent may determine from time to time in its Permitted Discretion of the aggregate amount of Eligible Accounts of all Borrowers (but will only be ineligible to the extent of such excess);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91"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contained in any Loan Document has been breached or is not true in any material respect (or, with respect to any covenant, representation or warranty which is subject to any materiality qualifier, has been breached or is not true in any respect);</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424" w:val="left"/>
        </w:tabs>
        <w:numPr>
          <w:ilvl w:val="1"/>
          <w:numId w:val="277"/>
        </w:numPr>
        <w:rPr>
          <w:rFonts w:ascii="Arial" w:cs="Arial" w:eastAsia="Arial" w:hAnsi="Arial"/>
          <w:sz w:val="16"/>
          <w:szCs w:val="16"/>
          <w:color w:val="auto"/>
        </w:rPr>
      </w:pPr>
      <w:r>
        <w:rPr>
          <w:rFonts w:ascii="Arial" w:cs="Arial" w:eastAsia="Arial" w:hAnsi="Arial"/>
          <w:sz w:val="16"/>
          <w:szCs w:val="16"/>
          <w:color w:val="auto"/>
        </w:rPr>
        <w:t>which (i) does not arise from the sale of goods or performance of services in the ordinary course of business, (ii) is not evidenced by an invoice or other documentation reasonably satisfactory to the Administrative Agent which has been sent to the Account Debtor, (iii) represents a progress billing, (iv) is contingent upon such Borrower’s completion of any further performance, (v) represents a sale on a bill-and-hold, guaranteed sale, sale-and-return, sale on approval, consignment or cash-on-delivery basis (other than general product warranties given in the ordinary course of business)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relates to payments of interest (but only to the extent thereof);</w:t>
      </w:r>
    </w:p>
    <w:p>
      <w:pPr>
        <w:spacing w:after="0" w:line="210" w:lineRule="exact"/>
        <w:rPr>
          <w:rFonts w:ascii="Arial" w:cs="Arial" w:eastAsia="Arial" w:hAnsi="Arial"/>
          <w:sz w:val="18"/>
          <w:szCs w:val="18"/>
          <w:color w:val="auto"/>
        </w:rPr>
      </w:pPr>
    </w:p>
    <w:p>
      <w:pPr>
        <w:ind w:firstLine="656"/>
        <w:spacing w:after="0" w:line="277" w:lineRule="auto"/>
        <w:tabs>
          <w:tab w:leader="none" w:pos="148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for which the goods giving rise to such Account have not been shipped to the Account Debtor or for which the services giving rise to such Account have not been performed by such Borrower or if such Account was invoiced more than once;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with respect to which any check or other instrument of payment has been returned uncollected for any reason;</w:t>
      </w:r>
    </w:p>
    <w:p>
      <w:pPr>
        <w:spacing w:after="0" w:line="225" w:lineRule="exact"/>
        <w:rPr>
          <w:rFonts w:ascii="Arial" w:cs="Arial" w:eastAsia="Arial" w:hAnsi="Arial"/>
          <w:sz w:val="18"/>
          <w:szCs w:val="18"/>
          <w:color w:val="auto"/>
        </w:rPr>
      </w:pPr>
    </w:p>
    <w:p>
      <w:pPr>
        <w:jc w:val="both"/>
        <w:ind w:firstLine="656"/>
        <w:spacing w:after="0" w:line="287" w:lineRule="auto"/>
        <w:tabs>
          <w:tab w:leader="none" w:pos="149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which is owed by an Account Debtor which has (i) applied for, suffered, or consented to the appointment of any receiver, custodian, trustee, administrative receiver, administrator, compulsory manager, liquidator or other similar officer of its assets, (ii) had possession of all or a material part of its property taken by any receiver, custodian, trustee, administrative receiver, administrator, compulsory manager, liquidator or other similar officer,</w:t>
      </w:r>
    </w:p>
    <w:p>
      <w:pPr>
        <w:spacing w:after="0" w:line="2" w:lineRule="exact"/>
        <w:rPr>
          <w:rFonts w:ascii="Arial" w:cs="Arial" w:eastAsia="Arial" w:hAnsi="Arial"/>
          <w:sz w:val="16"/>
          <w:szCs w:val="16"/>
          <w:color w:val="auto"/>
        </w:rPr>
      </w:pPr>
    </w:p>
    <w:p>
      <w:pPr>
        <w:jc w:val="both"/>
        <w:ind w:firstLine="8"/>
        <w:spacing w:after="0" w:line="265" w:lineRule="auto"/>
        <w:tabs>
          <w:tab w:leader="none" w:pos="34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filed, or had filed against it, any request or petition for liquidation, reorganization, arrangement, adjustment of debts, adjudication as bankrupt, administration, winding-up, or voluntary or involuntary case under any Federal, state or foreign bankruptcy, insolvency, receivership or similar law,</w:t>
      </w:r>
    </w:p>
    <w:p>
      <w:pPr>
        <w:ind w:left="340" w:hanging="332"/>
        <w:spacing w:after="0"/>
        <w:tabs>
          <w:tab w:leader="none" w:pos="34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admitted in writing its inability, or is generally unable to, pay its debts as they become due or has had a moratorium declared in respect of it,</w:t>
      </w:r>
    </w:p>
    <w:p>
      <w:pPr>
        <w:spacing w:after="0" w:line="20" w:lineRule="exact"/>
        <w:rPr>
          <w:rFonts w:ascii="Arial" w:cs="Arial" w:eastAsia="Arial" w:hAnsi="Arial"/>
          <w:sz w:val="17"/>
          <w:szCs w:val="17"/>
          <w:color w:val="auto"/>
        </w:rPr>
      </w:pPr>
    </w:p>
    <w:p>
      <w:pPr>
        <w:ind w:right="20" w:firstLine="8"/>
        <w:spacing w:after="0" w:line="260" w:lineRule="auto"/>
        <w:tabs>
          <w:tab w:leader="none" w:pos="26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become insolvent, or (vi) ceased operation of its business (other than, in any such case, post-petition accounts payable of an Account Debtor that is a debtor-in-possession under the United States Bankruptcy Code and reasonably acceptable to the Administrative Agent);</w:t>
      </w:r>
    </w:p>
    <w:p>
      <w:pPr>
        <w:spacing w:after="0" w:line="185" w:lineRule="exact"/>
        <w:rPr>
          <w:rFonts w:ascii="Arial" w:cs="Arial" w:eastAsia="Arial" w:hAnsi="Arial"/>
          <w:sz w:val="18"/>
          <w:szCs w:val="18"/>
          <w:color w:val="auto"/>
        </w:rPr>
      </w:pPr>
    </w:p>
    <w:p>
      <w:pPr>
        <w:ind w:left="1400" w:hanging="744"/>
        <w:spacing w:after="0"/>
        <w:tabs>
          <w:tab w:leader="none" w:pos="14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which is owed by any Account Debtor which has sold all or substantially all of its assets;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393" w:val="left"/>
        </w:tabs>
        <w:numPr>
          <w:ilvl w:val="1"/>
          <w:numId w:val="279"/>
        </w:numPr>
        <w:rPr>
          <w:rFonts w:ascii="Arial" w:cs="Arial" w:eastAsia="Arial" w:hAnsi="Arial"/>
          <w:sz w:val="18"/>
          <w:szCs w:val="18"/>
          <w:color w:val="auto"/>
        </w:rPr>
      </w:pPr>
      <w:r>
        <w:rPr>
          <w:rFonts w:ascii="Arial" w:cs="Arial" w:eastAsia="Arial" w:hAnsi="Arial"/>
          <w:sz w:val="18"/>
          <w:szCs w:val="18"/>
          <w:color w:val="auto"/>
        </w:rPr>
        <w:t>which is owed by an Account Debtor which (i) does not maintain its chief executive office in the U.S. or Canada or (ii) is not organized under applicable laws of the U.S., any state of the U.S., Canada or any province of Canada, unless, in any such case, such Account is backed by a letter of credit or bank guarantee reasonably acceptable to the Administrative Agent;</w:t>
      </w:r>
    </w:p>
    <w:p>
      <w:pPr>
        <w:spacing w:after="0" w:line="183" w:lineRule="exact"/>
        <w:rPr>
          <w:rFonts w:ascii="Arial" w:cs="Arial" w:eastAsia="Arial" w:hAnsi="Arial"/>
          <w:sz w:val="18"/>
          <w:szCs w:val="18"/>
          <w:color w:val="auto"/>
        </w:rPr>
      </w:pPr>
    </w:p>
    <w:p>
      <w:pPr>
        <w:ind w:left="1460" w:hanging="804"/>
        <w:spacing w:after="0"/>
        <w:tabs>
          <w:tab w:leader="none" w:pos="146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which is owed in any currency other than U.S. dollars or Canadian Dollars;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56"/>
        <w:spacing w:after="0" w:line="257" w:lineRule="auto"/>
        <w:tabs>
          <w:tab w:leader="none" w:pos="162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which is owed by (i) any Governmental Authority of any country other than Canada (or any province or territory thereof) or the U.S. unless such Account is backed by a letter of credit or bank guarantee reasonably acceptable to the Administrative Agent or (ii) any Governmental Authority of the U.S., or any department, agency, public corporation, or instrumentality thereof, unless the Federal Assignment of Claims Act of 1940, as amended (31 U.S.C. § 3727 et seq. and 41 U.S.C. § 15 et seq.), and any other steps necessary to perfect the Lien of the Administrative Agent in such Account have been complied with to the Administrative Agent’s satisfaction;</w:t>
      </w:r>
    </w:p>
    <w:p>
      <w:pPr>
        <w:spacing w:after="0" w:line="187" w:lineRule="exact"/>
        <w:rPr>
          <w:rFonts w:ascii="Arial" w:cs="Arial" w:eastAsia="Arial" w:hAnsi="Arial"/>
          <w:sz w:val="18"/>
          <w:szCs w:val="18"/>
          <w:color w:val="auto"/>
        </w:rPr>
      </w:pPr>
    </w:p>
    <w:p>
      <w:pPr>
        <w:ind w:left="1400" w:hanging="744"/>
        <w:spacing w:after="0"/>
        <w:tabs>
          <w:tab w:leader="none" w:pos="140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which is owed by any Affiliate of any Loan Party or any employee, officer, or director of any Loan Party or any of its Affiliates;</w:t>
      </w:r>
    </w:p>
    <w:p>
      <w:pPr>
        <w:spacing w:after="0" w:line="236" w:lineRule="exact"/>
        <w:rPr>
          <w:rFonts w:ascii="Arial" w:cs="Arial" w:eastAsia="Arial" w:hAnsi="Arial"/>
          <w:sz w:val="17"/>
          <w:szCs w:val="17"/>
          <w:color w:val="auto"/>
        </w:rPr>
      </w:pPr>
    </w:p>
    <w:p>
      <w:pPr>
        <w:jc w:val="both"/>
        <w:ind w:firstLine="656"/>
        <w:spacing w:after="0" w:line="263" w:lineRule="auto"/>
        <w:tabs>
          <w:tab w:leader="none" w:pos="154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83" w:lineRule="exact"/>
        <w:rPr>
          <w:rFonts w:ascii="Arial" w:cs="Arial" w:eastAsia="Arial" w:hAnsi="Arial"/>
          <w:sz w:val="18"/>
          <w:szCs w:val="18"/>
          <w:color w:val="auto"/>
        </w:rPr>
      </w:pPr>
    </w:p>
    <w:p>
      <w:pPr>
        <w:ind w:firstLine="656"/>
        <w:spacing w:after="0" w:line="277" w:lineRule="auto"/>
        <w:tabs>
          <w:tab w:leader="none" w:pos="146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which is subject to any counterclaim, deduction, defense, setoff or dispute, but only to the extent of any such counterclaim, deduction, defense, setoff or dispute;</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which is evidenced by any promissory note, chattel paper or instrument;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5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which is owed by an Account Debtor (i) located in any State of the U.S. which requires filing of a “</w:t>
      </w:r>
      <w:r>
        <w:rPr>
          <w:rFonts w:ascii="Arial" w:cs="Arial" w:eastAsia="Arial" w:hAnsi="Arial"/>
          <w:sz w:val="18"/>
          <w:szCs w:val="18"/>
          <w:u w:val="single" w:color="auto"/>
          <w:color w:val="auto"/>
        </w:rPr>
        <w:t>Notice of Business Activities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Report</w:t>
      </w:r>
      <w:r>
        <w:rPr>
          <w:rFonts w:ascii="Arial" w:cs="Arial" w:eastAsia="Arial" w:hAnsi="Arial"/>
          <w:sz w:val="18"/>
          <w:szCs w:val="18"/>
          <w:color w:val="auto"/>
        </w:rPr>
        <w:t>” or other similar report in order to permit such Borrower to seek judicial enforcement in such jurisdiction of payment of such Account, unless such Borrower has filed such report or qualified to do business in such jurisdiction (or may do so at a later date without material penalty or prejudice and without affecting the collectability of such Account) or (ii) which is a Sanctioned Person;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42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with respect to which such Borrower has made any agreement with the Account Debtor for any reduction thereof, other than discounts and adjustments given in the ordinary course of business (but only to the extent of any such reduction), or any Account which was partially paid and such Borrower created a new receivable for the unpaid portion of such Account;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which does not comply in all material respects with the requirements of all applicable laws and regulations, whether Federal, state, foreign, provincial or local, including without limitation the Federal Consumer Credit Protection Act, the Federal Truth in Lending Act and Regulation Z of the Board;</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49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unless the Administrative Agent has established a Reserve in its Permitted Discretion, which is for goods that have been sold under a purchase order or pursuant to the terms of a contract or other agreement or understanding (written or oral) that indicates or purports that any Person other than such Borrower has or has had an ownership interest in such goods (including but not limited to by way of retention of title), or which indicates any party other than such Borrower as payee or remittance party;</w:t>
      </w:r>
    </w:p>
    <w:p>
      <w:pPr>
        <w:spacing w:after="0" w:line="186" w:lineRule="exact"/>
        <w:rPr>
          <w:rFonts w:ascii="Arial" w:cs="Arial" w:eastAsia="Arial" w:hAnsi="Arial"/>
          <w:sz w:val="18"/>
          <w:szCs w:val="18"/>
          <w:color w:val="auto"/>
        </w:rPr>
      </w:pPr>
    </w:p>
    <w:p>
      <w:pPr>
        <w:ind w:left="1440" w:hanging="784"/>
        <w:spacing w:after="0"/>
        <w:tabs>
          <w:tab w:leader="none" w:pos="14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which was created on cash on delivery terms; or</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9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which is subject to any limitation on assignment or other restriction (whether arising by operation of law, by agreement or otherwise) which would under the local governing law of the contract have the effect of restricting the assignment for or by way of security or the creation of security, in each case, unless the Administrative Agent has determined that such limitation is not enforceable.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648"/>
        <w:spacing w:after="0" w:line="287" w:lineRule="auto"/>
        <w:rPr>
          <w:sz w:val="20"/>
          <w:szCs w:val="20"/>
          <w:color w:val="auto"/>
        </w:rPr>
      </w:pPr>
      <w:r>
        <w:rPr>
          <w:rFonts w:ascii="Arial" w:cs="Arial" w:eastAsia="Arial" w:hAnsi="Arial"/>
          <w:sz w:val="16"/>
          <w:szCs w:val="16"/>
          <w:color w:val="auto"/>
        </w:rPr>
        <w:t xml:space="preserve">In the event that an Account of a Borrower which was previously an Eligible Account ceases to be an Eligible Account hereunder, such Borrower or the Borrower Representative shall notify the Administrative Agent thereof on and at the time of submission to the Administrative Agent of the next Aggregate Borrowing Base Certificate and the Borrowing Base Certificate of such Borrower. In determining the amount of an Eligible Account of a Borrower, the face amount of an Account may, in the Administrative Agent’s Permitted Discretion, be reduced by, without duplication and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 (ii) the aggregate amount of all cash received in respect of such Account but not yet applied by such Borrower to reduce the amount of such Account. Notwithstanding the foregoing, the eligibility criteria for “Eligible Accounts” may not be made more restrictive or newly established after the Effective Date (i) without at least three (3) Business Days’ prior notice to the Borrower Representative and (ii) in response to circumstances or events in existence on the Effective Date and disclosed to the Administrative Agent prior to the Effective Date (including under any field examinations or appraisals conducted prior to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limitation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 apply in the event of a material change in the scope or magnitude of any such circumstances or events.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means, at any time, the Inventory of any Borrower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Borrower shall not include any Inventory:</w:t>
      </w:r>
    </w:p>
    <w:p>
      <w:pPr>
        <w:spacing w:after="0" w:line="184" w:lineRule="exact"/>
        <w:rPr>
          <w:sz w:val="20"/>
          <w:szCs w:val="20"/>
          <w:color w:val="auto"/>
        </w:rPr>
      </w:pPr>
    </w:p>
    <w:p>
      <w:pPr>
        <w:ind w:firstLine="656"/>
        <w:spacing w:after="0" w:line="277" w:lineRule="auto"/>
        <w:tabs>
          <w:tab w:leader="none" w:pos="144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other than to the extent a Reserve is established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which is not subject to a first priority perfected security interest in favor of the Administrative Agent;</w:t>
      </w:r>
    </w:p>
    <w:p>
      <w:pPr>
        <w:spacing w:after="0" w:line="170" w:lineRule="exact"/>
        <w:rPr>
          <w:rFonts w:ascii="Arial" w:cs="Arial" w:eastAsia="Arial" w:hAnsi="Arial"/>
          <w:sz w:val="18"/>
          <w:szCs w:val="18"/>
          <w:color w:val="auto"/>
        </w:rPr>
      </w:pPr>
    </w:p>
    <w:p>
      <w:pPr>
        <w:jc w:val="both"/>
        <w:ind w:right="20" w:firstLine="656"/>
        <w:spacing w:after="0" w:line="286" w:lineRule="auto"/>
        <w:tabs>
          <w:tab w:leader="none" w:pos="170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which is subject to any Lien, unless (i) such Lien constitutes (x) a Lien in favor of the Administrative Agent, (y) a Permitted Encumbrance which does not have priority over the Lien in favor of the Administrative Agent or (z) a Lien permitted under </w:t>
      </w:r>
      <w:r>
        <w:rPr>
          <w:rFonts w:ascii="Arial" w:cs="Arial" w:eastAsia="Arial" w:hAnsi="Arial"/>
          <w:sz w:val="17"/>
          <w:szCs w:val="17"/>
          <w:u w:val="single" w:color="auto"/>
          <w:color w:val="auto"/>
        </w:rPr>
        <w:t>Section 6.02(a)(ii)</w:t>
      </w:r>
      <w:r>
        <w:rPr>
          <w:rFonts w:ascii="Arial" w:cs="Arial" w:eastAsia="Arial" w:hAnsi="Arial"/>
          <w:sz w:val="17"/>
          <w:szCs w:val="17"/>
          <w:color w:val="auto"/>
        </w:rPr>
        <w:t xml:space="preserve"> or (ii) the Administrative Agent shall have established a Reserve in its Permitted Discretion for liabilities of such Borrower that are secured by such Lien;</w:t>
      </w:r>
    </w:p>
    <w:p>
      <w:pPr>
        <w:spacing w:after="0" w:line="165" w:lineRule="exact"/>
        <w:rPr>
          <w:rFonts w:ascii="Arial" w:cs="Arial" w:eastAsia="Arial" w:hAnsi="Arial"/>
          <w:sz w:val="17"/>
          <w:szCs w:val="17"/>
          <w:color w:val="auto"/>
        </w:rPr>
      </w:pPr>
    </w:p>
    <w:p>
      <w:pPr>
        <w:jc w:val="both"/>
        <w:ind w:firstLine="656"/>
        <w:spacing w:after="0" w:line="263" w:lineRule="auto"/>
        <w:tabs>
          <w:tab w:leader="none" w:pos="139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which is, in the Administrative Agent’s Permitted Discretion, slow moving, obsolete, unmerchantable, defective, used, unfit for sale, not salable at prices approximating at least the cost of such Inventory in the ordinary course of business or unacceptable due to age, type, category and/or quantity;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1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contained in any Loan Document has been breached or is not true in any material respect (or, with respect to any covenant, representation or warranty which is subject to any materiality qualifier, has been breached or is not true in any respect) and which does not conform to all applicable standards imposed by any Governmental Authority;</w:t>
      </w:r>
    </w:p>
    <w:p>
      <w:pPr>
        <w:spacing w:after="0" w:line="183" w:lineRule="exact"/>
        <w:rPr>
          <w:rFonts w:ascii="Arial" w:cs="Arial" w:eastAsia="Arial" w:hAnsi="Arial"/>
          <w:sz w:val="18"/>
          <w:szCs w:val="18"/>
          <w:color w:val="auto"/>
        </w:rPr>
      </w:pPr>
    </w:p>
    <w:p>
      <w:pPr>
        <w:jc w:val="both"/>
        <w:ind w:firstLine="656"/>
        <w:spacing w:after="0" w:line="311" w:lineRule="auto"/>
        <w:tabs>
          <w:tab w:leader="none" w:pos="161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 which any Person other than such Borrower shall (i) have any direct or indirect ownership, interest or title (including, without limitation, any interest that a customer may have in any chassis included in such Inventory that were acquired by such customer using financing provided by any Loan Party) or (ii) be indicated on any purchase order or invoice with respect to such Inventory as having or purporting to have an interest therein;</w:t>
      </w:r>
    </w:p>
    <w:p>
      <w:pPr>
        <w:spacing w:after="0" w:line="148" w:lineRule="exact"/>
        <w:rPr>
          <w:rFonts w:ascii="Arial" w:cs="Arial" w:eastAsia="Arial" w:hAnsi="Arial"/>
          <w:sz w:val="16"/>
          <w:szCs w:val="16"/>
          <w:color w:val="auto"/>
        </w:rPr>
      </w:pPr>
    </w:p>
    <w:p>
      <w:pPr>
        <w:jc w:val="both"/>
        <w:ind w:firstLine="656"/>
        <w:spacing w:after="0" w:line="293" w:lineRule="auto"/>
        <w:tabs>
          <w:tab w:leader="none" w:pos="159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which constitutes work-in-process (other than U16 Inventory), spare or replacement parts, subassemblies, packaging and shipping material, manufacturing supplies, samples, prototypes, displays or display items, bill-and-hold or ship-in-place goods, goods that are returned or marked for return (unless undamaged and able to be resold in the ordinary course of business), repossessed goods, repurchased goods, defective or damaged goods, goods held by such Borrower on consignment, or goods which are not of a type held for sale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 to $70,000,000 of work-in-process Inventory (other than U16 Inventory) of the Borrowers that otherwise constitutes “Eligible Inventory” may be included as Eligible Inventory (such Inventory (subject to such cap), “</w:t>
      </w:r>
      <w:r>
        <w:rPr>
          <w:rFonts w:ascii="Arial" w:cs="Arial" w:eastAsia="Arial" w:hAnsi="Arial"/>
          <w:sz w:val="16"/>
          <w:szCs w:val="16"/>
          <w:u w:val="single" w:color="auto"/>
          <w:color w:val="auto"/>
        </w:rPr>
        <w:t>Eligible Non-U16 Inventory</w:t>
      </w:r>
      <w:r>
        <w:rPr>
          <w:rFonts w:ascii="Arial" w:cs="Arial" w:eastAsia="Arial" w:hAnsi="Arial"/>
          <w:sz w:val="16"/>
          <w:szCs w:val="16"/>
          <w:color w:val="auto"/>
        </w:rPr>
        <w:t>”) despite the foregoing provisions of this clause (f);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jc w:val="both"/>
        <w:ind w:firstLine="656"/>
        <w:spacing w:after="0" w:line="263" w:lineRule="auto"/>
        <w:tabs>
          <w:tab w:leader="none" w:pos="160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which is not located in the U.S. (including any territory thereof) or Canada or in transit with a common carrier from vendors and suppliers,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 to $7,500,000 of Inventory in transit from vendors and suppliers may be included as Eligible Inventory despite the foregoing provision of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so long as: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06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Administrative Agent shall have received (1) a true and correct copy of the bill of lading and other shipping documents for such Inventory and (2) evidence of satisfactory casualty insurance naming the Administrative Agent as lender loss payee and otherwise covering such risks as the Administrative Agent may reasonably request,</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08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if the bill of lading is non-negotiable, the Inventory must be in transit within the U.S., and the Administrative Agent shall have received, if requested, a duly executed Collateral Access Agreement, in form and substance satisfactory to the Administrative Agent, from the applicable customs broker, freight forwarder or carrier for such Inventory,</w:t>
      </w:r>
    </w:p>
    <w:p>
      <w:pPr>
        <w:spacing w:after="0" w:line="183" w:lineRule="exact"/>
        <w:rPr>
          <w:rFonts w:ascii="Arial" w:cs="Arial" w:eastAsia="Arial" w:hAnsi="Arial"/>
          <w:sz w:val="18"/>
          <w:szCs w:val="18"/>
          <w:color w:val="auto"/>
        </w:rPr>
      </w:pPr>
    </w:p>
    <w:p>
      <w:pPr>
        <w:jc w:val="both"/>
        <w:ind w:left="660" w:firstLine="644"/>
        <w:spacing w:after="0" w:line="255" w:lineRule="auto"/>
        <w:tabs>
          <w:tab w:leader="none" w:pos="221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if the bill of lading is negotiable, the Inventory must be in transit from outside the U.S., and the Administrative Agent shall have received (1) confirmation that the bill is issued in the name of such Borrower and consigned to the order of the Administrative Agent, and an acceptable agreement has been executed with such Borrower’s customs broker, in which the customs broker agrees that it holds the negotiable bill as agent for the Administrative Agent and has granted the Administrative Agent access to the Inventory, (2) confirmation that such Borrower has paid for the goods, and (3) an estimate from such Borrower of the customs duties and customs fees associated with the Inventory in order to establish an appropriate Reserve,</w:t>
      </w:r>
    </w:p>
    <w:p>
      <w:pPr>
        <w:spacing w:after="0" w:line="192" w:lineRule="exact"/>
        <w:rPr>
          <w:rFonts w:ascii="Arial" w:cs="Arial" w:eastAsia="Arial" w:hAnsi="Arial"/>
          <w:sz w:val="18"/>
          <w:szCs w:val="18"/>
          <w:color w:val="auto"/>
        </w:rPr>
      </w:pPr>
    </w:p>
    <w:p>
      <w:pPr>
        <w:ind w:left="2100" w:hanging="796"/>
        <w:spacing w:after="0"/>
        <w:tabs>
          <w:tab w:leader="none" w:pos="21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common carrier is not an Affiliate of the applicable vendor or supplier,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customs broker is not an Affiliate of such Borrower;</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5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which is located in any location leased by such Borrower unless (i) the lessor has delivered to the Administrative Agent a Collateral Access Agreement or (ii) a Reserve for rent, charges and other amounts due or to become due with respect to such facility has been established by the Administrative Agent in its Permitted Discretion;</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39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require or (ii) an appropriate Reserve has been established by the Administrative Agent in its Permitted Discretion;</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524" w:val="left"/>
        </w:tabs>
        <w:numPr>
          <w:ilvl w:val="0"/>
          <w:numId w:val="282"/>
        </w:numPr>
        <w:rPr>
          <w:rFonts w:ascii="Arial" w:cs="Arial" w:eastAsia="Arial" w:hAnsi="Arial"/>
          <w:sz w:val="17"/>
          <w:szCs w:val="17"/>
          <w:color w:val="auto"/>
        </w:rPr>
      </w:pPr>
      <w:r>
        <w:rPr>
          <w:rFonts w:ascii="Arial" w:cs="Arial" w:eastAsia="Arial" w:hAnsi="Arial"/>
          <w:sz w:val="17"/>
          <w:szCs w:val="17"/>
          <w:color w:val="auto"/>
        </w:rPr>
        <w:t>which is being processed offsite at a third party location or outside processor, or is in-transit to or from such third party location or outside processor, unless (i) such processor has delivered to the Administrative Agent a Collateral Access Agreement and such other documentation as the Administrative Agent may require or (ii) an appropriate Reserve has been established by the Administrative Agent in its Permitted Discretion;</w:t>
      </w:r>
    </w:p>
    <w:p>
      <w:pPr>
        <w:spacing w:after="0" w:line="165" w:lineRule="exact"/>
        <w:rPr>
          <w:rFonts w:ascii="Arial" w:cs="Arial" w:eastAsia="Arial" w:hAnsi="Arial"/>
          <w:sz w:val="17"/>
          <w:szCs w:val="17"/>
          <w:color w:val="auto"/>
        </w:rPr>
      </w:pPr>
    </w:p>
    <w:p>
      <w:pPr>
        <w:ind w:left="1620" w:hanging="964"/>
        <w:spacing w:after="0"/>
        <w:tabs>
          <w:tab w:leader="none" w:pos="16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which is a discontinued product or component thereof (unless such discontinuance does not adversely impact the salability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remaining Inventory);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656"/>
        <w:spacing w:after="0" w:line="263" w:lineRule="auto"/>
        <w:tabs>
          <w:tab w:leader="none" w:pos="161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 xml:space="preserve">which is the subject of a consignment by such Borrower as consignor;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consigned Inventory may be eligible if the applicable consignee has delivered to the Administrative Agent a Collateral Access Agreement and such other documentation and the Administrative Agent may reasonably require;</w:t>
      </w:r>
    </w:p>
    <w:p>
      <w:pPr>
        <w:spacing w:after="0" w:line="183" w:lineRule="exact"/>
        <w:rPr>
          <w:rFonts w:ascii="Arial" w:cs="Arial" w:eastAsia="Arial" w:hAnsi="Arial"/>
          <w:sz w:val="18"/>
          <w:szCs w:val="18"/>
          <w:color w:val="auto"/>
        </w:rPr>
      </w:pPr>
    </w:p>
    <w:p>
      <w:pPr>
        <w:jc w:val="both"/>
        <w:ind w:right="20" w:firstLine="656"/>
        <w:spacing w:after="0" w:line="274" w:lineRule="auto"/>
        <w:tabs>
          <w:tab w:leader="none" w:pos="1542" w:val="left"/>
        </w:tabs>
        <w:numPr>
          <w:ilvl w:val="1"/>
          <w:numId w:val="283"/>
        </w:numPr>
        <w:rPr>
          <w:rFonts w:ascii="Arial" w:cs="Arial" w:eastAsia="Arial" w:hAnsi="Arial"/>
          <w:sz w:val="17"/>
          <w:szCs w:val="17"/>
          <w:color w:val="auto"/>
        </w:rPr>
      </w:pPr>
      <w:r>
        <w:rPr>
          <w:rFonts w:ascii="Arial" w:cs="Arial" w:eastAsia="Arial" w:hAnsi="Arial"/>
          <w:sz w:val="17"/>
          <w:szCs w:val="17"/>
          <w:color w:val="auto"/>
        </w:rPr>
        <w:t>which contains or bears any intellectual property rights licensed to such Borrower unless the Administrative Agent is satisfied that it may sell or otherwise dispose of such Inventory without (i) infringing the rights of such licensor, (ii) violating any contract with such licensor, or</w:t>
      </w:r>
    </w:p>
    <w:p>
      <w:pPr>
        <w:ind w:firstLine="8"/>
        <w:spacing w:after="0" w:line="260" w:lineRule="auto"/>
        <w:tabs>
          <w:tab w:leader="none" w:pos="32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incurring any liability with respect to payment of royalties other than royalties incurred pursuant to sale of such Inventory under the current licensing agreement;</w:t>
      </w:r>
    </w:p>
    <w:p>
      <w:pPr>
        <w:spacing w:after="0" w:line="185" w:lineRule="exact"/>
        <w:rPr>
          <w:rFonts w:ascii="Arial" w:cs="Arial" w:eastAsia="Arial" w:hAnsi="Arial"/>
          <w:sz w:val="18"/>
          <w:szCs w:val="18"/>
          <w:color w:val="auto"/>
        </w:rPr>
      </w:pPr>
    </w:p>
    <w:p>
      <w:pPr>
        <w:jc w:val="both"/>
        <w:ind w:firstLine="656"/>
        <w:spacing w:after="0" w:line="257" w:lineRule="auto"/>
        <w:tabs>
          <w:tab w:leader="none" w:pos="147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 xml:space="preserve">which is not reflected in a current perpetual inventory report of such Borrower (unless such inventory (i) is reflected in a report to the Administrative Agent as “in transit” inventory or (ii) constitutes Eligible Non-U16 Inventory);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provisions of this </w:t>
      </w:r>
      <w:r>
        <w:rPr>
          <w:rFonts w:ascii="Arial" w:cs="Arial" w:eastAsia="Arial" w:hAnsi="Arial"/>
          <w:sz w:val="18"/>
          <w:szCs w:val="18"/>
          <w:u w:val="single" w:color="auto"/>
          <w:color w:val="auto"/>
        </w:rPr>
        <w:t>clause (n)</w:t>
      </w:r>
      <w:r>
        <w:rPr>
          <w:rFonts w:ascii="Arial" w:cs="Arial" w:eastAsia="Arial" w:hAnsi="Arial"/>
          <w:sz w:val="18"/>
          <w:szCs w:val="18"/>
          <w:color w:val="auto"/>
        </w:rPr>
        <w:t>, up to $20,000,000 of Inventory of the Borrowers not reflected in a current perpetual inventory report, which $20,000,000 limitation shall not apply to Eligible Non-U16 Inventory or “in-transit” inventory, and otherwise constituting “</w:t>
      </w:r>
      <w:r>
        <w:rPr>
          <w:rFonts w:ascii="Arial" w:cs="Arial" w:eastAsia="Arial" w:hAnsi="Arial"/>
          <w:sz w:val="18"/>
          <w:szCs w:val="18"/>
          <w:u w:val="single" w:color="auto"/>
          <w:color w:val="auto"/>
        </w:rPr>
        <w:t>Eligible Inventory</w:t>
      </w:r>
      <w:r>
        <w:rPr>
          <w:rFonts w:ascii="Arial" w:cs="Arial" w:eastAsia="Arial" w:hAnsi="Arial"/>
          <w:sz w:val="18"/>
          <w:szCs w:val="18"/>
          <w:color w:val="auto"/>
        </w:rPr>
        <w:t>” may be included as Eligible Inventory (such Inventory (subject to such cap), “</w:t>
      </w:r>
      <w:r>
        <w:rPr>
          <w:rFonts w:ascii="Arial" w:cs="Arial" w:eastAsia="Arial" w:hAnsi="Arial"/>
          <w:sz w:val="18"/>
          <w:szCs w:val="18"/>
          <w:u w:val="single" w:color="auto"/>
          <w:color w:val="auto"/>
        </w:rPr>
        <w:t>Eligible Non-Perpetual Inventory</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400" w:hanging="744"/>
        <w:spacing w:after="0"/>
        <w:tabs>
          <w:tab w:leader="none" w:pos="14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for which reclamation rights have been asserted by the seller;</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48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 xml:space="preserve">for which any contract or related documentation (such as invoices or purchase orders) relating to such Inventory includes retention of title rights in favor of the vendor or supplier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Inventory of a Borrower which may be subject to any rights of retention of title shall not be excluded from Eligible Inventory solely pursuant to this </w:t>
      </w:r>
      <w:r>
        <w:rPr>
          <w:rFonts w:ascii="Arial" w:cs="Arial" w:eastAsia="Arial" w:hAnsi="Arial"/>
          <w:sz w:val="18"/>
          <w:szCs w:val="18"/>
          <w:u w:val="single" w:color="auto"/>
          <w:color w:val="auto"/>
        </w:rPr>
        <w:t>clause (p)</w:t>
      </w:r>
      <w:r>
        <w:rPr>
          <w:rFonts w:ascii="Arial" w:cs="Arial" w:eastAsia="Arial" w:hAnsi="Arial"/>
          <w:sz w:val="18"/>
          <w:szCs w:val="18"/>
          <w:color w:val="auto"/>
        </w:rPr>
        <w:t xml:space="preserve"> in the event that (A) the Administrative Agent shall have received evidence satisfactory to it that the full purchase price of such Inventory has or will have been paid or (B) a Letter of Credit has been issued under and in accordance with the terms of this Agreement for the purchase of such Inventory;</w:t>
      </w:r>
    </w:p>
    <w:p>
      <w:pPr>
        <w:spacing w:after="0" w:line="187" w:lineRule="exact"/>
        <w:rPr>
          <w:rFonts w:ascii="Arial" w:cs="Arial" w:eastAsia="Arial" w:hAnsi="Arial"/>
          <w:sz w:val="18"/>
          <w:szCs w:val="18"/>
          <w:color w:val="auto"/>
        </w:rPr>
      </w:pPr>
    </w:p>
    <w:p>
      <w:pPr>
        <w:ind w:left="1400" w:hanging="744"/>
        <w:spacing w:after="0"/>
        <w:tabs>
          <w:tab w:leader="none" w:pos="14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which has been acquired from a Sanctioned Person; or</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other than to the extent permitted by the Administrative Agent in its Permitted Discretion, which constitutes raw materials of Winnebago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Indiana.</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the event that Inventory of any Borrower which was previously Eligible Inventory ceases to be Eligible Inventory hereunder, such Borrower or the Borrower Representative shall notify the Administrative Agent thereof on and at the time of submission to the Administrative Agent of the next Aggregate Borrowing Base Certificate and the Borrowing Base Certificate of such Borrower. Notwithstanding the foregoing, the eligibility criteria for “Eligible Inventory” may not be made more restrictive or newly established after the Effective Date (i) without at least three (3) Business Days’ prior notice to the Borrower Representative and (ii) in response to circumstances or events in existence on the Effective Date and disclosed to the Administrative Agent prior to the Effective Date (including under any field examinations or appraisals conducted prior to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limitation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 apply in the event of a material change in the scope or magnitude of any such circumstances or events.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Non-Perpetual Inventory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clause (n)</w:t>
      </w:r>
      <w:r>
        <w:rPr>
          <w:rFonts w:ascii="Arial" w:cs="Arial" w:eastAsia="Arial" w:hAnsi="Arial"/>
          <w:sz w:val="18"/>
          <w:szCs w:val="18"/>
          <w:color w:val="auto"/>
        </w:rPr>
        <w:t xml:space="preserve"> of the definition of “Eligible Inventory”.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Non-U16 Inventory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the definition of “Eligible Inventory”.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w:t>
      </w:r>
    </w:p>
    <w:p>
      <w:pPr>
        <w:spacing w:after="0" w:line="2" w:lineRule="exact"/>
        <w:rPr>
          <w:sz w:val="20"/>
          <w:szCs w:val="20"/>
          <w:color w:val="auto"/>
        </w:rPr>
      </w:pPr>
    </w:p>
    <w:p>
      <w:pPr>
        <w:ind w:firstLine="8"/>
        <w:spacing w:after="0" w:line="260" w:lineRule="auto"/>
        <w:tabs>
          <w:tab w:leader="none" w:pos="27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release or threatened release of any Hazardous Materials into the environment or (e) any contract, agreement or other consensual arrangement pursuant to which liability is assumed or imposed with respect to any of the foregoing.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Section 4001(14) of ERISA or, solely for purposes of Section 302 of ERISA and Section 412 of the Code, is treated as a single employer under Section 414 of the Code.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in critical status or in reorganization, within the meaning of Title IV of ERISA.</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means that such Loan, or the Loans comprising such Borrowing, bears interest at a rate determined by reference to the Adjusted LIBO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Grand Design Borrowing Base</w:t>
      </w:r>
      <w:r>
        <w:rPr>
          <w:rFonts w:ascii="Arial" w:cs="Arial" w:eastAsia="Arial" w:hAnsi="Arial"/>
          <w:sz w:val="18"/>
          <w:szCs w:val="18"/>
          <w:color w:val="auto"/>
        </w:rPr>
        <w:t>” means, at any time, the excess, if any, of (a) Grand Design’s Borrowing Base at such time over (b) the aggregate Grand Design Revolving Exposures of all Lenders at such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Newmar Borrowing Base</w:t>
      </w:r>
      <w:r>
        <w:rPr>
          <w:rFonts w:ascii="Arial" w:cs="Arial" w:eastAsia="Arial" w:hAnsi="Arial"/>
          <w:sz w:val="18"/>
          <w:szCs w:val="18"/>
          <w:color w:val="auto"/>
        </w:rPr>
        <w:t>” means, at any time, the excess, if any, of (a) Newmar’s Borrowing Base at such time over (b) the aggregate Newmar Revolving Exposures of all Lenders at such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Winnebago of Indiana Borrowing Base</w:t>
      </w:r>
      <w:r>
        <w:rPr>
          <w:rFonts w:ascii="Arial" w:cs="Arial" w:eastAsia="Arial" w:hAnsi="Arial"/>
          <w:sz w:val="18"/>
          <w:szCs w:val="18"/>
          <w:color w:val="auto"/>
        </w:rPr>
        <w:t>” means, at any time, the excess, if any, of (a) Winnebago of Indiana’s Borrowing Base at such time over (b) the aggregate Winnebago of Indiana Revolving Exposures of all Lenders at such time.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means, collectively, (a) payroll accounts, trust accounts, employee benefit accounts and zero-balance disbursement accounts (that are not collection accounts) and (b) deposit accounts that have balances of no more than $250,000 individually or $1,000,000 in the aggregate for any period of thirty (30) consecutive days.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collectively:</w:t>
      </w:r>
    </w:p>
    <w:p>
      <w:pPr>
        <w:spacing w:after="0" w:line="225" w:lineRule="exact"/>
        <w:rPr>
          <w:sz w:val="20"/>
          <w:szCs w:val="20"/>
          <w:color w:val="auto"/>
        </w:rPr>
      </w:pPr>
    </w:p>
    <w:p>
      <w:pPr>
        <w:ind w:left="1400" w:hanging="744"/>
        <w:spacing w:after="0"/>
        <w:tabs>
          <w:tab w:leader="none" w:pos="14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fee-owned real property that does not constitute Material Real Property and all leasehold interests in real property;</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42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171" w:lineRule="exact"/>
        <w:rPr>
          <w:rFonts w:ascii="Arial" w:cs="Arial" w:eastAsia="Arial" w:hAnsi="Arial"/>
          <w:sz w:val="17"/>
          <w:szCs w:val="17"/>
          <w:color w:val="auto"/>
        </w:rPr>
      </w:pPr>
    </w:p>
    <w:p>
      <w:pPr>
        <w:jc w:val="both"/>
        <w:ind w:firstLine="656"/>
        <w:spacing w:after="0" w:line="279" w:lineRule="auto"/>
        <w:tabs>
          <w:tab w:leader="none" w:pos="1407"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assets in respect of which pledges and security interests are prohibited by applicable U.S. law, rule or regulation or agreements with any U.S. governmental authority (other than to the extent that such prohibition would be rendered ineffective pursuant to Sections 9-406, 9-407, 9-408, 9-409 or other applicable provisions of the UCC of any relevant jurisdiction or any other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upon the ineffectiveness, lapse or termination of any such prohibitions, such assets shall automatically cease to constitute Excluded Assets;</w:t>
      </w:r>
    </w:p>
    <w:p>
      <w:pPr>
        <w:spacing w:after="0" w:line="171" w:lineRule="exact"/>
        <w:rPr>
          <w:rFonts w:ascii="Arial" w:cs="Arial" w:eastAsia="Arial" w:hAnsi="Arial"/>
          <w:sz w:val="17"/>
          <w:szCs w:val="17"/>
          <w:color w:val="auto"/>
        </w:rPr>
      </w:pPr>
    </w:p>
    <w:p>
      <w:pPr>
        <w:ind w:left="1400" w:hanging="744"/>
        <w:spacing w:after="0"/>
        <w:tabs>
          <w:tab w:leader="none" w:pos="14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margin stock (within the meaning of Regulation U issued by the Board);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2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Equity Interests in any entity other than wholly-owned Material Subsidiaries and, to the extent not requiring the consent of one or more unaffiliated third parties or prohibited by the terms of any applicable organizational documents, joint venture agreement or shareholders’ agreement, other Material Subsidiaries and joint ventures;</w:t>
      </w:r>
    </w:p>
    <w:p>
      <w:pPr>
        <w:spacing w:after="0" w:line="183" w:lineRule="exact"/>
        <w:rPr>
          <w:rFonts w:ascii="Arial" w:cs="Arial" w:eastAsia="Arial" w:hAnsi="Arial"/>
          <w:sz w:val="18"/>
          <w:szCs w:val="18"/>
          <w:color w:val="auto"/>
        </w:rPr>
      </w:pPr>
    </w:p>
    <w:p>
      <w:pPr>
        <w:ind w:firstLine="656"/>
        <w:spacing w:after="0" w:line="277" w:lineRule="auto"/>
        <w:tabs>
          <w:tab w:leader="none" w:pos="14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letter of credit rights with a value of less than $5,000,000 (other than to the extent the security interest in such letter of credit right may be perfected by the filing of UCC financing statements) and commercial tort claims with a value of less than $5,000,000;</w:t>
      </w:r>
    </w:p>
    <w:p>
      <w:pPr>
        <w:spacing w:after="0" w:line="170" w:lineRule="exact"/>
        <w:rPr>
          <w:rFonts w:ascii="Arial" w:cs="Arial" w:eastAsia="Arial" w:hAnsi="Arial"/>
          <w:sz w:val="18"/>
          <w:szCs w:val="18"/>
          <w:color w:val="auto"/>
        </w:rPr>
      </w:pPr>
    </w:p>
    <w:p>
      <w:pPr>
        <w:jc w:val="both"/>
        <w:ind w:firstLine="656"/>
        <w:spacing w:after="0" w:line="254" w:lineRule="auto"/>
        <w:tabs>
          <w:tab w:leader="none" w:pos="155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any lease, license, capital lease obligation or other agreement or any property subject to a purchase money security interest, similar agreement or other contractual restriction to the extent that a grant of a security interest therein would violate or invalidate such lease, license, capital lease obligation or agreement or purchase money arrangement or other contraction restriction or create a right of termination in favor of any other party thereto (other than a Loan Party)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9-406, 9-407, 9-408, 9-409 or other applicable provisions of the UCC of any relevant jurisdiction or any other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upon the ineffectiveness, lapse or termination of any such term, such assets shall automatically cease to constitute Excluded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jc w:val="both"/>
        <w:ind w:firstLine="656"/>
        <w:spacing w:after="0" w:line="263" w:lineRule="auto"/>
        <w:tabs>
          <w:tab w:leader="none" w:pos="151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foreign assets (including foreign intellectual property) (other than pledges of the Applicable Pledge Percentage of the issued and outstanding Equity Interests in any First Tier Foreign Subsidiary which is a Material Foreign Subsidiary as contemplated by this Agreement) or credit support;</w:t>
      </w:r>
    </w:p>
    <w:p>
      <w:pPr>
        <w:spacing w:after="0" w:line="183" w:lineRule="exact"/>
        <w:rPr>
          <w:rFonts w:ascii="Arial" w:cs="Arial" w:eastAsia="Arial" w:hAnsi="Arial"/>
          <w:sz w:val="18"/>
          <w:szCs w:val="18"/>
          <w:color w:val="auto"/>
        </w:rPr>
      </w:pPr>
    </w:p>
    <w:p>
      <w:pPr>
        <w:ind w:firstLine="656"/>
        <w:spacing w:after="0" w:line="277" w:lineRule="auto"/>
        <w:tabs>
          <w:tab w:leader="none" w:pos="135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those assets as to which the Administrative Agent and the Company reasonably agree that the cost of obtaining such a security interest or perfection thereof are excessive in relation to the benefit to the Lenders of the security to be afforded thereby;</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aircrafts and aircraft engines; and</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Excluded Accounts.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“Excluded Assets” shall not include any proceeds, products, substitutions or replacements of Excluded Assets (unless such proceeds, products, substitutions or replacements would otherwise constitute Excluded Assets).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Domestic Subsidiary</w:t>
      </w:r>
      <w:r>
        <w:rPr>
          <w:rFonts w:ascii="Arial" w:cs="Arial" w:eastAsia="Arial" w:hAnsi="Arial"/>
          <w:sz w:val="18"/>
          <w:szCs w:val="18"/>
          <w:color w:val="auto"/>
        </w:rPr>
        <w:t>” means (a) any Domestic Subsidiary whose Equity Interests are owned directly or indirectly by a CFC and (b) any Domestic Foreign Holdco Subsidiary.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Foreign Subsidiary</w:t>
      </w:r>
      <w:r>
        <w:rPr>
          <w:rFonts w:ascii="Arial" w:cs="Arial" w:eastAsia="Arial" w:hAnsi="Arial"/>
          <w:sz w:val="18"/>
          <w:szCs w:val="18"/>
          <w:color w:val="auto"/>
        </w:rPr>
        <w:t>” means a Foreign Subsidiary which is (a) a CFC or (b) a direct or indirect Foreign Subsidiary owned by a CFC or Domestic Foreign Holdco Subsidiary.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81" w:lineRule="auto"/>
        <w:tabs>
          <w:tab w:leader="none" w:pos="21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amounts with respect to such Taxes were payable either to such Lender’s assignor immediately before such Lender acquired the applicable interest in a Loan, Letter of Credit or Commitment or to such Lender immediately before it changed its lending office,</w:t>
      </w:r>
    </w:p>
    <w:p>
      <w:pPr>
        <w:spacing w:after="0" w:line="4" w:lineRule="exact"/>
        <w:rPr>
          <w:rFonts w:ascii="Arial" w:cs="Arial" w:eastAsia="Arial" w:hAnsi="Arial"/>
          <w:sz w:val="16"/>
          <w:szCs w:val="16"/>
          <w:color w:val="auto"/>
        </w:rPr>
      </w:pPr>
    </w:p>
    <w:p>
      <w:pPr>
        <w:ind w:left="240" w:hanging="232"/>
        <w:spacing w:after="0"/>
        <w:tabs>
          <w:tab w:leader="none" w:pos="24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Taxes attributable to such Recipient’s failure to comply with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and (d) any U.S. Federal withholding Taxes imposed under FATCA.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Extenuating Circumstance</w:t>
      </w:r>
      <w:r>
        <w:rPr>
          <w:rFonts w:ascii="Arial" w:cs="Arial" w:eastAsia="Arial" w:hAnsi="Arial"/>
          <w:sz w:val="17"/>
          <w:szCs w:val="17"/>
          <w:color w:val="auto"/>
        </w:rPr>
        <w:t>” means any period during which the Administrative Agent has determined in its sole discretion (a) that due to unforeseen and/or nonrecurring circumstances, it is impractical and/or not feasible to submit or receive a Borrowing Request or Interest Election Request by email or fax or through Electronic System, and (b) to accept a Borrowing Request or Interest Election Request telephonically.</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FCCR Test Period</w:t>
      </w:r>
      <w:r>
        <w:rPr>
          <w:rFonts w:ascii="Arial" w:cs="Arial" w:eastAsia="Arial" w:hAnsi="Arial"/>
          <w:sz w:val="17"/>
          <w:szCs w:val="17"/>
          <w:color w:val="auto"/>
        </w:rPr>
        <w:t>” means any period (a) commencing on the last day of the most recently ended Test Period on or prior to the date Aggregate Availability is less than the greater of $16,500,000 and 10% of the Aggregate Commitment at any time and (b) ending on the day after Aggregate Availability has exceeded the greater of $16,500,000 and 10% of the Aggregate Commitment for thirty (30) consecutive days.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Release Conditions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9.19(c)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Company.</w:t>
      </w: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FF0000"/>
          <w:strike w:val="1"/>
        </w:rPr>
        <w:t>First Lien Net Leverage Ratio</w:t>
      </w:r>
      <w:r>
        <w:rPr>
          <w:rFonts w:ascii="Arial" w:cs="Arial" w:eastAsia="Arial" w:hAnsi="Arial"/>
          <w:sz w:val="16"/>
          <w:szCs w:val="16"/>
          <w:b w:val="1"/>
          <w:bCs w:val="1"/>
          <w:color w:val="FF0000"/>
          <w:strike w:val="1"/>
        </w:rPr>
        <w:t xml:space="preserve">” means, as of any date of determination, the ratio of (a) an amount equal to (i) Consolidated Total Secured Indebtedness, but excluding any secured indebtedness to the extent the Liens with respect thereto are subordinated to the Liens securing the Secured Obligations or the Term Loan Obligations, as of the last day of the most recent Test Period on or prior to such date of determination </w:t>
      </w:r>
      <w:r>
        <w:rPr>
          <w:rFonts w:ascii="Arial" w:cs="Arial" w:eastAsia="Arial" w:hAnsi="Arial"/>
          <w:sz w:val="16"/>
          <w:szCs w:val="16"/>
          <w:b w:val="1"/>
          <w:bCs w:val="1"/>
          <w:u w:val="single" w:color="auto"/>
          <w:color w:val="FF0000"/>
          <w:strike w:val="1"/>
        </w:rPr>
        <w:t xml:space="preserve">minus </w:t>
      </w:r>
      <w:r>
        <w:rPr>
          <w:rFonts w:ascii="Arial" w:cs="Arial" w:eastAsia="Arial" w:hAnsi="Arial"/>
          <w:sz w:val="16"/>
          <w:szCs w:val="16"/>
          <w:b w:val="1"/>
          <w:bCs w:val="1"/>
          <w:color w:val="FF0000"/>
          <w:strike w:val="1"/>
        </w:rPr>
        <w:t>(ii) the aggregate amount of unrestricted and unencumbered cash and Permitted Investments included in the consolidated balance sheet of</w:t>
      </w:r>
      <w:r>
        <w:rPr>
          <w:rFonts w:ascii="Arial" w:cs="Arial" w:eastAsia="Arial" w:hAnsi="Arial"/>
          <w:sz w:val="16"/>
          <w:szCs w:val="16"/>
          <w:b w:val="1"/>
          <w:bCs w:val="1"/>
          <w:u w:val="single" w:color="auto"/>
          <w:color w:val="FF0000"/>
          <w:strike w:val="1"/>
        </w:rPr>
        <w:t xml:space="preserve"> </w:t>
      </w:r>
      <w:r>
        <w:rPr>
          <w:rFonts w:ascii="Arial" w:cs="Arial" w:eastAsia="Arial" w:hAnsi="Arial"/>
          <w:sz w:val="16"/>
          <w:szCs w:val="16"/>
          <w:b w:val="1"/>
          <w:bCs w:val="1"/>
          <w:color w:val="FF0000"/>
          <w:strike w:val="1"/>
        </w:rPr>
        <w:t>the Company and its Subsidiaries as of such date, which aggregate amount shall be determined without giving pro forma effect to the proceeds of Indebtedness incurred on such date to (ii) Consolidated EBITDA of the Company and its Subsidiaries for such Test Period.</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Foreign Subsidiary</w:t>
      </w:r>
      <w:r>
        <w:rPr>
          <w:rFonts w:ascii="Arial" w:cs="Arial" w:eastAsia="Arial" w:hAnsi="Arial"/>
          <w:sz w:val="18"/>
          <w:szCs w:val="18"/>
          <w:color w:val="auto"/>
        </w:rPr>
        <w:t>” means each Foreign Subsidiary with respect to which any one or more of the Company and its Domestic Subsidiaries directly owns more than 50% of such Foreign Subsidiary’s issued and outstanding Equity Interests.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0000FF"/>
        </w:rPr>
        <w:t>“Fixed Asset Priority Collateral” has the meaning assigned thereto in the ABL/Fixed Asset Intercreditor Agreement, and is intended to indicate that portion of the Collateral subject to a prior Lien in favor of the Term Loans/Notes Agent.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means, for any period, the ratio of (a) Consolidated EBITDA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Capital Expenditures (other than Capital Expenditures (i) financed with Indebtedness (other than Revolving Loans), (ii) made to restore, replace or rebuild assets subject to casualty or condemnation events to the extent made with the cash proceeds of insurance or condemnation awards, (iii) to the extent made with the cash proceeds of permitted asset dispositions and/or (iv) constituting capital assets acquired in a Permitted Acquisition) to (b) Fixed Charges, all calculated for the Company and its Subsidiaries on a consolidated basis in accordance with GAAP.</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Charges</w:t>
      </w:r>
      <w:r>
        <w:rPr>
          <w:rFonts w:ascii="Arial" w:cs="Arial" w:eastAsia="Arial" w:hAnsi="Arial"/>
          <w:sz w:val="16"/>
          <w:szCs w:val="16"/>
          <w:color w:val="auto"/>
        </w:rPr>
        <w:t xml:space="preserve">” means, for any period, without duplication, (a) cash Consolidated Interest Expense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to the extent positive, expenses for income taxes paid in cash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scheduled cash principal payments made on Indebtedness for borrowed money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cash dividends paid by the Company,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cash contributions to any Plan (to the extent not accounted for in the calculation of Consolidated EBITDA), all calculated for the Company and its Subsidiaries (except as provided in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satisfaction of the Payment Condition, “Fixed Charges” shall also include, without duplication (i) all Restricted Payments paid in cash by the Company and its Subsidiaries on a consolidated basis during such period pursuant to </w:t>
      </w:r>
      <w:r>
        <w:rPr>
          <w:rFonts w:ascii="Arial" w:cs="Arial" w:eastAsia="Arial" w:hAnsi="Arial"/>
          <w:sz w:val="16"/>
          <w:szCs w:val="16"/>
          <w:u w:val="single" w:color="auto"/>
          <w:color w:val="auto"/>
        </w:rPr>
        <w:t>Section 6.09(g)</w:t>
      </w:r>
      <w:r>
        <w:rPr>
          <w:rFonts w:ascii="Arial" w:cs="Arial" w:eastAsia="Arial" w:hAnsi="Arial"/>
          <w:sz w:val="16"/>
          <w:szCs w:val="16"/>
          <w:color w:val="auto"/>
        </w:rPr>
        <w:t xml:space="preserve"> and (ii) cash payments of earn-out obligations.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Laws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if the applicable Borrower is a U.S. Person, a Lender, with respect to such Borrower, that is not a U.S. Person, and</w:t>
      </w:r>
    </w:p>
    <w:p>
      <w:pPr>
        <w:spacing w:after="0" w:line="46" w:lineRule="exact"/>
        <w:rPr>
          <w:sz w:val="20"/>
          <w:szCs w:val="20"/>
          <w:color w:val="auto"/>
        </w:rPr>
      </w:pPr>
    </w:p>
    <w:p>
      <w:pPr>
        <w:ind w:firstLine="8"/>
        <w:spacing w:after="0" w:line="260" w:lineRule="auto"/>
        <w:tabs>
          <w:tab w:leader="none" w:pos="26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the applicable Borrower is not a U.S. Person, a Lender, with respect to such Borrower, that is resident or organized under the laws of a jurisdiction other than that in which such Borrower is resident for tax purposes.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 Design</w:t>
      </w:r>
      <w:r>
        <w:rPr>
          <w:rFonts w:ascii="Arial" w:cs="Arial" w:eastAsia="Arial" w:hAnsi="Arial"/>
          <w:sz w:val="18"/>
          <w:szCs w:val="18"/>
          <w:color w:val="auto"/>
        </w:rPr>
        <w:t>” means Grand Design RV, LLC, an Indiana limited liability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 Design Revolving Exposures</w:t>
      </w:r>
      <w:r>
        <w:rPr>
          <w:rFonts w:ascii="Arial" w:cs="Arial" w:eastAsia="Arial" w:hAnsi="Arial"/>
          <w:sz w:val="18"/>
          <w:szCs w:val="18"/>
          <w:color w:val="auto"/>
        </w:rPr>
        <w:t xml:space="preserve">” means, with respect to any Lender at any time, and without duplication, the sum of (a) the outstanding principal amount of the Revolving Loans made by such Lender to Grand Design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Lender’s LC Exposure with respect to Letters of Credit issued for the account of Grand Design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such Lender’s Swingline Exposure with respect to Swingline Loans made to Grand Design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an amount equal to its Applicable Percentage of the aggregate principal amount of outstanding Protective Advances made to Grand Design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an amount equal to its Applicable Percentage of the aggregate principal amount of outstanding Overadvances made to Grand Design at such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 Design Utilization</w:t>
      </w:r>
      <w:r>
        <w:rPr>
          <w:rFonts w:ascii="Arial" w:cs="Arial" w:eastAsia="Arial" w:hAnsi="Arial"/>
          <w:sz w:val="18"/>
          <w:szCs w:val="18"/>
          <w:color w:val="auto"/>
        </w:rPr>
        <w:t>” means, at any time, the excess, if any, of (a) the aggregate Grand Design Revolving Exposures of all Lenders over (b) the Grand Design Borrowing Base.</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2" w:lineRule="exact"/>
        <w:rPr>
          <w:sz w:val="20"/>
          <w:szCs w:val="20"/>
          <w:color w:val="auto"/>
        </w:rPr>
      </w:pPr>
    </w:p>
    <w:p>
      <w:pPr>
        <w:jc w:val="both"/>
        <w:ind w:firstLine="8"/>
        <w:spacing w:after="0" w:line="302" w:lineRule="auto"/>
        <w:tabs>
          <w:tab w:leader="none" w:pos="26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w:t>
      </w:r>
    </w:p>
    <w:p>
      <w:pPr>
        <w:spacing w:after="0" w:line="1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Hostile Acquisition</w:t>
      </w:r>
      <w:r>
        <w:rPr>
          <w:rFonts w:ascii="Arial" w:cs="Arial" w:eastAsia="Arial" w:hAnsi="Arial"/>
          <w:sz w:val="17"/>
          <w:szCs w:val="17"/>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LIBO Rate</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Term</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Loan</w:t>
      </w:r>
      <w:r>
        <w:rPr>
          <w:rFonts w:ascii="Arial" w:cs="Arial" w:eastAsia="Arial" w:hAnsi="Arial"/>
          <w:sz w:val="17"/>
          <w:szCs w:val="17"/>
          <w:b w:val="1"/>
          <w:bCs w:val="1"/>
          <w:u w:val="single" w:color="auto"/>
          <w:color w:val="0000FF"/>
        </w:rPr>
        <w:t>Loans/Notes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xml:space="preserve">” means, at any time, an amount of Indebtedness such that, as of the most recently completed Test Period ending prior to the date of the incurrence of such Indebtedness, after giving pro forma effect to such incurrence and such acquisition in accordance with Section 1.04(b), the </w:t>
      </w:r>
      <w:r>
        <w:rPr>
          <w:rFonts w:ascii="Arial" w:cs="Arial" w:eastAsia="Arial" w:hAnsi="Arial"/>
          <w:sz w:val="17"/>
          <w:szCs w:val="17"/>
          <w:b w:val="1"/>
          <w:bCs w:val="1"/>
          <w:color w:val="FF0000"/>
          <w:strike w:val="1"/>
        </w:rPr>
        <w:t>First Lien</w:t>
      </w:r>
      <w:r>
        <w:rPr>
          <w:rFonts w:ascii="Arial" w:cs="Arial" w:eastAsia="Arial" w:hAnsi="Arial"/>
          <w:sz w:val="17"/>
          <w:szCs w:val="17"/>
          <w:b w:val="1"/>
          <w:bCs w:val="1"/>
          <w:u w:val="single" w:color="auto"/>
          <w:color w:val="0000FF"/>
        </w:rPr>
        <w:t>Secured</w:t>
      </w:r>
      <w:r>
        <w:rPr>
          <w:rFonts w:ascii="Arial" w:cs="Arial" w:eastAsia="Arial" w:hAnsi="Arial"/>
          <w:sz w:val="17"/>
          <w:szCs w:val="17"/>
          <w:color w:val="auto"/>
        </w:rPr>
        <w:t xml:space="preserve"> Net Leverage Ratio calculated is less than or equal to </w:t>
      </w:r>
      <w:r>
        <w:rPr>
          <w:rFonts w:ascii="Arial" w:cs="Arial" w:eastAsia="Arial" w:hAnsi="Arial"/>
          <w:sz w:val="17"/>
          <w:szCs w:val="17"/>
          <w:b w:val="1"/>
          <w:bCs w:val="1"/>
          <w:color w:val="FF0000"/>
          <w:strike w:val="1"/>
        </w:rPr>
        <w:t>2.50</w:t>
      </w:r>
      <w:r>
        <w:rPr>
          <w:rFonts w:ascii="Arial" w:cs="Arial" w:eastAsia="Arial" w:hAnsi="Arial"/>
          <w:sz w:val="17"/>
          <w:szCs w:val="17"/>
          <w:b w:val="1"/>
          <w:bCs w:val="1"/>
          <w:u w:val="single" w:color="auto"/>
          <w:color w:val="0000FF"/>
        </w:rPr>
        <w:t>3.00</w:t>
      </w:r>
      <w:r>
        <w:rPr>
          <w:rFonts w:ascii="Arial" w:cs="Arial" w:eastAsia="Arial" w:hAnsi="Arial"/>
          <w:sz w:val="17"/>
          <w:szCs w:val="17"/>
          <w:color w:val="auto"/>
        </w:rPr>
        <w:t xml:space="preserve"> to 1.00.</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and (k) obligations of such Person under Sale and Leaseback Transactions (other than such obligations constituting operating lease obligations).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or becomes, reasonably determinable and contingencies have been resolved or such amount would otherwise be required to be reflected on a balance sheet prepared in accordance with GAAP; (ii) current accounts payable incurred in the ordinary course of business; (iii) obligations in respect of non-competes and similar agreements; (iv) Swap Obligations; (v) Banking Services Obligations; (vi) licenses and operating leases; or</w:t>
      </w:r>
    </w:p>
    <w:p>
      <w:pPr>
        <w:spacing w:after="0" w:line="11" w:lineRule="exact"/>
        <w:rPr>
          <w:sz w:val="20"/>
          <w:szCs w:val="20"/>
          <w:color w:val="auto"/>
        </w:rPr>
      </w:pPr>
    </w:p>
    <w:p>
      <w:pPr>
        <w:jc w:val="right"/>
        <w:ind w:left="5540" w:right="5520" w:hanging="5532"/>
        <w:spacing w:after="0" w:line="887" w:lineRule="auto"/>
        <w:tabs>
          <w:tab w:leader="none" w:pos="36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Permitted Call Spread Swap Agreements, and any obligations thereunder.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Other Taxes.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xml:space="preserve">” means (a) in respect of the Term </w:t>
      </w:r>
      <w:r>
        <w:rPr>
          <w:rFonts w:ascii="Arial" w:cs="Arial" w:eastAsia="Arial" w:hAnsi="Arial"/>
          <w:sz w:val="16"/>
          <w:szCs w:val="16"/>
          <w:b w:val="1"/>
          <w:bCs w:val="1"/>
          <w:color w:val="FF0000"/>
          <w:strike w:val="1"/>
        </w:rPr>
        <w:t>Loan</w:t>
      </w:r>
      <w:r>
        <w:rPr>
          <w:rFonts w:ascii="Arial" w:cs="Arial" w:eastAsia="Arial" w:hAnsi="Arial"/>
          <w:sz w:val="16"/>
          <w:szCs w:val="16"/>
          <w:b w:val="1"/>
          <w:bCs w:val="1"/>
          <w:u w:val="single" w:color="auto"/>
          <w:color w:val="0000FF"/>
        </w:rPr>
        <w:t>Loans/Notes</w:t>
      </w:r>
      <w:r>
        <w:rPr>
          <w:rFonts w:ascii="Arial" w:cs="Arial" w:eastAsia="Arial" w:hAnsi="Arial"/>
          <w:sz w:val="16"/>
          <w:szCs w:val="16"/>
          <w:color w:val="auto"/>
        </w:rPr>
        <w:t xml:space="preserve"> Facility, the ABL/</w:t>
      </w:r>
      <w:r>
        <w:rPr>
          <w:rFonts w:ascii="Arial" w:cs="Arial" w:eastAsia="Arial" w:hAnsi="Arial"/>
          <w:sz w:val="16"/>
          <w:szCs w:val="16"/>
          <w:b w:val="1"/>
          <w:bCs w:val="1"/>
          <w:color w:val="FF0000"/>
          <w:strike w:val="1"/>
        </w:rPr>
        <w:t>Term Loan</w:t>
      </w:r>
      <w:r>
        <w:rPr>
          <w:rFonts w:ascii="Arial" w:cs="Arial" w:eastAsia="Arial" w:hAnsi="Arial"/>
          <w:sz w:val="16"/>
          <w:szCs w:val="16"/>
          <w:b w:val="1"/>
          <w:bCs w:val="1"/>
          <w:u w:val="single" w:color="auto"/>
          <w:color w:val="0000FF"/>
        </w:rPr>
        <w:t>Fixed Asset</w:t>
      </w:r>
      <w:r>
        <w:rPr>
          <w:rFonts w:ascii="Arial" w:cs="Arial" w:eastAsia="Arial" w:hAnsi="Arial"/>
          <w:sz w:val="16"/>
          <w:szCs w:val="16"/>
          <w:color w:val="auto"/>
        </w:rPr>
        <w:t xml:space="preserve"> Intercreditor Agreement</w:t>
      </w:r>
    </w:p>
    <w:p>
      <w:pPr>
        <w:spacing w:after="0" w:line="50" w:lineRule="exact"/>
        <w:rPr>
          <w:sz w:val="20"/>
          <w:szCs w:val="20"/>
          <w:color w:val="auto"/>
        </w:rPr>
      </w:pPr>
    </w:p>
    <w:p>
      <w:pPr>
        <w:jc w:val="both"/>
        <w:ind w:firstLine="8"/>
        <w:spacing w:after="0" w:line="267" w:lineRule="auto"/>
        <w:tabs>
          <w:tab w:leader="none" w:pos="262"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in respect of any other Indebtedness intended to be secured by some or all of the Collateral on a pari passu basis with the Obligations, an intercreditor agreement reasonably acceptable to the Administrative Agent, the terms of which are consistent with market terms governing security arrangements for the sharing of Liens on a pari passu basis at the time such intercreditor agreement is proposed to be established in light of the type of Indebtedness to be secured by such Liens, as reasonably determined by the Administrative Agent and the Borrower Representative </w:t>
      </w:r>
      <w:r>
        <w:rPr>
          <w:rFonts w:ascii="Arial" w:cs="Arial" w:eastAsia="Arial" w:hAnsi="Arial"/>
          <w:sz w:val="17"/>
          <w:szCs w:val="17"/>
          <w:b w:val="1"/>
          <w:bCs w:val="1"/>
          <w:color w:val="FF0000"/>
          <w:strike w:val="1"/>
        </w:rPr>
        <w:t>and</w:t>
      </w:r>
      <w:r>
        <w:rPr>
          <w:rFonts w:ascii="Arial" w:cs="Arial" w:eastAsia="Arial" w:hAnsi="Arial"/>
          <w:sz w:val="17"/>
          <w:szCs w:val="17"/>
          <w:b w:val="1"/>
          <w:bCs w:val="1"/>
          <w:u w:val="single" w:color="auto"/>
          <w:color w:val="0000FF"/>
        </w:rPr>
        <w:t>,</w:t>
      </w:r>
      <w:r>
        <w:rPr>
          <w:rFonts w:ascii="Arial" w:cs="Arial" w:eastAsia="Arial" w:hAnsi="Arial"/>
          <w:sz w:val="17"/>
          <w:szCs w:val="17"/>
          <w:color w:val="auto"/>
        </w:rPr>
        <w:t xml:space="preserve"> (c) in respect of any other Indebtedness intended to be secured by some or all of the Collateral on a junior priority basis with the Obligations, an intercreditor agreement reasonably acceptable to the Administrative Agent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Borrower Representative</w:t>
      </w:r>
      <w:r>
        <w:rPr>
          <w:rFonts w:ascii="Arial" w:cs="Arial" w:eastAsia="Arial" w:hAnsi="Arial"/>
          <w:sz w:val="17"/>
          <w:szCs w:val="17"/>
          <w:b w:val="1"/>
          <w:bCs w:val="1"/>
          <w:color w:val="FF0000"/>
          <w:strike w:val="1"/>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and (d) in respect of any other Indebtedness intended to be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secured (x) by the ABL Priority Collateral on a junior priority basis with the Obligations and (y) by the Fixed Asset Priority Collateral on a senior priority basis to the Obligations, an intercreditor agreement reasonably acceptable to the Administrative Agent the terms of which are consistent with market terms governing security arrangements for the sharing of Liens on such a basis at the time such intercreditor agreement is proposed to be established in light of the type of Indebtedness to be secured by such Liens, as reasonably determined by the Administrative Agent and the Borrower Representative.</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Representative to convert or continue a Revolving Borrowing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(other than a Swingline Loan), the first Business Day of January, April, July and October and the Maturity Date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 of the Facility under which such Eurodollar Loan was made.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Eurodollar Borrowing, the period commencing on the date of such Borrowing and ending on the numerically corresponding day in the calendar month that is one, two, three or six months thereafter, as the Borrower Representative may elect; </w:t>
      </w:r>
      <w:r>
        <w:rPr>
          <w:rFonts w:ascii="Arial" w:cs="Arial" w:eastAsia="Arial" w:hAnsi="Arial"/>
          <w:sz w:val="17"/>
          <w:szCs w:val="17"/>
          <w:u w:val="single" w:color="auto"/>
          <w:color w:val="auto"/>
        </w:rPr>
        <w:t>provided</w:t>
      </w:r>
      <w:r>
        <w:rPr>
          <w:rFonts w:ascii="Arial" w:cs="Arial" w:eastAsia="Arial" w:hAnsi="Arial"/>
          <w:sz w:val="17"/>
          <w:szCs w:val="17"/>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 Notwithstanding the foregoing, if any Interpolated Rate shall be less than zero, such rate shall be deemed to be zero for purposes of this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with respect to a specified Person, (a) any direct or indirect acquisition of or investment by such Person in any Equity Interests, evidences of Indebtedness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or other obligations of, or any other investment in, any other Person that are held or made by the specified Person and (b) the purchase or acquisition (in one transaction or a series of related transactions) of all or substantially all the property and assets or business of another Person or assets constituting a business unit, line of business, division or product line of such other Person. The amount, as of any date of determination, of (i) any Investment in the form of a loan or an advance shall be the principal amount thereof outstanding on such date (excluding any portion thereof representing paid-in-kind interest or principal accretion), without any adjustment for write-downs or write-offs (including as a result of forgiveness of any portion thereof) with respect to such loan or advance after the date thereof, (ii) any Investment in the form of a Guarantee shall be determined in accordance with the definition of the term “Guarantee”, (iii) any Investment in the form of a transfer of Equity Interests or other non-cash property by the investor to the investee, including any such transfer in the form of a capital contribution, shall be the fair value (as determined reasonably and in good faith by the Company in accordance with GAAP) of such Equity Interests or other property as of the time of the transfer,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payments actually received in cash, or other property that has been converted into cash or is readily marketable for cash, by such specified Person representing a return of capital of, or dividends or other distributions in respect of, such Investment, but without any adjustment for increases or decreases in value of, or write-ups, write-downs or write-offs with respect to, such Investment after the date of such transfer, (iv) any Investment (other than any Investment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by the specified Person in the form of a purchase or other acquisition for value of any Equity Interests, evidences of Indebtedness, other securities or assets of any other Person shall be the original cost of such Investment (including any Indebtedness assumed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cost of all additions, as of such date, thereto,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amount, as of such date, of any portion of such Investment repaid to the investor in cash as a repayment of principal or a return of capital, and of any payments or other amounts actually received by such investor representing dividends, returns, interest, profits, distributions, income or similar amount, in respect of such Investment, as the case may be, but without any other adjustment for increases or decreases in value of, or write-ups, write-downs or write-offs with respect to, such Investment after the date of such Investment, and (v) any Investment (other than any Investment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(ii), (iii) or (iv) above) by the specified Person in any other Person resulting from the issuance by such other Person of its Equity Interests to the specified Person shall be the fair value (as determined reasonably and in good faith by a Financial Officer of the Company) of such Equity Interests at the time of the issuance thereof. For purposes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Bank</w:t>
      </w:r>
      <w:r>
        <w:rPr>
          <w:rFonts w:ascii="Arial" w:cs="Arial" w:eastAsia="Arial" w:hAnsi="Arial"/>
          <w:sz w:val="16"/>
          <w:szCs w:val="16"/>
          <w:color w:val="auto"/>
        </w:rPr>
        <w:t xml:space="preserve">” means, individually and collectively, each of JPMCB, in its capacity as the issuer of Letters of Credit hereunder, and any other Lender from time to time designated by the Borrower Representative as an Issuing Bank, with the consent of such Lender and the Administrative Agent, and their respective successors in such capacity as provided in </w:t>
      </w:r>
      <w:r>
        <w:rPr>
          <w:rFonts w:ascii="Arial" w:cs="Arial" w:eastAsia="Arial" w:hAnsi="Arial"/>
          <w:sz w:val="16"/>
          <w:szCs w:val="16"/>
          <w:u w:val="single" w:color="auto"/>
          <w:color w:val="auto"/>
        </w:rPr>
        <w:t>Section 2.06(i)</w:t>
      </w:r>
      <w:r>
        <w:rPr>
          <w:rFonts w:ascii="Arial" w:cs="Arial" w:eastAsia="Arial" w:hAnsi="Arial"/>
          <w:sz w:val="16"/>
          <w:szCs w:val="16"/>
          <w:color w:val="auto"/>
        </w:rPr>
        <w:t xml:space="preserve">.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 Sublimits</w:t>
      </w:r>
      <w:r>
        <w:rPr>
          <w:rFonts w:ascii="Arial" w:cs="Arial" w:eastAsia="Arial" w:hAnsi="Arial"/>
          <w:sz w:val="18"/>
          <w:szCs w:val="18"/>
          <w:color w:val="auto"/>
        </w:rPr>
        <w:t xml:space="preserve">” means, as of the Effective Date, (i) in the case of JPMCB, $5,000,000 and (ii) in the case of any other Issuing Bank, such amount as shall be designated to the Administrative Agent and the Borrower Representative in writing by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Issuing Bank shall be permitted at any time, with the consent of the Borrower Representative and the Administrative Agent, to increase or reduce its Issuing Bank Sublimit in its discretion (it being understood and agreed that any such increase may be limited to the issuance of a particular Letter of Credit).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Joinder Agreement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means JPMorgan Chase Bank, N.A., a national banking association, in its individual capacity,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2.06(j)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Commercial LC Exposure and the Standby LC Exposure at such time. The LC Exposure of any Lender at any time shall be its Applicable Percentage of the total LC Exposure at such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means JPMorgan Chase Bank, N.A. in its capacity as the sole lead arranger and bookrunner for the credit facility evidenced by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 Deficiency Obligation</w:t>
      </w:r>
      <w:r>
        <w:rPr>
          <w:rFonts w:ascii="Arial" w:cs="Arial" w:eastAsia="Arial" w:hAnsi="Arial"/>
          <w:sz w:val="16"/>
          <w:szCs w:val="16"/>
          <w:color w:val="auto"/>
        </w:rPr>
        <w:t>” means after default, repossession and disposition of the Equipment which is the subject of or which secures a Lease Financing, the amount, if any, by which (i) any and all obligations of the Loan Parties or their Subsidiaries to a Lessor, arising, evidenced or acquired (including all renewals, extensions and modifications thereof and substitutions therefor) in connection with a specific Lease Financing, exceeds (ii) the Net Proceeds realized by the Lessor upon the disposition of the Equipment which is the subject of or which secures the specific Lease Financing.</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Financing</w:t>
      </w:r>
      <w:r>
        <w:rPr>
          <w:rFonts w:ascii="Arial" w:cs="Arial" w:eastAsia="Arial" w:hAnsi="Arial"/>
          <w:sz w:val="18"/>
          <w:szCs w:val="18"/>
          <w:color w:val="auto"/>
        </w:rPr>
        <w:t>” means (i) a lease of specific Equipment as defined in Article 2-A of the UCC, and (ii) a secured financing transaction secured by specific Equipment, whether that transaction is called a lease or a loan, entered into by any Loan Party or its Subsidiaries with any Lender or any of its Affiliates (in this context, the “</w:t>
      </w:r>
      <w:r>
        <w:rPr>
          <w:rFonts w:ascii="Arial" w:cs="Arial" w:eastAsia="Arial" w:hAnsi="Arial"/>
          <w:sz w:val="18"/>
          <w:szCs w:val="18"/>
          <w:u w:val="single" w:color="auto"/>
          <w:color w:val="auto"/>
        </w:rPr>
        <w:t>Lessor</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the Commitment Schedule and any other Person that shall have become a Lender hereunder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or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each Issuing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Lessor</w:t>
      </w:r>
      <w:r>
        <w:rPr>
          <w:rFonts w:ascii="Arial" w:cs="Arial" w:eastAsia="Arial" w:hAnsi="Arial"/>
          <w:sz w:val="18"/>
          <w:szCs w:val="18"/>
          <w:color w:val="auto"/>
        </w:rPr>
        <w:t>” has the meaning assigned to such term in the definition of “Lease Financing”.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means, with respect to any Eurodollar Borrowing for any applicable Interest Period or for any ABR Borrowing,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shall be selected by the Administrative Agent in its reasonable discretion, in each case (the “</w:t>
      </w:r>
      <w:r>
        <w:rPr>
          <w:rFonts w:ascii="Arial" w:cs="Arial" w:eastAsia="Arial" w:hAnsi="Arial"/>
          <w:sz w:val="17"/>
          <w:szCs w:val="17"/>
          <w:u w:val="single" w:color="auto"/>
          <w:color w:val="auto"/>
        </w:rPr>
        <w:t>LIBO Screen Rate</w:t>
      </w:r>
      <w:r>
        <w:rPr>
          <w:rFonts w:ascii="Arial" w:cs="Arial" w:eastAsia="Arial" w:hAnsi="Arial"/>
          <w:sz w:val="17"/>
          <w:szCs w:val="17"/>
          <w:color w:val="auto"/>
        </w:rPr>
        <w:t xml:space="preserve">”) at approximately 11:00 a.m., London time, two (2) Business Days prior to the commencement of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if the LIBO Screen Rate shall be less than zero, such rate shall be deemed to be zero for the purposes of this Agreement and (y) if the LIBO Screen Rate shall not be available at such time for a period equal in length to such Interest Period (an “</w:t>
      </w:r>
      <w:r>
        <w:rPr>
          <w:rFonts w:ascii="Arial" w:cs="Arial" w:eastAsia="Arial" w:hAnsi="Arial"/>
          <w:sz w:val="17"/>
          <w:szCs w:val="17"/>
          <w:u w:val="single" w:color="auto"/>
          <w:color w:val="auto"/>
        </w:rPr>
        <w:t>Impacted Interest</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xml:space="preserve">”), then the LIBO Rate shall be the Interpolated Rate at such time, subject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 the event that the Administrative Agent shall conclude that it shall not be possible to determine such Interpolated Rate (which conclusion shall be conclusive and binding absent manifest error);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any Interpolated Rate shall be less than zero, such rate shall be deemed to be zero for purposes of this Agreement. Notwithstanding the above, to the extent that “</w:t>
      </w:r>
      <w:r>
        <w:rPr>
          <w:rFonts w:ascii="Arial" w:cs="Arial" w:eastAsia="Arial" w:hAnsi="Arial"/>
          <w:sz w:val="17"/>
          <w:szCs w:val="17"/>
          <w:u w:val="single" w:color="auto"/>
          <w:color w:val="auto"/>
        </w:rPr>
        <w:t>LIBO Rate</w:t>
      </w:r>
      <w:r>
        <w:rPr>
          <w:rFonts w:ascii="Arial" w:cs="Arial" w:eastAsia="Arial" w:hAnsi="Arial"/>
          <w:sz w:val="17"/>
          <w:szCs w:val="17"/>
          <w:color w:val="auto"/>
        </w:rPr>
        <w:t>” or “</w:t>
      </w:r>
      <w:r>
        <w:rPr>
          <w:rFonts w:ascii="Arial" w:cs="Arial" w:eastAsia="Arial" w:hAnsi="Arial"/>
          <w:sz w:val="17"/>
          <w:szCs w:val="17"/>
          <w:u w:val="single" w:color="auto"/>
          <w:color w:val="auto"/>
        </w:rPr>
        <w:t>Adjusted LIBO Rate</w:t>
      </w:r>
      <w:r>
        <w:rPr>
          <w:rFonts w:ascii="Arial" w:cs="Arial" w:eastAsia="Arial" w:hAnsi="Arial"/>
          <w:sz w:val="17"/>
          <w:szCs w:val="17"/>
          <w:color w:val="auto"/>
        </w:rPr>
        <w:t>” is used in connection with an ABR Borrowing, such rate shall be determined as modified by the definition of Alternate Base Rate.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Borrowing Option</w:t>
      </w:r>
      <w:r>
        <w:rPr>
          <w:rFonts w:ascii="Arial" w:cs="Arial" w:eastAsia="Arial" w:hAnsi="Arial"/>
          <w:sz w:val="18"/>
          <w:szCs w:val="18"/>
          <w:color w:val="auto"/>
        </w:rPr>
        <w:t>” has the meaning assigned to such term in the DDA Access Product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collectively, this Agreement, the Collateral Documents, the Loan Guaranty, the Intercreditor Agreements, any promissory notes executed and delivered pursuant to </w:t>
      </w:r>
      <w:r>
        <w:rPr>
          <w:rFonts w:ascii="Arial" w:cs="Arial" w:eastAsia="Arial" w:hAnsi="Arial"/>
          <w:sz w:val="18"/>
          <w:szCs w:val="18"/>
          <w:u w:val="single" w:color="auto"/>
          <w:color w:val="auto"/>
        </w:rPr>
        <w:t>Section 2.10(e)</w:t>
      </w:r>
      <w:r>
        <w:rPr>
          <w:rFonts w:ascii="Arial" w:cs="Arial" w:eastAsia="Arial" w:hAnsi="Arial"/>
          <w:sz w:val="18"/>
          <w:szCs w:val="18"/>
          <w:color w:val="auto"/>
        </w:rPr>
        <w:t>, any Letter of Credit applications and any agreements between the Borrower Representative and the Issuing Bank regarding the Issuing Bank’s Issuing Bank Sublimit or the respective rights and obligations between any Borrower and the Issuing Bank in connection with the issuance of Letters of Credit, and any and all other instruments and documents executed and delivered in connection with any of the foregoing.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Guarantor</w:t>
      </w:r>
      <w:r>
        <w:rPr>
          <w:rFonts w:ascii="Arial" w:cs="Arial" w:eastAsia="Arial" w:hAnsi="Arial"/>
          <w:sz w:val="18"/>
          <w:szCs w:val="18"/>
          <w:color w:val="auto"/>
        </w:rPr>
        <w:t>” means each Loan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Guaranty</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Borrowers, the Company’s Material Domestic Subsidiaries and any other Person who becomes a party to this Agreement pursuant to a Joinder Agreement and their successors and assigns, and the term “Loan Party” shall mean any one of them or all of them individually, as the context may require.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Swingline Loans, Overadvances and Protective Advances.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 as applicable.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operations, or financial condition of the Company and the Subsidiaries taken as a whole, (b) the ability of the Loan Parties, taken as a whole, to perform any of their respective payment obligations under this Agreement, (c) the validity or enforceability of this Agreement or any and all other Loan Documents, or (d) the material rights or remedies of the Administrative Agent or the Lenders under the Loan Documents.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Domestic Subsidiary</w:t>
      </w:r>
      <w:r>
        <w:rPr>
          <w:rFonts w:ascii="Arial" w:cs="Arial" w:eastAsia="Arial" w:hAnsi="Arial"/>
          <w:sz w:val="18"/>
          <w:szCs w:val="18"/>
          <w:color w:val="auto"/>
        </w:rPr>
        <w:t>” means each Domestic Subsidiary (other than an Excluded Domestic Subsidiary) that constitutes a Material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Foreign Subsidiary</w:t>
      </w:r>
      <w:r>
        <w:rPr>
          <w:rFonts w:ascii="Arial" w:cs="Arial" w:eastAsia="Arial" w:hAnsi="Arial"/>
          <w:sz w:val="18"/>
          <w:szCs w:val="18"/>
          <w:color w:val="auto"/>
        </w:rPr>
        <w:t>” means each Foreign Subsidiary that constitutes a Material Subsidiary.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(other than the Loans and Letters of Credit), or obligations in respect of one or more Swap Agreements, of any one or more of the Company and its Subsidiaries in an aggregate principal amount exceeding $15,000,000.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xml:space="preserve">” means real property located in the United States with a book value (as reflected in the financial statements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5.01(b)</w:t>
      </w:r>
      <w:r>
        <w:rPr>
          <w:rFonts w:ascii="Arial" w:cs="Arial" w:eastAsia="Arial" w:hAnsi="Arial"/>
          <w:sz w:val="18"/>
          <w:szCs w:val="18"/>
          <w:color w:val="auto"/>
        </w:rPr>
        <w:t xml:space="preserve"> (or, prior to the delivery of any such financial statements, the financial statements referred to in </w:t>
      </w:r>
      <w:r>
        <w:rPr>
          <w:rFonts w:ascii="Arial" w:cs="Arial" w:eastAsia="Arial" w:hAnsi="Arial"/>
          <w:sz w:val="18"/>
          <w:szCs w:val="18"/>
          <w:u w:val="single" w:color="auto"/>
          <w:color w:val="auto"/>
        </w:rPr>
        <w:t>Section 3.04</w:t>
      </w:r>
      <w:r>
        <w:rPr>
          <w:rFonts w:ascii="Arial" w:cs="Arial" w:eastAsia="Arial" w:hAnsi="Arial"/>
          <w:sz w:val="18"/>
          <w:szCs w:val="18"/>
          <w:color w:val="auto"/>
        </w:rPr>
        <w:t>)) of more than $</w:t>
      </w:r>
      <w:r>
        <w:rPr>
          <w:rFonts w:ascii="Arial" w:cs="Arial" w:eastAsia="Arial" w:hAnsi="Arial"/>
          <w:sz w:val="18"/>
          <w:szCs w:val="18"/>
          <w:b w:val="1"/>
          <w:bCs w:val="1"/>
          <w:color w:val="FF0000"/>
          <w:strike w:val="1"/>
        </w:rPr>
        <w:t>7,500,000</w:t>
      </w:r>
      <w:r>
        <w:rPr>
          <w:rFonts w:ascii="Arial" w:cs="Arial" w:eastAsia="Arial" w:hAnsi="Arial"/>
          <w:sz w:val="18"/>
          <w:szCs w:val="18"/>
          <w:b w:val="1"/>
          <w:bCs w:val="1"/>
          <w:u w:val="single" w:color="auto"/>
          <w:color w:val="0000FF"/>
        </w:rPr>
        <w:t>10,000,000</w:t>
      </w:r>
      <w:r>
        <w:rPr>
          <w:rFonts w:ascii="Arial" w:cs="Arial" w:eastAsia="Arial" w:hAnsi="Arial"/>
          <w:sz w:val="18"/>
          <w:szCs w:val="18"/>
          <w:color w:val="auto"/>
        </w:rPr>
        <w:t xml:space="preserve"> that is owned by the Company or any Domestic Subsidiary that is a Loan Party.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xml:space="preserve">” means each Subsidiary (i) which, as of the most recent fiscal quarter of the Company during the Test Period, contributed greater than five percent (5%) of the Company’s Consolidated EBITDA for such period or (ii) which contributed greater than five percent (5%) of Consolidated Total Assets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any time the aggregate amount of Consolidated EBITDA or Consolidated Total Assets attributable to all Subsidiaries that are not Material Subsidiaries exceeds twenty percent (20%) of Consolidated EBITDA for any such period or twenty percent (20%) of Consolidated Total Assets as of the end of any such fiscal quarter, the Company (or, in the event the Company has failed to do so within ten days, the Administrative Agent) shall designate sufficient Subsidiaries as “Material Subsidiaries” to eliminate such excess, and such designated Subsidiaries shall for all purposes of this Agreement constitute Material Subsidiaries.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means the earliest to occur of (i) October 22, 2024, (ii) the date on which the Commitments are reduced to zero or otherwise terminated pursuant to the terms hereof, (iii) the date that is ninety-one (91) days prior to the maturity date of the Term </w:t>
      </w:r>
      <w:r>
        <w:rPr>
          <w:rFonts w:ascii="Arial" w:cs="Arial" w:eastAsia="Arial" w:hAnsi="Arial"/>
          <w:sz w:val="17"/>
          <w:szCs w:val="17"/>
          <w:b w:val="1"/>
          <w:bCs w:val="1"/>
          <w:color w:val="FF0000"/>
          <w:strike w:val="1"/>
        </w:rPr>
        <w:t>Loan</w:t>
      </w:r>
      <w:r>
        <w:rPr>
          <w:rFonts w:ascii="Arial" w:cs="Arial" w:eastAsia="Arial" w:hAnsi="Arial"/>
          <w:sz w:val="17"/>
          <w:szCs w:val="17"/>
          <w:b w:val="1"/>
          <w:bCs w:val="1"/>
          <w:u w:val="single" w:color="auto"/>
          <w:color w:val="0000FF"/>
        </w:rPr>
        <w:t>Loans/Notes</w:t>
      </w:r>
      <w:r>
        <w:rPr>
          <w:rFonts w:ascii="Arial" w:cs="Arial" w:eastAsia="Arial" w:hAnsi="Arial"/>
          <w:sz w:val="17"/>
          <w:szCs w:val="17"/>
          <w:color w:val="auto"/>
        </w:rPr>
        <w:t xml:space="preserve"> Facility, if any Term Loans</w:t>
      </w:r>
      <w:r>
        <w:rPr>
          <w:rFonts w:ascii="Arial" w:cs="Arial" w:eastAsia="Arial" w:hAnsi="Arial"/>
          <w:sz w:val="17"/>
          <w:szCs w:val="17"/>
          <w:b w:val="1"/>
          <w:bCs w:val="1"/>
          <w:u w:val="single" w:color="auto"/>
          <w:color w:val="0000FF"/>
        </w:rPr>
        <w:t>/Notes</w:t>
      </w:r>
      <w:r>
        <w:rPr>
          <w:rFonts w:ascii="Arial" w:cs="Arial" w:eastAsia="Arial" w:hAnsi="Arial"/>
          <w:sz w:val="17"/>
          <w:szCs w:val="17"/>
          <w:color w:val="auto"/>
        </w:rPr>
        <w:t xml:space="preserve"> are outstanding on such date, (iv) the date that is ninety-one (91) days prior to the earliest maturity date of any outstanding </w:t>
      </w:r>
      <w:r>
        <w:rPr>
          <w:rFonts w:ascii="Arial" w:cs="Arial" w:eastAsia="Arial" w:hAnsi="Arial"/>
          <w:sz w:val="17"/>
          <w:szCs w:val="17"/>
          <w:b w:val="1"/>
          <w:bCs w:val="1"/>
          <w:color w:val="FF0000"/>
          <w:strike w:val="1"/>
        </w:rPr>
        <w:t>Incremental</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Equivalent</w:t>
      </w:r>
      <w:r>
        <w:rPr>
          <w:rFonts w:ascii="Arial" w:cs="Arial" w:eastAsia="Arial" w:hAnsi="Arial"/>
          <w:sz w:val="17"/>
          <w:szCs w:val="17"/>
          <w:b w:val="1"/>
          <w:bCs w:val="1"/>
          <w:u w:val="single" w:color="auto"/>
          <w:color w:val="0000FF"/>
        </w:rPr>
        <w:t>Priority Lien Notes</w:t>
      </w:r>
      <w:r>
        <w:rPr>
          <w:rFonts w:ascii="Arial" w:cs="Arial" w:eastAsia="Arial" w:hAnsi="Arial"/>
          <w:sz w:val="17"/>
          <w:szCs w:val="17"/>
          <w:b w:val="1"/>
          <w:bCs w:val="1"/>
          <w:color w:val="FF0000"/>
        </w:rPr>
        <w:t xml:space="preserve"> </w:t>
      </w:r>
      <w:r>
        <w:rPr>
          <w:rFonts w:ascii="Arial" w:cs="Arial" w:eastAsia="Arial" w:hAnsi="Arial"/>
          <w:sz w:val="17"/>
          <w:szCs w:val="17"/>
          <w:color w:val="000000"/>
        </w:rPr>
        <w:t>Debt (as defined in the Term</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Loan</w:t>
      </w:r>
      <w:r>
        <w:rPr>
          <w:rFonts w:ascii="Arial" w:cs="Arial" w:eastAsia="Arial" w:hAnsi="Arial"/>
          <w:sz w:val="17"/>
          <w:szCs w:val="17"/>
          <w:b w:val="1"/>
          <w:bCs w:val="1"/>
          <w:u w:val="single" w:color="auto"/>
          <w:color w:val="0000FF"/>
        </w:rPr>
        <w:t>Loans/Notes</w:t>
      </w:r>
      <w:r>
        <w:rPr>
          <w:rFonts w:ascii="Arial" w:cs="Arial" w:eastAsia="Arial" w:hAnsi="Arial"/>
          <w:sz w:val="17"/>
          <w:szCs w:val="17"/>
          <w:b w:val="1"/>
          <w:bCs w:val="1"/>
          <w:color w:val="FF0000"/>
        </w:rPr>
        <w:t xml:space="preserve"> </w:t>
      </w:r>
      <w:r>
        <w:rPr>
          <w:rFonts w:ascii="Arial" w:cs="Arial" w:eastAsia="Arial" w:hAnsi="Arial"/>
          <w:sz w:val="17"/>
          <w:szCs w:val="17"/>
          <w:color w:val="000000"/>
        </w:rPr>
        <w:t>Agreement as of the</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date hereof</w:t>
      </w:r>
      <w:r>
        <w:rPr>
          <w:rFonts w:ascii="Arial" w:cs="Arial" w:eastAsia="Arial" w:hAnsi="Arial"/>
          <w:sz w:val="17"/>
          <w:szCs w:val="17"/>
          <w:b w:val="1"/>
          <w:bCs w:val="1"/>
          <w:u w:val="single" w:color="auto"/>
          <w:color w:val="0000FF"/>
        </w:rPr>
        <w:t>Amendment No. 2 Effective Date</w:t>
      </w:r>
      <w:r>
        <w:rPr>
          <w:rFonts w:ascii="Arial" w:cs="Arial" w:eastAsia="Arial" w:hAnsi="Arial"/>
          <w:sz w:val="17"/>
          <w:szCs w:val="17"/>
          <w:color w:val="000000"/>
        </w:rPr>
        <w:t>), if</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any </w:t>
      </w:r>
      <w:r>
        <w:rPr>
          <w:rFonts w:ascii="Arial" w:cs="Arial" w:eastAsia="Arial" w:hAnsi="Arial"/>
          <w:sz w:val="17"/>
          <w:szCs w:val="17"/>
          <w:b w:val="1"/>
          <w:bCs w:val="1"/>
          <w:color w:val="FF0000"/>
          <w:strike w:val="1"/>
        </w:rPr>
        <w:t>Incremental Equivalent</w:t>
      </w:r>
      <w:r>
        <w:rPr>
          <w:rFonts w:ascii="Arial" w:cs="Arial" w:eastAsia="Arial" w:hAnsi="Arial"/>
          <w:sz w:val="17"/>
          <w:szCs w:val="17"/>
          <w:b w:val="1"/>
          <w:bCs w:val="1"/>
          <w:u w:val="single" w:color="auto"/>
          <w:color w:val="0000FF"/>
        </w:rPr>
        <w:t>Priority Lien Notes</w:t>
      </w:r>
      <w:r>
        <w:rPr>
          <w:rFonts w:ascii="Arial" w:cs="Arial" w:eastAsia="Arial" w:hAnsi="Arial"/>
          <w:sz w:val="17"/>
          <w:szCs w:val="17"/>
          <w:color w:val="000000"/>
        </w:rPr>
        <w:t xml:space="preserve"> Debt is outstanding on such date and (v) the date that is ninety-one (91) days prior to the earliest maturity date of any outstanding Permitted Convertible Notes, if any Permitted Convertible Notes are outstanding on such date;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xml:space="preserve"> that, in each case, if such date is not a Business Day, the Maturity Date shall be the immediately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MNPI</w:t>
      </w:r>
      <w:r>
        <w:rPr>
          <w:rFonts w:ascii="Arial" w:cs="Arial" w:eastAsia="Arial" w:hAnsi="Arial"/>
          <w:sz w:val="16"/>
          <w:szCs w:val="16"/>
          <w:color w:val="auto"/>
        </w:rPr>
        <w:t>” means material information concerning the Company and the Subsidiaries and their securities that has not been disseminated in a manner making it available to investors generally, within the meaning of Regulation FD under the Securities Act and the Securities Exchange Act of 1934.</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Reporting Period</w:t>
      </w:r>
      <w:r>
        <w:rPr>
          <w:rFonts w:ascii="Arial" w:cs="Arial" w:eastAsia="Arial" w:hAnsi="Arial"/>
          <w:sz w:val="17"/>
          <w:szCs w:val="17"/>
          <w:color w:val="auto"/>
        </w:rPr>
        <w:t>” means any period of time commencing on any day that the Aggregate Revolving Exposure (other than the aggregate LC Exposure) has exceeded $50,000,000 for more than five (5) consecutive days and continuing until such subsequent day, if any, on which the Aggregate Revolving Exposure (other than the aggregate LC Exposure) has not exceeded $0 for more than sixty (60) consecutive days.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w:t>
      </w:r>
      <w:r>
        <w:rPr>
          <w:rFonts w:ascii="Arial" w:cs="Arial" w:eastAsia="Arial" w:hAnsi="Arial"/>
          <w:sz w:val="16"/>
          <w:szCs w:val="16"/>
          <w:color w:val="auto"/>
        </w:rPr>
        <w:t xml:space="preserve">” means each mortgage, deed of trust or other agreement which conveys or evidences a Lien in favor of the Administrative Agent, for the benefit of the Administrative Agent and the Secured Parties, on real property of a Loan Party, including any amendment, restatement, modification or supplement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Mortgage shall contain any defaults other than by reference to the defaults set forth in this Agreement; and further provided, in the event the Mortgage shall be recorded in a jurisdiction which charges mortgage recording taxes, intangible taxes or documentary taxes or other similar taxes and/or charges, such Mortgage shall only secure such an amount not to exceed the fair market value (as reasonably determined by Borrower Representative and as reasonably acceptable to the Administrative Agent) of the Material Real Property secured by such Mortgage.</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 Instruments</w:t>
      </w:r>
      <w:r>
        <w:rPr>
          <w:rFonts w:ascii="Arial" w:cs="Arial" w:eastAsia="Arial" w:hAnsi="Arial"/>
          <w:sz w:val="17"/>
          <w:szCs w:val="17"/>
          <w:color w:val="auto"/>
        </w:rPr>
        <w:t>” means with respect to any Material Real Property for which a Mortgage is being recorded, (a) such title reports and ALTA title insurance policies (or unconditional commitment to issue such policy or policies) reasonably acceptable to Administrative Agent, in an amount not to exceed 110% of the fair market value (as reasonably acceptable to the Administrative Agent) of such Material Real Property (with endorsements reasonably requested by Administrative Agent and as are available in the applicable jurisdiction) and with all premiums fully paid, (b) either (i) an ALTA survey reasonably acceptable to Administrative Agent or (ii) previously obtained ALTA survey and affidavits of “no-change” with respect to each such survey, such survey and affidavit to be in form and substance reasonably acceptable to the Administrative Agent and to be sufficient to issue title insurance policies to the Administrative Agent providing all reasonably required survey coverage and survey endorsements and zoning endorsements, (c) acquisition of FEMA standard life-of-loan flood hazard determinations for such Material Real Property, and if any building located on such Material Real Property is determined to be in a special hazard area, delivery of (i) a notice with respect to such flood insurance and (ii) evidence of flood insurance, (d) a local counsel opinion as to the enforceability of each Mortgage in the state in which the Material Real Property described in such Mortgage is located and other matters customarily covered in real estate enforceability opinions in form and substance reasonably acceptable to Administrative Agent, except with respect to the Material Real Property located in Oregon, written confirmation from local counsel that is in form and substance reasonably acceptable to Administrative Agent that such Mortgage Instrument satisfies the basic requirements for amending a deed of trust under Oregon law and is suitable for recording, (e) mortgage tax affidavits and declarations and other similar information and related certifications that are required in the jurisdiction in which a Mortgage is being filed in order to permit such filing and such affidavits and certificates as are required to issue the title insurance policies, provided, appraisals shall not be required to be delivered in connection with any Mortgage (in each case, other than such documentation already in the possession of any Loan Party) and (f) environmental assessments and reports and zoning reports in form and substance reasonably acceptable to the Administrative Agent.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Orderly Liquidation Value</w:t>
      </w:r>
      <w:r>
        <w:rPr>
          <w:rFonts w:ascii="Arial" w:cs="Arial" w:eastAsia="Arial" w:hAnsi="Arial"/>
          <w:sz w:val="16"/>
          <w:szCs w:val="16"/>
          <w:color w:val="auto"/>
        </w:rPr>
        <w:t>” means, with respect to Inventory of any Person, the orderly liquidation value thereof as determined in a manner reasonably acceptable to the Administrative Agent by an appraiser acceptable to the Administrative Agent, net of all costs of liquidation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Newmar</w:t>
      </w:r>
      <w:r>
        <w:rPr>
          <w:rFonts w:ascii="Arial" w:cs="Arial" w:eastAsia="Arial" w:hAnsi="Arial"/>
          <w:sz w:val="18"/>
          <w:szCs w:val="18"/>
          <w:color w:val="auto"/>
        </w:rPr>
        <w:t>” means Newmar Corporation, an Indiana corporation.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Newmar Revolving Exposures</w:t>
      </w:r>
      <w:r>
        <w:rPr>
          <w:rFonts w:ascii="Arial" w:cs="Arial" w:eastAsia="Arial" w:hAnsi="Arial"/>
          <w:sz w:val="16"/>
          <w:szCs w:val="16"/>
          <w:color w:val="auto"/>
        </w:rPr>
        <w:t xml:space="preserve">” means, with respect to any Lender at any time, and without duplication, the sum of (a) the outstanding principal amount of the Revolving Loans made by such Lender to Newmar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Lender’s LC Exposure with respect to Letters of Credit issued for the account of Newmar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such Lender’s Swingline Exposure with respect to Swingline Loans made to Newmar at such time </w:t>
      </w:r>
      <w:r>
        <w:rPr>
          <w:rFonts w:ascii="Arial" w:cs="Arial" w:eastAsia="Arial" w:hAnsi="Arial"/>
          <w:sz w:val="16"/>
          <w:szCs w:val="16"/>
          <w:u w:val="single" w:color="auto"/>
          <w:color w:val="auto"/>
        </w:rPr>
        <w:t>plus</w:t>
      </w:r>
    </w:p>
    <w:p>
      <w:pPr>
        <w:spacing w:after="0" w:line="2" w:lineRule="exact"/>
        <w:rPr>
          <w:sz w:val="20"/>
          <w:szCs w:val="20"/>
          <w:color w:val="auto"/>
        </w:rPr>
      </w:pPr>
    </w:p>
    <w:p>
      <w:pPr>
        <w:ind w:left="260" w:hanging="252"/>
        <w:spacing w:after="0"/>
        <w:tabs>
          <w:tab w:leader="none" w:pos="2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an amount equal to its Applicable Percentage of the aggregate principal amount of outstanding Protective Advances made to Newmar at such time </w:t>
      </w:r>
      <w:r>
        <w:rPr>
          <w:rFonts w:ascii="Arial" w:cs="Arial" w:eastAsia="Arial" w:hAnsi="Arial"/>
          <w:sz w:val="16"/>
          <w:szCs w:val="16"/>
          <w:u w:val="single" w:color="auto"/>
          <w:color w:val="auto"/>
        </w:rPr>
        <w:t>plus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an amount equal to its Applicable Percentage of the aggregate principal amount of outstanding Overadvances made to Newmar at such time.</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Newmar Utilization</w:t>
      </w:r>
      <w:r>
        <w:rPr>
          <w:rFonts w:ascii="Arial" w:cs="Arial" w:eastAsia="Arial" w:hAnsi="Arial"/>
          <w:sz w:val="18"/>
          <w:szCs w:val="18"/>
          <w:color w:val="auto"/>
        </w:rPr>
        <w:t>” means, at any time, the excess, if any, of (a) the aggregate Newmar Revolving Exposures of all Lenders over (b) the Newmar Borrowing Base.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Treasury.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Condition</w:t>
      </w:r>
      <w:r>
        <w:rPr>
          <w:rFonts w:ascii="Arial" w:cs="Arial" w:eastAsia="Arial" w:hAnsi="Arial"/>
          <w:sz w:val="17"/>
          <w:szCs w:val="17"/>
          <w:color w:val="auto"/>
        </w:rPr>
        <w:t xml:space="preserve">” means, with respect to any proposed designated action on any date, a condition that is satisfied if (a) after giving effect to such proposed designated action as if it occurred on the first day of the applicable Pro Forma Period, the pro forma Aggregate Availability shall be greater than the greater of $33,000,000 and 20% of the Aggregate Commitment at all times during such Pro Forma Period or (b) both (i) after giving effect to such proposed designated action as if it occurred on the first day of such Pro Forma Period, the pro forma Aggregate Availability shall be greater than the greater of $24,750,000 and 15% of the Aggregate Commitment at all times during such Pro Forma Period and (ii) the Fixed Charge Coverage Ratio, computed on a pro forma basis for the period of four consecutive fiscal quarters ending on the most recent fiscal quarter of the Company for which financial statements have been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shall be greater than 1.10 to 1.00.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Acquisition by any Loan Party or Subsidiary in a transaction that satisfies each of the following requirements:</w:t>
      </w:r>
    </w:p>
    <w:p>
      <w:pPr>
        <w:spacing w:after="0" w:line="248" w:lineRule="exact"/>
        <w:rPr>
          <w:sz w:val="20"/>
          <w:szCs w:val="20"/>
          <w:color w:val="auto"/>
        </w:rPr>
      </w:pPr>
    </w:p>
    <w:p>
      <w:pPr>
        <w:ind w:left="1400" w:hanging="744"/>
        <w:spacing w:after="0"/>
        <w:tabs>
          <w:tab w:leader="none" w:pos="14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such Acquisition is not a Hostile Acquisition;</w:t>
      </w:r>
    </w:p>
    <w:p>
      <w:pPr>
        <w:spacing w:after="0" w:line="225" w:lineRule="exact"/>
        <w:rPr>
          <w:rFonts w:ascii="Arial" w:cs="Arial" w:eastAsia="Arial" w:hAnsi="Arial"/>
          <w:sz w:val="18"/>
          <w:szCs w:val="18"/>
          <w:color w:val="auto"/>
        </w:rPr>
      </w:pPr>
    </w:p>
    <w:p>
      <w:pPr>
        <w:ind w:firstLine="656"/>
        <w:spacing w:after="0" w:line="277" w:lineRule="auto"/>
        <w:tabs>
          <w:tab w:leader="none" w:pos="141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such Person or division or line of business is engaged in the same or a similar line of business as the Company or any of its Subsidiaries or any business activities reasonably related or ancillary thereto;</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 Default exists at the time of such Acquisition or would result therefrom;</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45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if such Acquisition constitutes a Material Acquisition, the Administrative Agent shall have received a description of the material terms of such Acquisition and the audited financial statements (or, if unavailable, management-prepared financial statements) of such Person or division or line of business of such Person for its two most recently ended fiscal years and for any fiscal quarters ended within the fiscal year to-date for which such financial statements are available;</w:t>
      </w:r>
    </w:p>
    <w:p>
      <w:pPr>
        <w:spacing w:after="0" w:line="186" w:lineRule="exact"/>
        <w:rPr>
          <w:rFonts w:ascii="Arial" w:cs="Arial" w:eastAsia="Arial" w:hAnsi="Arial"/>
          <w:sz w:val="18"/>
          <w:szCs w:val="18"/>
          <w:color w:val="auto"/>
        </w:rPr>
      </w:pPr>
    </w:p>
    <w:p>
      <w:pPr>
        <w:ind w:firstLine="656"/>
        <w:spacing w:after="0" w:line="342" w:lineRule="auto"/>
        <w:tabs>
          <w:tab w:leader="none" w:pos="145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if such Acquisition involves a merger, amalgamation or a consolidation involving the Company or any other Loan Party, the Company or a Loan Party, as applicable, shall be the surviving entity in compliance with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(subject to any grace periods specified in </w:t>
      </w:r>
      <w:r>
        <w:rPr>
          <w:rFonts w:ascii="Arial" w:cs="Arial" w:eastAsia="Arial" w:hAnsi="Arial"/>
          <w:sz w:val="16"/>
          <w:szCs w:val="16"/>
          <w:u w:val="single" w:color="auto"/>
          <w:color w:val="auto"/>
        </w:rPr>
        <w:t>Section 5.14</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right="20" w:firstLine="656"/>
        <w:spacing w:after="0" w:line="277" w:lineRule="auto"/>
        <w:tabs>
          <w:tab w:leader="none" w:pos="158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 shall have delivered to the Administrative Agent final executed material documentation relating to such Acquisition promptly after request therefor by the Administrative Agent.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Call Spread Swap Agreements</w:t>
      </w:r>
      <w:r>
        <w:rPr>
          <w:rFonts w:ascii="Arial" w:cs="Arial" w:eastAsia="Arial" w:hAnsi="Arial"/>
          <w:sz w:val="17"/>
          <w:szCs w:val="17"/>
          <w:color w:val="auto"/>
        </w:rPr>
        <w:t>” means (a) any Swap Agreement (including, but not limited to, any bond hedge transaction or capped call transaction) pursuant to which the Company acquires an option requiring the counterparty thereto to deliver to the Company shares of common stock of the Company (or other securities or property following a merger event or other change of the common stock of the Company), the cash value thereof or a combination thereof from time to time upon exercise of such option entered into by the Company in connection with the issuance of Permitted Convertible Notes (such transaction, a “</w:t>
      </w:r>
      <w:r>
        <w:rPr>
          <w:rFonts w:ascii="Arial" w:cs="Arial" w:eastAsia="Arial" w:hAnsi="Arial"/>
          <w:sz w:val="17"/>
          <w:szCs w:val="17"/>
          <w:u w:val="single" w:color="auto"/>
          <w:color w:val="auto"/>
        </w:rPr>
        <w:t>Bond Hedge Transaction</w:t>
      </w:r>
      <w:r>
        <w:rPr>
          <w:rFonts w:ascii="Arial" w:cs="Arial" w:eastAsia="Arial" w:hAnsi="Arial"/>
          <w:sz w:val="17"/>
          <w:szCs w:val="17"/>
          <w:color w:val="auto"/>
        </w:rPr>
        <w:t>”) and (b) any Swap Agreement pursuant to which the Company issues to the counterparty thereto warrants to acquire common stock of the Company (or other securities or property following a merger event or other change of the common stock of the Company) (whether such warrant is settled in shares, cash or a combination thereof) entered into by the Company in connection with the issuance of Permitted Convertible Notes (such transaction, a “</w:t>
      </w:r>
      <w:r>
        <w:rPr>
          <w:rFonts w:ascii="Arial" w:cs="Arial" w:eastAsia="Arial" w:hAnsi="Arial"/>
          <w:sz w:val="17"/>
          <w:szCs w:val="17"/>
          <w:u w:val="single" w:color="auto"/>
          <w:color w:val="auto"/>
        </w:rPr>
        <w:t>Warrant Transaction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terms, conditions and covenants of each such Swap Agreement shall be acceptable to the Administrative Agent in its Permitted Discretion), (ii) the purchase price for such Bond Hedge Transaction, less the proceeds received by the Company from the sale of any related Warrant Transaction, does not exceed the net proceeds received by the Company from the issuance of the related Permitted Convertible Notes and (iii) in the case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such Swap Agreement would be classified as an equity instrument in accordance with GAAP.</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Convertible Notes</w:t>
      </w:r>
      <w:r>
        <w:rPr>
          <w:rFonts w:ascii="Arial" w:cs="Arial" w:eastAsia="Arial" w:hAnsi="Arial"/>
          <w:sz w:val="17"/>
          <w:szCs w:val="17"/>
          <w:color w:val="auto"/>
        </w:rPr>
        <w:t xml:space="preserve">” means any unsecured notes issued by the Company that are convertible into a fixed number (subject to customary anti-dilution adjustments, “make-whole” increases and other customary changes thereto) of shares of common stock of the Company (or other securities or property following a merger event or other change of the common stock of the Company), cash or any combination thereof (with the amount of such cash or such combination determined by reference to the market price of such common stock or such other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Indebtedness thereunder must satisfy each of the following conditions: (i) both immediately prior to and after giving effect (including pro forma effect) thereto, no Default or Event of Default shall exist or result therefrom, (ii) such Indebtedness matures after, and does not require any scheduled amortization or other scheduled or otherwise required payments of principal prior to, and does not permit any Loan Party to elect optional redemption or optional acceleration that would be settled on a date prior to, the date that is ninety-one (91) days after the Maturity Date (it being understood that neither (x) any provision requiring an offer to purchase such Indebtedness as a result of change of control or other fundamental change nor (y) any early conversion of any Permitted Convertible Notes in accordance with the terms thereof, in either case, shall violate the foregoing restriction), (iii) such Indebtedness is not guaranteed by any Subsidiary of the Company other than a Loan Party (which guarantees, if such Indebtedness is subordinated, shall be expressly subordinated to the Secured Obligations on terms not less favorable to the Lenders than the subordination terms of such Subordinated Indebtedness) and (iv) the terms, conditions and covenants of such Indebtedness must be customary for convertible Indebtedness of such type (as determined by the board of directors of the Company, or a committee thereof, in good faith).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Discretion</w:t>
      </w:r>
      <w:r>
        <w:rPr>
          <w:rFonts w:ascii="Arial" w:cs="Arial" w:eastAsia="Arial" w:hAnsi="Arial"/>
          <w:sz w:val="18"/>
          <w:szCs w:val="18"/>
          <w:color w:val="auto"/>
        </w:rPr>
        <w:t>” means a determination made in good faith and in the exercise of reasonable (from the perspective of a secured asset-based lender) business judgment.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1400" w:hanging="744"/>
        <w:spacing w:after="0"/>
        <w:tabs>
          <w:tab w:leader="none" w:pos="14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Liens imposed by law for Taxes that are not yet delinquent or are being contested in compliance with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342" w:lineRule="auto"/>
        <w:tabs>
          <w:tab w:leader="none" w:pos="145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carriers’, warehousemen’s, mechanics’, materialmen’s, repairmen’s and other like Liens imposed by law, arising in the ordinary course of business and securing obligations that are not overdue by more than sixty (60) days or are being contested in compliance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 pledges and deposits made in the ordinary course of business in compliance with workers’ compensation, unemployment insurance and other social security laws or regulations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Company or any Subsidiary;</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67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stay, customs and appeal bonds, performance bonds and other obligations of a like nature (including (i) those to secure health, safety and environmental obligations and (ii) letters of credit and bank guarantees required or requested by any Governmental Authority in connection with any contract or law), in each case in the ordinary course of business;</w:t>
      </w:r>
    </w:p>
    <w:p>
      <w:pPr>
        <w:spacing w:after="0" w:line="186" w:lineRule="exact"/>
        <w:rPr>
          <w:rFonts w:ascii="Arial" w:cs="Arial" w:eastAsia="Arial" w:hAnsi="Arial"/>
          <w:sz w:val="18"/>
          <w:szCs w:val="18"/>
          <w:color w:val="auto"/>
        </w:rPr>
      </w:pPr>
    </w:p>
    <w:p>
      <w:pPr>
        <w:ind w:left="1400" w:hanging="744"/>
        <w:spacing w:after="0"/>
        <w:tabs>
          <w:tab w:leader="none" w:pos="14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judgment Liens in respect of judgments that do not constitute an Event of Default under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41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matters of record affecting title to any real or leased property and any survey exceptions, encroachments, rights of parties in possession under written leases or occupancy agreements, title defects, easements, zoning restrictions, rights-of-way and similar encumbrances on real property imposed by law or arising in the ordinary course of business that do not secure any monetary obligations that are substantial in amount and do not materially detract from the value of the affected property or interfere in any material respect with the ordinary conduct of business of the Company or any Subsidiary;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jc w:val="both"/>
        <w:ind w:firstLine="656"/>
        <w:spacing w:after="0" w:line="311" w:lineRule="auto"/>
        <w:tabs>
          <w:tab w:leader="none" w:pos="1411" w:val="left"/>
        </w:tabs>
        <w:numPr>
          <w:ilvl w:val="0"/>
          <w:numId w:val="297"/>
        </w:numPr>
        <w:rPr>
          <w:rFonts w:ascii="Arial" w:cs="Arial" w:eastAsia="Arial" w:hAnsi="Arial"/>
          <w:sz w:val="16"/>
          <w:szCs w:val="16"/>
          <w:color w:val="auto"/>
        </w:rPr>
      </w:pPr>
      <w:r>
        <w:rPr>
          <w:rFonts w:ascii="Arial" w:cs="Arial" w:eastAsia="Arial" w:hAnsi="Arial"/>
          <w:sz w:val="16"/>
          <w:szCs w:val="16"/>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43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83" w:lineRule="exact"/>
        <w:rPr>
          <w:rFonts w:ascii="Arial" w:cs="Arial" w:eastAsia="Arial" w:hAnsi="Arial"/>
          <w:sz w:val="18"/>
          <w:szCs w:val="18"/>
          <w:color w:val="auto"/>
        </w:rPr>
      </w:pPr>
    </w:p>
    <w:p>
      <w:pPr>
        <w:ind w:firstLine="656"/>
        <w:spacing w:after="0" w:line="277" w:lineRule="auto"/>
        <w:tabs>
          <w:tab w:leader="none" w:pos="136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4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 leases, licenses, subleases or sublicenses granted to others in the ordinary course of business that do not (A) interfere in any material respect with the business of the Company and its Subsidiaries, taken as a whole or (B) secure any Indebtedness or (ii) the rights reserved or vested in any Person (including any Governmental Authority) by the terms of any lease, license, franchise, grant or permit held by the Company or any of its Subsidiaries or by a statutory provision, to terminate any such lease, license, franchise, grant or permit, or to require annual or periodic payments as a condition to the continuance thereof;</w:t>
      </w:r>
    </w:p>
    <w:p>
      <w:pPr>
        <w:spacing w:after="0" w:line="187" w:lineRule="exact"/>
        <w:rPr>
          <w:rFonts w:ascii="Arial" w:cs="Arial" w:eastAsia="Arial" w:hAnsi="Arial"/>
          <w:sz w:val="18"/>
          <w:szCs w:val="18"/>
          <w:color w:val="auto"/>
        </w:rPr>
      </w:pPr>
    </w:p>
    <w:p>
      <w:pPr>
        <w:ind w:firstLine="656"/>
        <w:spacing w:after="0" w:line="277" w:lineRule="auto"/>
        <w:tabs>
          <w:tab w:leader="none" w:pos="150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ground leases or subleases, licenses or sublicenses in respect of real property on which facilities owned or leased by the Company or any Subsidiary are located;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503"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Company and its Subsidiaries, taken as a whole;</w:t>
      </w:r>
    </w:p>
    <w:p>
      <w:pPr>
        <w:spacing w:after="0" w:line="165" w:lineRule="exact"/>
        <w:rPr>
          <w:rFonts w:ascii="Arial" w:cs="Arial" w:eastAsia="Arial" w:hAnsi="Arial"/>
          <w:sz w:val="17"/>
          <w:szCs w:val="17"/>
          <w:color w:val="auto"/>
        </w:rPr>
      </w:pPr>
    </w:p>
    <w:p>
      <w:pPr>
        <w:ind w:left="1460" w:hanging="804"/>
        <w:spacing w:after="0"/>
        <w:tabs>
          <w:tab w:leader="none" w:pos="1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 or similar filings;</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licenses, sublicenses and cross-licenses of Intellectual Property in the ordinary course of business; and</w:t>
      </w:r>
    </w:p>
    <w:p>
      <w:pPr>
        <w:spacing w:after="0" w:line="225" w:lineRule="exact"/>
        <w:rPr>
          <w:rFonts w:ascii="Arial" w:cs="Arial" w:eastAsia="Arial" w:hAnsi="Arial"/>
          <w:sz w:val="18"/>
          <w:szCs w:val="18"/>
          <w:color w:val="auto"/>
        </w:rPr>
      </w:pPr>
    </w:p>
    <w:p>
      <w:pPr>
        <w:ind w:firstLine="656"/>
        <w:spacing w:after="0" w:line="277" w:lineRule="auto"/>
        <w:tabs>
          <w:tab w:leader="none" w:pos="163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interest or title of a lessor, sublessor, lessee or sublessee under any lease in existence on the day hereof or permitted by this Agreement and the Collateral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jc w:val="both"/>
        <w:ind w:firstLine="656"/>
        <w:spacing w:after="0" w:line="263" w:lineRule="auto"/>
        <w:tabs>
          <w:tab w:leader="none" w:pos="160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3" w:lineRule="exact"/>
        <w:rPr>
          <w:rFonts w:ascii="Arial" w:cs="Arial" w:eastAsia="Arial" w:hAnsi="Arial"/>
          <w:sz w:val="18"/>
          <w:szCs w:val="18"/>
          <w:color w:val="auto"/>
        </w:rPr>
      </w:pPr>
    </w:p>
    <w:p>
      <w:pPr>
        <w:ind w:right="20" w:firstLine="656"/>
        <w:spacing w:after="0" w:line="277" w:lineRule="auto"/>
        <w:tabs>
          <w:tab w:leader="none" w:pos="143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jc w:val="both"/>
        <w:ind w:firstLine="656"/>
        <w:spacing w:after="0" w:line="259" w:lineRule="auto"/>
        <w:tabs>
          <w:tab w:leader="none" w:pos="153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86" w:lineRule="exact"/>
        <w:rPr>
          <w:rFonts w:ascii="Arial" w:cs="Arial" w:eastAsia="Arial" w:hAnsi="Arial"/>
          <w:sz w:val="18"/>
          <w:szCs w:val="18"/>
          <w:color w:val="auto"/>
        </w:rPr>
      </w:pPr>
    </w:p>
    <w:p>
      <w:pPr>
        <w:ind w:firstLine="656"/>
        <w:spacing w:after="0" w:line="277" w:lineRule="auto"/>
        <w:tabs>
          <w:tab w:leader="none" w:pos="143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 xml:space="preserve">fully collateralized repurchase agreements with a term of not more than thirty (30) days for securities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and entered into with a financial institution satisfying the criteria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ind w:firstLine="656"/>
        <w:spacing w:after="0" w:line="277" w:lineRule="auto"/>
        <w:tabs>
          <w:tab w:leader="none" w:pos="149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(ii) are rated AAA by S&amp;P and Aaa by Moody’s and (iii) have portfolio assets of at least $5,000,000,000;</w:t>
      </w:r>
    </w:p>
    <w:p>
      <w:pPr>
        <w:spacing w:after="0" w:line="170" w:lineRule="exact"/>
        <w:rPr>
          <w:rFonts w:ascii="Arial" w:cs="Arial" w:eastAsia="Arial" w:hAnsi="Arial"/>
          <w:sz w:val="18"/>
          <w:szCs w:val="18"/>
          <w:color w:val="auto"/>
        </w:rPr>
      </w:pPr>
    </w:p>
    <w:p>
      <w:pPr>
        <w:ind w:firstLine="656"/>
        <w:spacing w:after="0" w:line="277" w:lineRule="auto"/>
        <w:tabs>
          <w:tab w:leader="none" w:pos="155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other investments made in accordance with the Company’s investment policy as disclosed to the Administrative Agent prior to the Effective Date and with such amendments or modifications thereto as are from time to time approved by the Administrative Agent;</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409" w:val="left"/>
        </w:tabs>
        <w:numPr>
          <w:ilvl w:val="1"/>
          <w:numId w:val="299"/>
        </w:numPr>
        <w:rPr>
          <w:rFonts w:ascii="Arial" w:cs="Arial" w:eastAsia="Arial" w:hAnsi="Arial"/>
          <w:sz w:val="16"/>
          <w:szCs w:val="16"/>
          <w:color w:val="auto"/>
        </w:rPr>
      </w:pPr>
      <w:r>
        <w:rPr>
          <w:rFonts w:ascii="Arial" w:cs="Arial" w:eastAsia="Arial" w:hAnsi="Arial"/>
          <w:sz w:val="16"/>
          <w:szCs w:val="16"/>
          <w:color w:val="auto"/>
        </w:rPr>
        <w:t>investments in Indebtedness that is (x) issued by Persons with (i) a short term credit rating of “</w:t>
      </w:r>
      <w:r>
        <w:rPr>
          <w:rFonts w:ascii="Arial" w:cs="Arial" w:eastAsia="Arial" w:hAnsi="Arial"/>
          <w:sz w:val="16"/>
          <w:szCs w:val="16"/>
          <w:u w:val="single" w:color="auto"/>
          <w:color w:val="auto"/>
        </w:rPr>
        <w:t>P-1</w:t>
      </w:r>
      <w:r>
        <w:rPr>
          <w:rFonts w:ascii="Arial" w:cs="Arial" w:eastAsia="Arial" w:hAnsi="Arial"/>
          <w:sz w:val="16"/>
          <w:szCs w:val="16"/>
          <w:color w:val="auto"/>
        </w:rPr>
        <w:t>” or higher from Moody’s or “</w:t>
      </w:r>
      <w:r>
        <w:rPr>
          <w:rFonts w:ascii="Arial" w:cs="Arial" w:eastAsia="Arial" w:hAnsi="Arial"/>
          <w:sz w:val="16"/>
          <w:szCs w:val="16"/>
          <w:u w:val="single" w:color="auto"/>
          <w:color w:val="auto"/>
        </w:rPr>
        <w:t>A-1</w:t>
      </w:r>
      <w:r>
        <w:rPr>
          <w:rFonts w:ascii="Arial" w:cs="Arial" w:eastAsia="Arial" w:hAnsi="Arial"/>
          <w:sz w:val="16"/>
          <w:szCs w:val="16"/>
          <w:color w:val="auto"/>
        </w:rPr>
        <w:t>” or higher from S&amp;P or (ii) a long term rating of “</w:t>
      </w:r>
      <w:r>
        <w:rPr>
          <w:rFonts w:ascii="Arial" w:cs="Arial" w:eastAsia="Arial" w:hAnsi="Arial"/>
          <w:sz w:val="16"/>
          <w:szCs w:val="16"/>
          <w:u w:val="single" w:color="auto"/>
          <w:color w:val="auto"/>
        </w:rPr>
        <w:t>A2</w:t>
      </w:r>
      <w:r>
        <w:rPr>
          <w:rFonts w:ascii="Arial" w:cs="Arial" w:eastAsia="Arial" w:hAnsi="Arial"/>
          <w:sz w:val="16"/>
          <w:szCs w:val="16"/>
          <w:color w:val="auto"/>
        </w:rPr>
        <w:t xml:space="preserve">” or higher from Moody’s or “A” or higher from S&amp;P, in each case for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with maturities not more than twelve (12) months after the date of acquisition and (y) of a type customarily used by companies for cash management purposes;</w:t>
      </w:r>
    </w:p>
    <w:p>
      <w:pPr>
        <w:spacing w:after="0" w:line="148" w:lineRule="exact"/>
        <w:rPr>
          <w:rFonts w:ascii="Arial" w:cs="Arial" w:eastAsia="Arial" w:hAnsi="Arial"/>
          <w:sz w:val="16"/>
          <w:szCs w:val="16"/>
          <w:color w:val="auto"/>
        </w:rPr>
      </w:pPr>
    </w:p>
    <w:p>
      <w:pPr>
        <w:jc w:val="both"/>
        <w:ind w:firstLine="656"/>
        <w:spacing w:after="0" w:line="257" w:lineRule="auto"/>
        <w:tabs>
          <w:tab w:leader="none" w:pos="155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of America, by any political subdivision or taxing authority of any such state, commonwealth or territory or by any foreign government, the securities of which state, commonwealth, territory, political subdivision, taxing authority or foreign government (as the case may be) receive at least (i) a short term credit rating of “</w:t>
      </w:r>
      <w:r>
        <w:rPr>
          <w:rFonts w:ascii="Arial" w:cs="Arial" w:eastAsia="Arial" w:hAnsi="Arial"/>
          <w:sz w:val="18"/>
          <w:szCs w:val="18"/>
          <w:u w:val="single" w:color="auto"/>
          <w:color w:val="auto"/>
        </w:rPr>
        <w:t>P-1</w:t>
      </w:r>
      <w:r>
        <w:rPr>
          <w:rFonts w:ascii="Arial" w:cs="Arial" w:eastAsia="Arial" w:hAnsi="Arial"/>
          <w:sz w:val="18"/>
          <w:szCs w:val="18"/>
          <w:color w:val="auto"/>
        </w:rPr>
        <w:t>” or higher from Moody’s or “</w:t>
      </w:r>
      <w:r>
        <w:rPr>
          <w:rFonts w:ascii="Arial" w:cs="Arial" w:eastAsia="Arial" w:hAnsi="Arial"/>
          <w:sz w:val="18"/>
          <w:szCs w:val="18"/>
          <w:u w:val="single" w:color="auto"/>
          <w:color w:val="auto"/>
        </w:rPr>
        <w:t>A-1</w:t>
      </w:r>
      <w:r>
        <w:rPr>
          <w:rFonts w:ascii="Arial" w:cs="Arial" w:eastAsia="Arial" w:hAnsi="Arial"/>
          <w:sz w:val="18"/>
          <w:szCs w:val="18"/>
          <w:color w:val="auto"/>
        </w:rPr>
        <w:t>” or higher from S&amp;P or (ii) a long term rating of “</w:t>
      </w:r>
      <w:r>
        <w:rPr>
          <w:rFonts w:ascii="Arial" w:cs="Arial" w:eastAsia="Arial" w:hAnsi="Arial"/>
          <w:sz w:val="18"/>
          <w:szCs w:val="18"/>
          <w:u w:val="single" w:color="auto"/>
          <w:color w:val="auto"/>
        </w:rPr>
        <w:t>A2</w:t>
      </w:r>
      <w:r>
        <w:rPr>
          <w:rFonts w:ascii="Arial" w:cs="Arial" w:eastAsia="Arial" w:hAnsi="Arial"/>
          <w:sz w:val="18"/>
          <w:szCs w:val="18"/>
          <w:color w:val="auto"/>
        </w:rPr>
        <w:t>” or higher from Moody’s or “A” or higher from S&amp;P;</w:t>
      </w:r>
    </w:p>
    <w:p>
      <w:pPr>
        <w:spacing w:after="0" w:line="187" w:lineRule="exact"/>
        <w:rPr>
          <w:rFonts w:ascii="Arial" w:cs="Arial" w:eastAsia="Arial" w:hAnsi="Arial"/>
          <w:sz w:val="18"/>
          <w:szCs w:val="18"/>
          <w:color w:val="auto"/>
        </w:rPr>
      </w:pPr>
    </w:p>
    <w:p>
      <w:pPr>
        <w:ind w:left="1500" w:hanging="844"/>
        <w:spacing w:after="0"/>
        <w:tabs>
          <w:tab w:leader="none" w:pos="150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 xml:space="preserve">investments in money market funds substantially all the assets of which are comprised of securities of the types described in </w:t>
      </w:r>
      <w:r>
        <w:rPr>
          <w:rFonts w:ascii="Arial" w:cs="Arial" w:eastAsia="Arial" w:hAnsi="Arial"/>
          <w:sz w:val="16"/>
          <w:szCs w:val="16"/>
          <w:u w:val="single" w:color="auto"/>
          <w:color w:val="auto"/>
        </w:rPr>
        <w:t>clauses</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300"/>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above;</w:t>
      </w:r>
    </w:p>
    <w:p>
      <w:pPr>
        <w:spacing w:after="0" w:line="210" w:lineRule="exact"/>
        <w:rPr>
          <w:rFonts w:ascii="Arial" w:cs="Arial" w:eastAsia="Arial" w:hAnsi="Arial"/>
          <w:sz w:val="18"/>
          <w:szCs w:val="18"/>
          <w:u w:val="single" w:color="auto"/>
          <w:color w:val="auto"/>
        </w:rPr>
      </w:pPr>
    </w:p>
    <w:p>
      <w:pPr>
        <w:ind w:firstLine="656"/>
        <w:spacing w:after="0" w:line="277" w:lineRule="auto"/>
        <w:tabs>
          <w:tab w:leader="none" w:pos="1427"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securities with maturities of six months or less from the date of acquisition backed by standby letters of credit issued by any Lender or any commercial bank satisfying the requirements of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and</w:t>
      </w:r>
    </w:p>
    <w:p>
      <w:pPr>
        <w:spacing w:after="0" w:line="170" w:lineRule="exact"/>
        <w:rPr>
          <w:rFonts w:ascii="Arial" w:cs="Arial" w:eastAsia="Arial" w:hAnsi="Arial"/>
          <w:sz w:val="18"/>
          <w:szCs w:val="18"/>
          <w:color w:val="auto"/>
        </w:rPr>
      </w:pPr>
    </w:p>
    <w:p>
      <w:pPr>
        <w:ind w:firstLine="656"/>
        <w:spacing w:after="0" w:line="277" w:lineRule="auto"/>
        <w:tabs>
          <w:tab w:leader="none" w:pos="1423" w:val="left"/>
        </w:tabs>
        <w:numPr>
          <w:ilvl w:val="1"/>
          <w:numId w:val="300"/>
        </w:numPr>
        <w:rPr>
          <w:rFonts w:ascii="Arial" w:cs="Arial" w:eastAsia="Arial" w:hAnsi="Arial"/>
          <w:sz w:val="18"/>
          <w:szCs w:val="18"/>
          <w:color w:val="auto"/>
        </w:rPr>
      </w:pPr>
      <w:r>
        <w:rPr>
          <w:rFonts w:ascii="Arial" w:cs="Arial" w:eastAsia="Arial" w:hAnsi="Arial"/>
          <w:sz w:val="18"/>
          <w:szCs w:val="18"/>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Unsecured Indebtedness</w:t>
      </w:r>
      <w:r>
        <w:rPr>
          <w:rFonts w:ascii="Arial" w:cs="Arial" w:eastAsia="Arial" w:hAnsi="Arial"/>
          <w:sz w:val="16"/>
          <w:szCs w:val="16"/>
          <w:color w:val="auto"/>
        </w:rPr>
        <w:t xml:space="preserve">” means Indebtedness of the Company or any Subsidiary (a) that is not (and any Guarantees thereof by the Company or Subsidiaries are not) secured by any collateral (including the Collateral), (b) that does not mature earlier than the date that is ninety-one (91) days after the Maturity Date, and has a Weighted Average Life to Maturity no shorter than the Maturity Date in effect at the time of incurrence of such Indebtedness, (c) that, in the case of such Indebtedness in the form of bonds, debentures, notes or similar instrument,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Maturity Date, (d) that contains covenants, events of default, guarantees and other terms that are customary for similar Indebtedness in light of then-prevailing market conditions (it being understood and agreed that such Indebtedness shall not include any financial maintenance covenants and that applicable negative covenants shall be incurrence-based to the extent customary for similar Indebtedness) and, when taken as a whole (other than interest rates, rate floors, fees and optional prepayment or redemption terms), are not more favorable (as reasonably determined by the Company in good faith) to the lenders or investors providing such Permitted Unsecured Indebtedness, as the case may be, than those set forth in the Loan Documents are with respect to the Lenders (other than covenants or other provisions applicable only to periods after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Financial Officer of the Company delivered to the Administrative Agent at least five (5) Business Days prior to the incurrence of such Indebtedness or the modification, refinancing, refunding, renewal or extension thereof (or such shorter period of time as may reasonably be agreed by the Administrative Agent), together with a reasonably detailed description of the material terms and conditions of such resulting Indebtedness or drafts of the material definitive documentation relating thereto, stating that the Company has determined in good faith that such terms and conditions satisfy the foregoing requirements shall be conclusive, and (e) that is not guaranteed by any Person other than on an unsecured basis by the Company and/or Subsidiaries that are Loan Parties.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means 29 CFR § 2510.3-101 et seq., as modified by Section 3(42) of ERISA, as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means Debt Domain, Intralinks, Syndtrak or a substantially similar electronic transmission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Subsidiary</w:t>
      </w:r>
      <w:r>
        <w:rPr>
          <w:rFonts w:ascii="Arial" w:cs="Arial" w:eastAsia="Arial" w:hAnsi="Arial"/>
          <w:sz w:val="18"/>
          <w:szCs w:val="18"/>
          <w:color w:val="auto"/>
        </w:rPr>
        <w:t>” means (i) each Domestic Subsidiary and (ii) each First Tier Foreign Subsidiary which is a Material Subsidiary.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last quoted by The Wall Street Journal as the “</w:t>
      </w:r>
      <w:r>
        <w:rPr>
          <w:rFonts w:ascii="Arial" w:cs="Arial" w:eastAsia="Arial" w:hAnsi="Arial"/>
          <w:sz w:val="17"/>
          <w:szCs w:val="17"/>
          <w:u w:val="single" w:color="auto"/>
          <w:color w:val="auto"/>
        </w:rPr>
        <w:t>Prime Rate</w:t>
      </w:r>
      <w:r>
        <w:rPr>
          <w:rFonts w:ascii="Arial" w:cs="Arial" w:eastAsia="Arial" w:hAnsi="Arial"/>
          <w:sz w:val="17"/>
          <w:szCs w:val="17"/>
          <w:color w:val="auto"/>
        </w:rPr>
        <w:t>”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Period</w:t>
      </w:r>
      <w:r>
        <w:rPr>
          <w:rFonts w:ascii="Arial" w:cs="Arial" w:eastAsia="Arial" w:hAnsi="Arial"/>
          <w:sz w:val="18"/>
          <w:szCs w:val="18"/>
          <w:color w:val="auto"/>
        </w:rPr>
        <w:t>” means the period commencing thirty (30) days prior to the date of any proposed designated action and ending on the date of such proposed designated 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Advance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9.23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Company other than Disqualified Equity Interests.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as applicable, (a) the Administrative Agent, (b) any Lender and (c) any Issuing Bank, or any combination thereof (as the context requires).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Convertible Notes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means, in respect of any Indebtedness (the “</w:t>
      </w:r>
      <w:r>
        <w:rPr>
          <w:rFonts w:ascii="Arial" w:cs="Arial" w:eastAsia="Arial" w:hAnsi="Arial"/>
          <w:sz w:val="16"/>
          <w:szCs w:val="16"/>
          <w:u w:val="single" w:color="auto"/>
          <w:color w:val="auto"/>
        </w:rPr>
        <w:t>Original Indebtedness</w:t>
      </w:r>
      <w:r>
        <w:rPr>
          <w:rFonts w:ascii="Arial" w:cs="Arial" w:eastAsia="Arial" w:hAnsi="Arial"/>
          <w:sz w:val="16"/>
          <w:szCs w:val="16"/>
          <w:color w:val="auto"/>
        </w:rPr>
        <w:t xml:space="preserve">”), any Indebtedness that extends, renews or refinances such Original Indebtedness (or any Refinancing Indebtedness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of such Refinancing Indebtedness shall not exceed the principal amount (or accreted value, if applicable) of such Original Indebtedness except by an amount no greater than accrued and unpaid interest with respect to such Original Indebtedness and any reasonable fees, premium and expenses relating to such extension, renewal or refinancing; (b) the stated final maturity of such Refinancing Indebtedness shall not be earlier than that of such Original Indebtedness, and such stated final maturity shall not be subject to any conditions that could result in such stated final maturity occurring on a date that precedes the stated final maturity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(i) if such Refinancing Indebtedness is secured on a pari passu basis with the Revolving Loans, the maturity of such Original Indebtedness or (ii) otherwise, the date that is ninety one (91) days after the Maturity Date; (d) the Weighted Average Life to Maturity of such Refinancing Indebtedness shall be longer than the Weighted Average Life to Maturity of such Original Indebtedness remaining as of the date of such extension, renewal or refinancing; (e) such Refinancing Indebtedness shall not constitute an obligation (including pursuant to a Guarantee) of any Subsidiary, in each case that shall not have been (or, in the case of after-acquired Subsidiaries, shall not have been required to become pursuant to the terms of the Original Indebtedness) an obligor in respect of such Original Indebtedness, and shall not constitute an obligation of any Borrower if such Borrower shall not have been an obligor in respect of such Original Indebtedness, and, in each case, shall constitute an obligation of such Subsidiary or of such Borrower only to the extent of their obligations in respect of such Original Indebtedness; (f) if such Original Indebtedness shall have been subordinated to the Obligations, such Refinancing Indebtedness shall also be subordinated to the Obligations on terms not less favorable in any material respect to the Lenders; (g) if secured by the Collateral on a junior lien basis or if unsecured, such Refinancing Indebtedness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latest maturity date of the Indebtedness being refinanced, (h) such Refinancing Indebtedness does not contain covenants, events of default and other terms customary for similar Indebtedness in light of then-prevailing market conditions that, when taken as a whole (other than interest rates, rate floors, fees and optional prepayment or redemption terms), are more favorable (as reasonably determined by the Borrower Representative in good faith) to the lenders, holders or investors, as the case may be, providing such Refinancing Indebtedness than those applicable to the relevant Original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Financial Officer delivered to the Administrative Agent at least five (5) Business Days prior to the incurrence of such Refinancing Indebtedness, together with a reasonably detailed description of the material terms and conditions of such Refinancing Indebtedness or drafts of the material definitive documentation relating thereto, stating that the Borrower Representative has determined in good faith that such terms and conditions satisfy the requirement of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be conclusive evidence that such terms and conditions satisfy such requirement unless the Administrative Agent notifies the Borrower Representative within such five</w:t>
      </w:r>
    </w:p>
    <w:p>
      <w:pPr>
        <w:spacing w:after="0" w:line="9" w:lineRule="exact"/>
        <w:rPr>
          <w:sz w:val="20"/>
          <w:szCs w:val="20"/>
          <w:color w:val="auto"/>
        </w:rPr>
      </w:pPr>
    </w:p>
    <w:p>
      <w:pPr>
        <w:jc w:val="both"/>
        <w:ind w:firstLine="8"/>
        <w:spacing w:after="0" w:line="292" w:lineRule="auto"/>
        <w:tabs>
          <w:tab w:leader="none" w:pos="26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Business Day period that it disagrees with such determination (including a description of the basis upon which it disagrees)), and (i)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(and, if such Original Indebtedness is subject to an Intercreditor Agreement, such Refinancing Indebtedness shall, if secured, be subject to an Intercreditor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Federal Reserve Board, as in effect from time to time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Federal Reserve Board, as in effect from time to time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Federal Reserve Board, as in effect from time to time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Federal Reserve Board, as in effect from time to time and all official rulings and interpretations thereunder or thereof.</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migrating, disposing or dumping of any substance into the environment.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w:t>
      </w:r>
      <w:r>
        <w:rPr>
          <w:rFonts w:ascii="Arial" w:cs="Arial" w:eastAsia="Arial" w:hAnsi="Arial"/>
          <w:sz w:val="17"/>
          <w:szCs w:val="17"/>
          <w:color w:val="auto"/>
        </w:rPr>
        <w:t>” means reports prepared by the Administrative Agent or another Person showing the results of appraisals, field examinations or audits pertaining to the assets of the Borrowers from information furnished by or on behalf of the Borrowers, after the Administrative Agent has exercised its rights of inspection pursuant to this Agreement, which Reports may be distributed to the Lenders by the Administrative Agent.</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Repurchase Agreements</w:t>
      </w:r>
      <w:r>
        <w:rPr>
          <w:rFonts w:ascii="Arial" w:cs="Arial" w:eastAsia="Arial" w:hAnsi="Arial"/>
          <w:sz w:val="17"/>
          <w:szCs w:val="17"/>
          <w:color w:val="auto"/>
        </w:rPr>
        <w:t>” means, collectively, repurchase agreements, by and among one or more Loan Parties and a financial institution that provides financing to a dealer who purchases vehicles from one or more Loan Parties, which repurchase agreements (i) provide that, in the event of default by a dealer in its obligation to such financial institution, such Loan Party or Loan Parties will repurchase vehicles sold to the dealer that have not been purchased by customers and (ii) are entered into by the applicable Loan Parties in the ordinary course of business consistent with past practices (or are otherwise customarily entered into in the ordinary course of business generally by manufacturers of recreational vehicles).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at any time, Lenders having Revolving Exposures and unused Commitments representing at least 66 2/3% of the sum of the total Revolving Exposures and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that there are two (2) or more Lenders, “</w:t>
      </w:r>
      <w:r>
        <w:rPr>
          <w:rFonts w:ascii="Arial" w:cs="Arial" w:eastAsia="Arial" w:hAnsi="Arial"/>
          <w:sz w:val="18"/>
          <w:szCs w:val="18"/>
          <w:u w:val="single" w:color="auto"/>
          <w:color w:val="auto"/>
        </w:rPr>
        <w:t>Required Lenders</w:t>
      </w:r>
      <w:r>
        <w:rPr>
          <w:rFonts w:ascii="Arial" w:cs="Arial" w:eastAsia="Arial" w:hAnsi="Arial"/>
          <w:sz w:val="18"/>
          <w:szCs w:val="18"/>
          <w:color w:val="auto"/>
        </w:rPr>
        <w:t>” must include at least two (2) Lenders (that are not Affiliates of one another).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Reserves</w:t>
      </w:r>
      <w:r>
        <w:rPr>
          <w:rFonts w:ascii="Arial" w:cs="Arial" w:eastAsia="Arial" w:hAnsi="Arial"/>
          <w:sz w:val="17"/>
          <w:szCs w:val="17"/>
          <w:color w:val="auto"/>
        </w:rPr>
        <w:t xml:space="preserve">” means any and all reserves which the Administrative Agent deems necessary, in its Permitted Discretion, to maintain (including, without limitation, reserves for accrued and unpaid interest on the Secured Obligations, Banking Services Reserves, Specified Reserves, Specified Reporting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(i) the Administrative Agent may not implement any new reserves or increase the amount of any existing Reserves without at least three (3) Business Days’ prior notice to the Borrower Representative and (ii) Reserves shall not be in duplication of eligibility criteria.</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a Financial Officer or a member of the senior management team of the Company or any other Person designated by any such Person in writing to the Administrative Agent and reasonably acceptable to the Administrative Agent.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REVLIBOR30 Rate</w:t>
      </w:r>
      <w:r>
        <w:rPr>
          <w:rFonts w:ascii="Arial" w:cs="Arial" w:eastAsia="Arial" w:hAnsi="Arial"/>
          <w:sz w:val="16"/>
          <w:szCs w:val="16"/>
          <w:color w:val="auto"/>
        </w:rPr>
        <w:t>” means the London interbank offered rate administered by ICE Benchmark Administration (or any other Person that takes over the administration of such rate for Dollars) for a one (1) month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shall be selected by the Administrative Agent in its reasonable discretion; in each case, the “</w:t>
      </w:r>
      <w:r>
        <w:rPr>
          <w:rFonts w:ascii="Arial" w:cs="Arial" w:eastAsia="Arial" w:hAnsi="Arial"/>
          <w:sz w:val="16"/>
          <w:szCs w:val="16"/>
          <w:u w:val="single" w:color="auto"/>
          <w:color w:val="auto"/>
        </w:rPr>
        <w:t>REVLIBOR30 Screen Rate</w:t>
      </w:r>
      <w:r>
        <w:rPr>
          <w:rFonts w:ascii="Arial" w:cs="Arial" w:eastAsia="Arial" w:hAnsi="Arial"/>
          <w:sz w:val="16"/>
          <w:szCs w:val="16"/>
          <w:color w:val="auto"/>
        </w:rPr>
        <w:t xml:space="preserve">”) at approximately 11:00 a.m., London time, two (2) Business Days prior to the first (1st) Business Day of each month, adjusted monthly on the first (1st) Business Day of each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the REVLIBOR30 Screen Rate shall be less than zero, such rate shall be deemed to be zero for purposes of this Agreement and (y) if the REVLIBOR30 Screen Rate shall not be available at such time for such a period, then the REVLIBOR30 Rate shall be equal to the Alternate Base Rate.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xml:space="preserve">” means, with respect to any Lender at any time, the sum of (a) the outstanding principal amount of such Lender’s Revolving Loans, its LC Exposure and its Swingline Exposure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an amount equal to its Applicable Percentage of the aggregate principal amount of Protective Advances outstanding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an amount equal to its Applicable Percentage of the aggregate principal amount of Overadvances outstanding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 Limitations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sale or other transfer of any property or asset by any Person with the intent to lease such property or asset as lessee.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Crimea, Cuba, Iran, North Korea and Syria).</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xml:space="preserve">”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any Person otherwise the subject of any Sanctions.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u w:val="single" w:color="auto"/>
          <w:color w:val="0000FF"/>
        </w:rPr>
        <w:t>“Secured Net Leverage Ratio” means, as of any date of determination, the ratio of (a) an amount equal to (i) Consolidated Total Secured Indebtedness minus (ii) the aggregate amount of unrestricted and unencumbered cash and Permitted Investments included in the consolidated balance sheet of the Company and its Subsidiaries as of such date, which aggregate amount shall be determined without giving pro forma effect to the proceeds of Indebtedness incurred on such date to (ii) Consolidated EBITDA of the Company and its Subsidiaries for such Test Period.</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all Obligations, together with all (i) Banking Services Obligations and (ii) Swap Agreement Obligations owing to one or more Lenders or their respective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definition of “</w:t>
      </w:r>
      <w:r>
        <w:rPr>
          <w:rFonts w:ascii="Arial" w:cs="Arial" w:eastAsia="Arial" w:hAnsi="Arial"/>
          <w:sz w:val="18"/>
          <w:szCs w:val="18"/>
          <w:u w:val="single" w:color="auto"/>
          <w:color w:val="auto"/>
        </w:rPr>
        <w:t>Secured Obligations</w:t>
      </w:r>
      <w:r>
        <w:rPr>
          <w:rFonts w:ascii="Arial" w:cs="Arial" w:eastAsia="Arial" w:hAnsi="Arial"/>
          <w:sz w:val="18"/>
          <w:szCs w:val="18"/>
          <w:color w:val="auto"/>
        </w:rPr>
        <w:t>”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 the Administrative Agent, (b) the Lenders, (c) the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 from time to time.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Amended and Restated Pledge and Security Agreement (including any and all supplements thereto), dated as of the date hereof, between the Loan Parties and the Administrative Agent, for the benefit of the Administrative Agent and the other Secured Parties, as the same may be amended, restated or otherwise modified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Reporting Reserve</w:t>
      </w:r>
      <w:r>
        <w:rPr>
          <w:rFonts w:ascii="Arial" w:cs="Arial" w:eastAsia="Arial" w:hAnsi="Arial"/>
          <w:sz w:val="17"/>
          <w:szCs w:val="17"/>
          <w:color w:val="auto"/>
        </w:rPr>
        <w:t>” means a Reserve established by the Administrative Agent during each fiscal quarter (the “current fiscal quarter”) of the Company (other than during a Monthly Reporting Period or Weekly Reporting Period) in an amount equal to $10,000,000 on the 45th day following the end of the immediately preceding fiscal quarter (the “prior fiscal quarter”), which amount shall be increased to $20,000,000 on the 75th day following the end of the prior fiscal quarter and subsequently decreased to $0 upon the Administrative Agent’s receipt of an Aggregate Borrowing Base Certificate and a Borrowing Base Certificate for each Borrower for the current fiscal quarter.</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Reserves</w:t>
      </w:r>
      <w:r>
        <w:rPr>
          <w:rFonts w:ascii="Arial" w:cs="Arial" w:eastAsia="Arial" w:hAnsi="Arial"/>
          <w:sz w:val="18"/>
          <w:szCs w:val="18"/>
          <w:color w:val="auto"/>
        </w:rPr>
        <w:t>” means, with respect to any Borrower, Reserves established by the Administrative Agent in its Permitted Discretion from time to time for (a) repurchase obligations of such Borrower, (b) warranty obligations of such Borrower, (c) accrued sales rebates provided by such Borrower and (d) free on board (FOB) destination delivery terms provided by such Borrower.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Swap Obligation</w:t>
      </w:r>
      <w:r>
        <w:rPr>
          <w:rFonts w:ascii="Arial" w:cs="Arial" w:eastAsia="Arial" w:hAnsi="Arial"/>
          <w:sz w:val="16"/>
          <w:szCs w:val="16"/>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LC Exposure</w:t>
      </w:r>
      <w:r>
        <w:rPr>
          <w:rFonts w:ascii="Arial" w:cs="Arial" w:eastAsia="Arial" w:hAnsi="Arial"/>
          <w:sz w:val="18"/>
          <w:szCs w:val="18"/>
          <w:color w:val="auto"/>
        </w:rPr>
        <w:t xml:space="preserve">” means, at any time, the sum of (a) the aggregate undrawn amount of all standby Letters of Credit outstanding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relating to standby Letters of Credit that have not yet been reimbursed by or on behalf of the Borrowers at such time. The Standby LC Exposure of any Lender at any time shall be its Applicable Percentage of the aggregate Standby LC Exposure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2.18(g)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xml:space="preserve">” means a fraction (expressed as a decimal), the numerator of which is the number one and the denominator of which is the number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of the maximum reserve percentage (including any marginal, special, emergency or supplemental reserves) established by the Board to which the Administrative Agent is subject with respect to the Adjusted LIBO Rate, for eurocurrency funding (currently referred to as “</w:t>
      </w:r>
      <w:r>
        <w:rPr>
          <w:rFonts w:ascii="Arial" w:cs="Arial" w:eastAsia="Arial" w:hAnsi="Arial"/>
          <w:sz w:val="16"/>
          <w:szCs w:val="16"/>
          <w:u w:val="single" w:color="auto"/>
          <w:color w:val="auto"/>
        </w:rPr>
        <w:t>Eurocurrency Liabilities</w:t>
      </w:r>
      <w:r>
        <w:rPr>
          <w:rFonts w:ascii="Arial" w:cs="Arial" w:eastAsia="Arial" w:hAnsi="Arial"/>
          <w:sz w:val="16"/>
          <w:szCs w:val="16"/>
          <w:color w:val="auto"/>
        </w:rPr>
        <w:t>”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of the Company or any Subsidiary the payment of which is subordinated to payment of the obligations under the Loan Documents.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 Documents</w:t>
      </w:r>
      <w:r>
        <w:rPr>
          <w:rFonts w:ascii="Arial" w:cs="Arial" w:eastAsia="Arial" w:hAnsi="Arial"/>
          <w:sz w:val="18"/>
          <w:szCs w:val="18"/>
          <w:color w:val="auto"/>
        </w:rPr>
        <w:t>” means any document, agreement or instrument evidencing any Subordinated Indebtedness or entered into in connection with any Subordinated Indebtedness.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9.23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 Obligations</w:t>
      </w:r>
      <w:r>
        <w:rPr>
          <w:rFonts w:ascii="Arial" w:cs="Arial" w:eastAsia="Arial" w:hAnsi="Arial"/>
          <w:sz w:val="17"/>
          <w:szCs w:val="17"/>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 permitted hereunder with a Lender or an Affiliate of a Lender.</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Obligation</w:t>
      </w:r>
      <w:r>
        <w:rPr>
          <w:rFonts w:ascii="Arial" w:cs="Arial" w:eastAsia="Arial" w:hAnsi="Arial"/>
          <w:sz w:val="17"/>
          <w:szCs w:val="17"/>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sum of the aggregate principal amount of all outstanding Swingline Loans. The Swingline Exposure of any Lender at any time shall be its Applicable Percentage of the aggregate Swingline Exposure.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JPMCB,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means BMO Harris Bank N.A.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49" w:name="page250"/>
    <w:bookmarkEnd w:id="24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Balance</w:t>
      </w:r>
      <w:r>
        <w:rPr>
          <w:rFonts w:ascii="Arial" w:cs="Arial" w:eastAsia="Arial" w:hAnsi="Arial"/>
          <w:sz w:val="18"/>
          <w:szCs w:val="18"/>
          <w:color w:val="auto"/>
        </w:rPr>
        <w:t>” has the meaning assigned to such term in the DDA Access Product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Loan</w:t>
      </w:r>
      <w:r>
        <w:rPr>
          <w:rFonts w:ascii="Arial" w:cs="Arial" w:eastAsia="Arial" w:hAnsi="Arial"/>
          <w:sz w:val="16"/>
          <w:szCs w:val="16"/>
          <w:b w:val="1"/>
          <w:bCs w:val="1"/>
          <w:u w:val="single" w:color="auto"/>
          <w:color w:val="0000FF"/>
        </w:rPr>
        <w:t>Loans/Notes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xml:space="preserve">” means </w:t>
      </w:r>
      <w:r>
        <w:rPr>
          <w:rFonts w:ascii="Arial" w:cs="Arial" w:eastAsia="Arial" w:hAnsi="Arial"/>
          <w:sz w:val="16"/>
          <w:szCs w:val="16"/>
          <w:b w:val="1"/>
          <w:bCs w:val="1"/>
          <w:color w:val="FF0000"/>
          <w:strike w:val="1"/>
        </w:rPr>
        <w:t>JPMCB</w:t>
      </w:r>
      <w:r>
        <w:rPr>
          <w:rFonts w:ascii="Arial" w:cs="Arial" w:eastAsia="Arial" w:hAnsi="Arial"/>
          <w:sz w:val="16"/>
          <w:szCs w:val="16"/>
          <w:b w:val="1"/>
          <w:bCs w:val="1"/>
          <w:u w:val="single" w:color="auto"/>
          <w:color w:val="0000FF"/>
        </w:rPr>
        <w:t>, initially, U.S. Bank National Association</w:t>
      </w:r>
      <w:r>
        <w:rPr>
          <w:rFonts w:ascii="Arial" w:cs="Arial" w:eastAsia="Arial" w:hAnsi="Arial"/>
          <w:sz w:val="16"/>
          <w:szCs w:val="16"/>
          <w:color w:val="auto"/>
        </w:rPr>
        <w:t xml:space="preserve">, in its capacity as </w:t>
      </w:r>
      <w:r>
        <w:rPr>
          <w:rFonts w:ascii="Arial" w:cs="Arial" w:eastAsia="Arial" w:hAnsi="Arial"/>
          <w:sz w:val="16"/>
          <w:szCs w:val="16"/>
          <w:b w:val="1"/>
          <w:bCs w:val="1"/>
          <w:color w:val="FF0000"/>
          <w:strike w:val="1"/>
        </w:rPr>
        <w:t>administrative agent</w:t>
      </w:r>
      <w:r>
        <w:rPr>
          <w:rFonts w:ascii="Arial" w:cs="Arial" w:eastAsia="Arial" w:hAnsi="Arial"/>
          <w:sz w:val="16"/>
          <w:szCs w:val="16"/>
          <w:b w:val="1"/>
          <w:bCs w:val="1"/>
          <w:u w:val="single" w:color="auto"/>
          <w:color w:val="0000FF"/>
        </w:rPr>
        <w:t>indenture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trustee</w:t>
      </w:r>
      <w:r>
        <w:rPr>
          <w:rFonts w:ascii="Arial" w:cs="Arial" w:eastAsia="Arial" w:hAnsi="Arial"/>
          <w:sz w:val="16"/>
          <w:szCs w:val="16"/>
          <w:b w:val="1"/>
          <w:bCs w:val="1"/>
          <w:color w:val="0000FF"/>
        </w:rPr>
        <w:t xml:space="preserve"> </w:t>
      </w:r>
      <w:r>
        <w:rPr>
          <w:rFonts w:ascii="Arial" w:cs="Arial" w:eastAsia="Arial" w:hAnsi="Arial"/>
          <w:sz w:val="16"/>
          <w:szCs w:val="16"/>
          <w:color w:val="000000"/>
        </w:rPr>
        <w:t>under the</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initial</w:t>
      </w:r>
      <w:r>
        <w:rPr>
          <w:rFonts w:ascii="Arial" w:cs="Arial" w:eastAsia="Arial" w:hAnsi="Arial"/>
          <w:sz w:val="16"/>
          <w:szCs w:val="16"/>
          <w:b w:val="1"/>
          <w:bCs w:val="1"/>
          <w:color w:val="0000FF"/>
        </w:rPr>
        <w:t xml:space="preserve"> </w:t>
      </w:r>
      <w:r>
        <w:rPr>
          <w:rFonts w:ascii="Arial" w:cs="Arial" w:eastAsia="Arial" w:hAnsi="Arial"/>
          <w:sz w:val="16"/>
          <w:szCs w:val="16"/>
          <w:color w:val="000000"/>
        </w:rPr>
        <w:t>Term</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Loan</w:t>
      </w:r>
      <w:r>
        <w:rPr>
          <w:rFonts w:ascii="Arial" w:cs="Arial" w:eastAsia="Arial" w:hAnsi="Arial"/>
          <w:sz w:val="16"/>
          <w:szCs w:val="16"/>
          <w:b w:val="1"/>
          <w:bCs w:val="1"/>
          <w:u w:val="single" w:color="auto"/>
          <w:color w:val="0000FF"/>
        </w:rPr>
        <w:t>Loans/Notes</w:t>
      </w:r>
      <w:r>
        <w:rPr>
          <w:rFonts w:ascii="Arial" w:cs="Arial" w:eastAsia="Arial" w:hAnsi="Arial"/>
          <w:sz w:val="16"/>
          <w:szCs w:val="16"/>
          <w:b w:val="1"/>
          <w:bCs w:val="1"/>
          <w:color w:val="0000FF"/>
        </w:rPr>
        <w:t xml:space="preserve"> </w:t>
      </w:r>
      <w:r>
        <w:rPr>
          <w:rFonts w:ascii="Arial" w:cs="Arial" w:eastAsia="Arial" w:hAnsi="Arial"/>
          <w:sz w:val="16"/>
          <w:szCs w:val="16"/>
          <w:color w:val="000000"/>
        </w:rPr>
        <w:t>Agreement (or any successor agent</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or trustee</w:t>
      </w:r>
      <w:r>
        <w:rPr>
          <w:rFonts w:ascii="Arial" w:cs="Arial" w:eastAsia="Arial" w:hAnsi="Arial"/>
          <w:sz w:val="16"/>
          <w:szCs w:val="16"/>
          <w:b w:val="1"/>
          <w:bCs w:val="1"/>
          <w:color w:val="0000FF"/>
        </w:rPr>
        <w:t xml:space="preserve"> </w:t>
      </w:r>
      <w:r>
        <w:rPr>
          <w:rFonts w:ascii="Arial" w:cs="Arial" w:eastAsia="Arial" w:hAnsi="Arial"/>
          <w:sz w:val="16"/>
          <w:szCs w:val="16"/>
          <w:color w:val="000000"/>
        </w:rPr>
        <w:t>thereunder or under any replacement thereof)</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and any</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other indenture trustee, agent or other representative appointed as such under any Term Loans/Notes Agreement</w:t>
      </w:r>
      <w:r>
        <w:rPr>
          <w:rFonts w:ascii="Arial" w:cs="Arial" w:eastAsia="Arial" w:hAnsi="Arial"/>
          <w:sz w:val="16"/>
          <w:szCs w:val="16"/>
          <w:color w:val="000000"/>
        </w:rPr>
        <w:t>.</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b w:val="1"/>
          <w:bCs w:val="1"/>
          <w:u w:val="single" w:color="auto"/>
          <w:color w:val="0000FF"/>
        </w:rPr>
        <w:t>/Notes</w:t>
      </w:r>
      <w:r>
        <w:rPr>
          <w:rFonts w:ascii="Arial" w:cs="Arial" w:eastAsia="Arial" w:hAnsi="Arial"/>
          <w:sz w:val="18"/>
          <w:szCs w:val="18"/>
          <w:color w:val="auto"/>
        </w:rPr>
        <w:t xml:space="preserve">” has the meaning assigned to </w:t>
      </w:r>
      <w:r>
        <w:rPr>
          <w:rFonts w:ascii="Arial" w:cs="Arial" w:eastAsia="Arial" w:hAnsi="Arial"/>
          <w:sz w:val="18"/>
          <w:szCs w:val="18"/>
          <w:b w:val="1"/>
          <w:bCs w:val="1"/>
          <w:color w:val="FF0000"/>
          <w:strike w:val="1"/>
        </w:rPr>
        <w:t>it</w:t>
      </w:r>
      <w:r>
        <w:rPr>
          <w:rFonts w:ascii="Arial" w:cs="Arial" w:eastAsia="Arial" w:hAnsi="Arial"/>
          <w:sz w:val="18"/>
          <w:szCs w:val="18"/>
          <w:b w:val="1"/>
          <w:bCs w:val="1"/>
          <w:u w:val="single" w:color="auto"/>
          <w:color w:val="0000FF"/>
        </w:rPr>
        <w:t>the term “Notes” or “Term Loans”</w:t>
      </w:r>
      <w:r>
        <w:rPr>
          <w:rFonts w:ascii="Arial" w:cs="Arial" w:eastAsia="Arial" w:hAnsi="Arial"/>
          <w:sz w:val="18"/>
          <w:szCs w:val="18"/>
          <w:color w:val="auto"/>
        </w:rPr>
        <w:t xml:space="preserve"> in the Term </w:t>
      </w:r>
      <w:r>
        <w:rPr>
          <w:rFonts w:ascii="Arial" w:cs="Arial" w:eastAsia="Arial" w:hAnsi="Arial"/>
          <w:sz w:val="18"/>
          <w:szCs w:val="18"/>
          <w:b w:val="1"/>
          <w:bCs w:val="1"/>
          <w:color w:val="FF0000"/>
          <w:strike w:val="1"/>
        </w:rPr>
        <w:t>Loan</w:t>
      </w:r>
      <w:r>
        <w:rPr>
          <w:rFonts w:ascii="Arial" w:cs="Arial" w:eastAsia="Arial" w:hAnsi="Arial"/>
          <w:sz w:val="18"/>
          <w:szCs w:val="18"/>
          <w:b w:val="1"/>
          <w:bCs w:val="1"/>
          <w:u w:val="single" w:color="auto"/>
          <w:color w:val="0000FF"/>
        </w:rPr>
        <w:t>Loans/Notes</w:t>
      </w:r>
      <w:r>
        <w:rPr>
          <w:rFonts w:ascii="Arial" w:cs="Arial" w:eastAsia="Arial" w:hAnsi="Arial"/>
          <w:sz w:val="18"/>
          <w:szCs w:val="18"/>
          <w:color w:val="auto"/>
        </w:rPr>
        <w:t xml:space="preserve"> Agreement (as in effect on the </w:t>
      </w:r>
      <w:r>
        <w:rPr>
          <w:rFonts w:ascii="Arial" w:cs="Arial" w:eastAsia="Arial" w:hAnsi="Arial"/>
          <w:sz w:val="18"/>
          <w:szCs w:val="18"/>
          <w:b w:val="1"/>
          <w:bCs w:val="1"/>
          <w:u w:val="single" w:color="auto"/>
          <w:color w:val="0000FF"/>
        </w:rPr>
        <w:t>Amendment No. 2</w:t>
      </w:r>
      <w:r>
        <w:rPr>
          <w:rFonts w:ascii="Arial" w:cs="Arial" w:eastAsia="Arial" w:hAnsi="Arial"/>
          <w:sz w:val="18"/>
          <w:szCs w:val="18"/>
          <w:color w:val="auto"/>
        </w:rPr>
        <w:t xml:space="preserve"> Effective Date) </w:t>
      </w:r>
      <w:r>
        <w:rPr>
          <w:rFonts w:ascii="Arial" w:cs="Arial" w:eastAsia="Arial" w:hAnsi="Arial"/>
          <w:sz w:val="18"/>
          <w:szCs w:val="18"/>
          <w:b w:val="1"/>
          <w:bCs w:val="1"/>
          <w:u w:val="single" w:color="auto"/>
          <w:color w:val="0000FF"/>
        </w:rPr>
        <w:t>or any equivalent term in any Term Loans/Notes Agreement (as in effect on the date of entry thereto so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long as the entry thereto was permitted by the terms of the Loan Documents)</w:t>
      </w:r>
      <w:r>
        <w:rPr>
          <w:rFonts w:ascii="Arial" w:cs="Arial" w:eastAsia="Arial" w:hAnsi="Arial"/>
          <w:sz w:val="18"/>
          <w:szCs w:val="18"/>
          <w:color w:val="000000"/>
        </w:rPr>
        <w:t>.</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Loan</w:t>
      </w:r>
      <w:r>
        <w:rPr>
          <w:rFonts w:ascii="Arial" w:cs="Arial" w:eastAsia="Arial" w:hAnsi="Arial"/>
          <w:sz w:val="16"/>
          <w:szCs w:val="16"/>
          <w:b w:val="1"/>
          <w:bCs w:val="1"/>
          <w:u w:val="single" w:color="auto"/>
          <w:color w:val="0000FF"/>
        </w:rPr>
        <w:t>Loans/Notes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means that certain </w:t>
      </w:r>
      <w:r>
        <w:rPr>
          <w:rFonts w:ascii="Arial" w:cs="Arial" w:eastAsia="Arial" w:hAnsi="Arial"/>
          <w:sz w:val="16"/>
          <w:szCs w:val="16"/>
          <w:b w:val="1"/>
          <w:bCs w:val="1"/>
          <w:color w:val="FF0000"/>
          <w:strike w:val="1"/>
        </w:rPr>
        <w:t>Loan Agreement, dated as of November 8, 2016, among Octavius Corporation, as</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borrower, the other Loan Parties from time to time party thereto, the Term Loan Agent and the lenders from time to time party thereto,</w:t>
      </w:r>
      <w:r>
        <w:rPr>
          <w:rFonts w:ascii="Arial" w:cs="Arial" w:eastAsia="Arial" w:hAnsi="Arial"/>
          <w:sz w:val="16"/>
          <w:szCs w:val="16"/>
          <w:b w:val="1"/>
          <w:bCs w:val="1"/>
          <w:u w:val="single" w:color="auto"/>
          <w:color w:val="0000FF"/>
          <w:strike w:val="1"/>
        </w:rPr>
        <w:t>senior</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secured notes indenture dated as of the Amendment No. 2 Effective Date, among Winnebago Industries, Inc., the guarantors named therein and the Term Loans/Notes Agent,</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as the same may be amended, restated, supplemented or otherwise modified from time to time and</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as</w:t>
      </w:r>
      <w:r>
        <w:rPr>
          <w:rFonts w:ascii="Arial" w:cs="Arial" w:eastAsia="Arial" w:hAnsi="Arial"/>
          <w:sz w:val="16"/>
          <w:szCs w:val="16"/>
          <w:b w:val="1"/>
          <w:bCs w:val="1"/>
          <w:u w:val="single" w:color="auto"/>
          <w:color w:val="0000FF"/>
          <w:strike w:val="1"/>
        </w:rPr>
        <w:t>, in the event such</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agreement is</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replaced or refinanced in whole or in part (whether with the same group of lenders</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or</w:t>
      </w:r>
      <w:r>
        <w:rPr>
          <w:rFonts w:ascii="Arial" w:cs="Arial" w:eastAsia="Arial" w:hAnsi="Arial"/>
          <w:sz w:val="16"/>
          <w:szCs w:val="16"/>
          <w:b w:val="1"/>
          <w:bCs w:val="1"/>
          <w:u w:val="single" w:color="auto"/>
          <w:color w:val="0000FF"/>
          <w:strike w:val="1"/>
        </w:rPr>
        <w:t>,</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a different group of lenders</w:t>
      </w:r>
      <w:r>
        <w:rPr>
          <w:rFonts w:ascii="Arial" w:cs="Arial" w:eastAsia="Arial" w:hAnsi="Arial"/>
          <w:sz w:val="16"/>
          <w:szCs w:val="16"/>
          <w:b w:val="1"/>
          <w:bCs w:val="1"/>
          <w:u w:val="single" w:color="auto"/>
          <w:color w:val="0000FF"/>
          <w:strike w:val="1"/>
        </w:rPr>
        <w:t>, investors or any other</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holders of any other Indebtedness</w:t>
      </w:r>
      <w:r>
        <w:rPr>
          <w:rFonts w:ascii="Arial" w:cs="Arial" w:eastAsia="Arial" w:hAnsi="Arial"/>
          <w:sz w:val="16"/>
          <w:szCs w:val="16"/>
          <w:color w:val="000000"/>
          <w:strike w:val="1"/>
        </w:rPr>
        <w:t>) in accordance with the terms hereof and of the ABL/</w:t>
      </w:r>
      <w:r>
        <w:rPr>
          <w:rFonts w:ascii="Arial" w:cs="Arial" w:eastAsia="Arial" w:hAnsi="Arial"/>
          <w:sz w:val="16"/>
          <w:szCs w:val="16"/>
          <w:b w:val="1"/>
          <w:bCs w:val="1"/>
          <w:color w:val="FF0000"/>
          <w:strike w:val="1"/>
        </w:rPr>
        <w:t>Term Loan</w:t>
      </w:r>
      <w:r>
        <w:rPr>
          <w:rFonts w:ascii="Arial" w:cs="Arial" w:eastAsia="Arial" w:hAnsi="Arial"/>
          <w:sz w:val="16"/>
          <w:szCs w:val="16"/>
          <w:b w:val="1"/>
          <w:bCs w:val="1"/>
          <w:u w:val="single" w:color="auto"/>
          <w:color w:val="0000FF"/>
          <w:strike w:val="1"/>
        </w:rPr>
        <w:t>Fixed Asset</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Intercreditor Agreement</w:t>
      </w:r>
      <w:r>
        <w:rPr>
          <w:rFonts w:ascii="Arial" w:cs="Arial" w:eastAsia="Arial" w:hAnsi="Arial"/>
          <w:sz w:val="16"/>
          <w:szCs w:val="16"/>
          <w:b w:val="1"/>
          <w:bCs w:val="1"/>
          <w:u w:val="single" w:color="auto"/>
          <w:color w:val="0000FF"/>
          <w:strike w:val="1"/>
        </w:rPr>
        <w:t>, “Term</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u w:val="single" w:color="auto"/>
          <w:color w:val="0000FF"/>
        </w:rPr>
        <w:t>Loans/Notes Agreement” shall mean the credit agreement, loan agreement, indenture or other definitive document that replaces or refinances such agreement</w:t>
      </w:r>
      <w:r>
        <w:rPr>
          <w:rFonts w:ascii="Arial" w:cs="Arial" w:eastAsia="Arial" w:hAnsi="Arial"/>
          <w:sz w:val="18"/>
          <w:szCs w:val="18"/>
          <w:color w:val="000000"/>
        </w:rPr>
        <w:t>.</w:t>
      </w:r>
    </w:p>
    <w:p>
      <w:pPr>
        <w:spacing w:after="0" w:line="18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Loan</w:t>
      </w:r>
      <w:r>
        <w:rPr>
          <w:rFonts w:ascii="Arial" w:cs="Arial" w:eastAsia="Arial" w:hAnsi="Arial"/>
          <w:sz w:val="16"/>
          <w:szCs w:val="16"/>
          <w:b w:val="1"/>
          <w:bCs w:val="1"/>
          <w:u w:val="single" w:color="auto"/>
          <w:color w:val="0000FF"/>
        </w:rPr>
        <w:t>Loans/Notes</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xml:space="preserve">” means, collectively, the Term </w:t>
      </w:r>
      <w:r>
        <w:rPr>
          <w:rFonts w:ascii="Arial" w:cs="Arial" w:eastAsia="Arial" w:hAnsi="Arial"/>
          <w:sz w:val="16"/>
          <w:szCs w:val="16"/>
          <w:b w:val="1"/>
          <w:bCs w:val="1"/>
          <w:color w:val="FF0000"/>
          <w:strike w:val="1"/>
        </w:rPr>
        <w:t>Loan</w:t>
      </w:r>
      <w:r>
        <w:rPr>
          <w:rFonts w:ascii="Arial" w:cs="Arial" w:eastAsia="Arial" w:hAnsi="Arial"/>
          <w:sz w:val="16"/>
          <w:szCs w:val="16"/>
          <w:b w:val="1"/>
          <w:bCs w:val="1"/>
          <w:u w:val="single" w:color="auto"/>
          <w:color w:val="0000FF"/>
        </w:rPr>
        <w:t>Loans/Notes</w:t>
      </w:r>
      <w:r>
        <w:rPr>
          <w:rFonts w:ascii="Arial" w:cs="Arial" w:eastAsia="Arial" w:hAnsi="Arial"/>
          <w:sz w:val="16"/>
          <w:szCs w:val="16"/>
          <w:color w:val="auto"/>
        </w:rPr>
        <w:t xml:space="preserve"> Agreement and all other agreements, instruments, documents and certificates executed and/or delivered in connection therewith, as the same may be amended, restated, supplemented</w:t>
      </w:r>
      <w:r>
        <w:rPr>
          <w:rFonts w:ascii="Arial" w:cs="Arial" w:eastAsia="Arial" w:hAnsi="Arial"/>
          <w:sz w:val="16"/>
          <w:szCs w:val="16"/>
          <w:b w:val="1"/>
          <w:bCs w:val="1"/>
          <w:u w:val="single" w:color="auto"/>
          <w:color w:val="0000FF"/>
        </w:rPr>
        <w:t>, refinanced, replaced</w:t>
      </w:r>
      <w:r>
        <w:rPr>
          <w:rFonts w:ascii="Arial" w:cs="Arial" w:eastAsia="Arial" w:hAnsi="Arial"/>
          <w:sz w:val="16"/>
          <w:szCs w:val="16"/>
          <w:color w:val="auto"/>
        </w:rPr>
        <w:t xml:space="preserve"> or otherwise modified from time to time in accordance with the terms hereof and of the ABL/</w:t>
      </w:r>
      <w:r>
        <w:rPr>
          <w:rFonts w:ascii="Arial" w:cs="Arial" w:eastAsia="Arial" w:hAnsi="Arial"/>
          <w:sz w:val="16"/>
          <w:szCs w:val="16"/>
          <w:b w:val="1"/>
          <w:bCs w:val="1"/>
          <w:color w:val="FF0000"/>
          <w:strike w:val="1"/>
        </w:rPr>
        <w:t>Term Loan</w:t>
      </w:r>
      <w:r>
        <w:rPr>
          <w:rFonts w:ascii="Arial" w:cs="Arial" w:eastAsia="Arial" w:hAnsi="Arial"/>
          <w:sz w:val="16"/>
          <w:szCs w:val="16"/>
          <w:b w:val="1"/>
          <w:bCs w:val="1"/>
          <w:u w:val="single" w:color="auto"/>
          <w:color w:val="0000FF"/>
        </w:rPr>
        <w:t>Fixed Asset</w:t>
      </w:r>
      <w:r>
        <w:rPr>
          <w:rFonts w:ascii="Arial" w:cs="Arial" w:eastAsia="Arial" w:hAnsi="Arial"/>
          <w:sz w:val="16"/>
          <w:szCs w:val="16"/>
          <w:color w:val="auto"/>
        </w:rPr>
        <w:t xml:space="preserve"> Intercreditor Agreement.</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Loan</w:t>
      </w:r>
      <w:r>
        <w:rPr>
          <w:rFonts w:ascii="Arial" w:cs="Arial" w:eastAsia="Arial" w:hAnsi="Arial"/>
          <w:sz w:val="18"/>
          <w:szCs w:val="18"/>
          <w:b w:val="1"/>
          <w:bCs w:val="1"/>
          <w:u w:val="single" w:color="auto"/>
          <w:color w:val="0000FF"/>
        </w:rPr>
        <w:t>Loans/Notes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w:t>
      </w:r>
      <w:r>
        <w:rPr>
          <w:rFonts w:ascii="Arial" w:cs="Arial" w:eastAsia="Arial" w:hAnsi="Arial"/>
          <w:sz w:val="18"/>
          <w:szCs w:val="18"/>
          <w:color w:val="auto"/>
        </w:rPr>
        <w:t xml:space="preserve">” means </w:t>
      </w:r>
      <w:r>
        <w:rPr>
          <w:rFonts w:ascii="Arial" w:cs="Arial" w:eastAsia="Arial" w:hAnsi="Arial"/>
          <w:sz w:val="18"/>
          <w:szCs w:val="18"/>
          <w:b w:val="1"/>
          <w:bCs w:val="1"/>
          <w:color w:val="FF0000"/>
          <w:strike w:val="1"/>
        </w:rPr>
        <w:t>the</w:t>
      </w:r>
      <w:r>
        <w:rPr>
          <w:rFonts w:ascii="Arial" w:cs="Arial" w:eastAsia="Arial" w:hAnsi="Arial"/>
          <w:sz w:val="18"/>
          <w:szCs w:val="18"/>
          <w:b w:val="1"/>
          <w:bCs w:val="1"/>
          <w:u w:val="single" w:color="auto"/>
          <w:color w:val="0000FF"/>
        </w:rPr>
        <w:t>any secured</w:t>
      </w:r>
      <w:r>
        <w:rPr>
          <w:rFonts w:ascii="Arial" w:cs="Arial" w:eastAsia="Arial" w:hAnsi="Arial"/>
          <w:sz w:val="18"/>
          <w:szCs w:val="18"/>
          <w:color w:val="auto"/>
        </w:rPr>
        <w:t xml:space="preserve"> term loan facility</w:t>
      </w:r>
      <w:r>
        <w:rPr>
          <w:rFonts w:ascii="Arial" w:cs="Arial" w:eastAsia="Arial" w:hAnsi="Arial"/>
          <w:sz w:val="18"/>
          <w:szCs w:val="18"/>
          <w:b w:val="1"/>
          <w:bCs w:val="1"/>
          <w:u w:val="single" w:color="auto"/>
          <w:color w:val="0000FF"/>
        </w:rPr>
        <w:t>, any senior secured note issuance or any other Indebtedness 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other financial accommodation</w:t>
      </w:r>
      <w:r>
        <w:rPr>
          <w:rFonts w:ascii="Arial" w:cs="Arial" w:eastAsia="Arial" w:hAnsi="Arial"/>
          <w:sz w:val="18"/>
          <w:szCs w:val="18"/>
          <w:b w:val="1"/>
          <w:bCs w:val="1"/>
          <w:color w:val="0000FF"/>
        </w:rPr>
        <w:t xml:space="preserve"> </w:t>
      </w:r>
      <w:r>
        <w:rPr>
          <w:rFonts w:ascii="Arial" w:cs="Arial" w:eastAsia="Arial" w:hAnsi="Arial"/>
          <w:sz w:val="18"/>
          <w:szCs w:val="18"/>
          <w:color w:val="000000"/>
        </w:rPr>
        <w:t>incurred pursuant to the terms of the Term</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Loan</w:t>
      </w:r>
      <w:r>
        <w:rPr>
          <w:rFonts w:ascii="Arial" w:cs="Arial" w:eastAsia="Arial" w:hAnsi="Arial"/>
          <w:sz w:val="18"/>
          <w:szCs w:val="18"/>
          <w:b w:val="1"/>
          <w:bCs w:val="1"/>
          <w:u w:val="single" w:color="auto"/>
          <w:color w:val="0000FF"/>
        </w:rPr>
        <w:t>Loans/Notes</w:t>
      </w:r>
      <w:r>
        <w:rPr>
          <w:rFonts w:ascii="Arial" w:cs="Arial" w:eastAsia="Arial" w:hAnsi="Arial"/>
          <w:sz w:val="18"/>
          <w:szCs w:val="18"/>
          <w:b w:val="1"/>
          <w:bCs w:val="1"/>
          <w:color w:val="0000FF"/>
        </w:rPr>
        <w:t xml:space="preserve"> </w:t>
      </w:r>
      <w:r>
        <w:rPr>
          <w:rFonts w:ascii="Arial" w:cs="Arial" w:eastAsia="Arial" w:hAnsi="Arial"/>
          <w:sz w:val="18"/>
          <w:szCs w:val="18"/>
          <w:color w:val="000000"/>
        </w:rPr>
        <w:t>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Loan</w:t>
      </w:r>
      <w:r>
        <w:rPr>
          <w:rFonts w:ascii="Arial" w:cs="Arial" w:eastAsia="Arial" w:hAnsi="Arial"/>
          <w:sz w:val="18"/>
          <w:szCs w:val="18"/>
          <w:b w:val="1"/>
          <w:bCs w:val="1"/>
          <w:u w:val="single" w:color="auto"/>
          <w:color w:val="0000FF"/>
        </w:rPr>
        <w:t>Loans/Notes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the Indebtedness and other obligations of the Company and its Subsidiaries under the Term </w:t>
      </w:r>
      <w:r>
        <w:rPr>
          <w:rFonts w:ascii="Arial" w:cs="Arial" w:eastAsia="Arial" w:hAnsi="Arial"/>
          <w:sz w:val="18"/>
          <w:szCs w:val="18"/>
          <w:b w:val="1"/>
          <w:bCs w:val="1"/>
          <w:color w:val="FF0000"/>
          <w:strike w:val="1"/>
        </w:rPr>
        <w:t>Loan</w:t>
      </w:r>
      <w:r>
        <w:rPr>
          <w:rFonts w:ascii="Arial" w:cs="Arial" w:eastAsia="Arial" w:hAnsi="Arial"/>
          <w:sz w:val="18"/>
          <w:szCs w:val="18"/>
          <w:b w:val="1"/>
          <w:bCs w:val="1"/>
          <w:u w:val="single" w:color="auto"/>
          <w:color w:val="0000FF"/>
        </w:rPr>
        <w:t>Loans/Notes</w:t>
      </w:r>
      <w:r>
        <w:rPr>
          <w:rFonts w:ascii="Arial" w:cs="Arial" w:eastAsia="Arial" w:hAnsi="Arial"/>
          <w:sz w:val="18"/>
          <w:szCs w:val="18"/>
          <w:b w:val="1"/>
          <w:bCs w:val="1"/>
          <w:color w:val="FF0000"/>
        </w:rPr>
        <w:t xml:space="preserve"> </w:t>
      </w:r>
      <w:r>
        <w:rPr>
          <w:rFonts w:ascii="Arial" w:cs="Arial" w:eastAsia="Arial" w:hAnsi="Arial"/>
          <w:sz w:val="18"/>
          <w:szCs w:val="18"/>
          <w:color w:val="000000"/>
        </w:rPr>
        <w:t>Documents.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means, for any date of determination under this Agreement, a single period consisting of the most recent four consecutive fiscal quarters of the Company for which financial statements have been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as applicable (or, if prior to the date of the delivery of the first financial statements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most recent financial statements referred to in </w:t>
      </w:r>
      <w:r>
        <w:rPr>
          <w:rFonts w:ascii="Arial" w:cs="Arial" w:eastAsia="Arial" w:hAnsi="Arial"/>
          <w:sz w:val="18"/>
          <w:szCs w:val="18"/>
          <w:u w:val="single" w:color="auto"/>
          <w:color w:val="auto"/>
        </w:rPr>
        <w:t>Section 3.04(a))</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 Utilization</w:t>
      </w:r>
      <w:r>
        <w:rPr>
          <w:rFonts w:ascii="Arial" w:cs="Arial" w:eastAsia="Arial" w:hAnsi="Arial"/>
          <w:sz w:val="18"/>
          <w:szCs w:val="18"/>
          <w:color w:val="auto"/>
        </w:rPr>
        <w:t>” means, at any time, a percentage equal to a fraction the numerator of which is the Aggregate Revolving Exposure at such time and the denominator of which is the Aggregate Commitment at such time.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Net Leverage Ratio</w:t>
      </w:r>
      <w:r>
        <w:rPr>
          <w:rFonts w:ascii="Arial" w:cs="Arial" w:eastAsia="Arial" w:hAnsi="Arial"/>
          <w:sz w:val="17"/>
          <w:szCs w:val="17"/>
          <w:color w:val="auto"/>
        </w:rPr>
        <w:t xml:space="preserve">” means, as of any date of determination, the ratio of (a) an amount equal to (i) Consolidated Total Indebtedness as of the last day of the most recently ended Test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aggregate amount of unrestricted and unencumbered cash and Permitted Investments included in the consolidated balance sheet of the Company and its Subsidiaries as of such date of determination to (b) Consolidated EBITDA for such Test Period, all calculated for the Company and its Subsidiaries on a consolidated basis in accordance with GAAP.</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any fees or expenses incurred or paid by the Company or any Subsidiary in connection with the Transactions, this Agreement and the other Loan Documents and the transactions contemplated hereby and thereby.</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collectively, (a) the execution, delivery and performance by the Loan Parties of this Agreement, the borrowing of Loans, the use of the proceeds thereof and the granting of Liens by the Loan Parties under the Loan Documents, (b) the consummation of any other transactions in connection with the foregoing and (c) the payment of the fees and expenses incurred in connection with any of the foregoing.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U16 Inventory</w:t>
      </w:r>
      <w:r>
        <w:rPr>
          <w:rFonts w:ascii="Arial" w:cs="Arial" w:eastAsia="Arial" w:hAnsi="Arial"/>
          <w:sz w:val="18"/>
          <w:szCs w:val="18"/>
          <w:color w:val="auto"/>
        </w:rPr>
        <w:t>” mean work-in-process Inventory of a Borrower constituting near-complete finished units that are categorized as “</w:t>
      </w:r>
      <w:r>
        <w:rPr>
          <w:rFonts w:ascii="Arial" w:cs="Arial" w:eastAsia="Arial" w:hAnsi="Arial"/>
          <w:sz w:val="18"/>
          <w:szCs w:val="18"/>
          <w:u w:val="single" w:color="auto"/>
          <w:color w:val="auto"/>
        </w:rPr>
        <w:t>U16</w:t>
      </w:r>
      <w:r>
        <w:rPr>
          <w:rFonts w:ascii="Arial" w:cs="Arial" w:eastAsia="Arial" w:hAnsi="Arial"/>
          <w:sz w:val="18"/>
          <w:szCs w:val="18"/>
          <w:color w:val="auto"/>
        </w:rPr>
        <w:t>” (or such other designation assigned to such near-complete finished units with notice to the Administrative Agent after completion of the Company’s ERP implementation) in accordance with the Company’s accounting practices in the ordinary course of business consistent with past practice prior to the Effective Date or otherwise acceptable to the Administrative Agent in its Permitted Discretion.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Unliquidated Obligations</w:t>
      </w:r>
      <w:r>
        <w:rPr>
          <w:rFonts w:ascii="Arial" w:cs="Arial" w:eastAsia="Arial" w:hAnsi="Arial"/>
          <w:sz w:val="18"/>
          <w:szCs w:val="18"/>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9.23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2.17(f)(ii)(B)(3)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Transaction</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Permitted Call Spread Swap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Weekly Reporting Period</w:t>
      </w:r>
      <w:r>
        <w:rPr>
          <w:rFonts w:ascii="Arial" w:cs="Arial" w:eastAsia="Arial" w:hAnsi="Arial"/>
          <w:sz w:val="16"/>
          <w:szCs w:val="16"/>
          <w:color w:val="auto"/>
        </w:rPr>
        <w:t>” means any period of time (a) when an Event of Default has occurred and is continuing or (b) commencing on any day that the Aggregate Availability is less than the greater of $16,500,000 and 10% of the Aggregate Commitment and continuing until such subsequent date, if any, as when the Aggregate Availability has exceeded the greater of $16,500,000 and 10% of the Aggregate Commitment for thirty (30) consecutive days.</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Winnebago of Indiana</w:t>
      </w:r>
      <w:r>
        <w:rPr>
          <w:rFonts w:ascii="Arial" w:cs="Arial" w:eastAsia="Arial" w:hAnsi="Arial"/>
          <w:sz w:val="18"/>
          <w:szCs w:val="18"/>
          <w:color w:val="auto"/>
        </w:rPr>
        <w:t>” means Winnebago of Indiana, LLC, an Iowa limited liability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Winnebago of Indiana Revolving Exposures</w:t>
      </w:r>
      <w:r>
        <w:rPr>
          <w:rFonts w:ascii="Arial" w:cs="Arial" w:eastAsia="Arial" w:hAnsi="Arial"/>
          <w:sz w:val="18"/>
          <w:szCs w:val="18"/>
          <w:color w:val="auto"/>
        </w:rPr>
        <w:t xml:space="preserve">” means, with respect to any Lender at any time, and without duplication, the sum of (a) the outstanding principal amount of the Revolving Loans made by such Lender to Winnebago of Indiana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Lender’s LC Exposure with respect to Letters of Credit issued for the account of Winnebago of Indiana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such Lender’s Swingline Exposure with respect to Swingline Loans made to Winnebago of Indiana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an amount equal to its Applicable Percentage of the aggregate principal amount of outstanding Protective Advances made to Winnebago of Indiana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an amount equal to its Applicable Percentage of the aggregate principal amount of outstanding Overadvances made to Winnebago of Indiana at such time.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Winnebago of Indiana Utilization</w:t>
      </w:r>
      <w:r>
        <w:rPr>
          <w:rFonts w:ascii="Arial" w:cs="Arial" w:eastAsia="Arial" w:hAnsi="Arial"/>
          <w:sz w:val="18"/>
          <w:szCs w:val="18"/>
          <w:color w:val="auto"/>
        </w:rPr>
        <w:t>” means, at any time, the excess, if any, of (a) the aggregate Winnebago of Indiana Revolving Exposures of all Lenders over (b) the Borrowing Base of Winnebago of Indiana.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or the Administrative Agent.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4"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8"/>
          <w:szCs w:val="18"/>
          <w:color w:val="auto"/>
        </w:rPr>
        <w:t>SECTION 1.02. Classification of Loans and Borrowings. For purposes of this Agreement, Loans may be classified and referred to by Class (e.g., a “</w:t>
      </w:r>
      <w:r>
        <w:rPr>
          <w:rFonts w:ascii="Arial" w:cs="Arial" w:eastAsia="Arial" w:hAnsi="Arial"/>
          <w:sz w:val="18"/>
          <w:szCs w:val="18"/>
          <w:u w:val="single" w:color="auto"/>
          <w:color w:val="auto"/>
        </w:rPr>
        <w:t>Revolving Loan</w:t>
      </w:r>
      <w:r>
        <w:rPr>
          <w:rFonts w:ascii="Arial" w:cs="Arial" w:eastAsia="Arial" w:hAnsi="Arial"/>
          <w:sz w:val="18"/>
          <w:szCs w:val="18"/>
          <w:color w:val="auto"/>
        </w:rPr>
        <w:t>”) or by Type (e.g., a “</w:t>
      </w:r>
      <w:r>
        <w:rPr>
          <w:rFonts w:ascii="Arial" w:cs="Arial" w:eastAsia="Arial" w:hAnsi="Arial"/>
          <w:sz w:val="18"/>
          <w:szCs w:val="18"/>
          <w:u w:val="single" w:color="auto"/>
          <w:color w:val="auto"/>
        </w:rPr>
        <w:t>Eurodollar Loan</w:t>
      </w:r>
      <w:r>
        <w:rPr>
          <w:rFonts w:ascii="Arial" w:cs="Arial" w:eastAsia="Arial" w:hAnsi="Arial"/>
          <w:sz w:val="18"/>
          <w:szCs w:val="18"/>
          <w:color w:val="auto"/>
        </w:rPr>
        <w:t>”) or by Class and Type (e.g., a “</w:t>
      </w:r>
      <w:r>
        <w:rPr>
          <w:rFonts w:ascii="Arial" w:cs="Arial" w:eastAsia="Arial" w:hAnsi="Arial"/>
          <w:sz w:val="18"/>
          <w:szCs w:val="18"/>
          <w:u w:val="single" w:color="auto"/>
          <w:color w:val="auto"/>
        </w:rPr>
        <w:t>Eurodollar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Loan</w:t>
      </w:r>
      <w:r>
        <w:rPr>
          <w:rFonts w:ascii="Arial" w:cs="Arial" w:eastAsia="Arial" w:hAnsi="Arial"/>
          <w:sz w:val="18"/>
          <w:szCs w:val="18"/>
          <w:color w:val="auto"/>
        </w:rPr>
        <w:t>”). Borrowings also may be classified and referred to by Class (e.g., a “</w:t>
      </w:r>
      <w:r>
        <w:rPr>
          <w:rFonts w:ascii="Arial" w:cs="Arial" w:eastAsia="Arial" w:hAnsi="Arial"/>
          <w:sz w:val="18"/>
          <w:szCs w:val="18"/>
          <w:u w:val="single" w:color="auto"/>
          <w:color w:val="auto"/>
        </w:rPr>
        <w:t>Revolving Borrowing</w:t>
      </w:r>
      <w:r>
        <w:rPr>
          <w:rFonts w:ascii="Arial" w:cs="Arial" w:eastAsia="Arial" w:hAnsi="Arial"/>
          <w:sz w:val="18"/>
          <w:szCs w:val="18"/>
          <w:color w:val="auto"/>
        </w:rPr>
        <w:t>”) or by Type (e.g., a “</w:t>
      </w:r>
      <w:r>
        <w:rPr>
          <w:rFonts w:ascii="Arial" w:cs="Arial" w:eastAsia="Arial" w:hAnsi="Arial"/>
          <w:sz w:val="18"/>
          <w:szCs w:val="18"/>
          <w:u w:val="single" w:color="auto"/>
          <w:color w:val="auto"/>
        </w:rPr>
        <w:t>Eurodollar Borrowing</w:t>
      </w:r>
      <w:r>
        <w:rPr>
          <w:rFonts w:ascii="Arial" w:cs="Arial" w:eastAsia="Arial" w:hAnsi="Arial"/>
          <w:sz w:val="18"/>
          <w:szCs w:val="18"/>
          <w:color w:val="auto"/>
        </w:rPr>
        <w:t>”) or by Class and Type (e.g., a “</w:t>
      </w:r>
      <w:r>
        <w:rPr>
          <w:rFonts w:ascii="Arial" w:cs="Arial" w:eastAsia="Arial" w:hAnsi="Arial"/>
          <w:sz w:val="18"/>
          <w:szCs w:val="18"/>
          <w:u w:val="single" w:color="auto"/>
          <w:color w:val="auto"/>
        </w:rPr>
        <w:t>Eurodollar Revolving Borrowing</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jc w:val="both"/>
        <w:ind w:left="180" w:firstLine="648"/>
        <w:spacing w:after="0" w:line="285" w:lineRule="auto"/>
        <w:rPr>
          <w:sz w:val="20"/>
          <w:szCs w:val="20"/>
          <w:color w:val="auto"/>
        </w:rPr>
      </w:pPr>
      <w:r>
        <w:rPr>
          <w:rFonts w:ascii="Arial" w:cs="Arial" w:eastAsia="Arial" w:hAnsi="Arial"/>
          <w:sz w:val="16"/>
          <w:szCs w:val="16"/>
          <w:color w:val="auto"/>
        </w:rPr>
        <w:t>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69"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color w:val="auto"/>
        </w:rPr>
        <w:t>Accounting Terms; GAAP; Pro Forma Calculations.</w:t>
      </w:r>
    </w:p>
    <w:p>
      <w:pPr>
        <w:spacing w:after="0" w:line="225" w:lineRule="exact"/>
        <w:rPr>
          <w:sz w:val="20"/>
          <w:szCs w:val="20"/>
          <w:color w:val="auto"/>
        </w:rPr>
      </w:pPr>
    </w:p>
    <w:p>
      <w:pPr>
        <w:jc w:val="both"/>
        <w:ind w:left="840" w:firstLine="640"/>
        <w:spacing w:after="0" w:line="284" w:lineRule="auto"/>
        <w:tabs>
          <w:tab w:leader="none" w:pos="2466"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Representative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 (x)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Company or any Subsidiary at “fair value”, as defined therein and (y)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 notwithstanding the Company’s adoption of Financial Accounting Standards Board Accounting Standards Update No. 2016-02, Leases (Topic 842) (“</w:t>
      </w:r>
      <w:r>
        <w:rPr>
          <w:rFonts w:ascii="Arial" w:cs="Arial" w:eastAsia="Arial" w:hAnsi="Arial"/>
          <w:sz w:val="16"/>
          <w:szCs w:val="16"/>
          <w:u w:val="single" w:color="auto"/>
          <w:color w:val="auto"/>
        </w:rPr>
        <w:t>FAS 842</w:t>
      </w:r>
      <w:r>
        <w:rPr>
          <w:rFonts w:ascii="Arial" w:cs="Arial" w:eastAsia="Arial" w:hAnsi="Arial"/>
          <w:sz w:val="16"/>
          <w:szCs w:val="16"/>
          <w:color w:val="auto"/>
        </w:rPr>
        <w:t>”) any lease (or similar arrangement conveying the right to use) that was not required to be treated as a capital lease under GAAP as in effect on December 31, 2015 shall not be considered a capital lease, and all calculations and deliverables under this Agreement or any other Loan Document shall be made or delivered, as applicable, in accordance with the foregoing. For the avoidance of doubt, and without limitation of the foregoing, Permitted Convertible Notes shall at all times be valued at the full stated principal amount thereof and shall not include any reduction or appreciation in value of the shares deliverable upon conversion thereof.</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3" w:name="page254"/>
    <w:bookmarkEnd w:id="253"/>
    <w:p>
      <w:pPr>
        <w:jc w:val="both"/>
        <w:ind w:left="840" w:firstLine="640"/>
        <w:spacing w:after="0" w:line="286" w:lineRule="auto"/>
        <w:tabs>
          <w:tab w:leader="none" w:pos="226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All pro forma computations required to be made hereunder giving effect to any acquisition or disposition, or issuance, incurrence or assumption of Indebtedness, or other transaction shall in each case be calculated after giving pro forma effect thereto (and, in the case of any pro forma computation made hereunder, to determine whether such acquisition, disposition, issuance, incurrence or assumption of Indebtedness or other transaction is permitted to be consummated hereunder) immediately after giving effect to such acquisition, disposition, issuance, incurrence or assumption of Indebtedness or other transaction consummated since the first day of the period for which such pro forma computation is being made and on or prior to the date of such computation, as if such transaction had occurred on the first day of the most recent Test Period, and, to the extent applicable, to the historical earnings and cash flows associated with the assets acquired or disposed of (but without giving effect to any synergies or cost savings, except as set forth in the definition of “</w:t>
      </w:r>
      <w:r>
        <w:rPr>
          <w:rFonts w:ascii="Arial" w:cs="Arial" w:eastAsia="Arial" w:hAnsi="Arial"/>
          <w:sz w:val="16"/>
          <w:szCs w:val="16"/>
          <w:u w:val="single" w:color="auto"/>
          <w:color w:val="auto"/>
        </w:rPr>
        <w:t>Consolidated EBITDA</w:t>
      </w:r>
      <w:r>
        <w:rPr>
          <w:rFonts w:ascii="Arial" w:cs="Arial" w:eastAsia="Arial" w:hAnsi="Arial"/>
          <w:sz w:val="16"/>
          <w:szCs w:val="16"/>
          <w:color w:val="auto"/>
        </w:rPr>
        <w:t>”)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for which such pro forma computation is being made (taking into account any Swap Agreement applicable to such Indebtedness).</w:t>
      </w:r>
    </w:p>
    <w:p>
      <w:pPr>
        <w:spacing w:after="0" w:line="174" w:lineRule="exact"/>
        <w:rPr>
          <w:sz w:val="20"/>
          <w:szCs w:val="20"/>
          <w:color w:val="auto"/>
        </w:rPr>
      </w:pPr>
    </w:p>
    <w:p>
      <w:pPr>
        <w:jc w:val="both"/>
        <w:ind w:left="180" w:firstLine="648"/>
        <w:spacing w:after="0" w:line="288" w:lineRule="auto"/>
        <w:rPr>
          <w:sz w:val="20"/>
          <w:szCs w:val="20"/>
          <w:color w:val="auto"/>
        </w:rPr>
      </w:pPr>
      <w:r>
        <w:rPr>
          <w:rFonts w:ascii="Arial" w:cs="Arial" w:eastAsia="Arial" w:hAnsi="Arial"/>
          <w:sz w:val="16"/>
          <w:szCs w:val="16"/>
          <w:color w:val="auto"/>
        </w:rPr>
        <w:t>SECTION 1.05. Status of Obligations. In the event that the Company or any other Loan Party shall at any time issue or have outstanding any Subordinated Indebtedness, the Company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4" w:name="page255"/>
    <w:bookmarkEnd w:id="254"/>
    <w:p>
      <w:pPr>
        <w:jc w:val="both"/>
        <w:ind w:left="180" w:firstLine="648"/>
        <w:spacing w:after="0" w:line="285" w:lineRule="auto"/>
        <w:rPr>
          <w:sz w:val="20"/>
          <w:szCs w:val="20"/>
          <w:color w:val="auto"/>
        </w:rPr>
      </w:pPr>
      <w:r>
        <w:rPr>
          <w:rFonts w:ascii="Arial" w:cs="Arial" w:eastAsia="Arial" w:hAnsi="Arial"/>
          <w:sz w:val="16"/>
          <w:szCs w:val="16"/>
          <w:color w:val="auto"/>
        </w:rPr>
        <w:t>SECTION 1.06. Interest Rates; LIBOR Notifications.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6"/>
          <w:szCs w:val="16"/>
          <w:u w:val="single" w:color="auto"/>
          <w:color w:val="auto"/>
        </w:rPr>
        <w:t>IBA</w:t>
      </w:r>
      <w:r>
        <w:rPr>
          <w:rFonts w:ascii="Arial" w:cs="Arial" w:eastAsia="Arial" w:hAnsi="Arial"/>
          <w:sz w:val="16"/>
          <w:szCs w:val="16"/>
          <w:color w:val="auto"/>
        </w:rPr>
        <w:t xml:space="preserve">”)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w:t>
      </w:r>
      <w:r>
        <w:rPr>
          <w:rFonts w:ascii="Arial" w:cs="Arial" w:eastAsia="Arial" w:hAnsi="Arial"/>
          <w:sz w:val="16"/>
          <w:szCs w:val="16"/>
          <w:u w:val="single" w:color="auto"/>
          <w:color w:val="auto"/>
        </w:rPr>
        <w:t>Section 2.14(c)</w:t>
      </w:r>
      <w:r>
        <w:rPr>
          <w:rFonts w:ascii="Arial" w:cs="Arial" w:eastAsia="Arial" w:hAnsi="Arial"/>
          <w:sz w:val="16"/>
          <w:szCs w:val="16"/>
          <w:color w:val="auto"/>
        </w:rPr>
        <w:t xml:space="preserve"> of this Agreement, such </w:t>
      </w:r>
      <w:r>
        <w:rPr>
          <w:rFonts w:ascii="Arial" w:cs="Arial" w:eastAsia="Arial" w:hAnsi="Arial"/>
          <w:sz w:val="16"/>
          <w:szCs w:val="16"/>
          <w:u w:val="single" w:color="auto"/>
          <w:color w:val="auto"/>
        </w:rPr>
        <w:t>Section 2.14(c)</w:t>
      </w:r>
      <w:r>
        <w:rPr>
          <w:rFonts w:ascii="Arial" w:cs="Arial" w:eastAsia="Arial" w:hAnsi="Arial"/>
          <w:sz w:val="16"/>
          <w:szCs w:val="16"/>
          <w:color w:val="auto"/>
        </w:rPr>
        <w:t xml:space="preserve"> provides a mechanism for determining an alternative rate of interest. The Administrative Agent will notify the Borrower Representative,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in advance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w:t>
      </w:r>
      <w:r>
        <w:rPr>
          <w:rFonts w:ascii="Arial" w:cs="Arial" w:eastAsia="Arial" w:hAnsi="Arial"/>
          <w:sz w:val="16"/>
          <w:szCs w:val="16"/>
          <w:u w:val="single" w:color="auto"/>
          <w:color w:val="auto"/>
        </w:rPr>
        <w:t>Section 2.14(c)</w:t>
      </w:r>
      <w:r>
        <w:rPr>
          <w:rFonts w:ascii="Arial" w:cs="Arial" w:eastAsia="Arial" w:hAnsi="Arial"/>
          <w:sz w:val="16"/>
          <w:szCs w:val="16"/>
          <w:color w:val="auto"/>
        </w:rPr>
        <w:t>, will be similar to, or produce the same value or economic equivalence of, the LIBO Rate or have the same volume or liquidity as did the London interbank offered rate prior to its discontinuance or unavailability.</w:t>
      </w:r>
    </w:p>
    <w:p>
      <w:pPr>
        <w:spacing w:after="0" w:line="171" w:lineRule="exact"/>
        <w:rPr>
          <w:sz w:val="20"/>
          <w:szCs w:val="20"/>
          <w:color w:val="auto"/>
        </w:rPr>
      </w:pPr>
    </w:p>
    <w:p>
      <w:pPr>
        <w:jc w:val="both"/>
        <w:ind w:left="180" w:firstLine="648"/>
        <w:spacing w:after="0" w:line="284" w:lineRule="auto"/>
        <w:rPr>
          <w:sz w:val="20"/>
          <w:szCs w:val="20"/>
          <w:color w:val="auto"/>
        </w:rPr>
      </w:pPr>
      <w:r>
        <w:rPr>
          <w:rFonts w:ascii="Arial" w:cs="Arial" w:eastAsia="Arial" w:hAnsi="Arial"/>
          <w:sz w:val="16"/>
          <w:szCs w:val="16"/>
          <w:color w:val="auto"/>
        </w:rPr>
        <w:t xml:space="preserve">SECTION 1.07. Amendment and Restatement of the Existing Credit Agreement. The parties to this Agreement agree that, on the Effective Date,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incurred under the Existing Credit Agreement which are outstanding on the Effective Date shall continue as Loans and Secured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Letters of Credit which remain outstanding on the Effective Date shall continue as Letters of Credit under (and shall be governed by the terms of) this Agreement, (c) all obligations constituting “Obligations” with any Lender or any Affiliate of any Lender which are outstanding on the Effective Date shall continue as Obligations under this Agreement and the other Loan Documents, (d) the liens and security interests in favor of the Administrative Agent for the benefit of the Secured Parties securing payment of the Secured Obligations (and all filings with any Governmental Authority in connection therewith) are in all respects continuing and in full force and effect with respect to all Secured Obligations, (e) the Administrative Agent shall, in consultation with the Borrowers, make such reallocations, sales, assignments or other relevant actions in respect of each Lender’s credit and loan exposure under the Existing Credit Agreement as are necessary in the judgment of the Administrative Agent in order that each such Lender’s outstanding Revolving Loans hereunder reflect such Lender’s ratable share of the outstanding Revolving Loans on the Effective Date and (f) each of the Loan Parties reaffirms the terms and conditions of the “Loan Documents” (as referred to and defined in the Existing Credit Agreement) executed by it, as modified and/or restated by the “Loan Documents” (as referred to and defined herein), and acknowledges and agrees that each “Loan Document” (as referred to and defined in the Existing Credit Agreement) executed by it, as modified and/or restated by the “Loan Documents” (as referred to and defined herein), remains in full force and effect and is hereby ratified, reaffirmed and confirmed. </w:t>
      </w:r>
      <w:r>
        <w:rPr>
          <w:rFonts w:ascii="Arial" w:cs="Arial" w:eastAsia="Arial" w:hAnsi="Arial"/>
          <w:sz w:val="16"/>
          <w:szCs w:val="16"/>
          <w:b w:val="1"/>
          <w:bCs w:val="1"/>
          <w:u w:val="single" w:color="auto"/>
          <w:color w:val="0000FF"/>
        </w:rPr>
        <w:t>Furthermore, the parties to this Agreement agree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that, on and after the Amendment No. 2 Effective Date, all references in the “Loan Documents” (as defined in the Existing Credit Agreement as in effect immediately prior to the Amendment No. 2 Effective Date) to the “ABL Term Loan Intercreditor Agreement” shall be deemed to refer to the ABL/Fixed Asset Intercreditor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5" w:name="page256"/>
    <w:bookmarkEnd w:id="255"/>
    <w:p>
      <w:pPr>
        <w:ind w:left="4504"/>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The Credits</w:t>
      </w:r>
    </w:p>
    <w:p>
      <w:pPr>
        <w:spacing w:after="0" w:line="225" w:lineRule="exact"/>
        <w:rPr>
          <w:sz w:val="20"/>
          <w:szCs w:val="20"/>
          <w:color w:val="auto"/>
        </w:rPr>
      </w:pPr>
    </w:p>
    <w:p>
      <w:pPr>
        <w:jc w:val="both"/>
        <w:ind w:left="644" w:firstLine="648"/>
        <w:spacing w:after="0" w:line="263" w:lineRule="auto"/>
        <w:rPr>
          <w:sz w:val="20"/>
          <w:szCs w:val="20"/>
          <w:color w:val="auto"/>
        </w:rPr>
      </w:pPr>
      <w:r>
        <w:rPr>
          <w:rFonts w:ascii="Arial" w:cs="Arial" w:eastAsia="Arial" w:hAnsi="Arial"/>
          <w:sz w:val="18"/>
          <w:szCs w:val="18"/>
          <w:color w:val="auto"/>
        </w:rPr>
        <w:t>SECTION 2.01. Commitments. Subject to the terms and conditions set forth herein, each Lender (severally and not jointly) agrees to make Revolving Loans to the Borrowers in Dollars from time to time during the Availability Period if, after giving effect thereto:</w:t>
      </w:r>
    </w:p>
    <w:p>
      <w:pPr>
        <w:spacing w:after="0" w:line="184" w:lineRule="exact"/>
        <w:rPr>
          <w:sz w:val="20"/>
          <w:szCs w:val="20"/>
          <w:color w:val="auto"/>
        </w:rPr>
      </w:pPr>
    </w:p>
    <w:p>
      <w:pPr>
        <w:ind w:left="1304" w:hanging="656"/>
        <w:spacing w:after="0"/>
        <w:tabs>
          <w:tab w:leader="none" w:pos="130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such Lender’s Revolving Exposure would not exceed such Lender’s Commitment;</w:t>
      </w:r>
    </w:p>
    <w:p>
      <w:pPr>
        <w:spacing w:after="0" w:line="225" w:lineRule="exact"/>
        <w:rPr>
          <w:rFonts w:ascii="Arial" w:cs="Arial" w:eastAsia="Arial" w:hAnsi="Arial"/>
          <w:sz w:val="18"/>
          <w:szCs w:val="18"/>
          <w:color w:val="auto"/>
        </w:rPr>
      </w:pPr>
    </w:p>
    <w:p>
      <w:pPr>
        <w:ind w:left="1384" w:hanging="736"/>
        <w:spacing w:after="0"/>
        <w:tabs>
          <w:tab w:leader="none" w:pos="1384"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the aggregate Company Revolving Exposures would not exceed an amount equal to (x) the Aggregate Borrowing Base </w:t>
      </w:r>
      <w:r>
        <w:rPr>
          <w:rFonts w:ascii="Arial" w:cs="Arial" w:eastAsia="Arial" w:hAnsi="Arial"/>
          <w:sz w:val="16"/>
          <w:szCs w:val="16"/>
          <w:u w:val="single" w:color="auto"/>
          <w:color w:val="auto"/>
        </w:rPr>
        <w:t>minus</w:t>
      </w:r>
    </w:p>
    <w:p>
      <w:pPr>
        <w:spacing w:after="0" w:line="46" w:lineRule="exact"/>
        <w:rPr>
          <w:rFonts w:ascii="Arial" w:cs="Arial" w:eastAsia="Arial" w:hAnsi="Arial"/>
          <w:sz w:val="16"/>
          <w:szCs w:val="16"/>
          <w:color w:val="auto"/>
        </w:rPr>
      </w:pPr>
    </w:p>
    <w:p>
      <w:pPr>
        <w:ind w:left="4" w:hanging="4"/>
        <w:spacing w:after="0" w:line="260" w:lineRule="auto"/>
        <w:tabs>
          <w:tab w:leader="none" w:pos="2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the sum of the Winnebago of Indiana Revolving Exposures of all Lenders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Grand Design Revolving Exposures of all Lenders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Newmar Revolving Exposures of all Lenders;</w:t>
      </w:r>
    </w:p>
    <w:p>
      <w:pPr>
        <w:spacing w:after="0" w:line="185" w:lineRule="exact"/>
        <w:rPr>
          <w:rFonts w:ascii="Arial" w:cs="Arial" w:eastAsia="Arial" w:hAnsi="Arial"/>
          <w:sz w:val="18"/>
          <w:szCs w:val="18"/>
          <w:color w:val="auto"/>
        </w:rPr>
      </w:pPr>
    </w:p>
    <w:p>
      <w:pPr>
        <w:jc w:val="both"/>
        <w:ind w:left="4" w:firstLine="644"/>
        <w:spacing w:after="0" w:line="279" w:lineRule="auto"/>
        <w:tabs>
          <w:tab w:leader="none" w:pos="1381" w:val="left"/>
        </w:tabs>
        <w:numPr>
          <w:ilvl w:val="1"/>
          <w:numId w:val="305"/>
        </w:numPr>
        <w:rPr>
          <w:rFonts w:ascii="Arial" w:cs="Arial" w:eastAsia="Arial" w:hAnsi="Arial"/>
          <w:sz w:val="17"/>
          <w:szCs w:val="17"/>
          <w:color w:val="auto"/>
        </w:rPr>
      </w:pPr>
      <w:r>
        <w:rPr>
          <w:rFonts w:ascii="Arial" w:cs="Arial" w:eastAsia="Arial" w:hAnsi="Arial"/>
          <w:sz w:val="17"/>
          <w:szCs w:val="17"/>
          <w:color w:val="auto"/>
        </w:rPr>
        <w:t xml:space="preserve">the aggregate Winnebago of Indiana Revolving Exposures would not exceed an amount equal to (x) the sum of Winnebago of Indiana’s Borrowing Base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Company’s Borrowing Base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sum of (A) the excess, if any, of the aggregate Company Revolving Exposures of all Lenders over an amount equal to the sum of (x) the Excess Grand Design Borrowing Base and (y) the Excess Newmar Borrowing Base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an amount equal to the sum of (x) the Grand Design Utilization and (y) the Newmar Utilization;</w:t>
      </w:r>
    </w:p>
    <w:p>
      <w:pPr>
        <w:spacing w:after="0" w:line="38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6" w:name="page257"/>
    <w:bookmarkEnd w:id="256"/>
    <w:p>
      <w:pPr>
        <w:jc w:val="both"/>
        <w:ind w:left="660" w:firstLine="644"/>
        <w:spacing w:after="0" w:line="301" w:lineRule="auto"/>
        <w:tabs>
          <w:tab w:leader="none" w:pos="2202" w:val="left"/>
        </w:tabs>
        <w:numPr>
          <w:ilvl w:val="1"/>
          <w:numId w:val="306"/>
        </w:numPr>
        <w:rPr>
          <w:rFonts w:ascii="Arial" w:cs="Arial" w:eastAsia="Arial" w:hAnsi="Arial"/>
          <w:sz w:val="16"/>
          <w:szCs w:val="16"/>
          <w:color w:val="auto"/>
        </w:rPr>
      </w:pPr>
      <w:r>
        <w:rPr>
          <w:rFonts w:ascii="Arial" w:cs="Arial" w:eastAsia="Arial" w:hAnsi="Arial"/>
          <w:sz w:val="16"/>
          <w:szCs w:val="16"/>
          <w:color w:val="auto"/>
        </w:rPr>
        <w:t xml:space="preserve">the aggregate Grand Design Revolving Exposures would not exceed an amount equal to (x) the sum of Grand Design’s Borrowing Base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Company’s Borrowing Base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the sum of (A) the excess, if any, of the aggregate Company Revolving Exposures of all Lenders over the amount equal to the sum of (x) Excess Winnebago of Indiana Borrowing Base plus (y) the Excess Newmar Borrowing Base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amount equal to the sum of (x) the Winnebago of Indiana Utilization plus (y) the Newmar Utilization; and</w:t>
      </w:r>
    </w:p>
    <w:p>
      <w:pPr>
        <w:spacing w:after="0" w:line="157" w:lineRule="exact"/>
        <w:rPr>
          <w:rFonts w:ascii="Arial" w:cs="Arial" w:eastAsia="Arial" w:hAnsi="Arial"/>
          <w:sz w:val="16"/>
          <w:szCs w:val="16"/>
          <w:color w:val="auto"/>
        </w:rPr>
      </w:pPr>
    </w:p>
    <w:p>
      <w:pPr>
        <w:jc w:val="both"/>
        <w:ind w:left="660" w:firstLine="644"/>
        <w:spacing w:after="0" w:line="287" w:lineRule="auto"/>
        <w:tabs>
          <w:tab w:leader="none" w:pos="2049" w:val="left"/>
        </w:tabs>
        <w:numPr>
          <w:ilvl w:val="1"/>
          <w:numId w:val="306"/>
        </w:numPr>
        <w:rPr>
          <w:rFonts w:ascii="Arial" w:cs="Arial" w:eastAsia="Arial" w:hAnsi="Arial"/>
          <w:sz w:val="16"/>
          <w:szCs w:val="16"/>
          <w:color w:val="auto"/>
        </w:rPr>
      </w:pPr>
      <w:r>
        <w:rPr>
          <w:rFonts w:ascii="Arial" w:cs="Arial" w:eastAsia="Arial" w:hAnsi="Arial"/>
          <w:sz w:val="16"/>
          <w:szCs w:val="16"/>
          <w:color w:val="auto"/>
        </w:rPr>
        <w:t xml:space="preserve">the aggregate Newmar Revolving Exposures would not exceed an amount equal to (x) the sum of Newmar’s Borrowing Base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Company’s Borrowing Base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the sum of (A) the excess, if any, of the aggregate Company Revolving Exposures of all Lenders over the amount equal to the sum of (x) Excess Winnebago of Indiana Borrowing Base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Excess Grand Design Borrowing Base </w:t>
      </w:r>
      <w:r>
        <w:rPr>
          <w:rFonts w:ascii="Arial" w:cs="Arial" w:eastAsia="Arial" w:hAnsi="Arial"/>
          <w:sz w:val="16"/>
          <w:szCs w:val="16"/>
          <w:u w:val="single" w:color="auto"/>
          <w:color w:val="auto"/>
        </w:rPr>
        <w:t>plus</w:t>
      </w:r>
    </w:p>
    <w:p>
      <w:pPr>
        <w:spacing w:after="0" w:line="2" w:lineRule="exact"/>
        <w:rPr>
          <w:rFonts w:ascii="Arial" w:cs="Arial" w:eastAsia="Arial" w:hAnsi="Arial"/>
          <w:sz w:val="16"/>
          <w:szCs w:val="16"/>
          <w:color w:val="auto"/>
        </w:rPr>
      </w:pPr>
    </w:p>
    <w:p>
      <w:pPr>
        <w:ind w:left="940" w:hanging="284"/>
        <w:spacing w:after="0"/>
        <w:tabs>
          <w:tab w:leader="none" w:pos="9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the amount equal to the sum of (x) the Winnebago of Indiana Utilization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Grand Design Utilization; and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subject, in each case, to the Administrative Agent’s authority, in its sole discretion, to make Protective Advances and Overadvances pursuant to the terms of </w:t>
      </w:r>
      <w:r>
        <w:rPr>
          <w:rFonts w:ascii="Arial" w:cs="Arial" w:eastAsia="Arial" w:hAnsi="Arial"/>
          <w:sz w:val="18"/>
          <w:szCs w:val="18"/>
          <w:u w:val="single" w:color="auto"/>
          <w:color w:val="auto"/>
        </w:rPr>
        <w:t>Sections 2.04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Within the foregoing limits and subject to the terms and conditions set forth herein, the Borrowers may borrow, prepay and reborrow Revolving Loans. The limitations on Borrowings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are referred to collectively as the “</w:t>
      </w:r>
      <w:r>
        <w:rPr>
          <w:rFonts w:ascii="Arial" w:cs="Arial" w:eastAsia="Arial" w:hAnsi="Arial"/>
          <w:sz w:val="18"/>
          <w:szCs w:val="18"/>
          <w:u w:val="single" w:color="auto"/>
          <w:color w:val="auto"/>
        </w:rPr>
        <w:t>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Exposure Limitations</w:t>
      </w:r>
      <w:r>
        <w:rPr>
          <w:rFonts w:ascii="Arial" w:cs="Arial" w:eastAsia="Arial" w:hAnsi="Arial"/>
          <w:sz w:val="18"/>
          <w:szCs w:val="18"/>
          <w:color w:val="auto"/>
        </w:rPr>
        <w:t>”.</w:t>
      </w:r>
    </w:p>
    <w:p>
      <w:pPr>
        <w:spacing w:after="0" w:line="187" w:lineRule="exact"/>
        <w:rPr>
          <w:sz w:val="20"/>
          <w:szCs w:val="20"/>
          <w:color w:val="auto"/>
        </w:rPr>
      </w:pPr>
    </w:p>
    <w:p>
      <w:pPr>
        <w:ind w:left="1960"/>
        <w:spacing w:after="0"/>
        <w:tabs>
          <w:tab w:leader="none" w:pos="33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Loans and Borrowings.</w:t>
      </w:r>
    </w:p>
    <w:p>
      <w:pPr>
        <w:spacing w:after="0" w:line="225" w:lineRule="exact"/>
        <w:rPr>
          <w:sz w:val="20"/>
          <w:szCs w:val="20"/>
          <w:color w:val="auto"/>
        </w:rPr>
      </w:pPr>
    </w:p>
    <w:p>
      <w:pPr>
        <w:jc w:val="both"/>
        <w:ind w:left="1960" w:firstLine="640"/>
        <w:spacing w:after="0" w:line="273" w:lineRule="auto"/>
        <w:tabs>
          <w:tab w:leader="none" w:pos="3424"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the Lenders are several and no Lender shall be responsible for any other Lender’s failure to make Loans as required. Any Protective Advance, any Overadvance and any Swingline Loan shall be made in accordance with the procedures set forth in </w:t>
      </w:r>
      <w:r>
        <w:rPr>
          <w:rFonts w:ascii="Arial" w:cs="Arial" w:eastAsia="Arial" w:hAnsi="Arial"/>
          <w:sz w:val="17"/>
          <w:szCs w:val="17"/>
          <w:u w:val="single" w:color="auto"/>
          <w:color w:val="auto"/>
        </w:rPr>
        <w:t>Sections 2.04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2.05</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1960" w:firstLine="640"/>
        <w:spacing w:after="0" w:line="273" w:lineRule="auto"/>
        <w:tabs>
          <w:tab w:leader="none" w:pos="3367"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each Revolving Borrowing shall be comprised entirely of ABR Loans or Eurodollar Loans as the Borrower Representative may request in accordance herewith. Each Swingline Loan shall be an ABR Loan. Each Lender at its option may make any Eurodollar Loan by causing any domestic or foreign branch or Affiliate of such Lender to make such Loan (and in the case of an Affiliate, the provisions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shall apply to such Affiliate to the same extent as to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relevant Borrower to repay such Loan in accordance with the terms of this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jc w:val="both"/>
        <w:ind w:left="1960" w:firstLine="640"/>
        <w:spacing w:after="0" w:line="279" w:lineRule="auto"/>
        <w:tabs>
          <w:tab w:leader="none" w:pos="352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Eurodollar Revolving Borrowing, such Borrowing shall be in an aggregate amount that is an integral multiple of $100,000 and not less than $1,000,000. ABR Borrowings may be in any amount.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six (6) Eurodollar Borrowings outstanding.</w:t>
      </w:r>
    </w:p>
    <w:p>
      <w:pPr>
        <w:spacing w:after="0" w:line="171" w:lineRule="exact"/>
        <w:rPr>
          <w:rFonts w:ascii="Arial" w:cs="Arial" w:eastAsia="Arial" w:hAnsi="Arial"/>
          <w:sz w:val="17"/>
          <w:szCs w:val="17"/>
          <w:color w:val="auto"/>
        </w:rPr>
      </w:pPr>
    </w:p>
    <w:p>
      <w:pPr>
        <w:jc w:val="both"/>
        <w:ind w:left="1960" w:firstLine="640"/>
        <w:spacing w:after="0" w:line="263" w:lineRule="auto"/>
        <w:tabs>
          <w:tab w:leader="none" w:pos="336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Representative shall not be entitled to request, or to elect to convert or continue, any Borrowing if the Interest Period requested with respect thereto would end after the Maturity Date.</w:t>
      </w:r>
    </w:p>
    <w:p>
      <w:pPr>
        <w:spacing w:after="0" w:line="184" w:lineRule="exact"/>
        <w:rPr>
          <w:sz w:val="20"/>
          <w:szCs w:val="20"/>
          <w:color w:val="auto"/>
        </w:rPr>
      </w:pPr>
    </w:p>
    <w:p>
      <w:pPr>
        <w:jc w:val="both"/>
        <w:ind w:left="1300" w:firstLine="648"/>
        <w:spacing w:after="0" w:line="285" w:lineRule="auto"/>
        <w:rPr>
          <w:sz w:val="20"/>
          <w:szCs w:val="20"/>
          <w:color w:val="auto"/>
        </w:rPr>
      </w:pPr>
      <w:r>
        <w:rPr>
          <w:rFonts w:ascii="Arial" w:cs="Arial" w:eastAsia="Arial" w:hAnsi="Arial"/>
          <w:sz w:val="16"/>
          <w:szCs w:val="16"/>
          <w:color w:val="auto"/>
        </w:rPr>
        <w:t xml:space="preserve">SECTION 2.03. Requests for Borrowings. To request a Revolving Borrowing, the Borrower Representative shall notify the Administrative Agent of such request either in writing (delivered by hand or facsimile) in the form attached hereto as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or such other form approved by the Administrative Agent and signed by a Responsible Officer of the Borrower Representative or by telephone or through Electronic System, if arrangements for doing so have been approved by the Administrative Agent (or if an Extenuating Circumstance shall exist, by telephone), not later than (a) in the case of a Eurodollar Borrowing, 10:00 a.m., Chicago time, three</w:t>
      </w:r>
    </w:p>
    <w:p>
      <w:pPr>
        <w:spacing w:after="0" w:line="2" w:lineRule="exact"/>
        <w:rPr>
          <w:sz w:val="20"/>
          <w:szCs w:val="20"/>
          <w:color w:val="auto"/>
        </w:rPr>
      </w:pPr>
    </w:p>
    <w:p>
      <w:pPr>
        <w:jc w:val="both"/>
        <w:ind w:left="1300" w:firstLine="4"/>
        <w:spacing w:after="0" w:line="268" w:lineRule="auto"/>
        <w:tabs>
          <w:tab w:leader="none" w:pos="1562"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Business Days before the date of the proposed Borrowing or (b) in the case of an ABR Borrowing, 10:00 a.m., Chicago time, on the date of the proposed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of an ABR Revolving Borrowing to finance the reimbursement of an LC Disbursement as contemplated by </w:t>
      </w:r>
      <w:r>
        <w:rPr>
          <w:rFonts w:ascii="Arial" w:cs="Arial" w:eastAsia="Arial" w:hAnsi="Arial"/>
          <w:sz w:val="17"/>
          <w:szCs w:val="17"/>
          <w:u w:val="single" w:color="auto"/>
          <w:color w:val="auto"/>
        </w:rPr>
        <w:t>Section 2.06(e)</w:t>
      </w:r>
      <w:r>
        <w:rPr>
          <w:rFonts w:ascii="Arial" w:cs="Arial" w:eastAsia="Arial" w:hAnsi="Arial"/>
          <w:sz w:val="17"/>
          <w:szCs w:val="17"/>
          <w:color w:val="auto"/>
        </w:rPr>
        <w:t xml:space="preserve"> may be given not later than 9:00 a.m., Chicago time, on the date of such proposed Borrowing. Each such Borrowing Request shall be irrevocable and each such telephonic Borrowing Request, if permitted, shall be confirmed immediately upon the cessation of the Extenuating Circumstance by hand delivery, facsimile or a communication through Electronic System to the Administrative Agent of a written Borrowing Request in the form attached hereto as </w:t>
      </w:r>
      <w:r>
        <w:rPr>
          <w:rFonts w:ascii="Arial" w:cs="Arial" w:eastAsia="Arial" w:hAnsi="Arial"/>
          <w:sz w:val="17"/>
          <w:szCs w:val="17"/>
          <w:u w:val="single" w:color="auto"/>
          <w:color w:val="auto"/>
        </w:rPr>
        <w:t>Exhibit G-1</w:t>
      </w:r>
      <w:r>
        <w:rPr>
          <w:rFonts w:ascii="Arial" w:cs="Arial" w:eastAsia="Arial" w:hAnsi="Arial"/>
          <w:sz w:val="17"/>
          <w:szCs w:val="17"/>
          <w:color w:val="auto"/>
        </w:rPr>
        <w:t xml:space="preserve"> or such other form approved by the Administrative Agent and signed by a Responsible Officer of the Borrower Representative. Each such written (or if permitted, telephonic) Borrowing Request shall specify the following information in compliance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3300" w:hanging="700"/>
        <w:spacing w:after="0"/>
        <w:tabs>
          <w:tab w:leader="none" w:pos="33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name of the applicable Borrower;</w:t>
      </w:r>
    </w:p>
    <w:p>
      <w:pPr>
        <w:spacing w:after="0" w:line="225" w:lineRule="exact"/>
        <w:rPr>
          <w:rFonts w:ascii="Arial" w:cs="Arial" w:eastAsia="Arial" w:hAnsi="Arial"/>
          <w:sz w:val="18"/>
          <w:szCs w:val="18"/>
          <w:color w:val="auto"/>
        </w:rPr>
      </w:pPr>
    </w:p>
    <w:p>
      <w:pPr>
        <w:ind w:left="3440" w:hanging="840"/>
        <w:spacing w:after="0"/>
        <w:tabs>
          <w:tab w:leader="none" w:pos="344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the aggregate amount of the requested Borrowing and a breakdown of the separate wires comprising such</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Borrowing;</w:t>
      </w:r>
    </w:p>
    <w:p>
      <w:pPr>
        <w:spacing w:after="0" w:line="210" w:lineRule="exact"/>
        <w:rPr>
          <w:rFonts w:ascii="Arial" w:cs="Arial" w:eastAsia="Arial" w:hAnsi="Arial"/>
          <w:sz w:val="16"/>
          <w:szCs w:val="16"/>
          <w:color w:val="auto"/>
        </w:rPr>
      </w:pPr>
    </w:p>
    <w:p>
      <w:pPr>
        <w:ind w:left="3300" w:hanging="700"/>
        <w:spacing w:after="0"/>
        <w:tabs>
          <w:tab w:leader="none" w:pos="33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3300" w:hanging="700"/>
        <w:spacing w:after="0"/>
        <w:tabs>
          <w:tab w:leader="none" w:pos="33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Eurodollar Borrowing; and</w:t>
      </w:r>
    </w:p>
    <w:p>
      <w:pPr>
        <w:spacing w:after="0" w:line="225" w:lineRule="exact"/>
        <w:rPr>
          <w:rFonts w:ascii="Arial" w:cs="Arial" w:eastAsia="Arial" w:hAnsi="Arial"/>
          <w:sz w:val="18"/>
          <w:szCs w:val="18"/>
          <w:color w:val="auto"/>
        </w:rPr>
      </w:pPr>
    </w:p>
    <w:p>
      <w:pPr>
        <w:ind w:left="1960" w:firstLine="640"/>
        <w:spacing w:after="0" w:line="277" w:lineRule="auto"/>
        <w:tabs>
          <w:tab w:leader="none" w:pos="343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“Interest Period”.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no election as to the Type of Borrowing is specified, then the requested Borrowing shall be an ABR Borrowing. If no Interest Period is specified with respect to any requested Eurodollar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p>
      <w:pPr>
        <w:ind w:left="840"/>
        <w:spacing w:after="0"/>
        <w:tabs>
          <w:tab w:leader="none" w:pos="22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Protective Advances.</w:t>
      </w:r>
    </w:p>
    <w:p>
      <w:pPr>
        <w:spacing w:after="0" w:line="225" w:lineRule="exact"/>
        <w:rPr>
          <w:sz w:val="20"/>
          <w:szCs w:val="20"/>
          <w:color w:val="auto"/>
        </w:rPr>
      </w:pPr>
    </w:p>
    <w:p>
      <w:pPr>
        <w:jc w:val="both"/>
        <w:ind w:left="840" w:firstLine="640"/>
        <w:spacing w:after="0" w:line="284" w:lineRule="auto"/>
        <w:tabs>
          <w:tab w:leader="none" w:pos="229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below, the Administrative Agent is authorized by the Borrowers and the Lenders, from time to time in the Administrative Agent’s sole discretion (but shall have absolutely no obligation to), to make Loans to the Borrowers,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Borrowers pursuant to the terms of this Agreement, including payments of reimbursable expenses (including costs, fees, and expenses as described in </w:t>
      </w:r>
      <w:r>
        <w:rPr>
          <w:rFonts w:ascii="Arial" w:cs="Arial" w:eastAsia="Arial" w:hAnsi="Arial"/>
          <w:sz w:val="16"/>
          <w:szCs w:val="16"/>
          <w:u w:val="single" w:color="auto"/>
          <w:color w:val="auto"/>
        </w:rPr>
        <w:t>Section 9.03</w:t>
      </w:r>
      <w:r>
        <w:rPr>
          <w:rFonts w:ascii="Arial" w:cs="Arial" w:eastAsia="Arial" w:hAnsi="Arial"/>
          <w:sz w:val="16"/>
          <w:szCs w:val="16"/>
          <w:color w:val="auto"/>
        </w:rPr>
        <w:t>) and other sums payable under the Loan Documents (any of such Loans are herein referred to as “</w:t>
      </w:r>
      <w:r>
        <w:rPr>
          <w:rFonts w:ascii="Arial" w:cs="Arial" w:eastAsia="Arial" w:hAnsi="Arial"/>
          <w:sz w:val="16"/>
          <w:szCs w:val="16"/>
          <w:u w:val="single" w:color="auto"/>
          <w:color w:val="auto"/>
        </w:rPr>
        <w:t>Protective Advances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Protective Advances outstanding at any time, when aggregated with the amount of Overadvances outstanding at such time, shall not at any time exceed 10% of the Aggregate Commitment;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Aggregate Revolving Exposure after giving effect to the Protective Advances being made shall not exceed the Aggregate Commitment. Protective Advances may be made even if the conditions precedent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have not been satisfied. The Protective Advances shall be secured by the Liens in favor of the Administrative Agent in and to the Collateral and shall constitute Obligations hereunder. All Protective Advances shall be ABR Borrowings. The making of a Protective Advance on any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Aggregate Availability and the conditions precedent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have been satisfied, the Administrative Agent may request the Lenders to make a Revolving Loan to repay a Protective Advance. At any other time the Administrative Agent may require the Lenders to fund their risk participations described in </w:t>
      </w:r>
      <w:r>
        <w:rPr>
          <w:rFonts w:ascii="Arial" w:cs="Arial" w:eastAsia="Arial" w:hAnsi="Arial"/>
          <w:sz w:val="16"/>
          <w:szCs w:val="16"/>
          <w:u w:val="single" w:color="auto"/>
          <w:color w:val="auto"/>
        </w:rPr>
        <w:t>Section 2.04(b)</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840" w:firstLine="640"/>
        <w:spacing w:after="0" w:line="272" w:lineRule="auto"/>
        <w:tabs>
          <w:tab w:leader="none" w:pos="2561" w:val="left"/>
        </w:tabs>
        <w:numPr>
          <w:ilvl w:val="0"/>
          <w:numId w:val="311"/>
        </w:numPr>
        <w:rPr>
          <w:rFonts w:ascii="Arial" w:cs="Arial" w:eastAsia="Arial" w:hAnsi="Arial"/>
          <w:sz w:val="17"/>
          <w:szCs w:val="17"/>
          <w:color w:val="auto"/>
        </w:rPr>
      </w:pPr>
      <w:r>
        <w:rPr>
          <w:rFonts w:ascii="Arial" w:cs="Arial" w:eastAsia="Arial" w:hAnsi="Arial"/>
          <w:sz w:val="17"/>
          <w:szCs w:val="17"/>
          <w:color w:val="auto"/>
        </w:rPr>
        <w:t>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9" w:name="page260"/>
    <w:bookmarkEnd w:id="259"/>
    <w:p>
      <w:pPr>
        <w:ind w:left="840"/>
        <w:spacing w:after="0"/>
        <w:tabs>
          <w:tab w:leader="none" w:pos="22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Swingline Loans and Overadvances.</w:t>
      </w:r>
    </w:p>
    <w:p>
      <w:pPr>
        <w:spacing w:after="0" w:line="225" w:lineRule="exact"/>
        <w:rPr>
          <w:sz w:val="20"/>
          <w:szCs w:val="20"/>
          <w:color w:val="auto"/>
        </w:rPr>
      </w:pPr>
    </w:p>
    <w:p>
      <w:pPr>
        <w:jc w:val="both"/>
        <w:ind w:left="840" w:firstLine="640"/>
        <w:spacing w:after="0" w:line="267" w:lineRule="auto"/>
        <w:tabs>
          <w:tab w:leader="none" w:pos="2493"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The Administrative Agent, the Swingline Lender and the Lenders agree that in order to facilitate the administration of this Agreement and the other Loan Documents, promptly after the Borrower Representative requests an ABR Borrowing, the Swingline Lender may elect to have the terms of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apply to such Borrowing Request by advancing, on behalf of the Lenders and in the amount requested, same day funds to the Borrowers, on the date of the applicable Borrowing to the Funding Account(s) (each such Loan made solely by the Swingline Lender pursuant to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is referred to in this Agreement as a “</w:t>
      </w:r>
      <w:r>
        <w:rPr>
          <w:rFonts w:ascii="Arial" w:cs="Arial" w:eastAsia="Arial" w:hAnsi="Arial"/>
          <w:sz w:val="17"/>
          <w:szCs w:val="17"/>
          <w:u w:val="single" w:color="auto"/>
          <w:color w:val="auto"/>
        </w:rPr>
        <w:t>Swingline Loan</w:t>
      </w:r>
      <w:r>
        <w:rPr>
          <w:rFonts w:ascii="Arial" w:cs="Arial" w:eastAsia="Arial" w:hAnsi="Arial"/>
          <w:sz w:val="17"/>
          <w:szCs w:val="17"/>
          <w:color w:val="auto"/>
        </w:rPr>
        <w:t xml:space="preserve">”), with settlement among them as to the Swingline Loans to take place on a periodic basis as set forth in </w:t>
      </w:r>
      <w:r>
        <w:rPr>
          <w:rFonts w:ascii="Arial" w:cs="Arial" w:eastAsia="Arial" w:hAnsi="Arial"/>
          <w:sz w:val="17"/>
          <w:szCs w:val="17"/>
          <w:u w:val="single" w:color="auto"/>
          <w:color w:val="auto"/>
        </w:rPr>
        <w:t>Section 2.05(d)</w:t>
      </w:r>
      <w:r>
        <w:rPr>
          <w:rFonts w:ascii="Arial" w:cs="Arial" w:eastAsia="Arial" w:hAnsi="Arial"/>
          <w:sz w:val="17"/>
          <w:szCs w:val="17"/>
          <w:color w:val="auto"/>
        </w:rPr>
        <w:t>. Each Swingline Loan shall be subject to all the terms and conditions applicable to other ABR Loans funded by the Lenders, except that all payments thereon shall be payable to the Swingline Lender solely for its own account. In addition, the Borrower Representative hereby authorizes the Swingline Lender to, and the Swingline Lender may, subject to the terms and conditions set forth herein (but without any further written notice required), to the extent that from time to time on any Business Day funds are required under the DDA Access Product to reach the Target Balance (a “</w:t>
      </w:r>
      <w:r>
        <w:rPr>
          <w:rFonts w:ascii="Arial" w:cs="Arial" w:eastAsia="Arial" w:hAnsi="Arial"/>
          <w:sz w:val="17"/>
          <w:szCs w:val="17"/>
          <w:u w:val="single" w:color="auto"/>
          <w:color w:val="auto"/>
        </w:rPr>
        <w:t>Deficiency</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Funding Date</w:t>
      </w:r>
      <w:r>
        <w:rPr>
          <w:rFonts w:ascii="Arial" w:cs="Arial" w:eastAsia="Arial" w:hAnsi="Arial"/>
          <w:sz w:val="17"/>
          <w:szCs w:val="17"/>
          <w:color w:val="auto"/>
        </w:rPr>
        <w:t>”), make available to the Borrowers the proceeds of a Swingline Loan in the amount of such deficiency up to the Target Balance, by means of a credit to the Funding Account on or before the start of business on the next succeeding Business Day, and such Swingline Loan shall be deemed made on such Deficiency Funding Date. The aggregate amount of Swingline Loans outstanding at any time shall not exceed an amount equal to 10% of the Aggregate Commitment. The Swingline Lender shall not make any Swingline Loan if the requested Swingline Loan results in the Borrowers failing to be in compliance with the Revolving Exposure Limitations (before or after giving effect to such Swingline Loan). All Swingline Loans shall be ABR Borrowings.</w:t>
      </w:r>
    </w:p>
    <w:p>
      <w:pPr>
        <w:spacing w:after="0" w:line="189" w:lineRule="exact"/>
        <w:rPr>
          <w:rFonts w:ascii="Arial" w:cs="Arial" w:eastAsia="Arial" w:hAnsi="Arial"/>
          <w:sz w:val="17"/>
          <w:szCs w:val="17"/>
          <w:color w:val="auto"/>
        </w:rPr>
      </w:pPr>
    </w:p>
    <w:p>
      <w:pPr>
        <w:jc w:val="both"/>
        <w:ind w:left="840" w:firstLine="640"/>
        <w:spacing w:after="0" w:line="286" w:lineRule="auto"/>
        <w:tabs>
          <w:tab w:leader="none" w:pos="263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Any provision of this Agreement to the contrary notwithstanding, at the request of the Borrower Representative, the Administrative Agent may in its sole discretion (but with absolutely no obligation), make Revolving Loans to the Borrowers, on behalf of the Lenders, in amounts that exceed Aggregate Availability or any Borrower’s Availability (any such excess Revolving Loans are herein referred to collectively as “</w:t>
      </w:r>
      <w:r>
        <w:rPr>
          <w:rFonts w:ascii="Arial" w:cs="Arial" w:eastAsia="Arial" w:hAnsi="Arial"/>
          <w:sz w:val="16"/>
          <w:szCs w:val="16"/>
          <w:u w:val="single" w:color="auto"/>
          <w:color w:val="auto"/>
        </w:rPr>
        <w:t>Overadvances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Overadvance shall result in a Default due to Borrowers’ failure to comply with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for so long as such Overadvance remains outstanding in accordance with the terms of this paragraph, but solely with respect to the amount of such Overadvance. In addition, Overadvances may be made even if the condition precedent set forth in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has not been satisfied. All Overadvances shall constitute ABR Borrowings. The making of an Overadvance on any one occasion shall not obligate the Administrative Agent to make any Overadvance on any other occasion. The authority of the Administrative Agent to make Overadvances is limited to an aggregate amount not to exceed, when aggregated with the aggregate amount of Protective Advances outstanding at such time, 10% of the Aggregate Commitment at any time, no Overadvance may remain outstanding for more than thirty (30) days and no Overadvance shall cause any Lender’s Revolving Exposure to exceed its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Required Lenders may at any time revoke the Administrative Agent’s authorization to make Overadvances. Any such revocation must be in writing and shall become effective prospectively upon the Administrative Agent’s receipt thereof.</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0" w:name="page261"/>
    <w:bookmarkEnd w:id="260"/>
    <w:p>
      <w:pPr>
        <w:jc w:val="both"/>
        <w:ind w:left="840" w:firstLine="640"/>
        <w:spacing w:after="0" w:line="269" w:lineRule="auto"/>
        <w:tabs>
          <w:tab w:leader="none" w:pos="2457" w:val="left"/>
        </w:tabs>
        <w:numPr>
          <w:ilvl w:val="0"/>
          <w:numId w:val="313"/>
        </w:numPr>
        <w:rPr>
          <w:rFonts w:ascii="Arial" w:cs="Arial" w:eastAsia="Arial" w:hAnsi="Arial"/>
          <w:sz w:val="17"/>
          <w:szCs w:val="17"/>
          <w:color w:val="auto"/>
        </w:rPr>
      </w:pPr>
      <w:r>
        <w:rPr>
          <w:rFonts w:ascii="Arial" w:cs="Arial" w:eastAsia="Arial" w:hAnsi="Arial"/>
          <w:sz w:val="17"/>
          <w:szCs w:val="17"/>
          <w:color w:val="auto"/>
        </w:rPr>
        <w:t>Upon the making of a Swingline Loan or an Overadvance (whether before or after the occurrence of a Default and regardless of whether a Settlement has been requested with respect to such Swingline Loan or Overadvance), each Lender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Applicable Percentage of the Commitment. The Swingline Lender or the Administrative Agent may, at any time, require the Lenders to fund their participations. From and after the date, if any, on which any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Swingline Loan or Overadvance.</w:t>
      </w:r>
    </w:p>
    <w:p>
      <w:pPr>
        <w:spacing w:after="0" w:line="185" w:lineRule="exact"/>
        <w:rPr>
          <w:rFonts w:ascii="Arial" w:cs="Arial" w:eastAsia="Arial" w:hAnsi="Arial"/>
          <w:sz w:val="17"/>
          <w:szCs w:val="17"/>
          <w:color w:val="auto"/>
        </w:rPr>
      </w:pPr>
    </w:p>
    <w:p>
      <w:pPr>
        <w:jc w:val="both"/>
        <w:ind w:left="840" w:firstLine="640"/>
        <w:spacing w:after="0" w:line="268" w:lineRule="auto"/>
        <w:tabs>
          <w:tab w:leader="none" w:pos="2278"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Administrative Agent, on behalf of the Swingline Lender, shall request settlement (a “</w:t>
      </w:r>
      <w:r>
        <w:rPr>
          <w:rFonts w:ascii="Arial" w:cs="Arial" w:eastAsia="Arial" w:hAnsi="Arial"/>
          <w:sz w:val="17"/>
          <w:szCs w:val="17"/>
          <w:u w:val="single" w:color="auto"/>
          <w:color w:val="auto"/>
        </w:rPr>
        <w:t>Settlement</w:t>
      </w:r>
      <w:r>
        <w:rPr>
          <w:rFonts w:ascii="Arial" w:cs="Arial" w:eastAsia="Arial" w:hAnsi="Arial"/>
          <w:sz w:val="17"/>
          <w:szCs w:val="17"/>
          <w:color w:val="auto"/>
        </w:rPr>
        <w:t>”) with the Lenders on at least a weekly basis and on any date that the Administrative Agent elects, by notifying the Lenders of such requested Settlement by facsimile, telephone, or e-mail no later than 12:00 noon, Chicago time, on the date of such requested Settlement (the “</w:t>
      </w:r>
      <w:r>
        <w:rPr>
          <w:rFonts w:ascii="Arial" w:cs="Arial" w:eastAsia="Arial" w:hAnsi="Arial"/>
          <w:sz w:val="17"/>
          <w:szCs w:val="17"/>
          <w:u w:val="single" w:color="auto"/>
          <w:color w:val="auto"/>
        </w:rPr>
        <w:t>Settlement Date</w:t>
      </w:r>
      <w:r>
        <w:rPr>
          <w:rFonts w:ascii="Arial" w:cs="Arial" w:eastAsia="Arial" w:hAnsi="Arial"/>
          <w:sz w:val="17"/>
          <w:szCs w:val="17"/>
          <w:color w:val="auto"/>
        </w:rPr>
        <w:t xml:space="preserve">”). Each Lender (other than the Swingline Lender, in the case of the Swingline Loans) shall transfer the amount of such Lender’s Applicable Percentage of the outstanding principal amount of the applicable Loan with respect to which Settlement is requested to the Administrative Agent, to such account of the Administrative Agent as the Administrative Agent may designate, not later than 2:00 p.m., Chicago time, on such Settlement Date. Settlements may occur during the existence of a Default and whether or not the applicable conditions precedent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have then been satisfied. Such amounts transferred to the Administrative Agent shall be applied against the amounts of the Swingline Lender’s Swingline Loans and, together with Swingline Lender’s Applicable Percentage of such Swingline Loan, shall constitute Revolving Loans of such Lenders, respectively. If any such amount is not transferred to the Administrative Agent by any Lender on such Settlement Date, the Swingline Lender shall be entitled to recover from such Lender on demand such amount, together with interest thereon, as specified in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1" w:name="page262"/>
    <w:bookmarkEnd w:id="261"/>
    <w:p>
      <w:pPr>
        <w:ind w:left="840"/>
        <w:spacing w:after="0"/>
        <w:tabs>
          <w:tab w:leader="none" w:pos="220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Letters of Credit.</w:t>
      </w:r>
    </w:p>
    <w:p>
      <w:pPr>
        <w:spacing w:after="0" w:line="225" w:lineRule="exact"/>
        <w:rPr>
          <w:sz w:val="20"/>
          <w:szCs w:val="20"/>
          <w:color w:val="auto"/>
        </w:rPr>
      </w:pPr>
    </w:p>
    <w:p>
      <w:pPr>
        <w:jc w:val="both"/>
        <w:ind w:left="840" w:firstLine="640"/>
        <w:spacing w:after="0" w:line="284" w:lineRule="auto"/>
        <w:tabs>
          <w:tab w:leader="none" w:pos="2322"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the Borrower Representative may request the issuance of Letters of Credit for its own account or for the account of another Borrower denominated in Dollars as the applicant thereof for the support of its or its Subsidiaries’ obligations, in a form reasonably acceptable to the Administrative Agent and the relevant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Borrowers to, or entered into by the Borrowers with, the relevant Issuing Bank relating to any Letter of Credit, the terms and conditions of this Agreement shall control.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regardless of the date enacted, adopted, issued or implemented.</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2" w:name="page263"/>
    <w:bookmarkEnd w:id="262"/>
    <w:p>
      <w:pPr>
        <w:jc w:val="both"/>
        <w:ind w:left="840" w:firstLine="640"/>
        <w:spacing w:after="0" w:line="286" w:lineRule="auto"/>
        <w:tabs>
          <w:tab w:leader="none" w:pos="2220" w:val="left"/>
        </w:tabs>
        <w:numPr>
          <w:ilvl w:val="1"/>
          <w:numId w:val="315"/>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the Borrower Representative shall hand deliver or telecopy (or transmit through Electronic Systems, if arrangements for doing so have been approved by the relevant Issuing Bank) to an Issuing Bank and the Administrative Agent (reasonably in advance of, but in any event no less than three</w:t>
      </w:r>
    </w:p>
    <w:p>
      <w:pPr>
        <w:spacing w:after="0" w:line="1" w:lineRule="exact"/>
        <w:rPr>
          <w:rFonts w:ascii="Arial" w:cs="Arial" w:eastAsia="Arial" w:hAnsi="Arial"/>
          <w:sz w:val="16"/>
          <w:szCs w:val="16"/>
          <w:color w:val="auto"/>
        </w:rPr>
      </w:pPr>
    </w:p>
    <w:p>
      <w:pPr>
        <w:jc w:val="both"/>
        <w:ind w:left="840" w:hanging="8"/>
        <w:spacing w:after="0" w:line="283" w:lineRule="auto"/>
        <w:tabs>
          <w:tab w:leader="none" w:pos="109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the amount of such Letter of Credit, the name and address of the beneficiary thereof and such other information as shall be necessary to prepare, amend, renew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Issuing Bank and using such Issuing Bank’s standard form (each, a “</w:t>
      </w:r>
      <w:r>
        <w:rPr>
          <w:rFonts w:ascii="Arial" w:cs="Arial" w:eastAsia="Arial" w:hAnsi="Arial"/>
          <w:sz w:val="16"/>
          <w:szCs w:val="16"/>
          <w:u w:val="single" w:color="auto"/>
          <w:color w:val="auto"/>
        </w:rPr>
        <w:t>Letter of Credit Agreement</w:t>
      </w:r>
      <w:r>
        <w:rPr>
          <w:rFonts w:ascii="Arial" w:cs="Arial" w:eastAsia="Arial" w:hAnsi="Arial"/>
          <w:sz w:val="16"/>
          <w:szCs w:val="16"/>
          <w:color w:val="auto"/>
        </w:rPr>
        <w:t xml:space="preserve">”). If requested by such Issuing Bank, the applicable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$19,250,000 and (ii) the Borrowers shall be in compliance with the Revolving Exposure Limitations.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the Credit Agreement, and shall not affect the Issuing Bank Sublimit of any other Issuing Bank, subject to the limitations on the aggregate LC Exposure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2.06(b)</w:t>
      </w:r>
      <w:r>
        <w:rPr>
          <w:rFonts w:ascii="Arial" w:cs="Arial" w:eastAsia="Arial" w:hAnsi="Arial"/>
          <w:sz w:val="16"/>
          <w:szCs w:val="16"/>
          <w:color w:val="auto"/>
        </w:rPr>
        <w:t>.</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3" w:name="page264"/>
    <w:bookmarkEnd w:id="263"/>
    <w:p>
      <w:pPr>
        <w:jc w:val="both"/>
        <w:ind w:left="840" w:firstLine="640"/>
        <w:spacing w:after="0" w:line="257" w:lineRule="auto"/>
        <w:tabs>
          <w:tab w:leader="none" w:pos="2362"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expire (or be subject to termination or non-renewal by notice from the relevant Issuing Bank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(5) Business Days prior to the Maturity Date.</w:t>
      </w:r>
    </w:p>
    <w:p>
      <w:pPr>
        <w:spacing w:after="0" w:line="187" w:lineRule="exact"/>
        <w:rPr>
          <w:rFonts w:ascii="Arial" w:cs="Arial" w:eastAsia="Arial" w:hAnsi="Arial"/>
          <w:sz w:val="18"/>
          <w:szCs w:val="18"/>
          <w:color w:val="auto"/>
        </w:rPr>
      </w:pPr>
    </w:p>
    <w:p>
      <w:pPr>
        <w:jc w:val="both"/>
        <w:ind w:left="840" w:firstLine="640"/>
        <w:spacing w:after="0" w:line="287" w:lineRule="auto"/>
        <w:tabs>
          <w:tab w:leader="none" w:pos="2359"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(or an amendment to a Letter of Credit increasing the amount thereof) and without any further action on the part of any Issuing Bank or the Lenders, each Issuing Bank hereby grants to each Lender, and each Lender hereby acquires from each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Borrowers on the date due as provided in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or of any reimbursement payment required to be refunded to the Borrowers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4" w:name="page265"/>
    <w:bookmarkEnd w:id="264"/>
    <w:p>
      <w:pPr>
        <w:jc w:val="both"/>
        <w:ind w:left="840" w:firstLine="640"/>
        <w:spacing w:after="0" w:line="267" w:lineRule="auto"/>
        <w:tabs>
          <w:tab w:leader="none" w:pos="2349"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the Issuing Bank shall make any LC Disbursement in respect of a Letter of Credit, the Borrowers shall reimburse such LC Disbursement by paying to the Administrative Agent an amount equal to such LC Disbursement (i) not later than 11:00 a.m., Chicago time, on the date that such LC Disbursement is made, if the Borrower Representative shall have received notice of such LC Disbursement prior to 9:00 a.m., Chicago time, on such date, or, (ii) if such notice has not been received by the Borrower Representative prior to such time on such date, then not later than 11:00 a.m., Chicago time, on (A) the Business Day that the Borrower Representative receives such notice, if such notice is received prior to 9:00 a.m., Chicago time, on the day of receipt, or (B) the Business Day immediately following the day that the Borrower Representative receives such notice, if such notice is not received prior to such time on the day of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may, subject to the conditions to borrowing set forth herein, request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2.05</w:t>
      </w:r>
      <w:r>
        <w:rPr>
          <w:rFonts w:ascii="Arial" w:cs="Arial" w:eastAsia="Arial" w:hAnsi="Arial"/>
          <w:sz w:val="17"/>
          <w:szCs w:val="17"/>
          <w:color w:val="auto"/>
        </w:rPr>
        <w:t xml:space="preserve">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shall apply, mutatis mutandis,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or a Swingline Loan as contemplated above) shall not constitute a Loan and shall not relieve the Borrowers of their obligation to reimburse such LC Disbursement.</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5" w:name="page266"/>
    <w:bookmarkEnd w:id="265"/>
    <w:p>
      <w:pPr>
        <w:jc w:val="both"/>
        <w:ind w:left="840" w:firstLine="640"/>
        <w:spacing w:after="0" w:line="284" w:lineRule="auto"/>
        <w:tabs>
          <w:tab w:leader="none" w:pos="2505"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joint and several obligation to reimburse LC Disbursements as provided in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shall be absolute, unconditional and irrevocable, and shall be performed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any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6" w:name="page267"/>
    <w:bookmarkEnd w:id="266"/>
    <w:p>
      <w:pPr>
        <w:jc w:val="both"/>
        <w:ind w:left="840" w:firstLine="640"/>
        <w:spacing w:after="0" w:line="273" w:lineRule="auto"/>
        <w:tabs>
          <w:tab w:leader="none" w:pos="248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Each Issuing Bank shall, promptly following its receipt thereof, examine all documents purporting to represent a demand for payment under a Letter of Credit. Each Issuing Bank shall promptly notify the Administrative Agent and the applicable Borrower by telephone (confirmed by fax or through Electronic Systems) of such demand for payment and whether such Issuing Bank has made or will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the Borrowers of their obligation to reimburse such Issuing Bank and the Lenders with respect to any such LC Disbursement.</w:t>
      </w:r>
    </w:p>
    <w:p>
      <w:pPr>
        <w:spacing w:after="0" w:line="177" w:lineRule="exact"/>
        <w:rPr>
          <w:rFonts w:ascii="Arial" w:cs="Arial" w:eastAsia="Arial" w:hAnsi="Arial"/>
          <w:sz w:val="17"/>
          <w:szCs w:val="17"/>
          <w:color w:val="auto"/>
        </w:rPr>
      </w:pPr>
    </w:p>
    <w:p>
      <w:pPr>
        <w:jc w:val="both"/>
        <w:ind w:left="840" w:firstLine="640"/>
        <w:spacing w:after="0" w:line="253" w:lineRule="auto"/>
        <w:tabs>
          <w:tab w:leader="none" w:pos="2426"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any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and such interest shall be payable on the date when such reimbursement is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Borrowers fail to reimburse such LC Disbursement when due pursuant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then </w:t>
      </w:r>
      <w:r>
        <w:rPr>
          <w:rFonts w:ascii="Arial" w:cs="Arial" w:eastAsia="Arial" w:hAnsi="Arial"/>
          <w:sz w:val="18"/>
          <w:szCs w:val="18"/>
          <w:u w:val="single" w:color="auto"/>
          <w:color w:val="auto"/>
        </w:rPr>
        <w:t>Section 2.13(d)</w:t>
      </w:r>
      <w:r>
        <w:rPr>
          <w:rFonts w:ascii="Arial" w:cs="Arial" w:eastAsia="Arial" w:hAnsi="Arial"/>
          <w:sz w:val="18"/>
          <w:szCs w:val="18"/>
          <w:color w:val="auto"/>
        </w:rPr>
        <w:t xml:space="preserve"> shall apply. Interest accrued pursuant to this paragraph shall be for the account of such Issuing Bank, except that interest accrued on and after the date of payment by any Lender pursuant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to reimburse such Issuing Bank shall be for the account of such Lender to the extent of such payment.</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7" w:name="page268"/>
    <w:bookmarkEnd w:id="267"/>
    <w:p>
      <w:pPr>
        <w:jc w:val="both"/>
        <w:ind w:left="840" w:firstLine="640"/>
        <w:spacing w:after="0" w:line="269" w:lineRule="auto"/>
        <w:tabs>
          <w:tab w:leader="none" w:pos="2360"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Replacement and Resignation of an Issuing Bank</w:t>
      </w:r>
      <w:r>
        <w:rPr>
          <w:rFonts w:ascii="Arial" w:cs="Arial" w:eastAsia="Arial" w:hAnsi="Arial"/>
          <w:sz w:val="17"/>
          <w:szCs w:val="17"/>
          <w:color w:val="auto"/>
        </w:rPr>
        <w:t xml:space="preserve">. (A) Any Issuing Bank may be replaced at any time by written agreement among the Borrower Representative, the Administrative Agent, the replaced Issuing Bank and the successor Issuing Bank. The Administrative Agent shall notify the Lenders of any such replacement of an Issuing Bank. At the time any such replacement shall become effective, the Borrowers shall pay all unpaid fees accrued for the account of the replaced Issuing Bank pursuant to </w:t>
      </w:r>
      <w:r>
        <w:rPr>
          <w:rFonts w:ascii="Arial" w:cs="Arial" w:eastAsia="Arial" w:hAnsi="Arial"/>
          <w:sz w:val="17"/>
          <w:szCs w:val="17"/>
          <w:u w:val="single" w:color="auto"/>
          <w:color w:val="auto"/>
        </w:rPr>
        <w:t>Section 2.12(b)</w:t>
      </w:r>
      <w:r>
        <w:rPr>
          <w:rFonts w:ascii="Arial" w:cs="Arial" w:eastAsia="Arial" w:hAnsi="Arial"/>
          <w:sz w:val="17"/>
          <w:szCs w:val="17"/>
          <w:color w:val="auto"/>
        </w:rPr>
        <w:t>. From and after the effective date of any such replacement, (i) the successor Issuing Bank shall have all the rights and obligations of an Issuing Bank under this Agreement with respect to Letters of Credit to be issued thereafter and (ii) references herein to the term “</w:t>
      </w:r>
      <w:r>
        <w:rPr>
          <w:rFonts w:ascii="Arial" w:cs="Arial" w:eastAsia="Arial" w:hAnsi="Arial"/>
          <w:sz w:val="17"/>
          <w:szCs w:val="17"/>
          <w:u w:val="single" w:color="auto"/>
          <w:color w:val="auto"/>
        </w:rPr>
        <w:t>Issuing Bank</w:t>
      </w:r>
      <w:r>
        <w:rPr>
          <w:rFonts w:ascii="Arial" w:cs="Arial" w:eastAsia="Arial" w:hAnsi="Arial"/>
          <w:sz w:val="17"/>
          <w:szCs w:val="17"/>
          <w:color w:val="auto"/>
        </w:rPr>
        <w:t>”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Letters of Credit.</w:t>
      </w:r>
    </w:p>
    <w:p>
      <w:pPr>
        <w:spacing w:after="0" w:line="178" w:lineRule="exact"/>
        <w:rPr>
          <w:rFonts w:ascii="Arial" w:cs="Arial" w:eastAsia="Arial" w:hAnsi="Arial"/>
          <w:sz w:val="17"/>
          <w:szCs w:val="17"/>
          <w:color w:val="auto"/>
        </w:rPr>
      </w:pPr>
    </w:p>
    <w:p>
      <w:pPr>
        <w:jc w:val="both"/>
        <w:ind w:left="180" w:firstLine="652"/>
        <w:spacing w:after="0" w:line="259" w:lineRule="auto"/>
        <w:tabs>
          <w:tab w:leader="none" w:pos="147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Subject to the appointment and acceptance of a successor Issuing Bank in accordance with the terms of this Agreement, any Issuing Bank may resign as an Issuing Bank at any time upon thirty (30) days’ prior written notice to the Administrative Agent, the Borrower Representative and the Lenders, in which case, such resigning Issuing Bank shall be replaced in accordance with </w:t>
      </w:r>
      <w:r>
        <w:rPr>
          <w:rFonts w:ascii="Arial" w:cs="Arial" w:eastAsia="Arial" w:hAnsi="Arial"/>
          <w:sz w:val="18"/>
          <w:szCs w:val="18"/>
          <w:u w:val="single" w:color="auto"/>
          <w:color w:val="auto"/>
        </w:rPr>
        <w:t>Section 2.06(i)(A)</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8" w:name="page269"/>
    <w:bookmarkEnd w:id="268"/>
    <w:p>
      <w:pPr>
        <w:jc w:val="both"/>
        <w:ind w:left="840" w:firstLine="640"/>
        <w:spacing w:after="0" w:line="267" w:lineRule="auto"/>
        <w:tabs>
          <w:tab w:leader="none" w:pos="2292" w:val="left"/>
        </w:tabs>
        <w:numPr>
          <w:ilvl w:val="1"/>
          <w:numId w:val="323"/>
        </w:numPr>
        <w:rPr>
          <w:rFonts w:ascii="Arial" w:cs="Arial" w:eastAsia="Arial" w:hAnsi="Arial"/>
          <w:sz w:val="17"/>
          <w:szCs w:val="17"/>
          <w:color w:val="auto"/>
        </w:rPr>
      </w:pPr>
      <w:r>
        <w:rPr>
          <w:rFonts w:ascii="Arial" w:cs="Arial" w:eastAsia="Arial" w:hAnsi="Arial"/>
          <w:sz w:val="17"/>
          <w:szCs w:val="17"/>
          <w:u w:val="single" w:color="auto"/>
          <w:color w:val="auto"/>
        </w:rPr>
        <w:t>Cash Collateralization</w:t>
      </w:r>
      <w:r>
        <w:rPr>
          <w:rFonts w:ascii="Arial" w:cs="Arial" w:eastAsia="Arial" w:hAnsi="Arial"/>
          <w:sz w:val="17"/>
          <w:szCs w:val="17"/>
          <w:color w:val="auto"/>
        </w:rPr>
        <w:t>.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66 2/3%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Arial" w:cs="Arial" w:eastAsia="Arial" w:hAnsi="Arial"/>
          <w:sz w:val="17"/>
          <w:szCs w:val="17"/>
          <w:u w:val="single" w:color="auto"/>
          <w:color w:val="auto"/>
        </w:rPr>
        <w:t>LC</w:t>
      </w:r>
      <w:r>
        <w:rPr>
          <w:rFonts w:ascii="Arial" w:cs="Arial" w:eastAsia="Arial" w:hAnsi="Arial"/>
          <w:sz w:val="17"/>
          <w:szCs w:val="17"/>
          <w:color w:val="auto"/>
        </w:rPr>
        <w:t xml:space="preserve"> </w:t>
      </w:r>
      <w:r>
        <w:rPr>
          <w:rFonts w:ascii="Arial" w:cs="Arial" w:eastAsia="Arial" w:hAnsi="Arial"/>
          <w:sz w:val="17"/>
          <w:szCs w:val="17"/>
          <w:u w:val="single" w:color="auto"/>
          <w:color w:val="auto"/>
        </w:rPr>
        <w:t>Collateral Account</w:t>
      </w:r>
      <w:r>
        <w:rPr>
          <w:rFonts w:ascii="Arial" w:cs="Arial" w:eastAsia="Arial" w:hAnsi="Arial"/>
          <w:sz w:val="17"/>
          <w:szCs w:val="17"/>
          <w:color w:val="auto"/>
        </w:rPr>
        <w:t xml:space="preserve">”), an amount in cash equal to 103% of the amount of the LC Exposure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and unpaid interest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66 2/3%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spacing w:after="0" w:line="182" w:lineRule="exact"/>
        <w:rPr>
          <w:rFonts w:ascii="Arial" w:cs="Arial" w:eastAsia="Arial" w:hAnsi="Arial"/>
          <w:sz w:val="17"/>
          <w:szCs w:val="17"/>
          <w:color w:val="auto"/>
        </w:rPr>
      </w:pPr>
    </w:p>
    <w:p>
      <w:pPr>
        <w:jc w:val="both"/>
        <w:ind w:left="840" w:firstLine="640"/>
        <w:spacing w:after="0" w:line="283" w:lineRule="auto"/>
        <w:tabs>
          <w:tab w:leader="none" w:pos="2372"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Issuing Bank Reports to the Administrative Agent</w:t>
      </w:r>
      <w:r>
        <w:rPr>
          <w:rFonts w:ascii="Arial" w:cs="Arial" w:eastAsia="Arial" w:hAnsi="Arial"/>
          <w:sz w:val="16"/>
          <w:szCs w:val="16"/>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w:t>
      </w:r>
    </w:p>
    <w:p>
      <w:pPr>
        <w:spacing w:after="0" w:line="5" w:lineRule="exact"/>
        <w:rPr>
          <w:rFonts w:ascii="Arial" w:cs="Arial" w:eastAsia="Arial" w:hAnsi="Arial"/>
          <w:sz w:val="16"/>
          <w:szCs w:val="16"/>
          <w:color w:val="auto"/>
        </w:rPr>
      </w:pPr>
    </w:p>
    <w:p>
      <w:pPr>
        <w:jc w:val="both"/>
        <w:ind w:left="840" w:hanging="8"/>
        <w:spacing w:after="0" w:line="253" w:lineRule="auto"/>
        <w:tabs>
          <w:tab w:leader="none" w:pos="116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9" w:name="page270"/>
    <w:bookmarkEnd w:id="269"/>
    <w:p>
      <w:pPr>
        <w:jc w:val="both"/>
        <w:ind w:left="840" w:firstLine="640"/>
        <w:spacing w:after="0" w:line="259" w:lineRule="auto"/>
        <w:tabs>
          <w:tab w:leader="none" w:pos="2238"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LC Exposure Determination</w:t>
      </w:r>
      <w:r>
        <w:rPr>
          <w:rFonts w:ascii="Arial" w:cs="Arial" w:eastAsia="Arial" w:hAnsi="Arial"/>
          <w:sz w:val="18"/>
          <w:szCs w:val="18"/>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86" w:lineRule="exact"/>
        <w:rPr>
          <w:rFonts w:ascii="Arial" w:cs="Arial" w:eastAsia="Arial" w:hAnsi="Arial"/>
          <w:sz w:val="18"/>
          <w:szCs w:val="18"/>
          <w:color w:val="auto"/>
        </w:rPr>
      </w:pPr>
    </w:p>
    <w:p>
      <w:pPr>
        <w:jc w:val="both"/>
        <w:ind w:left="840" w:firstLine="640"/>
        <w:spacing w:after="0" w:line="269" w:lineRule="auto"/>
        <w:tabs>
          <w:tab w:leader="none" w:pos="2441"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Account of Subsidiaries</w:t>
      </w:r>
      <w:r>
        <w:rPr>
          <w:rFonts w:ascii="Arial" w:cs="Arial" w:eastAsia="Arial" w:hAnsi="Arial"/>
          <w:sz w:val="17"/>
          <w:szCs w:val="17"/>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Borrowers (i) shall reimburse, indemnify and compensate the Issuing Bank hereunder for such Letter of Credit (including to reimburse any and all drawings thereunder) as if such Letter of Credit had been issued solely for the account of a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the Borrowers, and that each Borrower’s business derives substantial benefits from the businesses of such Subsidiaries.</w:t>
      </w:r>
    </w:p>
    <w:p>
      <w:pPr>
        <w:spacing w:after="0" w:line="185"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Funding of Borrowings.</w:t>
      </w:r>
    </w:p>
    <w:p>
      <w:pPr>
        <w:spacing w:after="0" w:line="225" w:lineRule="exact"/>
        <w:rPr>
          <w:sz w:val="20"/>
          <w:szCs w:val="20"/>
          <w:color w:val="auto"/>
        </w:rPr>
      </w:pPr>
    </w:p>
    <w:p>
      <w:pPr>
        <w:jc w:val="both"/>
        <w:ind w:left="840" w:firstLine="640"/>
        <w:spacing w:after="0" w:line="271" w:lineRule="auto"/>
        <w:tabs>
          <w:tab w:leader="none" w:pos="2241"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Each Lender shall make each Loan to be made by such Lender hereunder on the proposed date thereof solely by wire transfer of immediately available funds by 1:00 p.m., Chicago time, to the account of the Administrative Agent most recently designated by it for such purpose by notice to the Lenders in an amount equal to such Lender’s Applicable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The Administrative Agent will make such Loans available to the Borrower Representative by promptly crediting the funds so received in the aforesaid account of the Administrative Agent to the Funding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Revolving Loans made to finance the reimbursement of (i) an LC Disbursement as provided in </w:t>
      </w:r>
      <w:r>
        <w:rPr>
          <w:rFonts w:ascii="Arial" w:cs="Arial" w:eastAsia="Arial" w:hAnsi="Arial"/>
          <w:sz w:val="17"/>
          <w:szCs w:val="17"/>
          <w:u w:val="single" w:color="auto"/>
          <w:color w:val="auto"/>
        </w:rPr>
        <w:t>Section 2.06(e)</w:t>
      </w:r>
      <w:r>
        <w:rPr>
          <w:rFonts w:ascii="Arial" w:cs="Arial" w:eastAsia="Arial" w:hAnsi="Arial"/>
          <w:sz w:val="17"/>
          <w:szCs w:val="17"/>
          <w:color w:val="auto"/>
        </w:rPr>
        <w:t xml:space="preserve"> shall be remitted by the Administrative Agent to the Issuing Bank and (ii) a Protective Advance or an Overadvance shall be retained by the Administrative Agent.</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0" w:name="page271"/>
    <w:bookmarkEnd w:id="270"/>
    <w:p>
      <w:pPr>
        <w:jc w:val="both"/>
        <w:ind w:left="840" w:firstLine="640"/>
        <w:spacing w:after="0" w:line="268" w:lineRule="auto"/>
        <w:tabs>
          <w:tab w:leader="none" w:pos="226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NYFRB Rate and a rate determined by the Administrative Agent in accordance with banking industry rules on interbank compensation or (ii) in the case of such Borrower, the interest rate applicable to ABR Loans. If such Lender pays such amount to the Administrative Agent, then such amount shall constitute such Lender’s Loan included in such Borrowing, </w:t>
      </w:r>
      <w:r>
        <w:rPr>
          <w:rFonts w:ascii="Arial" w:cs="Arial" w:eastAsia="Arial" w:hAnsi="Arial"/>
          <w:sz w:val="17"/>
          <w:szCs w:val="17"/>
          <w:u w:val="single" w:color="auto"/>
          <w:color w:val="auto"/>
        </w:rPr>
        <w:t>provided</w:t>
      </w:r>
      <w:r>
        <w:rPr>
          <w:rFonts w:ascii="Arial" w:cs="Arial" w:eastAsia="Arial" w:hAnsi="Arial"/>
          <w:sz w:val="17"/>
          <w:szCs w:val="17"/>
          <w:color w:val="auto"/>
        </w:rPr>
        <w:t>, that any interest received from a Borrower by the Administrative Agent during the period beginning when Administrative Agent funded the Borrowing until such Lender pays such amount shall be solely for the account of the Administrative Agent.</w:t>
      </w:r>
    </w:p>
    <w:p>
      <w:pPr>
        <w:spacing w:after="0" w:line="184"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Interest Elections.</w:t>
      </w:r>
    </w:p>
    <w:p>
      <w:pPr>
        <w:spacing w:after="0" w:line="225" w:lineRule="exact"/>
        <w:rPr>
          <w:sz w:val="20"/>
          <w:szCs w:val="20"/>
          <w:color w:val="auto"/>
        </w:rPr>
      </w:pPr>
    </w:p>
    <w:p>
      <w:pPr>
        <w:jc w:val="both"/>
        <w:ind w:left="840" w:firstLine="640"/>
        <w:spacing w:after="0" w:line="271" w:lineRule="auto"/>
        <w:tabs>
          <w:tab w:leader="none" w:pos="2268" w:val="left"/>
        </w:tabs>
        <w:numPr>
          <w:ilvl w:val="0"/>
          <w:numId w:val="328"/>
        </w:numPr>
        <w:rPr>
          <w:rFonts w:ascii="Arial" w:cs="Arial" w:eastAsia="Arial" w:hAnsi="Arial"/>
          <w:sz w:val="17"/>
          <w:szCs w:val="17"/>
          <w:color w:val="auto"/>
        </w:rPr>
      </w:pPr>
      <w:r>
        <w:rPr>
          <w:rFonts w:ascii="Arial" w:cs="Arial" w:eastAsia="Arial" w:hAnsi="Arial"/>
          <w:sz w:val="17"/>
          <w:szCs w:val="17"/>
          <w:color w:val="auto"/>
        </w:rPr>
        <w:t>Each Borrowing initially shall be of the Type specified in the applicable Borrowing Request and, in the case of a Eurodollar Borrowing, shall have an initial Interest Period as specified in such Borrowing Request. Thereafter, the Borrower Representative may elect to convert such Borrowing to a different Type or to continue such Borrowing and, in the case of a Eurodollar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1" w:name="page272"/>
    <w:bookmarkEnd w:id="271"/>
    <w:p>
      <w:pPr>
        <w:jc w:val="both"/>
        <w:ind w:left="1960" w:firstLine="640"/>
        <w:spacing w:after="0" w:line="269" w:lineRule="auto"/>
        <w:tabs>
          <w:tab w:leader="none" w:pos="3461" w:val="left"/>
        </w:tabs>
        <w:numPr>
          <w:ilvl w:val="1"/>
          <w:numId w:val="329"/>
        </w:numPr>
        <w:rPr>
          <w:rFonts w:ascii="Arial" w:cs="Arial" w:eastAsia="Arial" w:hAnsi="Arial"/>
          <w:sz w:val="17"/>
          <w:szCs w:val="17"/>
          <w:color w:val="auto"/>
        </w:rPr>
      </w:pPr>
      <w:r>
        <w:rPr>
          <w:rFonts w:ascii="Arial" w:cs="Arial" w:eastAsia="Arial" w:hAnsi="Arial"/>
          <w:sz w:val="17"/>
          <w:szCs w:val="17"/>
          <w:color w:val="auto"/>
        </w:rPr>
        <w:t xml:space="preserve">To make an election pursuant to this Section, the Borrower Representative shall notify the Administrative Agent of such election either in writing (delivered by hand or fax) by delivering an Interest Election Request signed by a Responsible Officer of the Borrower Representative or through Electronic System if arrangements for doing so have been approved by the Administrative Agent (or if an Extenuating Circumstance shall exist, by telephone) by the time that a Borrowing Request would be required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if the Borrowers were requesting a Borrowing of the Type resulting from such election to be made on the effective date of such election. Each such Interest Election Request shall be irrevocable each such telephonic Interest Election Request, if permitted, shall be confirmed immediately upon the cessation of the Extenuating Circumstance by hand delivery, Electronic System or facsimile to the Administrative Agent of a written Interest Election Request in the form attached hereto as </w:t>
      </w:r>
      <w:r>
        <w:rPr>
          <w:rFonts w:ascii="Arial" w:cs="Arial" w:eastAsia="Arial" w:hAnsi="Arial"/>
          <w:sz w:val="17"/>
          <w:szCs w:val="17"/>
          <w:u w:val="single" w:color="auto"/>
          <w:color w:val="auto"/>
        </w:rPr>
        <w:t>Exhibit G-2</w:t>
      </w:r>
      <w:r>
        <w:rPr>
          <w:rFonts w:ascii="Arial" w:cs="Arial" w:eastAsia="Arial" w:hAnsi="Arial"/>
          <w:sz w:val="17"/>
          <w:szCs w:val="17"/>
          <w:color w:val="auto"/>
        </w:rPr>
        <w:t xml:space="preserve"> (or such other form approved by the Administrative Agent) and signed by a Responsible Officer of the Borrower Representative. Notwithstanding any contrary provision herein, this Section shall not be construed to permit any Borrower to elect an Interest Period for Eurodollar Loans that does not comply with </w:t>
      </w:r>
      <w:r>
        <w:rPr>
          <w:rFonts w:ascii="Arial" w:cs="Arial" w:eastAsia="Arial" w:hAnsi="Arial"/>
          <w:sz w:val="17"/>
          <w:szCs w:val="17"/>
          <w:u w:val="single" w:color="auto"/>
          <w:color w:val="auto"/>
        </w:rPr>
        <w:t>Section 2.02(d)</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960" w:firstLine="640"/>
        <w:spacing w:after="0" w:line="277" w:lineRule="auto"/>
        <w:tabs>
          <w:tab w:leader="none" w:pos="349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 xml:space="preserve">Each written (or if permitted, telephonic) Interest Election Request (including requests submitted through Electronic System)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986"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below shall be specified for each resulting Borrowing);</w:t>
      </w:r>
    </w:p>
    <w:p>
      <w:pPr>
        <w:spacing w:after="0" w:line="165" w:lineRule="exact"/>
        <w:rPr>
          <w:rFonts w:ascii="Arial" w:cs="Arial" w:eastAsia="Arial" w:hAnsi="Arial"/>
          <w:sz w:val="17"/>
          <w:szCs w:val="17"/>
          <w:color w:val="auto"/>
        </w:rPr>
      </w:pPr>
    </w:p>
    <w:p>
      <w:pPr>
        <w:ind w:left="1980" w:hanging="676"/>
        <w:spacing w:after="0"/>
        <w:tabs>
          <w:tab w:leader="none" w:pos="19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225" w:lineRule="exact"/>
        <w:rPr>
          <w:rFonts w:ascii="Arial" w:cs="Arial" w:eastAsia="Arial" w:hAnsi="Arial"/>
          <w:sz w:val="18"/>
          <w:szCs w:val="18"/>
          <w:color w:val="auto"/>
        </w:rPr>
      </w:pPr>
    </w:p>
    <w:p>
      <w:pPr>
        <w:ind w:left="660" w:firstLine="644"/>
        <w:spacing w:after="0" w:line="277" w:lineRule="auto"/>
        <w:tabs>
          <w:tab w:leader="none" w:pos="210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the Interest Period to be applicable thereto after giving effect to such election, which Interest Period shall be a period contemplated by the definition of the term “Interest Period”.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any such Interest Election Request requests a Eurodollar Borrowing but does not specify an Interest Period, then the applicable Borrower shall be deemed to have selected an Interest Period of one month’s duration.</w:t>
      </w:r>
    </w:p>
    <w:p>
      <w:pPr>
        <w:spacing w:after="0" w:line="170" w:lineRule="exact"/>
        <w:rPr>
          <w:sz w:val="20"/>
          <w:szCs w:val="20"/>
          <w:color w:val="auto"/>
        </w:rPr>
      </w:pPr>
    </w:p>
    <w:p>
      <w:pPr>
        <w:ind w:left="1960" w:firstLine="640"/>
        <w:spacing w:after="0" w:line="277" w:lineRule="auto"/>
        <w:tabs>
          <w:tab w:leader="none" w:pos="355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jc w:val="both"/>
        <w:ind w:left="1960" w:firstLine="640"/>
        <w:spacing w:after="0" w:line="291" w:lineRule="auto"/>
        <w:tabs>
          <w:tab w:leader="none" w:pos="3343"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If the Borrower Representative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2" w:name="page273"/>
    <w:bookmarkEnd w:id="272"/>
    <w:p>
      <w:pPr>
        <w:ind w:left="840"/>
        <w:spacing w:after="0"/>
        <w:tabs>
          <w:tab w:leader="none" w:pos="22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Termination and Reduction of Commitments; Increase in Commitments.</w:t>
      </w:r>
    </w:p>
    <w:p>
      <w:pPr>
        <w:spacing w:after="0" w:line="225" w:lineRule="exact"/>
        <w:rPr>
          <w:sz w:val="20"/>
          <w:szCs w:val="20"/>
          <w:color w:val="auto"/>
        </w:rPr>
      </w:pPr>
    </w:p>
    <w:p>
      <w:pPr>
        <w:ind w:left="2220" w:hanging="740"/>
        <w:spacing w:after="0"/>
        <w:tabs>
          <w:tab w:leader="none" w:pos="22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Unless previously terminated, the Commitments shall terminate on the Maturity Date.</w:t>
      </w:r>
    </w:p>
    <w:p>
      <w:pPr>
        <w:spacing w:after="0" w:line="225" w:lineRule="exact"/>
        <w:rPr>
          <w:rFonts w:ascii="Arial" w:cs="Arial" w:eastAsia="Arial" w:hAnsi="Arial"/>
          <w:sz w:val="18"/>
          <w:szCs w:val="18"/>
          <w:color w:val="auto"/>
        </w:rPr>
      </w:pPr>
    </w:p>
    <w:p>
      <w:pPr>
        <w:jc w:val="both"/>
        <w:ind w:left="840" w:firstLine="640"/>
        <w:spacing w:after="0" w:line="272" w:lineRule="auto"/>
        <w:tabs>
          <w:tab w:leader="none" w:pos="2318"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Borrowers may at any time terminate the Commitments upon (i) 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Issuing Bank) equal to 103% of the LC Exposure as of such date), (iii) the payment in full of the accrued and unpaid fees, and (iv) the payment in full of all reimbursable expenses and other Obligations (other than Unliquidated Obligations), together with accrued and unpaid interest thereon.</w:t>
      </w:r>
    </w:p>
    <w:p>
      <w:pPr>
        <w:spacing w:after="0" w:line="177" w:lineRule="exact"/>
        <w:rPr>
          <w:rFonts w:ascii="Arial" w:cs="Arial" w:eastAsia="Arial" w:hAnsi="Arial"/>
          <w:sz w:val="17"/>
          <w:szCs w:val="17"/>
          <w:color w:val="auto"/>
        </w:rPr>
      </w:pPr>
    </w:p>
    <w:p>
      <w:pPr>
        <w:jc w:val="both"/>
        <w:ind w:left="840" w:firstLine="640"/>
        <w:spacing w:after="0" w:line="257" w:lineRule="auto"/>
        <w:tabs>
          <w:tab w:leader="none" w:pos="243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The Borrowers may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$10,000,000 and not less than $10,000,000; (ii) the Borrowers shall not terminate or reduce the Commitments if, after giving effect to any concurrent prepayment of the Revolving Loans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the Borrowers shall not be in compliance with the Revolving Exposure Limitations; and (iii) any such reduction shall be permanent.</w:t>
      </w:r>
    </w:p>
    <w:p>
      <w:pPr>
        <w:spacing w:after="0" w:line="187" w:lineRule="exact"/>
        <w:rPr>
          <w:rFonts w:ascii="Arial" w:cs="Arial" w:eastAsia="Arial" w:hAnsi="Arial"/>
          <w:sz w:val="18"/>
          <w:szCs w:val="18"/>
          <w:color w:val="auto"/>
        </w:rPr>
      </w:pPr>
    </w:p>
    <w:p>
      <w:pPr>
        <w:jc w:val="both"/>
        <w:ind w:left="840" w:firstLine="640"/>
        <w:spacing w:after="0" w:line="289" w:lineRule="auto"/>
        <w:tabs>
          <w:tab w:leader="none" w:pos="2237"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The Borrower Representative shall notify the Administrative Agent of any election to terminate or reduce the Commitments under the foregoing paragraphs of this Section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Representative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3" w:name="page274"/>
    <w:bookmarkEnd w:id="273"/>
    <w:p>
      <w:pPr>
        <w:jc w:val="both"/>
        <w:ind w:left="840" w:firstLine="640"/>
        <w:spacing w:after="0" w:line="290" w:lineRule="auto"/>
        <w:tabs>
          <w:tab w:leader="none" w:pos="243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The Borrowers shall have the right to increase the Commitments by obtaining additional Commitments, either from one or more of the Lenders or another lending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request for an increase shall be in a minimum amount of $25,000,000 (or such lesser amount that represents all remaining availability hereunder), (ii) after giving effect thereto, the sum of the total of the additional Commitments does not exceed $100,000,000, (iii) the Administrative Agent and the Issuing Bank(s) have approved the identity of any such new Lender, such approvals not to be unreasonably withheld, (iv) any such new Lender assumes all of the rights and obligations of a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hereunder, and (v) the procedure described in </w:t>
      </w:r>
      <w:r>
        <w:rPr>
          <w:rFonts w:ascii="Arial" w:cs="Arial" w:eastAsia="Arial" w:hAnsi="Arial"/>
          <w:sz w:val="16"/>
          <w:szCs w:val="16"/>
          <w:u w:val="single" w:color="auto"/>
          <w:color w:val="auto"/>
        </w:rPr>
        <w:t>Section 2.09(f)</w:t>
      </w:r>
      <w:r>
        <w:rPr>
          <w:rFonts w:ascii="Arial" w:cs="Arial" w:eastAsia="Arial" w:hAnsi="Arial"/>
          <w:sz w:val="16"/>
          <w:szCs w:val="16"/>
          <w:color w:val="auto"/>
        </w:rPr>
        <w:t xml:space="preserve"> have been satisfied. Nothing contained in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shall constitute, or otherwise be deemed to be, a commitment on the part of any Lender to increase its Commitment hereunder at any time.</w:t>
      </w:r>
    </w:p>
    <w:p>
      <w:pPr>
        <w:spacing w:after="0" w:line="165" w:lineRule="exact"/>
        <w:rPr>
          <w:rFonts w:ascii="Arial" w:cs="Arial" w:eastAsia="Arial" w:hAnsi="Arial"/>
          <w:sz w:val="16"/>
          <w:szCs w:val="16"/>
          <w:color w:val="auto"/>
        </w:rPr>
      </w:pPr>
    </w:p>
    <w:p>
      <w:pPr>
        <w:jc w:val="both"/>
        <w:ind w:left="840" w:firstLine="640"/>
        <w:spacing w:after="0" w:line="268" w:lineRule="auto"/>
        <w:tabs>
          <w:tab w:leader="none" w:pos="2586" w:val="left"/>
        </w:tabs>
        <w:numPr>
          <w:ilvl w:val="0"/>
          <w:numId w:val="333"/>
        </w:numPr>
        <w:rPr>
          <w:rFonts w:ascii="Arial" w:cs="Arial" w:eastAsia="Arial" w:hAnsi="Arial"/>
          <w:sz w:val="17"/>
          <w:szCs w:val="17"/>
          <w:color w:val="auto"/>
        </w:rPr>
      </w:pPr>
      <w:r>
        <w:rPr>
          <w:rFonts w:ascii="Arial" w:cs="Arial" w:eastAsia="Arial" w:hAnsi="Arial"/>
          <w:sz w:val="17"/>
          <w:szCs w:val="17"/>
          <w:color w:val="auto"/>
        </w:rPr>
        <w:t xml:space="preserve">Any amendment hereto for such an increase or addition shall be in form and substance reasonably satisfactory to the Administrative Agent and shall only require the written signatures of the Administrative Agent, the Borrowers and each Lender being added or increasing its Commitment.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 (1) the representations and warranties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the other Loan Documents are true and correct in all material respects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representation or warranty that is qualified by materiality or Material Adverse Effect is true and correct in all respects), except to the extent that such representations and warranties specifically refer to an earlier date, in which case they are true and correct in all material respects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representation or warranty that is qualified by materiality or Material Adverse Effect are true and correct in all respects) as of such earlier date, (2) no Default exists and (3) the Borrowers are in compliance (on a pro forma basis) with the covenant contained in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(calculated assuming an FCCR Test Period is then in effect) and (ii) legal opinions and documents consistent with those delivered on the Effective Date, to the extent reasonably requested by the Administrative Agent.</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4" w:name="page275"/>
    <w:bookmarkEnd w:id="274"/>
    <w:p>
      <w:pPr>
        <w:jc w:val="both"/>
        <w:ind w:left="840" w:firstLine="640"/>
        <w:spacing w:after="0" w:line="284" w:lineRule="auto"/>
        <w:tabs>
          <w:tab w:leader="none" w:pos="222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On the effective date of any such increase or addition, (i) any Lender increasing (or, in the case of any newly added Lender, extending) its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w:t>
      </w:r>
    </w:p>
    <w:p>
      <w:pPr>
        <w:jc w:val="both"/>
        <w:ind w:left="840" w:hanging="8"/>
        <w:spacing w:after="0" w:line="286" w:lineRule="auto"/>
        <w:tabs>
          <w:tab w:leader="none" w:pos="110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the Borrowers shall be deemed to have repaid and reborrowed all outstanding Revolving Loans as of the date of any increase (or addition) in the Commitments (with such reborrowing to consist of the Types of Revolving Loans, with related Interest Periods if applicable, specified in a notice delivered by the Borrower Representative, in accordance with the requirements of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The deemed payments made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immediately preceding sentence shall be accompanied by payment of all accrued interest on the amount prepaid and, in respect of each Eurodollar Loan, shall be subject to indemnification by the Borrowers pursuant to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169"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Repayment of Loans; Evidence of Debt.</w:t>
      </w:r>
    </w:p>
    <w:p>
      <w:pPr>
        <w:spacing w:after="0" w:line="225" w:lineRule="exact"/>
        <w:rPr>
          <w:sz w:val="20"/>
          <w:szCs w:val="20"/>
          <w:color w:val="auto"/>
        </w:rPr>
      </w:pPr>
    </w:p>
    <w:p>
      <w:pPr>
        <w:jc w:val="both"/>
        <w:ind w:left="840" w:right="20" w:firstLine="640"/>
        <w:spacing w:after="0" w:line="287" w:lineRule="auto"/>
        <w:tabs>
          <w:tab w:leader="none" w:pos="2227"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The Borrowers hereby unconditionally promise to pay (i) to the Administrative Agent for the account of each Lender the then unpaid principal amount of each Revolving Loan on the Maturity Date, (ii) to the Administrative Agent the then unpaid amount of each Protective Advance on the earlier of the Maturity Date and demand by the Administrative Agent and</w:t>
      </w:r>
    </w:p>
    <w:p>
      <w:pPr>
        <w:spacing w:after="0" w:line="2" w:lineRule="exact"/>
        <w:rPr>
          <w:rFonts w:ascii="Arial" w:cs="Arial" w:eastAsia="Arial" w:hAnsi="Arial"/>
          <w:sz w:val="16"/>
          <w:szCs w:val="16"/>
          <w:color w:val="auto"/>
        </w:rPr>
      </w:pPr>
    </w:p>
    <w:p>
      <w:pPr>
        <w:ind w:left="840" w:hanging="8"/>
        <w:spacing w:after="0" w:line="260" w:lineRule="auto"/>
        <w:tabs>
          <w:tab w:leader="none" w:pos="116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 the Administrative Agent the then unpaid principal amount of each Overadvance on the earlier of the Maturity Date and demand by the Administrative Agent.</w:t>
      </w:r>
    </w:p>
    <w:p>
      <w:pPr>
        <w:spacing w:after="0" w:line="185" w:lineRule="exact"/>
        <w:rPr>
          <w:rFonts w:ascii="Arial" w:cs="Arial" w:eastAsia="Arial" w:hAnsi="Arial"/>
          <w:sz w:val="18"/>
          <w:szCs w:val="18"/>
          <w:color w:val="auto"/>
        </w:rPr>
      </w:pPr>
    </w:p>
    <w:p>
      <w:pPr>
        <w:jc w:val="both"/>
        <w:ind w:left="840" w:firstLine="640"/>
        <w:spacing w:after="0" w:line="275" w:lineRule="auto"/>
        <w:tabs>
          <w:tab w:leader="none" w:pos="2318" w:val="left"/>
        </w:tabs>
        <w:numPr>
          <w:ilvl w:val="1"/>
          <w:numId w:val="337"/>
        </w:numPr>
        <w:rPr>
          <w:rFonts w:ascii="Arial" w:cs="Arial" w:eastAsia="Arial" w:hAnsi="Arial"/>
          <w:sz w:val="17"/>
          <w:szCs w:val="17"/>
          <w:color w:val="auto"/>
        </w:rPr>
      </w:pPr>
      <w:r>
        <w:rPr>
          <w:rFonts w:ascii="Arial" w:cs="Arial" w:eastAsia="Arial" w:hAnsi="Arial"/>
          <w:sz w:val="17"/>
          <w:szCs w:val="17"/>
          <w:color w:val="auto"/>
        </w:rPr>
        <w:t>At all times that full cash dominion is in effect pursuant to Section 7.3 of the Security Agreement, on each Business Day, the Administrative Agent shall apply all funds credited to the Collection Account on such Business Day or the immediately preceding Business Day (at the discretion of the Administrative Agent, whether or not immediately available) first to prepay any Protective Advances and Overadvances that may be outstanding, pro rata, and second to prepay the Revolving Loans (including Swingline Loans) and to cash collateralize outstanding LC Exposure.</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5" w:name="page276"/>
    <w:bookmarkEnd w:id="275"/>
    <w:p>
      <w:pPr>
        <w:jc w:val="both"/>
        <w:ind w:left="840" w:firstLine="640"/>
        <w:spacing w:after="0" w:line="263" w:lineRule="auto"/>
        <w:tabs>
          <w:tab w:leader="none" w:pos="243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jc w:val="both"/>
        <w:ind w:left="840" w:firstLine="640"/>
        <w:spacing w:after="0" w:line="301" w:lineRule="auto"/>
        <w:tabs>
          <w:tab w:leader="none" w:pos="2264"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57" w:lineRule="exact"/>
        <w:rPr>
          <w:rFonts w:ascii="Arial" w:cs="Arial" w:eastAsia="Arial" w:hAnsi="Arial"/>
          <w:sz w:val="16"/>
          <w:szCs w:val="16"/>
          <w:color w:val="auto"/>
        </w:rPr>
      </w:pPr>
    </w:p>
    <w:p>
      <w:pPr>
        <w:jc w:val="both"/>
        <w:ind w:left="840" w:firstLine="640"/>
        <w:spacing w:after="0" w:line="259" w:lineRule="auto"/>
        <w:tabs>
          <w:tab w:leader="none" w:pos="232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shall be prima facie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86" w:lineRule="exact"/>
        <w:rPr>
          <w:rFonts w:ascii="Arial" w:cs="Arial" w:eastAsia="Arial" w:hAnsi="Arial"/>
          <w:sz w:val="18"/>
          <w:szCs w:val="18"/>
          <w:color w:val="auto"/>
        </w:rPr>
      </w:pPr>
    </w:p>
    <w:p>
      <w:pPr>
        <w:jc w:val="both"/>
        <w:ind w:left="840" w:firstLine="640"/>
        <w:spacing w:after="0" w:line="257" w:lineRule="auto"/>
        <w:tabs>
          <w:tab w:leader="none" w:pos="245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Any Lender may request that Loans made by it be evidenced by a promissory note. In such event, the Borrowers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be represented by one or more promissory notes in such form.</w:t>
      </w:r>
    </w:p>
    <w:p>
      <w:pPr>
        <w:spacing w:after="0" w:line="188"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Prepayment of Loans.</w:t>
      </w:r>
    </w:p>
    <w:p>
      <w:pPr>
        <w:spacing w:after="0" w:line="225" w:lineRule="exact"/>
        <w:rPr>
          <w:sz w:val="20"/>
          <w:szCs w:val="20"/>
          <w:color w:val="auto"/>
        </w:rPr>
      </w:pPr>
    </w:p>
    <w:p>
      <w:pPr>
        <w:jc w:val="both"/>
        <w:ind w:left="840" w:firstLine="640"/>
        <w:spacing w:after="0" w:line="263" w:lineRule="auto"/>
        <w:tabs>
          <w:tab w:leader="none" w:pos="224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The Borrowers shall have the right at any time and from time to time to prepay any Borrowing in whole or in part, subject to prior notice in accordance with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and, if applicable, payment of any break funding expenses under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840" w:firstLine="640"/>
        <w:spacing w:after="0" w:line="259" w:lineRule="auto"/>
        <w:tabs>
          <w:tab w:leader="none" w:pos="225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Except for Protective Advances and Overadvances permitted under </w:t>
      </w:r>
      <w:r>
        <w:rPr>
          <w:rFonts w:ascii="Arial" w:cs="Arial" w:eastAsia="Arial" w:hAnsi="Arial"/>
          <w:sz w:val="18"/>
          <w:szCs w:val="18"/>
          <w:u w:val="single" w:color="auto"/>
          <w:color w:val="auto"/>
        </w:rPr>
        <w:t>Sections 2.04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if at any time the Borrowers are not in compliance with the Revolving Exposure Limitations, the Borrowers shall prepay the Revolving Loans, LC Exposure and/or Swingline Loans or cash collateralize LC Exposure in an account with the Administrative Agent pursuant to </w:t>
      </w:r>
      <w:r>
        <w:rPr>
          <w:rFonts w:ascii="Arial" w:cs="Arial" w:eastAsia="Arial" w:hAnsi="Arial"/>
          <w:sz w:val="18"/>
          <w:szCs w:val="18"/>
          <w:u w:val="single" w:color="auto"/>
          <w:color w:val="auto"/>
        </w:rPr>
        <w:t>Section 2.06(j)</w:t>
      </w:r>
      <w:r>
        <w:rPr>
          <w:rFonts w:ascii="Arial" w:cs="Arial" w:eastAsia="Arial" w:hAnsi="Arial"/>
          <w:sz w:val="18"/>
          <w:szCs w:val="18"/>
          <w:color w:val="auto"/>
        </w:rPr>
        <w:t>, as applicable, in an aggregate amount equal to such excess.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6" w:name="page277"/>
    <w:bookmarkEnd w:id="276"/>
    <w:p>
      <w:pPr>
        <w:jc w:val="both"/>
        <w:ind w:left="840" w:firstLine="640"/>
        <w:spacing w:after="0" w:line="286" w:lineRule="auto"/>
        <w:tabs>
          <w:tab w:leader="none" w:pos="2403"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The Borrower Representative shall notify the Administrative Agent (and, in the case of prepayment of a Swingline Loan, the Swingline Lender) by telephone (confirmed by facsimile) or through Electronic System, if arrangements for doing so have been approved by the Administrative Agent, of any prepayment hereunder not later than 10:00 a.m., Chicago time, (A) in the case of prepayment of a Eurodollar Borrowing, three (3) Business Days before the date of prepayment or (B) in the case of prepayment of an ABR Borrowing, on the date of prepayment. Each such notice shall be irrevocable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notice of prepayment is given in connection with a conditional notice of termination of the Commitments as contemplated by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then such notice of prepayment may be revoked if such notice of termination is revoked in accordance with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Promptly following receipt of any such notice relating to a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Each prepayment of a Revolving Borrowing shall be applied ratably to the Revolving Loans included in the prepaid Borrowing. Prepayments shall be accompanied by accrued interest to the extent required by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amounts due under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74"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color w:val="auto"/>
        </w:rPr>
        <w:t>Fees.</w:t>
      </w:r>
    </w:p>
    <w:p>
      <w:pPr>
        <w:spacing w:after="0" w:line="225" w:lineRule="exact"/>
        <w:rPr>
          <w:sz w:val="20"/>
          <w:szCs w:val="20"/>
          <w:color w:val="auto"/>
        </w:rPr>
      </w:pPr>
    </w:p>
    <w:p>
      <w:pPr>
        <w:jc w:val="both"/>
        <w:ind w:left="840" w:firstLine="640"/>
        <w:spacing w:after="0" w:line="289" w:lineRule="auto"/>
        <w:tabs>
          <w:tab w:leader="none" w:pos="2308"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The Borrowers agree to pay to the Administrative Agent for the account of each Lender a commitment fee, which shall accrue at 0.25% per annum on the average daily amount of the Available Commitment of such Lender during the period from and including the Effective Date to but excluding the date on which such Lender’s Commitment terminates. Accrued commitment fees shall be payable in arrears on the first Business Day of January, April, July and October of each year and on the date on which the Commitments terminate, commencing on the first such date to occur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 For purposes of computing commitment fees, the Commitment of a Lender shall be deemed to be used to the extent of the outstanding Loans and LC Exposure of such Lender.</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7" w:name="page278"/>
    <w:bookmarkEnd w:id="277"/>
    <w:p>
      <w:pPr>
        <w:jc w:val="both"/>
        <w:ind w:left="840" w:firstLine="640"/>
        <w:spacing w:after="0" w:line="282" w:lineRule="auto"/>
        <w:tabs>
          <w:tab w:leader="none" w:pos="2237" w:val="left"/>
        </w:tabs>
        <w:numPr>
          <w:ilvl w:val="1"/>
          <w:numId w:val="342"/>
        </w:numPr>
        <w:rPr>
          <w:rFonts w:ascii="Arial" w:cs="Arial" w:eastAsia="Arial" w:hAnsi="Arial"/>
          <w:sz w:val="16"/>
          <w:szCs w:val="16"/>
          <w:color w:val="auto"/>
        </w:rPr>
      </w:pPr>
      <w:r>
        <w:rPr>
          <w:rFonts w:ascii="Arial" w:cs="Arial" w:eastAsia="Arial" w:hAnsi="Arial"/>
          <w:sz w:val="16"/>
          <w:szCs w:val="16"/>
          <w:color w:val="auto"/>
        </w:rPr>
        <w:t xml:space="preserve">The Borrowers agree to pay (i) to the Administrative Agent for the account of each Lender a participation fee with respect to its participations in Letters of Credit, which shall accrue at the same Applicable Rate used to determine the interest rate applicable to Eurodollar Revolving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for its own account, a fronting fee, which shall accrue at the rate per annum separately agreed upon by the Company and such Issuing Bank on the average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each calendar quarter shall be payable on the first Business Day of each January, April, July and October following such last day,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Commitments terminate and any such fees accruing after the date on which the Commitments terminate shall be payable on demand. Any other fees payable to the Issuing Bank pursuant to this paragraph shall be payable within ten</w:t>
      </w:r>
    </w:p>
    <w:p>
      <w:pPr>
        <w:spacing w:after="0" w:line="11" w:lineRule="exact"/>
        <w:rPr>
          <w:rFonts w:ascii="Arial" w:cs="Arial" w:eastAsia="Arial" w:hAnsi="Arial"/>
          <w:sz w:val="16"/>
          <w:szCs w:val="16"/>
          <w:color w:val="auto"/>
        </w:rPr>
      </w:pPr>
    </w:p>
    <w:p>
      <w:pPr>
        <w:ind w:left="840" w:right="20" w:hanging="8"/>
        <w:spacing w:after="0" w:line="260" w:lineRule="auto"/>
        <w:tabs>
          <w:tab w:leader="none" w:pos="118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days after demand. All participation fees and fronting fees shall be computed on the basis of a year of 360 days and shall be payable for the actual number of days elapsed (including the first day but excluding the last day).</w:t>
      </w:r>
    </w:p>
    <w:p>
      <w:pPr>
        <w:spacing w:after="0" w:line="185" w:lineRule="exact"/>
        <w:rPr>
          <w:rFonts w:ascii="Arial" w:cs="Arial" w:eastAsia="Arial" w:hAnsi="Arial"/>
          <w:sz w:val="18"/>
          <w:szCs w:val="18"/>
          <w:color w:val="auto"/>
        </w:rPr>
      </w:pPr>
    </w:p>
    <w:p>
      <w:pPr>
        <w:ind w:left="840" w:firstLine="640"/>
        <w:spacing w:after="0" w:line="277" w:lineRule="auto"/>
        <w:tabs>
          <w:tab w:leader="none" w:pos="2335"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Borrowers agree to pay to the Administrative Agent, for its own account, fees payable in the amounts and at the times separately agreed upon between the Borrowers and the Administrative Agent.</w:t>
      </w:r>
    </w:p>
    <w:p>
      <w:pPr>
        <w:spacing w:after="0" w:line="170" w:lineRule="exact"/>
        <w:rPr>
          <w:rFonts w:ascii="Arial" w:cs="Arial" w:eastAsia="Arial" w:hAnsi="Arial"/>
          <w:sz w:val="18"/>
          <w:szCs w:val="18"/>
          <w:color w:val="auto"/>
        </w:rPr>
      </w:pPr>
    </w:p>
    <w:p>
      <w:pPr>
        <w:jc w:val="both"/>
        <w:ind w:left="840" w:firstLine="640"/>
        <w:spacing w:after="0" w:line="263" w:lineRule="auto"/>
        <w:tabs>
          <w:tab w:leader="none" w:pos="265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the Issuing Bank, in the case of fees payable to it) for distribution, in the case of commitment fees and participation fees, to the Lenders. Fees paid shall not be refundable under any circumstances.</w:t>
      </w:r>
    </w:p>
    <w:p>
      <w:pPr>
        <w:spacing w:after="0" w:line="184"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color w:val="auto"/>
        </w:rPr>
        <w:t>Interest.</w:t>
      </w:r>
    </w:p>
    <w:p>
      <w:pPr>
        <w:spacing w:after="0" w:line="225" w:lineRule="exact"/>
        <w:rPr>
          <w:sz w:val="20"/>
          <w:szCs w:val="20"/>
          <w:color w:val="auto"/>
        </w:rPr>
      </w:pPr>
    </w:p>
    <w:p>
      <w:pPr>
        <w:ind w:left="840" w:firstLine="640"/>
        <w:spacing w:after="0" w:line="277" w:lineRule="auto"/>
        <w:tabs>
          <w:tab w:leader="none" w:pos="245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The Loans comprising each ABR Borrowing (including each Swingline Loan) shall bear interest at the REVLIBOR30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8" w:name="page279"/>
    <w:bookmarkEnd w:id="278"/>
    <w:p>
      <w:pPr>
        <w:spacing w:after="0" w:line="117" w:lineRule="exact"/>
        <w:rPr>
          <w:sz w:val="20"/>
          <w:szCs w:val="20"/>
          <w:color w:val="auto"/>
        </w:rPr>
      </w:pPr>
    </w:p>
    <w:p>
      <w:pPr>
        <w:ind w:left="840" w:firstLine="640"/>
        <w:spacing w:after="0" w:line="277" w:lineRule="auto"/>
        <w:tabs>
          <w:tab w:leader="none" w:pos="2426" w:val="left"/>
        </w:tabs>
        <w:numPr>
          <w:ilvl w:val="1"/>
          <w:numId w:val="345"/>
        </w:numPr>
        <w:rPr>
          <w:rFonts w:ascii="Arial" w:cs="Arial" w:eastAsia="Arial" w:hAnsi="Arial"/>
          <w:sz w:val="18"/>
          <w:szCs w:val="18"/>
          <w:color w:val="auto"/>
        </w:rPr>
      </w:pPr>
      <w:r>
        <w:rPr>
          <w:rFonts w:ascii="Arial" w:cs="Arial" w:eastAsia="Arial" w:hAnsi="Arial"/>
          <w:sz w:val="18"/>
          <w:szCs w:val="18"/>
          <w:color w:val="auto"/>
        </w:rPr>
        <w:t xml:space="preserve">The Loans comprising each Eurodollar Borrowing shall bear interest at the Adjusted LIBO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left="840" w:firstLine="640"/>
        <w:spacing w:after="0" w:line="277" w:lineRule="auto"/>
        <w:tabs>
          <w:tab w:leader="none" w:pos="247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 xml:space="preserve">Each Protective Advance and each Overadvance shall bear interest at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w:t>
      </w:r>
    </w:p>
    <w:p>
      <w:pPr>
        <w:spacing w:after="0" w:line="170" w:lineRule="exact"/>
        <w:rPr>
          <w:rFonts w:ascii="Arial" w:cs="Arial" w:eastAsia="Arial" w:hAnsi="Arial"/>
          <w:sz w:val="18"/>
          <w:szCs w:val="18"/>
          <w:color w:val="auto"/>
        </w:rPr>
      </w:pPr>
    </w:p>
    <w:p>
      <w:pPr>
        <w:jc w:val="both"/>
        <w:ind w:left="840" w:firstLine="640"/>
        <w:spacing w:after="0" w:line="271" w:lineRule="auto"/>
        <w:tabs>
          <w:tab w:leader="none" w:pos="2629" w:val="left"/>
        </w:tabs>
        <w:numPr>
          <w:ilvl w:val="1"/>
          <w:numId w:val="345"/>
        </w:numPr>
        <w:rPr>
          <w:rFonts w:ascii="Arial" w:cs="Arial" w:eastAsia="Arial" w:hAnsi="Arial"/>
          <w:sz w:val="17"/>
          <w:szCs w:val="17"/>
          <w:color w:val="auto"/>
        </w:rPr>
      </w:pPr>
      <w:r>
        <w:rPr>
          <w:rFonts w:ascii="Arial" w:cs="Arial" w:eastAsia="Arial" w:hAnsi="Arial"/>
          <w:sz w:val="17"/>
          <w:szCs w:val="17"/>
          <w:color w:val="auto"/>
        </w:rPr>
        <w:t xml:space="preserve">Notwithstanding the foregoing, during the occurrence and continuance of an Event of Default, the Administrative Agent or the Required Lenders may, at their option, by written notice to the Borrower Representative (which notice may be revoked at the option of the Required Lenders notwithstanding any provision of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requiring the consent of “each Lender affected thereby” for reductions in interest rates), declare that (i) all Loans shall bear interest at 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otherwise applicable to such Loans as provided in the preceding paragraphs of this Section or (ii) in the case of any other amount outstanding hereunder, such amount shall accrue at 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applicable to such fee or other obligation as provided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notice shall be required and the foregoing rates shall automatically take effect upon the occurrence of an Event of Default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840" w:firstLine="640"/>
        <w:spacing w:after="0" w:line="285" w:lineRule="auto"/>
        <w:tabs>
          <w:tab w:leader="none" w:pos="2349" w:val="left"/>
        </w:tabs>
        <w:numPr>
          <w:ilvl w:val="1"/>
          <w:numId w:val="345"/>
        </w:numPr>
        <w:rPr>
          <w:rFonts w:ascii="Arial" w:cs="Arial" w:eastAsia="Arial" w:hAnsi="Arial"/>
          <w:sz w:val="16"/>
          <w:szCs w:val="16"/>
          <w:color w:val="auto"/>
        </w:rPr>
      </w:pPr>
      <w:r>
        <w:rPr>
          <w:rFonts w:ascii="Arial" w:cs="Arial" w:eastAsia="Arial" w:hAnsi="Arial"/>
          <w:sz w:val="16"/>
          <w:szCs w:val="16"/>
          <w:color w:val="auto"/>
        </w:rPr>
        <w:t xml:space="preserve">Accrued interest on each Loan (for ABR Loans, accrued through the last day of the prior calendar month) shall be payable in arrears on each Interest Payment Date for such Loan and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w:t>
      </w:r>
    </w:p>
    <w:p>
      <w:pPr>
        <w:spacing w:after="0" w:line="1" w:lineRule="exact"/>
        <w:rPr>
          <w:rFonts w:ascii="Arial" w:cs="Arial" w:eastAsia="Arial" w:hAnsi="Arial"/>
          <w:sz w:val="16"/>
          <w:szCs w:val="16"/>
          <w:color w:val="auto"/>
        </w:rPr>
      </w:pPr>
    </w:p>
    <w:p>
      <w:pPr>
        <w:ind w:left="840" w:right="20" w:hanging="8"/>
        <w:spacing w:after="0" w:line="260" w:lineRule="auto"/>
        <w:tabs>
          <w:tab w:leader="none" w:pos="118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the event of any conversion of any Eurodollar Loan prior to the end of the current Interest Period therefor, accrued interest on such Loan shall be payable on the effective date of such conversion.</w:t>
      </w:r>
    </w:p>
    <w:p>
      <w:pPr>
        <w:spacing w:after="0" w:line="185" w:lineRule="exact"/>
        <w:rPr>
          <w:rFonts w:ascii="Arial" w:cs="Arial" w:eastAsia="Arial" w:hAnsi="Arial"/>
          <w:sz w:val="18"/>
          <w:szCs w:val="18"/>
          <w:color w:val="auto"/>
        </w:rPr>
      </w:pPr>
    </w:p>
    <w:p>
      <w:pPr>
        <w:jc w:val="both"/>
        <w:ind w:left="840" w:firstLine="640"/>
        <w:spacing w:after="0" w:line="255" w:lineRule="auto"/>
        <w:tabs>
          <w:tab w:leader="none" w:pos="2248"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REVLIBOR30 Rate or LIBO Rate shall be determined by the Administrative Agent, and such determination shall be conclusive absent manifest error.</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79" w:name="page280"/>
    <w:bookmarkEnd w:id="279"/>
    <w:p>
      <w:pPr>
        <w:ind w:left="1960"/>
        <w:spacing w:after="0"/>
        <w:tabs>
          <w:tab w:leader="none" w:pos="33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color w:val="auto"/>
        </w:rPr>
        <w:t>Alternate Rate of Interest; Illegality.</w:t>
      </w:r>
    </w:p>
    <w:p>
      <w:pPr>
        <w:spacing w:after="0" w:line="225" w:lineRule="exact"/>
        <w:rPr>
          <w:sz w:val="20"/>
          <w:szCs w:val="20"/>
          <w:color w:val="auto"/>
        </w:rPr>
      </w:pPr>
    </w:p>
    <w:p>
      <w:pPr>
        <w:ind w:left="3340" w:hanging="740"/>
        <w:spacing w:after="0"/>
        <w:tabs>
          <w:tab w:leader="none" w:pos="334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Eurodollar Borrowing:</w:t>
      </w:r>
    </w:p>
    <w:p>
      <w:pPr>
        <w:spacing w:after="0" w:line="225" w:lineRule="exact"/>
        <w:rPr>
          <w:rFonts w:ascii="Arial" w:cs="Arial" w:eastAsia="Arial" w:hAnsi="Arial"/>
          <w:sz w:val="18"/>
          <w:szCs w:val="18"/>
          <w:color w:val="auto"/>
        </w:rPr>
      </w:pPr>
    </w:p>
    <w:p>
      <w:pPr>
        <w:jc w:val="both"/>
        <w:ind w:left="660" w:firstLine="644"/>
        <w:spacing w:after="0" w:line="311" w:lineRule="auto"/>
        <w:tabs>
          <w:tab w:leader="none" w:pos="2031"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and binding absent manifest error) that adequate and reasonable means do not exist for ascertaining the Adjusted LIBO Rate or the LIBO Rate, as applicable (including, without limitation, by means of an Interpolated Rate or because the LIBO Screen Rate is not available or published on a current basis) for such Interest Period; or</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208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then the Administrative Agent shall give notice thereof to the Borrower Representative and the Lenders through Electronic System as provided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as promptly as practicable thereafter and, until the Administrative Agent notifies the Borrower Representative and the Lenders that the circumstances giving rise to such notice no longer exist, (A) any Interest Election Request that requests the conversion of any Borrowing to, or continuation of any Borrowing as, a Eurodollar Borrowing shall be ineffective and any such Eurodollar Borrowing shall be repaid or converted into an ABR Borrowing on the last day of the then current Interest Period applicable thereto, and (B) if any Borrowing Request requests a Eurodollar Borrowing, such Borrowing shall be made as an ABR Borrowing.</w:t>
      </w:r>
    </w:p>
    <w:p>
      <w:pPr>
        <w:spacing w:after="0" w:line="192" w:lineRule="exact"/>
        <w:rPr>
          <w:sz w:val="20"/>
          <w:szCs w:val="20"/>
          <w:color w:val="auto"/>
        </w:rPr>
      </w:pPr>
    </w:p>
    <w:p>
      <w:pPr>
        <w:jc w:val="both"/>
        <w:ind w:left="1960" w:firstLine="640"/>
        <w:spacing w:after="0" w:line="287" w:lineRule="auto"/>
        <w:tabs>
          <w:tab w:leader="none" w:pos="361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If any Lender determines that any Requirement of Law has made it unlawful, or if any Governmental Authority has asserted that it is unlawful, for any Lender or its applicable lending office to make, maintain, fund or continue any Eurodollar Borrowing, or any Governmental Authority has imposed material restrictions on the authority of such Lender to purchase or sell, or to take deposits of, dollars in the London interbank market, then, on notice thereof by such Lender to the Borrower Representative through the Administrative Agent, any obligations of such Lender to make, maintain, fund or continue Eurodollar Loans or to convert ABR Borrowings to Eurodollar Borrowings will be suspended until such Lender notifies the Administrative Agent and the Borrower Representative that the circumstances giving rise to such determination no longer exist. Upon receipt of such notice, the Borrowers will upon demand from such Lender (with a copy to the Administrative Agent), either convert all Eurodollar Borrowings of such Lender to ABR Borrowings or prepay all such Eurodollar Borrowings, either on the last day of the Interest Period therefor, if such Lender may lawfully continue to maintain such Eurodollar Borrowings to such day, or immediately, if such Lender may not lawfully continue to maintain such Loans. Upon any such conversion or prepayment, the Borrowers will also pay accrued interest on the amount so converted or prepaid.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jc w:val="both"/>
        <w:ind w:left="840" w:firstLine="640"/>
        <w:spacing w:after="0" w:line="291" w:lineRule="auto"/>
        <w:tabs>
          <w:tab w:leader="none" w:pos="2241" w:val="left"/>
        </w:tabs>
        <w:numPr>
          <w:ilvl w:val="1"/>
          <w:numId w:val="350"/>
        </w:numPr>
        <w:rPr>
          <w:rFonts w:ascii="Arial" w:cs="Arial" w:eastAsia="Arial" w:hAnsi="Arial"/>
          <w:sz w:val="16"/>
          <w:szCs w:val="16"/>
          <w:color w:val="auto"/>
        </w:rPr>
      </w:pPr>
      <w:r>
        <w:rPr>
          <w:rFonts w:ascii="Arial" w:cs="Arial" w:eastAsia="Arial" w:hAnsi="Arial"/>
          <w:sz w:val="16"/>
          <w:szCs w:val="16"/>
          <w:color w:val="auto"/>
        </w:rPr>
        <w:t xml:space="preserve">If at any time the Administrative Agent determines (which determination shall be conclusive absent manifest error) that (i) the circumstances set forth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have arisen and such circumstances are unlikely to be temporary or</w:t>
      </w:r>
    </w:p>
    <w:p>
      <w:pPr>
        <w:jc w:val="both"/>
        <w:ind w:left="840" w:hanging="8"/>
        <w:spacing w:after="0" w:line="283" w:lineRule="auto"/>
        <w:tabs>
          <w:tab w:leader="none" w:pos="1121"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the circumstances set forth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have not arisen but either (w) the supervisor for the administrator of the LIBO Screen Rate has made a public statement that the administrator of the LIBO Screen Rate is insolvent (and there is no successor administrator that will continue publication of the LIBO Screen Rate), (x) the administrator of the LIBO Screen Rate has made a public statement identifying a specific date after which the LIBO Screen Rate will permanently or indefinitely cease to be published by it (and there is no successor administrator that will continue publication of the LIBO Screen Rate), (y) the supervisor for the administrator of the LIBO Screen Rate has made a public statement identifying a specific date after which the LIBO Screen Rate will permanently or indefinitely cease to be published or (z) the supervisor for the administrator of the LIBO Screen Rate or a Governmental Authority having jurisdiction over the Administrative Agent has made a public statement identifying a specific date after which the LIBO Screen Rate may no longer be used for determining interest rates for loans, then the Administrative Agent and the Borrower Representative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(but, in the case of the circumstances described in </w:t>
      </w:r>
      <w:r>
        <w:rPr>
          <w:rFonts w:ascii="Arial" w:cs="Arial" w:eastAsia="Arial" w:hAnsi="Arial"/>
          <w:sz w:val="16"/>
          <w:szCs w:val="16"/>
          <w:u w:val="single" w:color="auto"/>
          <w:color w:val="auto"/>
        </w:rPr>
        <w:t>clause (ii)(w)</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(ii)(x)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(ii)(y)</w:t>
      </w:r>
      <w:r>
        <w:rPr>
          <w:rFonts w:ascii="Arial" w:cs="Arial" w:eastAsia="Arial" w:hAnsi="Arial"/>
          <w:sz w:val="16"/>
          <w:szCs w:val="16"/>
          <w:color w:val="auto"/>
        </w:rPr>
        <w:t xml:space="preserve"> of the first sentence of this </w:t>
      </w:r>
      <w:r>
        <w:rPr>
          <w:rFonts w:ascii="Arial" w:cs="Arial" w:eastAsia="Arial" w:hAnsi="Arial"/>
          <w:sz w:val="16"/>
          <w:szCs w:val="16"/>
          <w:u w:val="single" w:color="auto"/>
          <w:color w:val="auto"/>
        </w:rPr>
        <w:t>Section 2.14(c)</w:t>
      </w:r>
      <w:r>
        <w:rPr>
          <w:rFonts w:ascii="Arial" w:cs="Arial" w:eastAsia="Arial" w:hAnsi="Arial"/>
          <w:sz w:val="16"/>
          <w:szCs w:val="16"/>
          <w:color w:val="auto"/>
        </w:rPr>
        <w:t xml:space="preserve">, only to the extent the LIBO Screen Rate for such Interest Period is not available or published at such time on a current basis), (x) any Interest Election Request that requests the conversion of any Borrowing to, or continuation of any Borrowing as, a Eurodollar Borrowing shall be ineffective and any such Eurodollar Borrowing shall be repaid or converted into an ABR Borrowing on the last day of the then current Interest Period applicable thereto, and (y) if any Borrowing Request requests a Eurodollar Borrowing, such Borrowing shall be made as an ABR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alternate rate of interest shall be less than zero, such rate shall be deemed to be zero for the purposes of this Agreement.</w:t>
      </w:r>
    </w:p>
    <w:p>
      <w:pPr>
        <w:spacing w:after="0" w:line="395"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color w:val="auto"/>
        </w:rPr>
        <w:t>Increased Costs.</w:t>
      </w:r>
    </w:p>
    <w:p>
      <w:pPr>
        <w:spacing w:after="0" w:line="225" w:lineRule="exact"/>
        <w:rPr>
          <w:sz w:val="20"/>
          <w:szCs w:val="20"/>
          <w:color w:val="auto"/>
        </w:rPr>
      </w:pPr>
    </w:p>
    <w:p>
      <w:pPr>
        <w:ind w:left="2220" w:hanging="740"/>
        <w:spacing w:after="0"/>
        <w:tabs>
          <w:tab w:leader="none" w:pos="22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1" w:name="page282"/>
    <w:bookmarkEnd w:id="281"/>
    <w:p>
      <w:pPr>
        <w:jc w:val="both"/>
        <w:ind w:left="660" w:firstLine="644"/>
        <w:spacing w:after="0" w:line="263" w:lineRule="auto"/>
        <w:tabs>
          <w:tab w:leader="none" w:pos="215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the Issuing Bank;</w:t>
      </w:r>
    </w:p>
    <w:p>
      <w:pPr>
        <w:spacing w:after="0" w:line="183" w:lineRule="exact"/>
        <w:rPr>
          <w:rFonts w:ascii="Arial" w:cs="Arial" w:eastAsia="Arial" w:hAnsi="Arial"/>
          <w:sz w:val="18"/>
          <w:szCs w:val="18"/>
          <w:color w:val="auto"/>
        </w:rPr>
      </w:pPr>
    </w:p>
    <w:p>
      <w:pPr>
        <w:ind w:left="660" w:firstLine="644"/>
        <w:spacing w:after="0" w:line="277" w:lineRule="auto"/>
        <w:tabs>
          <w:tab w:leader="none" w:pos="217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21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after consideration of such factors as the Administrative Agent, such Lender or such Issuing Bank, as applicable, then reasonably determines to be relevant).</w:t>
      </w:r>
    </w:p>
    <w:p>
      <w:pPr>
        <w:spacing w:after="0" w:line="194" w:lineRule="exact"/>
        <w:rPr>
          <w:sz w:val="20"/>
          <w:szCs w:val="20"/>
          <w:color w:val="auto"/>
        </w:rPr>
      </w:pPr>
    </w:p>
    <w:p>
      <w:pPr>
        <w:jc w:val="both"/>
        <w:ind w:left="1960" w:firstLine="640"/>
        <w:spacing w:after="0" w:line="268" w:lineRule="auto"/>
        <w:tabs>
          <w:tab w:leader="none" w:pos="3668" w:val="left"/>
        </w:tabs>
        <w:numPr>
          <w:ilvl w:val="0"/>
          <w:numId w:val="354"/>
        </w:numPr>
        <w:rPr>
          <w:rFonts w:ascii="Arial" w:cs="Arial" w:eastAsia="Arial" w:hAnsi="Arial"/>
          <w:sz w:val="17"/>
          <w:szCs w:val="17"/>
          <w:color w:val="auto"/>
        </w:rPr>
      </w:pPr>
      <w:r>
        <w:rPr>
          <w:rFonts w:ascii="Arial" w:cs="Arial" w:eastAsia="Arial" w:hAnsi="Arial"/>
          <w:sz w:val="17"/>
          <w:szCs w:val="17"/>
          <w:color w:val="auto"/>
        </w:rPr>
        <w:t xml:space="preserve">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after consideration of such factors as the Administrative Agent or such Lender, as applicable, then reasonably determines to be relevant).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jc w:val="both"/>
        <w:ind w:left="1960" w:firstLine="640"/>
        <w:spacing w:after="0" w:line="257" w:lineRule="auto"/>
        <w:tabs>
          <w:tab w:leader="none" w:pos="344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A certificate of a Lender or the Issuing Bank setting forth the amount or amounts necessary to compensate such Lender or the Issuing Bank or its holding company, as the case may be,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delivered to the Borrower Representative and shall be conclusive absent manifest error. The Borrowers shall pay such Lender or the Issuing Bank, as the case may be, the amount shown as due on any such certificate within ten (10) days after receipt thereof.</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be required to compensate a Lender or the Issuing Bank pursuant to this Section for any increased costs or reductions incurred more than 180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180-day period referred to above shall be extended to include the period of retroactive effect thereof.</w:t>
      </w:r>
    </w:p>
    <w:p>
      <w:pPr>
        <w:spacing w:after="0" w:line="164" w:lineRule="exact"/>
        <w:rPr>
          <w:sz w:val="20"/>
          <w:szCs w:val="20"/>
          <w:color w:val="auto"/>
        </w:rPr>
      </w:pPr>
    </w:p>
    <w:p>
      <w:pPr>
        <w:jc w:val="both"/>
        <w:ind w:left="1300" w:firstLine="648"/>
        <w:spacing w:after="0" w:line="287" w:lineRule="auto"/>
        <w:rPr>
          <w:sz w:val="20"/>
          <w:szCs w:val="20"/>
          <w:color w:val="auto"/>
        </w:rPr>
      </w:pPr>
      <w:r>
        <w:rPr>
          <w:rFonts w:ascii="Arial" w:cs="Arial" w:eastAsia="Arial" w:hAnsi="Arial"/>
          <w:sz w:val="16"/>
          <w:szCs w:val="16"/>
          <w:color w:val="auto"/>
        </w:rPr>
        <w:t xml:space="preserve">SECTION 2.16. Break Funding Payments. In the event of (a) the payment of any principal of any Eurodollar Loan other than on the last day of an Interest Period applicable thereto (including as a result of an Event of Default or as a result of any prepayment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(b) the conversion of any Eurodollar Loan other than on the last day of the Interest Period applicable thereto,</w:t>
      </w:r>
    </w:p>
    <w:p>
      <w:pPr>
        <w:spacing w:after="0" w:line="2" w:lineRule="exact"/>
        <w:rPr>
          <w:sz w:val="20"/>
          <w:szCs w:val="20"/>
          <w:color w:val="auto"/>
        </w:rPr>
      </w:pPr>
    </w:p>
    <w:p>
      <w:pPr>
        <w:jc w:val="both"/>
        <w:ind w:left="1300" w:firstLine="4"/>
        <w:spacing w:after="0" w:line="267" w:lineRule="auto"/>
        <w:tabs>
          <w:tab w:leader="none" w:pos="1556" w:val="left"/>
        </w:tabs>
        <w:numPr>
          <w:ilvl w:val="0"/>
          <w:numId w:val="356"/>
        </w:numPr>
        <w:rPr>
          <w:rFonts w:ascii="Arial" w:cs="Arial" w:eastAsia="Arial" w:hAnsi="Arial"/>
          <w:sz w:val="17"/>
          <w:szCs w:val="17"/>
          <w:color w:val="auto"/>
        </w:rPr>
      </w:pPr>
      <w:r>
        <w:rPr>
          <w:rFonts w:ascii="Arial" w:cs="Arial" w:eastAsia="Arial" w:hAnsi="Arial"/>
          <w:sz w:val="17"/>
          <w:szCs w:val="17"/>
          <w:color w:val="auto"/>
        </w:rPr>
        <w:t xml:space="preserve">the failure to borrow, convert, continue or prepay any Eurodollar Loan on the date specified in any notice delivered pursuant hereto (regardless of whether such notice may be revoked under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and is revoked in accordance therewith) or (d) the assignment of any Eurodollar Loan other than on the last day of the Interest Period applicable thereto as a result of a request by the Borrower Representative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9.02(e)</w:t>
      </w:r>
      <w:r>
        <w:rPr>
          <w:rFonts w:ascii="Arial" w:cs="Arial" w:eastAsia="Arial" w:hAnsi="Arial"/>
          <w:sz w:val="17"/>
          <w:szCs w:val="17"/>
          <w:color w:val="auto"/>
        </w:rPr>
        <w:t>, then, in any such event, the Borrowers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Eurodollar Loan had such event not occurred, at the Adjusted LIBO Rate that would have been applicable to such Eurodollar Loan (but not the Applicable Rate applicable thereto), for the period from the date of such event to the last day of the then current Interest Period therefor (or, in the case of a failure to borrow, convert or continue, for the period that would have been the Interest Period for such Eurodollar Loan), over (ii) the amount of interest which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ind w:left="840"/>
        <w:spacing w:after="0"/>
        <w:tabs>
          <w:tab w:leader="none" w:pos="220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5"/>
          <w:szCs w:val="15"/>
          <w:color w:val="auto"/>
        </w:rPr>
        <w:t>Taxes.</w:t>
      </w:r>
    </w:p>
    <w:p>
      <w:pPr>
        <w:spacing w:after="0" w:line="225" w:lineRule="exact"/>
        <w:rPr>
          <w:sz w:val="20"/>
          <w:szCs w:val="20"/>
          <w:color w:val="auto"/>
        </w:rPr>
      </w:pPr>
    </w:p>
    <w:p>
      <w:pPr>
        <w:jc w:val="both"/>
        <w:ind w:left="840" w:firstLine="640"/>
        <w:spacing w:after="0" w:line="289" w:lineRule="auto"/>
        <w:tabs>
          <w:tab w:leader="none" w:pos="2295"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the applicable Recipient receives an amount equal to the sum it would have received had no such deduction or withholding been made.</w:t>
      </w:r>
    </w:p>
    <w:p>
      <w:pPr>
        <w:spacing w:after="0" w:line="166" w:lineRule="exact"/>
        <w:rPr>
          <w:rFonts w:ascii="Arial" w:cs="Arial" w:eastAsia="Arial" w:hAnsi="Arial"/>
          <w:sz w:val="16"/>
          <w:szCs w:val="16"/>
          <w:color w:val="auto"/>
        </w:rPr>
      </w:pPr>
    </w:p>
    <w:p>
      <w:pPr>
        <w:jc w:val="both"/>
        <w:ind w:left="840" w:firstLine="640"/>
        <w:spacing w:after="0" w:line="263" w:lineRule="auto"/>
        <w:tabs>
          <w:tab w:leader="none" w:pos="2615"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Borrowers</w:t>
      </w:r>
      <w:r>
        <w:rPr>
          <w:rFonts w:ascii="Arial" w:cs="Arial" w:eastAsia="Arial" w:hAnsi="Arial"/>
          <w:sz w:val="18"/>
          <w:szCs w:val="18"/>
          <w:color w:val="auto"/>
        </w:rPr>
        <w:t>. The relevant Borrower shall timely pay to the relevant Governmental Authority in accordance with applicable law, or at the option of the Administrative Agent timely reimburse it for, Other Taxes.</w:t>
      </w:r>
    </w:p>
    <w:p>
      <w:pPr>
        <w:spacing w:after="0" w:line="183" w:lineRule="exact"/>
        <w:rPr>
          <w:rFonts w:ascii="Arial" w:cs="Arial" w:eastAsia="Arial" w:hAnsi="Arial"/>
          <w:sz w:val="18"/>
          <w:szCs w:val="18"/>
          <w:color w:val="auto"/>
        </w:rPr>
      </w:pPr>
    </w:p>
    <w:p>
      <w:pPr>
        <w:jc w:val="both"/>
        <w:ind w:left="840" w:firstLine="640"/>
        <w:spacing w:after="0" w:line="279" w:lineRule="auto"/>
        <w:tabs>
          <w:tab w:leader="none" w:pos="2592"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As soon as practicable after any payment of Taxes by any Loan Party to a Governmental Authority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1" w:lineRule="exact"/>
        <w:rPr>
          <w:rFonts w:ascii="Arial" w:cs="Arial" w:eastAsia="Arial" w:hAnsi="Arial"/>
          <w:sz w:val="17"/>
          <w:szCs w:val="17"/>
          <w:color w:val="auto"/>
        </w:rPr>
      </w:pPr>
    </w:p>
    <w:p>
      <w:pPr>
        <w:jc w:val="both"/>
        <w:ind w:left="840" w:firstLine="640"/>
        <w:spacing w:after="0" w:line="291" w:lineRule="auto"/>
        <w:tabs>
          <w:tab w:leader="none" w:pos="2291"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Indemnification by the Loan Parties</w:t>
      </w:r>
      <w:r>
        <w:rPr>
          <w:rFonts w:ascii="Arial" w:cs="Arial" w:eastAsia="Arial" w:hAnsi="Arial"/>
          <w:sz w:val="16"/>
          <w:szCs w:val="16"/>
          <w:color w:val="auto"/>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4" w:name="page285"/>
    <w:bookmarkEnd w:id="284"/>
    <w:p>
      <w:pPr>
        <w:jc w:val="both"/>
        <w:ind w:left="840" w:firstLine="640"/>
        <w:spacing w:after="0" w:line="252" w:lineRule="auto"/>
        <w:tabs>
          <w:tab w:leader="none" w:pos="2389"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8"/>
          <w:szCs w:val="18"/>
          <w:u w:val="single" w:color="auto"/>
          <w:color w:val="auto"/>
        </w:rPr>
        <w:t>Section 9.04(c)</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8"/>
          <w:szCs w:val="18"/>
          <w:u w:val="single" w:color="auto"/>
          <w:color w:val="auto"/>
        </w:rPr>
        <w:t>paragraph (e)</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2200" w:hanging="720"/>
        <w:spacing w:after="0"/>
        <w:tabs>
          <w:tab w:leader="none" w:pos="2200"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644"/>
        <w:spacing w:after="0" w:line="269" w:lineRule="auto"/>
        <w:tabs>
          <w:tab w:leader="none" w:pos="1019"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and to comply with any such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2.17(f)(ii)(A)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rFonts w:ascii="Arial" w:cs="Arial" w:eastAsia="Arial" w:hAnsi="Arial"/>
          <w:sz w:val="17"/>
          <w:szCs w:val="17"/>
          <w:color w:val="auto"/>
        </w:rPr>
      </w:pPr>
    </w:p>
    <w:p>
      <w:pPr>
        <w:ind w:left="940" w:hanging="756"/>
        <w:spacing w:after="0"/>
        <w:tabs>
          <w:tab w:leader="none" w:pos="9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any Borrower is a U.S. Person:</w:t>
      </w:r>
    </w:p>
    <w:p>
      <w:pPr>
        <w:spacing w:after="0" w:line="225" w:lineRule="exact"/>
        <w:rPr>
          <w:rFonts w:ascii="Arial" w:cs="Arial" w:eastAsia="Arial" w:hAnsi="Arial"/>
          <w:sz w:val="18"/>
          <w:szCs w:val="18"/>
          <w:color w:val="auto"/>
        </w:rPr>
      </w:pPr>
    </w:p>
    <w:p>
      <w:pPr>
        <w:jc w:val="both"/>
        <w:ind w:left="-460" w:firstLine="644"/>
        <w:spacing w:after="0" w:line="259" w:lineRule="auto"/>
        <w:tabs>
          <w:tab w:leader="none" w:pos="102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(or any successor form) certifying that such Lender is exempt from U.S. Federal backup withholding tax;</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5" w:name="page286"/>
    <w:bookmarkEnd w:id="285"/>
    <w:p>
      <w:pPr>
        <w:jc w:val="both"/>
        <w:ind w:left="-460" w:firstLine="644"/>
        <w:spacing w:after="0" w:line="259" w:lineRule="auto"/>
        <w:tabs>
          <w:tab w:leader="none" w:pos="987"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86" w:lineRule="exact"/>
        <w:rPr>
          <w:rFonts w:ascii="Arial" w:cs="Arial" w:eastAsia="Arial" w:hAnsi="Arial"/>
          <w:sz w:val="18"/>
          <w:szCs w:val="18"/>
          <w:color w:val="auto"/>
        </w:rPr>
      </w:pPr>
    </w:p>
    <w:p>
      <w:pPr>
        <w:ind w:left="1740" w:hanging="908"/>
        <w:spacing w:after="0"/>
        <w:tabs>
          <w:tab w:leader="none" w:pos="174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jc w:val="both"/>
        <w:ind w:left="180" w:firstLine="4"/>
        <w:spacing w:after="0" w:line="253" w:lineRule="auto"/>
        <w:tabs>
          <w:tab w:leader="none" w:pos="44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with respect to payments of interest under any Loan Document, executed copies of IRS Form W-8BEN or IRS Form W-8BEN-E (or any applicable successor form) establishing an exemption from, or reduction of, U.S. Federal withholding Tax pursuant to the “interest” article of such tax treaty and (y) with respect to any other applicable payments under any Loan Document, IRS Form W-8BEN or IRS Form W-8BEN-E (or any applicable successor form) establishing an exemption from, or reduction of, U.S. Federal withholding Tax pursuant to the “business profits” or “other income” article of such tax treaty;</w:t>
      </w:r>
    </w:p>
    <w:p>
      <w:pPr>
        <w:spacing w:after="0" w:line="190" w:lineRule="exact"/>
        <w:rPr>
          <w:rFonts w:ascii="Arial" w:cs="Arial" w:eastAsia="Arial" w:hAnsi="Arial"/>
          <w:sz w:val="18"/>
          <w:szCs w:val="18"/>
          <w:color w:val="auto"/>
        </w:rPr>
      </w:pPr>
    </w:p>
    <w:p>
      <w:pPr>
        <w:ind w:left="180" w:right="20" w:firstLine="652"/>
        <w:spacing w:after="0" w:line="277" w:lineRule="auto"/>
        <w:tabs>
          <w:tab w:leader="none" w:pos="1648" w:val="left"/>
        </w:tabs>
        <w:numPr>
          <w:ilvl w:val="1"/>
          <w:numId w:val="361"/>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executed copies of IRS Form W-8ECI;</w:t>
      </w:r>
    </w:p>
    <w:p>
      <w:pPr>
        <w:spacing w:after="0" w:line="170" w:lineRule="exact"/>
        <w:rPr>
          <w:rFonts w:ascii="Arial" w:cs="Arial" w:eastAsia="Arial" w:hAnsi="Arial"/>
          <w:sz w:val="18"/>
          <w:szCs w:val="18"/>
          <w:color w:val="auto"/>
        </w:rPr>
      </w:pPr>
    </w:p>
    <w:p>
      <w:pPr>
        <w:jc w:val="both"/>
        <w:ind w:left="180" w:firstLine="652"/>
        <w:spacing w:after="0" w:line="271" w:lineRule="auto"/>
        <w:tabs>
          <w:tab w:leader="none" w:pos="1675" w:val="left"/>
        </w:tabs>
        <w:numPr>
          <w:ilvl w:val="1"/>
          <w:numId w:val="361"/>
        </w:numPr>
        <w:rPr>
          <w:rFonts w:ascii="Arial" w:cs="Arial" w:eastAsia="Arial" w:hAnsi="Arial"/>
          <w:sz w:val="17"/>
          <w:szCs w:val="17"/>
          <w:color w:val="auto"/>
        </w:rPr>
      </w:pPr>
      <w:r>
        <w:rPr>
          <w:rFonts w:ascii="Arial" w:cs="Arial" w:eastAsia="Arial" w:hAnsi="Arial"/>
          <w:sz w:val="17"/>
          <w:szCs w:val="17"/>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7"/>
          <w:szCs w:val="17"/>
          <w:u w:val="single" w:color="auto"/>
          <w:color w:val="auto"/>
        </w:rPr>
        <w:t>Exhibit F-1</w:t>
      </w:r>
      <w:r>
        <w:rPr>
          <w:rFonts w:ascii="Arial" w:cs="Arial" w:eastAsia="Arial" w:hAnsi="Arial"/>
          <w:sz w:val="17"/>
          <w:szCs w:val="17"/>
          <w:color w:val="auto"/>
        </w:rPr>
        <w:t xml:space="preserve"> to the effect that such Foreign Lender is not a “bank” within the meaning of Section 881(c)(3)(A) of the Code, a “10 percent shareholder” of such Borrower within the meaning of Section 881(c)(3)</w:t>
      </w:r>
    </w:p>
    <w:p>
      <w:pPr>
        <w:ind w:left="180"/>
        <w:spacing w:after="0" w:line="260" w:lineRule="auto"/>
        <w:rPr>
          <w:rFonts w:ascii="Arial" w:cs="Arial" w:eastAsia="Arial" w:hAnsi="Arial"/>
          <w:sz w:val="17"/>
          <w:szCs w:val="17"/>
          <w:color w:val="auto"/>
        </w:rPr>
      </w:pPr>
      <w:r>
        <w:rPr>
          <w:rFonts w:ascii="Arial" w:cs="Arial" w:eastAsia="Arial" w:hAnsi="Arial"/>
          <w:sz w:val="18"/>
          <w:szCs w:val="18"/>
          <w:color w:val="auto"/>
        </w:rPr>
        <w:t>(B) 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copies of IRS Form W-8BEN or IRS Form W-8BEN-E (or any applicable successor form); or</w:t>
      </w:r>
    </w:p>
    <w:p>
      <w:pPr>
        <w:spacing w:after="0" w:line="185" w:lineRule="exact"/>
        <w:rPr>
          <w:rFonts w:ascii="Arial" w:cs="Arial" w:eastAsia="Arial" w:hAnsi="Arial"/>
          <w:sz w:val="17"/>
          <w:szCs w:val="17"/>
          <w:color w:val="auto"/>
        </w:rPr>
      </w:pPr>
    </w:p>
    <w:p>
      <w:pPr>
        <w:jc w:val="both"/>
        <w:ind w:left="180" w:firstLine="652"/>
        <w:spacing w:after="0" w:line="273" w:lineRule="auto"/>
        <w:tabs>
          <w:tab w:leader="none" w:pos="1712" w:val="left"/>
        </w:tabs>
        <w:numPr>
          <w:ilvl w:val="1"/>
          <w:numId w:val="361"/>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executed copies of IRS Form W-8IMY, accompanied by IRS Form W-8ECI, IRS Form W-8BEN or IRS Form W-8BEN-E, a U.S. Tax Compliance Certificate substantially in the form of </w:t>
      </w:r>
      <w:r>
        <w:rPr>
          <w:rFonts w:ascii="Arial" w:cs="Arial" w:eastAsia="Arial" w:hAnsi="Arial"/>
          <w:sz w:val="17"/>
          <w:szCs w:val="17"/>
          <w:u w:val="single" w:color="auto"/>
          <w:color w:val="auto"/>
        </w:rPr>
        <w:t>Exhibit F-2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F-3</w:t>
      </w:r>
      <w:r>
        <w:rPr>
          <w:rFonts w:ascii="Arial" w:cs="Arial" w:eastAsia="Arial" w:hAnsi="Arial"/>
          <w:sz w:val="17"/>
          <w:szCs w:val="17"/>
          <w:color w:val="auto"/>
        </w:rPr>
        <w:t xml:space="preserve">, IRS Form W-9, and/or other certification documents from each beneficial owner, as applicable (including any applicable successor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7"/>
          <w:szCs w:val="17"/>
          <w:u w:val="single" w:color="auto"/>
          <w:color w:val="auto"/>
        </w:rPr>
        <w:t>Exhibit F-4</w:t>
      </w:r>
      <w:r>
        <w:rPr>
          <w:rFonts w:ascii="Arial" w:cs="Arial" w:eastAsia="Arial" w:hAnsi="Arial"/>
          <w:sz w:val="17"/>
          <w:szCs w:val="17"/>
          <w:color w:val="auto"/>
        </w:rPr>
        <w:t xml:space="preserve"> on behalf of each such direct and indirect partner;</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6" w:name="page287"/>
    <w:bookmarkEnd w:id="286"/>
    <w:p>
      <w:pPr>
        <w:jc w:val="both"/>
        <w:ind w:left="660" w:firstLine="644"/>
        <w:spacing w:after="0" w:line="273" w:lineRule="auto"/>
        <w:tabs>
          <w:tab w:leader="none" w:pos="2071" w:val="left"/>
        </w:tabs>
        <w:numPr>
          <w:ilvl w:val="0"/>
          <w:numId w:val="362"/>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77" w:lineRule="exact"/>
        <w:rPr>
          <w:rFonts w:ascii="Arial" w:cs="Arial" w:eastAsia="Arial" w:hAnsi="Arial"/>
          <w:sz w:val="17"/>
          <w:szCs w:val="17"/>
          <w:color w:val="auto"/>
        </w:rPr>
      </w:pPr>
    </w:p>
    <w:p>
      <w:pPr>
        <w:jc w:val="both"/>
        <w:ind w:left="660" w:firstLine="644"/>
        <w:spacing w:after="0" w:line="253" w:lineRule="auto"/>
        <w:tabs>
          <w:tab w:leader="none" w:pos="226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w:t>
      </w:r>
      <w:r>
        <w:rPr>
          <w:rFonts w:ascii="Arial" w:cs="Arial" w:eastAsia="Arial" w:hAnsi="Arial"/>
          <w:sz w:val="18"/>
          <w:szCs w:val="18"/>
          <w:u w:val="single" w:color="auto"/>
          <w:color w:val="auto"/>
        </w:rPr>
        <w:t>FATCA</w:t>
      </w:r>
      <w:r>
        <w:rPr>
          <w:rFonts w:ascii="Arial" w:cs="Arial" w:eastAsia="Arial" w:hAnsi="Arial"/>
          <w:sz w:val="18"/>
          <w:szCs w:val="18"/>
          <w:color w:val="auto"/>
        </w:rPr>
        <w:t>” shall include any amendments made to FATCA after the date of this Agreement.</w:t>
      </w:r>
    </w:p>
    <w:p>
      <w:pPr>
        <w:spacing w:after="0" w:line="19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46" w:lineRule="exact"/>
        <w:rPr>
          <w:sz w:val="20"/>
          <w:szCs w:val="20"/>
          <w:color w:val="auto"/>
        </w:rPr>
      </w:pPr>
    </w:p>
    <w:p>
      <w:pPr>
        <w:jc w:val="both"/>
        <w:ind w:left="1960" w:firstLine="640"/>
        <w:spacing w:after="0" w:line="286" w:lineRule="auto"/>
        <w:tabs>
          <w:tab w:leader="none" w:pos="3452"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it shall pay to the indemnifying party an amount equal to such refund (but only to the extent of indemnity payments made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in no event will the indemnified party be required to pay any amount to an indemnifying party pursuant to this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7" w:name="page288"/>
    <w:bookmarkEnd w:id="287"/>
    <w:p>
      <w:pPr>
        <w:jc w:val="both"/>
        <w:ind w:left="840" w:firstLine="640"/>
        <w:spacing w:after="0" w:line="286" w:lineRule="auto"/>
        <w:tabs>
          <w:tab w:leader="none" w:pos="2278"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Each party’s obligations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5" w:lineRule="exact"/>
        <w:rPr>
          <w:rFonts w:ascii="Arial" w:cs="Arial" w:eastAsia="Arial" w:hAnsi="Arial"/>
          <w:sz w:val="17"/>
          <w:szCs w:val="17"/>
          <w:color w:val="auto"/>
        </w:rPr>
      </w:pPr>
    </w:p>
    <w:p>
      <w:pPr>
        <w:ind w:left="840" w:firstLine="640"/>
        <w:spacing w:after="0" w:line="277" w:lineRule="auto"/>
        <w:tabs>
          <w:tab w:leader="none" w:pos="2211"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the term “</w:t>
      </w:r>
      <w:r>
        <w:rPr>
          <w:rFonts w:ascii="Arial" w:cs="Arial" w:eastAsia="Arial" w:hAnsi="Arial"/>
          <w:sz w:val="18"/>
          <w:szCs w:val="18"/>
          <w:u w:val="single" w:color="auto"/>
          <w:color w:val="auto"/>
        </w:rPr>
        <w:t>Lender</w:t>
      </w:r>
      <w:r>
        <w:rPr>
          <w:rFonts w:ascii="Arial" w:cs="Arial" w:eastAsia="Arial" w:hAnsi="Arial"/>
          <w:sz w:val="18"/>
          <w:szCs w:val="18"/>
          <w:color w:val="auto"/>
        </w:rPr>
        <w:t>” includes each Issuing Bank and the term “applicable law” includes FATCA.</w:t>
      </w:r>
    </w:p>
    <w:p>
      <w:pPr>
        <w:spacing w:after="0" w:line="170"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color w:val="auto"/>
        </w:rPr>
        <w:t>Payments Generally; Allocation of Proceeds; Pro Rata Treatment; Sharing of Set-offs.</w:t>
      </w:r>
    </w:p>
    <w:p>
      <w:pPr>
        <w:spacing w:after="0" w:line="225" w:lineRule="exact"/>
        <w:rPr>
          <w:sz w:val="20"/>
          <w:szCs w:val="20"/>
          <w:color w:val="auto"/>
        </w:rPr>
      </w:pPr>
    </w:p>
    <w:p>
      <w:pPr>
        <w:jc w:val="both"/>
        <w:ind w:left="840" w:firstLine="640"/>
        <w:spacing w:after="0" w:line="268" w:lineRule="auto"/>
        <w:tabs>
          <w:tab w:leader="none" w:pos="243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 xml:space="preserve">The Borrowers shall make each payment required to be made by them hereunder (whether of principal, interest, fees or reimbursement of LC Disbursements, or of amounts payable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or otherwise) prior to 4:00 p.m., Chicago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or to the account designated by Administrative Agent, except payments to be made directly to the Issuing Bank or Swingline Lender as expressly provided herein and except that payments pursuant to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accrue and be payable for the period of such extension. All payments hereunder shall be made in Dollars.</w:t>
      </w: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8" w:name="page289"/>
    <w:bookmarkEnd w:id="288"/>
    <w:p>
      <w:pPr>
        <w:jc w:val="both"/>
        <w:ind w:left="840" w:firstLine="640"/>
        <w:spacing w:after="0" w:line="286" w:lineRule="auto"/>
        <w:tabs>
          <w:tab w:leader="none" w:pos="2372" w:val="left"/>
        </w:tabs>
        <w:numPr>
          <w:ilvl w:val="1"/>
          <w:numId w:val="366"/>
        </w:numPr>
        <w:rPr>
          <w:rFonts w:ascii="Arial" w:cs="Arial" w:eastAsia="Arial" w:hAnsi="Arial"/>
          <w:sz w:val="16"/>
          <w:szCs w:val="16"/>
          <w:color w:val="auto"/>
        </w:rPr>
      </w:pPr>
      <w:r>
        <w:rPr>
          <w:rFonts w:ascii="Arial" w:cs="Arial" w:eastAsia="Arial" w:hAnsi="Arial"/>
          <w:sz w:val="16"/>
          <w:szCs w:val="16"/>
          <w:color w:val="auto"/>
        </w:rPr>
        <w:t xml:space="preserve">Any proceeds of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(C) amounts to be applied from the Collection Account when full cash dominion is in effect (which shall be applied in accordance with </w:t>
      </w:r>
      <w:r>
        <w:rPr>
          <w:rFonts w:ascii="Arial" w:cs="Arial" w:eastAsia="Arial" w:hAnsi="Arial"/>
          <w:sz w:val="16"/>
          <w:szCs w:val="16"/>
          <w:u w:val="single" w:color="auto"/>
          <w:color w:val="auto"/>
        </w:rPr>
        <w:t>Section 2.10(b)</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jc w:val="both"/>
        <w:ind w:left="840" w:hanging="8"/>
        <w:spacing w:after="0" w:line="283" w:lineRule="auto"/>
        <w:tabs>
          <w:tab w:leader="none" w:pos="1113"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after an Event of Default has occurred and is continuing and the Administrative Agent so elects or the Required Lenders so direct, such funds shall be applied, subject to the terms of the ABL/</w:t>
      </w:r>
      <w:r>
        <w:rPr>
          <w:rFonts w:ascii="Arial" w:cs="Arial" w:eastAsia="Arial" w:hAnsi="Arial"/>
          <w:sz w:val="16"/>
          <w:szCs w:val="16"/>
          <w:b w:val="1"/>
          <w:bCs w:val="1"/>
          <w:color w:val="FF0000"/>
          <w:strike w:val="1"/>
        </w:rPr>
        <w:t>Term Loan</w:t>
      </w:r>
      <w:r>
        <w:rPr>
          <w:rFonts w:ascii="Arial" w:cs="Arial" w:eastAsia="Arial" w:hAnsi="Arial"/>
          <w:sz w:val="16"/>
          <w:szCs w:val="16"/>
          <w:b w:val="1"/>
          <w:bCs w:val="1"/>
          <w:u w:val="single" w:color="auto"/>
          <w:color w:val="0000FF"/>
        </w:rPr>
        <w:t>Fixed Asset</w:t>
      </w:r>
      <w:r>
        <w:rPr>
          <w:rFonts w:ascii="Arial" w:cs="Arial" w:eastAsia="Arial" w:hAnsi="Arial"/>
          <w:sz w:val="16"/>
          <w:szCs w:val="16"/>
          <w:color w:val="auto"/>
        </w:rPr>
        <w:t xml:space="preserve"> Intercreditor Agreement, ratably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 any fees, indemnities, or expense reimbursements including amounts then due to the Administrative Agent and the Issuing Bank from the Borrowers (other than in connection with Banking Services Obligations or Swap Agreement Obligations),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 any fees, indemnities, or expense reimbursements then due to the Lenders from the Borrowers (other than in connection with Banking Services Obligations or Swap Agreement Obligations),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 interest due in respect of the Overadvances and Protective Advances,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pay the principal of the Overadvances and Protective Advances,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pay interest then due and payable on the Loans (other than the Overadvances and Protective Advances) ratably,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prepay principal on the Loans (other than the Overadvances and Protective Advances) and unreimbursed LC Disbursements and to pay any amounts owing with respect to Swap Agreement Obligations up to and including the amount most recently provided to the Administrative Agent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for which Reserves have been established ratably,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pay an amount to the Administrative Agent equal to one hundred three percent (103%) of the aggregate undrawn face amount of all outstanding Letters of Credit and the aggregate amount of any unpaid LC Disbursements, to be held as cash collateral for such Obligations,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payment of any amounts owing with respect to Banking Services Obligations and Swap Agreement Obligations up to and including the amount most recently provided to the Administrative Agent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and to the extent not paid pursuant to clause sixth above, and </w:t>
      </w:r>
      <w:r>
        <w:rPr>
          <w:rFonts w:ascii="Arial" w:cs="Arial" w:eastAsia="Arial" w:hAnsi="Arial"/>
          <w:sz w:val="16"/>
          <w:szCs w:val="16"/>
          <w:u w:val="single" w:color="auto"/>
          <w:color w:val="auto"/>
        </w:rPr>
        <w:t>ninth</w:t>
      </w:r>
      <w:r>
        <w:rPr>
          <w:rFonts w:ascii="Arial" w:cs="Arial" w:eastAsia="Arial" w:hAnsi="Arial"/>
          <w:sz w:val="16"/>
          <w:szCs w:val="16"/>
          <w:color w:val="auto"/>
        </w:rPr>
        <w:t xml:space="preserve">, to the payment of any other Secured Obligation due to the Administrative Agent or any Lender by the Borrowers. Notwithstanding the 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Eurodollar Loan of a Class, except (a) on the expiration date of the Interest Period applicable thereto or (b) in the event, and only to the extent, that there are no outstanding ABR Loans of the same Class and, in any such event, the Borrowers shall pay the break funding payment required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The Administrative Agent and the Lenders shall have the continuing and exclusive right to apply and reverse and reapply any and all such proceeds and payments to any portion of the Secured Obligations.</w:t>
      </w: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9" w:name="page290"/>
    <w:bookmarkEnd w:id="289"/>
    <w:p>
      <w:pPr>
        <w:jc w:val="both"/>
        <w:ind w:left="840" w:firstLine="640"/>
        <w:spacing w:after="0" w:line="283" w:lineRule="auto"/>
        <w:tabs>
          <w:tab w:leader="none" w:pos="2416" w:val="left"/>
        </w:tabs>
        <w:numPr>
          <w:ilvl w:val="1"/>
          <w:numId w:val="368"/>
        </w:numPr>
        <w:rPr>
          <w:rFonts w:ascii="Arial" w:cs="Arial" w:eastAsia="Arial" w:hAnsi="Arial"/>
          <w:sz w:val="16"/>
          <w:szCs w:val="16"/>
          <w:color w:val="auto"/>
        </w:rPr>
      </w:pPr>
      <w:r>
        <w:rPr>
          <w:rFonts w:ascii="Arial" w:cs="Arial" w:eastAsia="Arial" w:hAnsi="Arial"/>
          <w:sz w:val="16"/>
          <w:szCs w:val="16"/>
          <w:color w:val="auto"/>
        </w:rPr>
        <w:t xml:space="preserve">At the election of the Administrative Agent, all payments of principal, interest, LC Disbursements, fees, premiums, reimbursable expenses (including, without limitation, all reimbursement for fees, costs and expenses pursuant to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and other sums payable under the Loan Documents, may be paid from the proceeds of Borrowings made hereunder whether made following a request by the Borrower Representative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a deemed request as provided in this Section or may be deducted from any deposit account of any Borrower maintained with the Administrative Agent (and the Administrative Agent will provide reasonably prompt notice of such deduction to the Borrower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failure to provide such notice shall not limit the ability of the Administrative Agent to make such deduction).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and that all such Borrowings shall be deemed to have been requested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2.05</w:t>
      </w:r>
      <w:r>
        <w:rPr>
          <w:rFonts w:ascii="Arial" w:cs="Arial" w:eastAsia="Arial" w:hAnsi="Arial"/>
          <w:sz w:val="16"/>
          <w:szCs w:val="16"/>
          <w:color w:val="auto"/>
        </w:rPr>
        <w:t>, as applicable, and</w:t>
      </w:r>
    </w:p>
    <w:p>
      <w:pPr>
        <w:spacing w:after="0" w:line="2" w:lineRule="exact"/>
        <w:rPr>
          <w:rFonts w:ascii="Arial" w:cs="Arial" w:eastAsia="Arial" w:hAnsi="Arial"/>
          <w:sz w:val="16"/>
          <w:szCs w:val="16"/>
          <w:color w:val="auto"/>
        </w:rPr>
      </w:pPr>
    </w:p>
    <w:p>
      <w:pPr>
        <w:ind w:left="840" w:hanging="8"/>
        <w:spacing w:after="0" w:line="323" w:lineRule="auto"/>
        <w:tabs>
          <w:tab w:leader="none" w:pos="110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the Administrative Agent to charge any deposit account of any Borrower maintained with the Administrative Agent for each payment of principal, interest and fees as it becomes due hereunder or any other amount due under the Loan Documents.</w:t>
      </w:r>
    </w:p>
    <w:p>
      <w:pPr>
        <w:spacing w:after="0" w:line="3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0" w:name="page291"/>
    <w:bookmarkEnd w:id="290"/>
    <w:p>
      <w:pPr>
        <w:jc w:val="both"/>
        <w:ind w:left="840" w:firstLine="640"/>
        <w:spacing w:after="0" w:line="267" w:lineRule="auto"/>
        <w:tabs>
          <w:tab w:leader="none" w:pos="2413" w:val="left"/>
        </w:tabs>
        <w:numPr>
          <w:ilvl w:val="0"/>
          <w:numId w:val="370"/>
        </w:numPr>
        <w:rPr>
          <w:rFonts w:ascii="Arial" w:cs="Arial" w:eastAsia="Arial" w:hAnsi="Arial"/>
          <w:sz w:val="17"/>
          <w:szCs w:val="17"/>
          <w:color w:val="auto"/>
        </w:rPr>
      </w:pPr>
      <w:r>
        <w:rPr>
          <w:rFonts w:ascii="Arial" w:cs="Arial" w:eastAsia="Arial" w:hAnsi="Arial"/>
          <w:sz w:val="17"/>
          <w:szCs w:val="17"/>
          <w:color w:val="auto"/>
        </w:rPr>
        <w:t xml:space="preserve">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9" w:lineRule="exact"/>
        <w:rPr>
          <w:rFonts w:ascii="Arial" w:cs="Arial" w:eastAsia="Arial" w:hAnsi="Arial"/>
          <w:sz w:val="17"/>
          <w:szCs w:val="17"/>
          <w:color w:val="auto"/>
        </w:rPr>
      </w:pPr>
    </w:p>
    <w:p>
      <w:pPr>
        <w:jc w:val="both"/>
        <w:ind w:left="840" w:firstLine="640"/>
        <w:spacing w:after="0" w:line="289" w:lineRule="auto"/>
        <w:tabs>
          <w:tab w:leader="none" w:pos="2349" w:val="left"/>
        </w:tabs>
        <w:numPr>
          <w:ilvl w:val="0"/>
          <w:numId w:val="370"/>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Borrower Representative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66" w:lineRule="exact"/>
        <w:rPr>
          <w:rFonts w:ascii="Arial" w:cs="Arial" w:eastAsia="Arial" w:hAnsi="Arial"/>
          <w:sz w:val="16"/>
          <w:szCs w:val="16"/>
          <w:color w:val="auto"/>
        </w:rPr>
      </w:pPr>
    </w:p>
    <w:p>
      <w:pPr>
        <w:jc w:val="both"/>
        <w:ind w:left="840" w:firstLine="640"/>
        <w:spacing w:after="0" w:line="291" w:lineRule="auto"/>
        <w:tabs>
          <w:tab w:leader="none" w:pos="231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If any Lender shall fail to make any payment required to be made by it hereunder, then the Administrative Agent may, in its discretion (notwithstanding any contrary provision hereof), (i) apply any amounts thereafter received by the Administrative Agent for the account of such Lender for the benefit of the Administrative Agent, the Swingline Lender or the Issuing Bank to satisfy such Lender’s obligations to it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in any order as determined by the Administrative Agent in its discretion.</w:t>
      </w:r>
    </w:p>
    <w:p>
      <w:pPr>
        <w:spacing w:after="0" w:line="166" w:lineRule="exact"/>
        <w:rPr>
          <w:rFonts w:ascii="Arial" w:cs="Arial" w:eastAsia="Arial" w:hAnsi="Arial"/>
          <w:sz w:val="16"/>
          <w:szCs w:val="16"/>
          <w:color w:val="auto"/>
        </w:rPr>
      </w:pPr>
    </w:p>
    <w:p>
      <w:pPr>
        <w:jc w:val="both"/>
        <w:ind w:left="840" w:firstLine="640"/>
        <w:spacing w:after="0" w:line="270" w:lineRule="auto"/>
        <w:tabs>
          <w:tab w:leader="none" w:pos="2264"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Administrative Agent may from time to time provide the Borrowers with account statements or invoices with respect to any of the Secured Obligations (the “</w:t>
      </w:r>
      <w:r>
        <w:rPr>
          <w:rFonts w:ascii="Arial" w:cs="Arial" w:eastAsia="Arial" w:hAnsi="Arial"/>
          <w:sz w:val="17"/>
          <w:szCs w:val="17"/>
          <w:u w:val="single" w:color="auto"/>
          <w:color w:val="auto"/>
        </w:rPr>
        <w:t>Statements</w:t>
      </w:r>
      <w:r>
        <w:rPr>
          <w:rFonts w:ascii="Arial" w:cs="Arial" w:eastAsia="Arial" w:hAnsi="Arial"/>
          <w:sz w:val="17"/>
          <w:szCs w:val="17"/>
          <w:color w:val="auto"/>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w:t>
      </w:r>
      <w:r>
        <w:rPr>
          <w:rFonts w:ascii="Arial" w:cs="Arial" w:eastAsia="Arial" w:hAnsi="Arial"/>
          <w:sz w:val="17"/>
          <w:szCs w:val="17"/>
          <w:u w:val="single" w:color="auto"/>
          <w:color w:val="auto"/>
        </w:rPr>
        <w:t>provided</w:t>
      </w:r>
      <w:r>
        <w:rPr>
          <w:rFonts w:ascii="Arial" w:cs="Arial" w:eastAsia="Arial" w:hAnsi="Arial"/>
          <w:sz w:val="17"/>
          <w:szCs w:val="17"/>
          <w:color w:val="auto"/>
        </w:rPr>
        <w:t>,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1" w:name="page292"/>
    <w:bookmarkEnd w:id="291"/>
    <w:p>
      <w:pPr>
        <w:ind w:left="840"/>
        <w:spacing w:after="0"/>
        <w:tabs>
          <w:tab w:leader="none" w:pos="220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color w:val="auto"/>
        </w:rPr>
        <w:t>Mitigation Obligations; Replacement of Lenders.</w:t>
      </w:r>
    </w:p>
    <w:p>
      <w:pPr>
        <w:spacing w:after="0" w:line="225" w:lineRule="exact"/>
        <w:rPr>
          <w:sz w:val="20"/>
          <w:szCs w:val="20"/>
          <w:color w:val="auto"/>
        </w:rPr>
      </w:pPr>
    </w:p>
    <w:p>
      <w:pPr>
        <w:jc w:val="both"/>
        <w:ind w:left="840" w:firstLine="640"/>
        <w:spacing w:after="0" w:line="271" w:lineRule="auto"/>
        <w:tabs>
          <w:tab w:leader="none" w:pos="2565" w:val="left"/>
        </w:tabs>
        <w:numPr>
          <w:ilvl w:val="1"/>
          <w:numId w:val="371"/>
        </w:numPr>
        <w:rPr>
          <w:rFonts w:ascii="Arial" w:cs="Arial" w:eastAsia="Arial" w:hAnsi="Arial"/>
          <w:sz w:val="17"/>
          <w:szCs w:val="17"/>
          <w:color w:val="auto"/>
        </w:rPr>
      </w:pPr>
      <w:r>
        <w:rPr>
          <w:rFonts w:ascii="Arial" w:cs="Arial" w:eastAsia="Arial" w:hAnsi="Arial"/>
          <w:sz w:val="17"/>
          <w:szCs w:val="17"/>
          <w:color w:val="auto"/>
        </w:rPr>
        <w:t xml:space="preserve">If any Lender requests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if any Borrower is required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78" w:lineRule="exact"/>
        <w:rPr>
          <w:rFonts w:ascii="Arial" w:cs="Arial" w:eastAsia="Arial" w:hAnsi="Arial"/>
          <w:sz w:val="17"/>
          <w:szCs w:val="17"/>
          <w:color w:val="auto"/>
        </w:rPr>
      </w:pPr>
    </w:p>
    <w:p>
      <w:pPr>
        <w:jc w:val="both"/>
        <w:ind w:left="840" w:firstLine="640"/>
        <w:spacing w:after="0" w:line="282" w:lineRule="auto"/>
        <w:tabs>
          <w:tab w:leader="none" w:pos="2521" w:val="left"/>
        </w:tabs>
        <w:numPr>
          <w:ilvl w:val="1"/>
          <w:numId w:val="371"/>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(ii) any Borrower is required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(iii) any Lender becomes a Defaulting Lender, then the Company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(other than its existing rights to payments pursuant to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obligations under the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have received the prior written consent of the Administrative Agent (and if a Commitment is being assigned, each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w:t>
      </w:r>
    </w:p>
    <w:p>
      <w:pPr>
        <w:spacing w:after="0" w:line="11" w:lineRule="exact"/>
        <w:rPr>
          <w:rFonts w:ascii="Arial" w:cs="Arial" w:eastAsia="Arial" w:hAnsi="Arial"/>
          <w:sz w:val="16"/>
          <w:szCs w:val="16"/>
          <w:color w:val="auto"/>
        </w:rPr>
      </w:pPr>
    </w:p>
    <w:p>
      <w:pPr>
        <w:jc w:val="both"/>
        <w:ind w:left="840" w:hanging="8"/>
        <w:spacing w:after="0" w:line="287" w:lineRule="auto"/>
        <w:tabs>
          <w:tab w:leader="none" w:pos="1103"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documents shall be without recourse to or warranty by the parties thereto.</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2" w:name="page293"/>
    <w:bookmarkEnd w:id="292"/>
    <w:p>
      <w:pPr>
        <w:ind w:left="180" w:right="20" w:firstLine="648"/>
        <w:spacing w:after="0" w:line="277" w:lineRule="auto"/>
        <w:rPr>
          <w:sz w:val="20"/>
          <w:szCs w:val="20"/>
          <w:color w:val="auto"/>
        </w:rPr>
      </w:pPr>
      <w:r>
        <w:rPr>
          <w:rFonts w:ascii="Arial" w:cs="Arial" w:eastAsia="Arial" w:hAnsi="Arial"/>
          <w:sz w:val="18"/>
          <w:szCs w:val="18"/>
          <w:color w:val="auto"/>
        </w:rPr>
        <w:t>SECTION 2.20. Defaulting Lenders.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2240" w:hanging="760"/>
        <w:spacing w:after="0"/>
        <w:tabs>
          <w:tab w:leader="none" w:pos="224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fees shall cease to accrue on the unfunded portion of the Commitment of such Defaulting Lender pursuant to</w:t>
      </w:r>
    </w:p>
    <w:p>
      <w:pPr>
        <w:spacing w:after="0" w:line="4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840" w:firstLine="640"/>
        <w:spacing w:after="0" w:line="283" w:lineRule="auto"/>
        <w:tabs>
          <w:tab w:leader="none" w:pos="24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any Issuing Bank or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the Issuing Bank’s LC Exposure with respect to such Defaulting Lender in accordance with this Section;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3" w:name="page294"/>
    <w:bookmarkEnd w:id="293"/>
    <w:p>
      <w:pPr>
        <w:jc w:val="both"/>
        <w:ind w:left="840" w:firstLine="640"/>
        <w:spacing w:after="0" w:line="254" w:lineRule="auto"/>
        <w:tabs>
          <w:tab w:leader="none" w:pos="2295" w:val="left"/>
        </w:tabs>
        <w:numPr>
          <w:ilvl w:val="1"/>
          <w:numId w:val="374"/>
        </w:numPr>
        <w:rPr>
          <w:rFonts w:ascii="Arial" w:cs="Arial" w:eastAsia="Arial" w:hAnsi="Arial"/>
          <w:sz w:val="18"/>
          <w:szCs w:val="18"/>
          <w:color w:val="auto"/>
        </w:rPr>
      </w:pPr>
      <w:r>
        <w:rPr>
          <w:rFonts w:ascii="Arial" w:cs="Arial" w:eastAsia="Arial" w:hAnsi="Arial"/>
          <w:sz w:val="18"/>
          <w:szCs w:val="18"/>
          <w:color w:val="auto"/>
        </w:rPr>
        <w:t xml:space="preserve">such Defaulting Lender shall not have the right to vote on any issue on which voting is required (other than to the extent expressly provided in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and the Commitment and Revolving Exposure of such Defaulting Lender shall not be included in determining whether the Required Lenders have taken or may take any action hereunder (including any consent to any amendment, waiver or other modification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under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otherwise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apply to the vote of a Defaulting Lender in the case of an amendment, waiver or other modification requiring the consent of such Lender or each Lender directly affected thereby;</w:t>
      </w:r>
    </w:p>
    <w:p>
      <w:pPr>
        <w:spacing w:after="0" w:line="194" w:lineRule="exact"/>
        <w:rPr>
          <w:rFonts w:ascii="Arial" w:cs="Arial" w:eastAsia="Arial" w:hAnsi="Arial"/>
          <w:sz w:val="18"/>
          <w:szCs w:val="18"/>
          <w:color w:val="auto"/>
        </w:rPr>
      </w:pPr>
    </w:p>
    <w:p>
      <w:pPr>
        <w:ind w:left="2220" w:hanging="740"/>
        <w:spacing w:after="0"/>
        <w:tabs>
          <w:tab w:leader="none" w:pos="222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if any Swingline Exposure or LC Exposure exists at the time such Lender becomes a Defaulting Lender then:</w:t>
      </w:r>
    </w:p>
    <w:p>
      <w:pPr>
        <w:spacing w:after="0" w:line="248" w:lineRule="exact"/>
        <w:rPr>
          <w:rFonts w:ascii="Arial" w:cs="Arial" w:eastAsia="Arial" w:hAnsi="Arial"/>
          <w:sz w:val="16"/>
          <w:szCs w:val="16"/>
          <w:color w:val="auto"/>
        </w:rPr>
      </w:pPr>
    </w:p>
    <w:p>
      <w:pPr>
        <w:jc w:val="both"/>
        <w:ind w:left="-460" w:firstLine="644"/>
        <w:spacing w:after="0" w:line="255" w:lineRule="auto"/>
        <w:tabs>
          <w:tab w:leader="none" w:pos="104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all or any part of the Swingline Exposure and LC Exposure of such Defaulting Lender shall be reallocated among the non-Defaulting Lenders in accordance with their respective Applicable Percentages but only (x) to the extent that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at the time of such reallocation (and, unless the Borrower Representative shall have otherwise notified the Administrative Agent at such time, the Borrowers shall be deemed to have represented and warranted that such conditions are satisfied at such time) and (y) to the extent that such reallocation does not, as to any non-Defaulting Lender, cause such non-Defaulting Lender’s Revolving Exposure and to exceed its Commitment;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4" w:name="page295"/>
    <w:bookmarkEnd w:id="294"/>
    <w:p>
      <w:pPr>
        <w:ind w:left="2280" w:hanging="976"/>
        <w:spacing w:after="0"/>
        <w:tabs>
          <w:tab w:leader="none" w:pos="2280" w:val="left"/>
        </w:tabs>
        <w:numPr>
          <w:ilvl w:val="1"/>
          <w:numId w:val="376"/>
        </w:numPr>
        <w:rPr>
          <w:rFonts w:ascii="Arial" w:cs="Arial" w:eastAsia="Arial" w:hAnsi="Arial"/>
          <w:sz w:val="17"/>
          <w:szCs w:val="17"/>
          <w:color w:val="auto"/>
        </w:rPr>
      </w:pPr>
      <w:r>
        <w:rPr>
          <w:rFonts w:ascii="Arial" w:cs="Arial" w:eastAsia="Arial" w:hAnsi="Arial"/>
          <w:sz w:val="17"/>
          <w:szCs w:val="17"/>
          <w:color w:val="auto"/>
        </w:rPr>
        <w:t xml:space="preserve">if the reallocation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cannot, or can only partially, be effected, the Borrowers shall within one</w:t>
      </w:r>
    </w:p>
    <w:p>
      <w:pPr>
        <w:spacing w:after="0" w:line="34" w:lineRule="exact"/>
        <w:rPr>
          <w:rFonts w:ascii="Arial" w:cs="Arial" w:eastAsia="Arial" w:hAnsi="Arial"/>
          <w:sz w:val="17"/>
          <w:szCs w:val="17"/>
          <w:color w:val="auto"/>
        </w:rPr>
      </w:pPr>
    </w:p>
    <w:p>
      <w:pPr>
        <w:jc w:val="both"/>
        <w:ind w:left="660" w:hanging="4"/>
        <w:spacing w:after="0" w:line="253" w:lineRule="auto"/>
        <w:tabs>
          <w:tab w:leader="none" w:pos="91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Business Day following notice by the Administrative Agent (x) first, prepay such Swingline Exposure and (y) second, cash collateralize for the benefit of the relevant Issuing Banks only the Borrowers’ obligations corresponding to such Defaulting Lender’s LC Exposure (after giving effect to any partial reallocation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accordance with the procedures set forth in </w:t>
      </w:r>
      <w:r>
        <w:rPr>
          <w:rFonts w:ascii="Arial" w:cs="Arial" w:eastAsia="Arial" w:hAnsi="Arial"/>
          <w:sz w:val="18"/>
          <w:szCs w:val="18"/>
          <w:u w:val="single" w:color="auto"/>
          <w:color w:val="auto"/>
        </w:rPr>
        <w:t>Section 2.06(j)</w:t>
      </w:r>
      <w:r>
        <w:rPr>
          <w:rFonts w:ascii="Arial" w:cs="Arial" w:eastAsia="Arial" w:hAnsi="Arial"/>
          <w:sz w:val="18"/>
          <w:szCs w:val="18"/>
          <w:color w:val="auto"/>
        </w:rPr>
        <w:t xml:space="preserve"> for so long as such LC Exposure is outstanding;</w:t>
      </w:r>
    </w:p>
    <w:p>
      <w:pPr>
        <w:spacing w:after="0" w:line="192" w:lineRule="exact"/>
        <w:rPr>
          <w:rFonts w:ascii="Arial" w:cs="Arial" w:eastAsia="Arial" w:hAnsi="Arial"/>
          <w:sz w:val="18"/>
          <w:szCs w:val="18"/>
          <w:color w:val="auto"/>
        </w:rPr>
      </w:pPr>
    </w:p>
    <w:p>
      <w:pPr>
        <w:jc w:val="both"/>
        <w:ind w:left="660" w:firstLine="644"/>
        <w:spacing w:after="0" w:line="263" w:lineRule="auto"/>
        <w:tabs>
          <w:tab w:leader="none" w:pos="2239" w:val="left"/>
        </w:tabs>
        <w:numPr>
          <w:ilvl w:val="1"/>
          <w:numId w:val="377"/>
        </w:numPr>
        <w:rPr>
          <w:rFonts w:ascii="Arial" w:cs="Arial" w:eastAsia="Arial" w:hAnsi="Arial"/>
          <w:sz w:val="18"/>
          <w:szCs w:val="18"/>
          <w:color w:val="auto"/>
        </w:rPr>
      </w:pPr>
      <w:r>
        <w:rPr>
          <w:rFonts w:ascii="Arial" w:cs="Arial" w:eastAsia="Arial" w:hAnsi="Arial"/>
          <w:sz w:val="18"/>
          <w:szCs w:val="18"/>
          <w:color w:val="auto"/>
        </w:rPr>
        <w:t xml:space="preserve">if the Borrowers cash collateralize any portion of such Defaulting Lender’s LC Exposure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the Borrowers shall not be required to pay any fees to such Defaulting Lender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with respect to such Defaulting Lender’s LC Exposure during the period such Defaulting Lender’s LC Exposure is cash collateralized;</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269" w:val="left"/>
        </w:tabs>
        <w:numPr>
          <w:ilvl w:val="1"/>
          <w:numId w:val="377"/>
        </w:numPr>
        <w:rPr>
          <w:rFonts w:ascii="Arial" w:cs="Arial" w:eastAsia="Arial" w:hAnsi="Arial"/>
          <w:sz w:val="18"/>
          <w:szCs w:val="18"/>
          <w:color w:val="auto"/>
        </w:rPr>
      </w:pPr>
      <w:r>
        <w:rPr>
          <w:rFonts w:ascii="Arial" w:cs="Arial" w:eastAsia="Arial" w:hAnsi="Arial"/>
          <w:sz w:val="18"/>
          <w:szCs w:val="18"/>
          <w:color w:val="auto"/>
        </w:rPr>
        <w:t xml:space="preserve">if the LC Exposure of the non-Defaulting Lenders is reallocated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then the fees payable to the Lenders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shall be adjusted in accordance with such non-Defaulting Lenders’ Applicable Percentages; and</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2314" w:val="left"/>
        </w:tabs>
        <w:numPr>
          <w:ilvl w:val="1"/>
          <w:numId w:val="377"/>
        </w:numPr>
        <w:rPr>
          <w:rFonts w:ascii="Arial" w:cs="Arial" w:eastAsia="Arial" w:hAnsi="Arial"/>
          <w:sz w:val="18"/>
          <w:szCs w:val="18"/>
          <w:color w:val="auto"/>
        </w:rPr>
      </w:pPr>
      <w:r>
        <w:rPr>
          <w:rFonts w:ascii="Arial" w:cs="Arial" w:eastAsia="Arial" w:hAnsi="Arial"/>
          <w:sz w:val="18"/>
          <w:szCs w:val="18"/>
          <w:color w:val="auto"/>
        </w:rPr>
        <w:t xml:space="preserve">if all or any portion of such Defaulting Lender’s LC Exposure is neither reallocated nor cash collateralized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then, without prejudice to any rights or remedies of any Issuing Bank or any other Lender hereunder, all letter of credit fees payable under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with respect to such Defaulting Lender’s LC Exposure shall be payable to the relevant Issuing Banks until and to the extent that such LC Exposure is reallocated and/or cash collateralized; and</w:t>
      </w:r>
    </w:p>
    <w:p>
      <w:pPr>
        <w:spacing w:after="0" w:line="186" w:lineRule="exact"/>
        <w:rPr>
          <w:rFonts w:ascii="Arial" w:cs="Arial" w:eastAsia="Arial" w:hAnsi="Arial"/>
          <w:sz w:val="18"/>
          <w:szCs w:val="18"/>
          <w:color w:val="auto"/>
        </w:rPr>
      </w:pPr>
    </w:p>
    <w:p>
      <w:pPr>
        <w:jc w:val="both"/>
        <w:ind w:left="1960" w:firstLine="640"/>
        <w:spacing w:after="0" w:line="255" w:lineRule="auto"/>
        <w:tabs>
          <w:tab w:leader="none" w:pos="3550" w:val="left"/>
        </w:tabs>
        <w:numPr>
          <w:ilvl w:val="2"/>
          <w:numId w:val="377"/>
        </w:numPr>
        <w:rPr>
          <w:rFonts w:ascii="Arial" w:cs="Arial" w:eastAsia="Arial" w:hAnsi="Arial"/>
          <w:sz w:val="18"/>
          <w:szCs w:val="18"/>
          <w:color w:val="auto"/>
        </w:rPr>
      </w:pPr>
      <w:r>
        <w:rPr>
          <w:rFonts w:ascii="Arial" w:cs="Arial" w:eastAsia="Arial" w:hAnsi="Arial"/>
          <w:sz w:val="18"/>
          <w:szCs w:val="18"/>
          <w:color w:val="auto"/>
        </w:rPr>
        <w:t xml:space="preserve">so long as such Lender is a Defaulting Lender, the Issuing Banks shall not be required to issue, amend, renew, extend or increase any Letter of Credit, unless it is satisfied that such Defaulting Lender’s then outstanding LC Exposure will be 100% covered by the Commitments of the non-Defaulting Lenders and/or cash collateral will be provided by the Borrowers in accordance with </w:t>
      </w:r>
      <w:r>
        <w:rPr>
          <w:rFonts w:ascii="Arial" w:cs="Arial" w:eastAsia="Arial" w:hAnsi="Arial"/>
          <w:sz w:val="18"/>
          <w:szCs w:val="18"/>
          <w:u w:val="single" w:color="auto"/>
          <w:color w:val="auto"/>
        </w:rPr>
        <w:t>Section 2.20(d)</w:t>
      </w:r>
      <w:r>
        <w:rPr>
          <w:rFonts w:ascii="Arial" w:cs="Arial" w:eastAsia="Arial" w:hAnsi="Arial"/>
          <w:sz w:val="18"/>
          <w:szCs w:val="18"/>
          <w:color w:val="auto"/>
        </w:rPr>
        <w:t xml:space="preserve">, and LC Exposure related to any newly issued or increased Letter of Credit shall be allocated among non-Defaulting Lenders in a manner consistent with </w:t>
      </w:r>
      <w:r>
        <w:rPr>
          <w:rFonts w:ascii="Arial" w:cs="Arial" w:eastAsia="Arial" w:hAnsi="Arial"/>
          <w:sz w:val="18"/>
          <w:szCs w:val="18"/>
          <w:u w:val="single" w:color="auto"/>
          <w:color w:val="auto"/>
        </w:rPr>
        <w:t>Section 2.20(d)(i)</w:t>
      </w:r>
      <w:r>
        <w:rPr>
          <w:rFonts w:ascii="Arial" w:cs="Arial" w:eastAsia="Arial" w:hAnsi="Arial"/>
          <w:sz w:val="18"/>
          <w:szCs w:val="18"/>
          <w:color w:val="auto"/>
        </w:rPr>
        <w:t xml:space="preserve"> (and such Defaulting Lender shall not participate therein).</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(i) a Bankruptcy Event or a Bail-In Action with respect to a Lender Parent shall occur following the date hereof and for so long as such event shall continue or (ii) any Issuing Bank has a good faith belief that any Lender has defaulted in fulfilling its obligations under one or more other agreements in which such Lender commits to extend credit, no Issuing Bank shall be required to issue, amend or increase any Letter of Credit, unless such Issuing Bank shall have entered into arrangements with the Borrowers or such Lender, satisfactory to such Issuing Bank to defease any risk to it in respect of such Lender hereunder.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5" w:name="page296"/>
    <w:bookmarkEnd w:id="295"/>
    <w:p>
      <w:pPr>
        <w:jc w:val="both"/>
        <w:ind w:firstLine="648"/>
        <w:spacing w:after="0" w:line="271" w:lineRule="auto"/>
        <w:rPr>
          <w:sz w:val="20"/>
          <w:szCs w:val="20"/>
          <w:color w:val="auto"/>
        </w:rPr>
      </w:pPr>
      <w:r>
        <w:rPr>
          <w:rFonts w:ascii="Arial" w:cs="Arial" w:eastAsia="Arial" w:hAnsi="Arial"/>
          <w:sz w:val="17"/>
          <w:szCs w:val="17"/>
          <w:color w:val="auto"/>
        </w:rPr>
        <w:t xml:space="preserve">In the event that the Administrative Agent, the Borrower Representative and each Issuing Bank each agrees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Company while that Lender was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8"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18"/>
          <w:szCs w:val="18"/>
          <w:color w:val="auto"/>
        </w:rPr>
        <w:t xml:space="preserve">SECTION 2.21. Returned Payments.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shall survive the termination of this Agreement.</w:t>
      </w:r>
    </w:p>
    <w:p>
      <w:pPr>
        <w:spacing w:after="0" w:line="194" w:lineRule="exact"/>
        <w:rPr>
          <w:sz w:val="20"/>
          <w:szCs w:val="20"/>
          <w:color w:val="auto"/>
        </w:rPr>
      </w:pPr>
    </w:p>
    <w:p>
      <w:pPr>
        <w:jc w:val="both"/>
        <w:ind w:left="1300" w:firstLine="648"/>
        <w:spacing w:after="0" w:line="288" w:lineRule="auto"/>
        <w:rPr>
          <w:sz w:val="20"/>
          <w:szCs w:val="20"/>
          <w:color w:val="auto"/>
        </w:rPr>
      </w:pPr>
      <w:r>
        <w:rPr>
          <w:rFonts w:ascii="Arial" w:cs="Arial" w:eastAsia="Arial" w:hAnsi="Arial"/>
          <w:sz w:val="16"/>
          <w:szCs w:val="16"/>
          <w:color w:val="auto"/>
        </w:rPr>
        <w:t xml:space="preserve">SECTION 2.22. Banking Services and Swap Agreements. Each Lender or Affiliate thereof providing Banking Services (excluding Lease Financing)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addition, each such Lender or Affiliate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and which tier of the waterfall, contained in </w:t>
      </w:r>
      <w:r>
        <w:rPr>
          <w:rFonts w:ascii="Arial" w:cs="Arial" w:eastAsia="Arial" w:hAnsi="Arial"/>
          <w:sz w:val="16"/>
          <w:szCs w:val="16"/>
          <w:u w:val="single" w:color="auto"/>
          <w:color w:val="auto"/>
        </w:rPr>
        <w:t>Section 2.18(b)</w:t>
      </w:r>
      <w:r>
        <w:rPr>
          <w:rFonts w:ascii="Arial" w:cs="Arial" w:eastAsia="Arial" w:hAnsi="Arial"/>
          <w:sz w:val="16"/>
          <w:szCs w:val="16"/>
          <w:color w:val="auto"/>
        </w:rPr>
        <w:t>, such Banking Services Obligations and/or Swap Agreement Obligations will be placed.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Loan Party represents and warrants to the Lenders that: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jc w:val="both"/>
        <w:ind w:left="180" w:firstLine="648"/>
        <w:spacing w:after="0" w:line="296" w:lineRule="auto"/>
        <w:rPr>
          <w:sz w:val="20"/>
          <w:szCs w:val="20"/>
          <w:color w:val="auto"/>
        </w:rPr>
      </w:pPr>
      <w:r>
        <w:rPr>
          <w:rFonts w:ascii="Arial" w:cs="Arial" w:eastAsia="Arial" w:hAnsi="Arial"/>
          <w:sz w:val="16"/>
          <w:szCs w:val="16"/>
          <w:color w:val="auto"/>
        </w:rPr>
        <w:t>SECTION 3.01. Organization; Powers. Each Loan Party and its Material Subsidiaries is duly organized or formed, validly 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w:t>
      </w:r>
    </w:p>
    <w:p>
      <w:pPr>
        <w:spacing w:after="0" w:line="161" w:lineRule="exact"/>
        <w:rPr>
          <w:sz w:val="20"/>
          <w:szCs w:val="20"/>
          <w:color w:val="auto"/>
        </w:rPr>
      </w:pPr>
    </w:p>
    <w:p>
      <w:pPr>
        <w:jc w:val="both"/>
        <w:ind w:left="180" w:firstLine="648"/>
        <w:spacing w:after="0" w:line="255" w:lineRule="auto"/>
        <w:rPr>
          <w:sz w:val="20"/>
          <w:szCs w:val="20"/>
          <w:color w:val="auto"/>
        </w:rPr>
      </w:pPr>
      <w:r>
        <w:rPr>
          <w:rFonts w:ascii="Arial" w:cs="Arial" w:eastAsia="Arial" w:hAnsi="Arial"/>
          <w:sz w:val="18"/>
          <w:szCs w:val="18"/>
          <w:color w:val="auto"/>
        </w:rPr>
        <w:t>SECTION 3.02. Authorization; Enforceability.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jc w:val="both"/>
        <w:ind w:left="180" w:firstLine="648"/>
        <w:spacing w:after="0" w:line="289" w:lineRule="auto"/>
        <w:rPr>
          <w:sz w:val="20"/>
          <w:szCs w:val="20"/>
          <w:color w:val="auto"/>
        </w:rPr>
      </w:pPr>
      <w:r>
        <w:rPr>
          <w:rFonts w:ascii="Arial" w:cs="Arial" w:eastAsia="Arial" w:hAnsi="Arial"/>
          <w:sz w:val="16"/>
          <w:szCs w:val="16"/>
          <w:color w:val="auto"/>
        </w:rPr>
        <w:t xml:space="preserve">SECTION 3.03. Governmental Approvals; No Conflicts. The Transactions (a) do not require any material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in any material respect any applicable law or regulation or the charter, by-laws or other organizational documents of any Borrower or any of the Material Subsidiaries or any order of any Governmental Authority, (c) will not violate or result in a default under any indenture, agreement or other instrument binding upon any Borrower or any of the Material Subsidiaries or its assets, or give rise to a right thereunder to require any payment to be made by any Borrower or any of the Material Subsidiaries, except, in the case of this </w:t>
      </w:r>
      <w:r>
        <w:rPr>
          <w:rFonts w:ascii="Arial" w:cs="Arial" w:eastAsia="Arial" w:hAnsi="Arial"/>
          <w:sz w:val="16"/>
          <w:szCs w:val="16"/>
          <w:u w:val="single" w:color="auto"/>
          <w:color w:val="auto"/>
        </w:rPr>
        <w:t>clause (c)</w:t>
      </w:r>
      <w:r>
        <w:rPr>
          <w:rFonts w:ascii="Arial" w:cs="Arial" w:eastAsia="Arial" w:hAnsi="Arial"/>
          <w:sz w:val="16"/>
          <w:szCs w:val="16"/>
          <w:color w:val="auto"/>
        </w:rPr>
        <w:t>, that could not reasonably be expected to result in a Material Adverse Effect, and (d) will not result in the creation or imposition of any Lien on any asset of any Borrower or any of the Material Subsidiaries, other than Liens created under the Loan Documents.</w:t>
      </w:r>
    </w:p>
    <w:p>
      <w:pPr>
        <w:spacing w:after="0" w:line="166"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Financial Condition; No Material Adverse Change.</w:t>
      </w:r>
    </w:p>
    <w:p>
      <w:pPr>
        <w:spacing w:after="0" w:line="225" w:lineRule="exact"/>
        <w:rPr>
          <w:sz w:val="20"/>
          <w:szCs w:val="20"/>
          <w:color w:val="auto"/>
        </w:rPr>
      </w:pPr>
    </w:p>
    <w:p>
      <w:pPr>
        <w:jc w:val="both"/>
        <w:ind w:left="840" w:firstLine="640"/>
        <w:spacing w:after="0" w:line="272" w:lineRule="auto"/>
        <w:tabs>
          <w:tab w:leader="none" w:pos="2457" w:val="left"/>
        </w:tabs>
        <w:numPr>
          <w:ilvl w:val="0"/>
          <w:numId w:val="378"/>
        </w:numPr>
        <w:rPr>
          <w:rFonts w:ascii="Arial" w:cs="Arial" w:eastAsia="Arial" w:hAnsi="Arial"/>
          <w:sz w:val="17"/>
          <w:szCs w:val="17"/>
          <w:color w:val="auto"/>
        </w:rPr>
      </w:pPr>
      <w:r>
        <w:rPr>
          <w:rFonts w:ascii="Arial" w:cs="Arial" w:eastAsia="Arial" w:hAnsi="Arial"/>
          <w:sz w:val="17"/>
          <w:szCs w:val="17"/>
          <w:color w:val="auto"/>
        </w:rPr>
        <w:t xml:space="preserve">The Company has heretofore furnished to the Lenders its consolidated balance sheet and statements of income, stockholders equity and cash flows (i) as of and for the fiscal year ended August 25, 2018 reported on by Deloitte &amp; Touche LLP, independent public accountants and (ii) as of and for the fiscal quarter and the portion of the fiscal year ended May 25, 2019, certified by a Financial Officer. Such financial statements present fairly, in all material respects, the financial position and results of operations and cash flows of the Company and its consolidated Subsidiaries as of such dates and for such periods in accordance with GAAP, subject to the year-end audit adjustments and the absence of footnotes in the case of statements referred to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the immediately preceding sentence.</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7" w:name="page298"/>
    <w:bookmarkEnd w:id="297"/>
    <w:p>
      <w:pPr>
        <w:jc w:val="both"/>
        <w:ind w:left="840" w:firstLine="640"/>
        <w:spacing w:after="0" w:line="291" w:lineRule="auto"/>
        <w:tabs>
          <w:tab w:leader="none" w:pos="2332"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Company has heretofore furnished to the Lenders its pro forma consolidated balance sheet and related pro forma consolidated statement of income for the twelve-month period ended August 25, 2018, prepared giving effect to the Transactions as if the Transactions had occurred on such date (in the case of such balance sheet) or at the beginning of such period (in the case of such statement of income). Such pro forma consolidated balance sheet and related pro forma consolidated statement of income (i) has been prepared by the Company in good faith, based on assumptions believed by the Company to be reasonable at the time such assumptions were made and (iii) presents fairly, in all material respects, the pro forma financial position of the Company and its consolidated Subsidiaries as of such date as if the Transactions had occurred on such date.</w:t>
      </w:r>
    </w:p>
    <w:p>
      <w:pPr>
        <w:spacing w:after="0" w:line="166" w:lineRule="exact"/>
        <w:rPr>
          <w:rFonts w:ascii="Arial" w:cs="Arial" w:eastAsia="Arial" w:hAnsi="Arial"/>
          <w:sz w:val="16"/>
          <w:szCs w:val="16"/>
          <w:color w:val="auto"/>
        </w:rPr>
      </w:pPr>
    </w:p>
    <w:p>
      <w:pPr>
        <w:ind w:left="840" w:firstLine="640"/>
        <w:spacing w:after="0" w:line="277" w:lineRule="auto"/>
        <w:tabs>
          <w:tab w:leader="none" w:pos="243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Since August 25, 2018, there has been no material adverse change in the business, assets, operations or condition, financial or otherwise, of the Company and its Subsidiaries, taken as a whole.</w:t>
      </w:r>
    </w:p>
    <w:p>
      <w:pPr>
        <w:spacing w:after="0" w:line="170"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color w:val="auto"/>
        </w:rPr>
        <w:t>Properties.</w:t>
      </w:r>
    </w:p>
    <w:p>
      <w:pPr>
        <w:spacing w:after="0" w:line="225" w:lineRule="exact"/>
        <w:rPr>
          <w:sz w:val="20"/>
          <w:szCs w:val="20"/>
          <w:color w:val="auto"/>
        </w:rPr>
      </w:pPr>
    </w:p>
    <w:p>
      <w:pPr>
        <w:jc w:val="both"/>
        <w:ind w:left="840" w:firstLine="640"/>
        <w:spacing w:after="0" w:line="259" w:lineRule="auto"/>
        <w:tabs>
          <w:tab w:leader="none" w:pos="229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Except for Liens permitted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 each of the Company and its Material Subsidiaries has good title to, or (to the knowledge of the Company)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86" w:lineRule="exact"/>
        <w:rPr>
          <w:rFonts w:ascii="Arial" w:cs="Arial" w:eastAsia="Arial" w:hAnsi="Arial"/>
          <w:sz w:val="18"/>
          <w:szCs w:val="18"/>
          <w:color w:val="auto"/>
        </w:rPr>
      </w:pPr>
    </w:p>
    <w:p>
      <w:pPr>
        <w:jc w:val="both"/>
        <w:ind w:left="840" w:firstLine="640"/>
        <w:spacing w:after="0" w:line="279" w:lineRule="auto"/>
        <w:tabs>
          <w:tab w:leader="none" w:pos="2237" w:val="left"/>
        </w:tabs>
        <w:numPr>
          <w:ilvl w:val="0"/>
          <w:numId w:val="380"/>
        </w:numPr>
        <w:rPr>
          <w:rFonts w:ascii="Arial" w:cs="Arial" w:eastAsia="Arial" w:hAnsi="Arial"/>
          <w:sz w:val="17"/>
          <w:szCs w:val="17"/>
          <w:color w:val="auto"/>
        </w:rPr>
      </w:pPr>
      <w:r>
        <w:rPr>
          <w:rFonts w:ascii="Arial" w:cs="Arial" w:eastAsia="Arial" w:hAnsi="Arial"/>
          <w:sz w:val="17"/>
          <w:szCs w:val="17"/>
          <w:color w:val="auto"/>
        </w:rPr>
        <w:t>Each of the Company and its Subsidiaries owns, or is licensed to use, all trademarks, tradenames, copyrights, patents and other intellectual property material to its business, and the use thereof by the Company and its Subsidiaries does not, to their knowledge, infringe upon the rights of any other Person, except for any such infringements that, individually or in the aggregate, could not reasonably be expected to result in a Material Adverse Effect.</w:t>
      </w:r>
    </w:p>
    <w:p>
      <w:pPr>
        <w:spacing w:after="0" w:line="171"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Litigation and Environmental Matters.</w:t>
      </w:r>
    </w:p>
    <w:p>
      <w:pPr>
        <w:spacing w:after="0" w:line="225" w:lineRule="exact"/>
        <w:rPr>
          <w:sz w:val="20"/>
          <w:szCs w:val="20"/>
          <w:color w:val="auto"/>
        </w:rPr>
      </w:pPr>
    </w:p>
    <w:p>
      <w:pPr>
        <w:jc w:val="both"/>
        <w:ind w:left="840" w:firstLine="640"/>
        <w:spacing w:after="0" w:line="272" w:lineRule="auto"/>
        <w:tabs>
          <w:tab w:leader="none" w:pos="2497"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There are no actions, suits, proceedings or investigations by or before any arbitrator or Governmental Authority pending against or, to the knowledge of any Borrower,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 There are no labor controversies pending against or, to the knowledge of the Company, threatened against or affecting the Company or any of its Subsidiaries (i) which could reasonably be expected, individually or in the aggregate, to result in a Material Adverse Effect, or (ii) that involve this Agreement or the Transactions.</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8" w:name="page299"/>
    <w:bookmarkEnd w:id="298"/>
    <w:p>
      <w:pPr>
        <w:jc w:val="both"/>
        <w:ind w:left="840" w:firstLine="640"/>
        <w:spacing w:after="0" w:line="275" w:lineRule="auto"/>
        <w:tabs>
          <w:tab w:leader="none" w:pos="2453" w:val="left"/>
        </w:tabs>
        <w:numPr>
          <w:ilvl w:val="0"/>
          <w:numId w:val="382"/>
        </w:numPr>
        <w:rPr>
          <w:rFonts w:ascii="Arial" w:cs="Arial" w:eastAsia="Arial" w:hAnsi="Arial"/>
          <w:sz w:val="17"/>
          <w:szCs w:val="17"/>
          <w:color w:val="auto"/>
        </w:rPr>
      </w:pPr>
      <w:r>
        <w:rPr>
          <w:rFonts w:ascii="Arial" w:cs="Arial" w:eastAsia="Arial" w:hAnsi="Arial"/>
          <w:sz w:val="17"/>
          <w:szCs w:val="17"/>
          <w:color w:val="auto"/>
        </w:rPr>
        <w:t>Except with respect to any other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76" w:lineRule="exact"/>
        <w:rPr>
          <w:sz w:val="20"/>
          <w:szCs w:val="20"/>
          <w:color w:val="auto"/>
        </w:rPr>
      </w:pPr>
    </w:p>
    <w:p>
      <w:pPr>
        <w:jc w:val="both"/>
        <w:ind w:left="180" w:firstLine="648"/>
        <w:spacing w:after="0" w:line="279" w:lineRule="auto"/>
        <w:rPr>
          <w:sz w:val="20"/>
          <w:szCs w:val="20"/>
          <w:color w:val="auto"/>
        </w:rPr>
      </w:pPr>
      <w:r>
        <w:rPr>
          <w:rFonts w:ascii="Arial" w:cs="Arial" w:eastAsia="Arial" w:hAnsi="Arial"/>
          <w:sz w:val="17"/>
          <w:szCs w:val="17"/>
          <w:color w:val="auto"/>
        </w:rPr>
        <w:t>SECTION 3.07. Compliance with Laws and Agreements; No Default.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71"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auto"/>
        </w:rPr>
        <w:t>SECTION 3.08. Investment Company Status. Neither the Company nor any of its Subsidiaries is an “investment company” as defined in, or subject to regulation under, the Investment Company Act of 1940.</w:t>
      </w:r>
    </w:p>
    <w:p>
      <w:pPr>
        <w:spacing w:after="0" w:line="170" w:lineRule="exact"/>
        <w:rPr>
          <w:sz w:val="20"/>
          <w:szCs w:val="20"/>
          <w:color w:val="auto"/>
        </w:rPr>
      </w:pPr>
    </w:p>
    <w:p>
      <w:pPr>
        <w:jc w:val="both"/>
        <w:ind w:left="180" w:firstLine="648"/>
        <w:spacing w:after="0" w:line="255" w:lineRule="auto"/>
        <w:rPr>
          <w:sz w:val="20"/>
          <w:szCs w:val="20"/>
          <w:color w:val="auto"/>
        </w:rPr>
      </w:pPr>
      <w:r>
        <w:rPr>
          <w:rFonts w:ascii="Arial" w:cs="Arial" w:eastAsia="Arial" w:hAnsi="Arial"/>
          <w:sz w:val="18"/>
          <w:szCs w:val="18"/>
          <w:color w:val="auto"/>
        </w:rPr>
        <w:t>SECTION 3.09. Taxes. Each of the Company and its Subsidiaries has timely filed or caused to be filed all federal income Tax returns and all other material Tax returns and reports required to have been filed and has paid or caused to be paid or made a provision for the payment of all federal income Taxes and all other material Taxes required to have been paid by it, except (a) Taxes that are being contested in good faith by appropriate proceedings and for which the Company or such Subsidiary, as applicable, has set aside on its books adequate reserves in accordance with GAAP or (b) to the extent that the failure to do so could not reasonably be expected to result in a Material Adverse Effect.</w:t>
      </w:r>
    </w:p>
    <w:p>
      <w:pPr>
        <w:spacing w:after="0" w:line="192"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SECTION 3.10. ERISA.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84" w:lineRule="exact"/>
        <w:rPr>
          <w:sz w:val="20"/>
          <w:szCs w:val="20"/>
          <w:color w:val="auto"/>
        </w:rPr>
      </w:pPr>
    </w:p>
    <w:p>
      <w:pPr>
        <w:jc w:val="both"/>
        <w:ind w:left="180" w:firstLine="648"/>
        <w:spacing w:after="0" w:line="267" w:lineRule="auto"/>
        <w:rPr>
          <w:sz w:val="20"/>
          <w:szCs w:val="20"/>
          <w:color w:val="auto"/>
        </w:rPr>
      </w:pPr>
      <w:r>
        <w:rPr>
          <w:rFonts w:ascii="Arial" w:cs="Arial" w:eastAsia="Arial" w:hAnsi="Arial"/>
          <w:sz w:val="17"/>
          <w:szCs w:val="17"/>
          <w:color w:val="auto"/>
        </w:rPr>
        <w:t xml:space="preserve">SECTION 3.11. Disclosure. As of the Effective Date, each Loan Party has disclosed to the Lenders all material agreements, instruments and corporate or other restrictions to which it or any of its subsidiaries is subject, and all other matters known to it, that, individually or in the aggregate, could reasonably be expected to result in a Material Adverse Effect. All written information, other than any projections, estimates, forecasts and other forward-looking information and information of a general economic or industry-specific nature, furnished by or on behalf of the Company or any Subsidiary to the Administrative Agent or any Lender on or prior to the Effective Date, when taken as a whole and after giving effect to all supplements and updates thereto, did not (when furnished) contain any untrue statement of material fact or omit to state a material fact necessary in order to make the statements contained therein not materially misleading (when taken as a whole and after giving effect to all such supplements and updates thereto) in light of the circumstances under which such statements were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Projections furnished by or on behalf of the Company or any Subsidiary to the Administrative Agent or any Lender on or prior to the Effective Date pursuant to or in connection with the negotiation of this Agreement or any other Loan Document or included therein (the “</w:t>
      </w:r>
      <w:r>
        <w:rPr>
          <w:rFonts w:ascii="Arial" w:cs="Arial" w:eastAsia="Arial" w:hAnsi="Arial"/>
          <w:sz w:val="17"/>
          <w:szCs w:val="17"/>
          <w:u w:val="single" w:color="auto"/>
          <w:color w:val="auto"/>
        </w:rPr>
        <w:t>Projections</w:t>
      </w:r>
      <w:r>
        <w:rPr>
          <w:rFonts w:ascii="Arial" w:cs="Arial" w:eastAsia="Arial" w:hAnsi="Arial"/>
          <w:sz w:val="17"/>
          <w:szCs w:val="17"/>
          <w:color w:val="auto"/>
        </w:rPr>
        <w:t>”), the Company represents only that such information was prepared in good faith based upon assumptions believed by the Company to be reasonable at the time prepared (it being understood by the Administrative Agent and the Lenders that any such Projections are as to future events and are not to be viewed as facts and are subject to significant uncertainties and contingencies, many of which are beyond the control of the Company or the Subsidiaries, that no assurances can be given that such Projections will be realized and that actual results during the period or periods covered by any such Projections may differ materially from the projected results contained therein and that such differences may be material).</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299" w:name="page300"/>
    <w:bookmarkEnd w:id="299"/>
    <w:p>
      <w:pPr>
        <w:jc w:val="both"/>
        <w:ind w:left="180" w:firstLine="648"/>
        <w:spacing w:after="0" w:line="259" w:lineRule="auto"/>
        <w:rPr>
          <w:sz w:val="20"/>
          <w:szCs w:val="20"/>
          <w:color w:val="auto"/>
        </w:rPr>
      </w:pPr>
      <w:r>
        <w:rPr>
          <w:rFonts w:ascii="Arial" w:cs="Arial" w:eastAsia="Arial" w:hAnsi="Arial"/>
          <w:sz w:val="18"/>
          <w:szCs w:val="18"/>
          <w:color w:val="auto"/>
        </w:rPr>
        <w:t xml:space="preserve">SECTION 3.12. Material Agreements. No Loan Party is in default in the performance, observance or fulfillment of any of the obligations, covenants or conditions contained in (i) any material agreement to which it is a party or (ii) any agreement or instrument evidencing or governing Material Indebtedness, in any such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which default could not reasonably be expected to have a Material Adverse Effect.</w:t>
      </w:r>
    </w:p>
    <w:p>
      <w:pPr>
        <w:spacing w:after="0" w:line="187" w:lineRule="exact"/>
        <w:rPr>
          <w:sz w:val="20"/>
          <w:szCs w:val="20"/>
          <w:color w:val="auto"/>
        </w:rPr>
      </w:pPr>
    </w:p>
    <w:p>
      <w:pPr>
        <w:jc w:val="both"/>
        <w:ind w:left="180" w:firstLine="648"/>
        <w:spacing w:after="0" w:line="255" w:lineRule="auto"/>
        <w:rPr>
          <w:sz w:val="20"/>
          <w:szCs w:val="20"/>
          <w:color w:val="auto"/>
        </w:rPr>
      </w:pPr>
      <w:r>
        <w:rPr>
          <w:rFonts w:ascii="Arial" w:cs="Arial" w:eastAsia="Arial" w:hAnsi="Arial"/>
          <w:sz w:val="18"/>
          <w:szCs w:val="18"/>
          <w:color w:val="auto"/>
        </w:rPr>
        <w:t>SECTION 3.13. Margin Stock.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individually or of the Loan Parties and their Subsidiaries on a consolidated basis) will be Margin Stock.</w:t>
      </w:r>
    </w:p>
    <w:p>
      <w:pPr>
        <w:spacing w:after="0" w:line="192"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auto"/>
        </w:rPr>
        <w:t xml:space="preserve">SECTION 3.14. Liens. There are no Liens on any of the real or personal properties of the Company or any Subsidiary except for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0" w:lineRule="exact"/>
        <w:rPr>
          <w:sz w:val="20"/>
          <w:szCs w:val="20"/>
          <w:color w:val="auto"/>
        </w:rPr>
      </w:pPr>
    </w:p>
    <w:p>
      <w:pPr>
        <w:jc w:val="both"/>
        <w:ind w:left="180" w:firstLine="648"/>
        <w:spacing w:after="0" w:line="301" w:lineRule="auto"/>
        <w:rPr>
          <w:sz w:val="20"/>
          <w:szCs w:val="20"/>
          <w:color w:val="auto"/>
        </w:rPr>
      </w:pPr>
      <w:r>
        <w:rPr>
          <w:rFonts w:ascii="Arial" w:cs="Arial" w:eastAsia="Arial" w:hAnsi="Arial"/>
          <w:sz w:val="16"/>
          <w:szCs w:val="16"/>
          <w:color w:val="auto"/>
        </w:rPr>
        <w:t xml:space="preserve">SECTION 3.15. Capitalization and Subsidiaries. As of the Amendment No. 1 Effective Date, </w:t>
      </w:r>
      <w:r>
        <w:rPr>
          <w:rFonts w:ascii="Arial" w:cs="Arial" w:eastAsia="Arial" w:hAnsi="Arial"/>
          <w:sz w:val="16"/>
          <w:szCs w:val="16"/>
          <w:u w:val="single" w:color="auto"/>
          <w:color w:val="auto"/>
        </w:rPr>
        <w:t>Schedule 3.15</w:t>
      </w:r>
      <w:r>
        <w:rPr>
          <w:rFonts w:ascii="Arial" w:cs="Arial" w:eastAsia="Arial" w:hAnsi="Arial"/>
          <w:sz w:val="16"/>
          <w:szCs w:val="16"/>
          <w:color w:val="auto"/>
        </w:rPr>
        <w:t xml:space="preserve"> sets forth (a) a correct and complete list of the name and relationship to the Company of each Subsidiary, (b) a true and complete listing of each class of each Borrower’s (other than the Company’s) issued and outstanding Equity Interests, all of which Equity Interests are owned beneficially and of record by the Persons identified on </w:t>
      </w:r>
      <w:r>
        <w:rPr>
          <w:rFonts w:ascii="Arial" w:cs="Arial" w:eastAsia="Arial" w:hAnsi="Arial"/>
          <w:sz w:val="16"/>
          <w:szCs w:val="16"/>
          <w:u w:val="single" w:color="auto"/>
          <w:color w:val="auto"/>
        </w:rPr>
        <w:t>Schedule 3.15</w:t>
      </w:r>
      <w:r>
        <w:rPr>
          <w:rFonts w:ascii="Arial" w:cs="Arial" w:eastAsia="Arial" w:hAnsi="Arial"/>
          <w:sz w:val="16"/>
          <w:szCs w:val="16"/>
          <w:color w:val="auto"/>
        </w:rPr>
        <w:t>, and (c) the type of entity of the Company and each Subsidiary.</w:t>
      </w:r>
    </w:p>
    <w:p>
      <w:pPr>
        <w:spacing w:after="0" w:line="157"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auto"/>
        </w:rPr>
        <w:t xml:space="preserve">SECTION 3.16. No Burdensome Restrictions. On the date hereof, no Borrower is subject to any Burdensome Restrictions except Burdensome Restrictions permitted under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70" w:lineRule="exact"/>
        <w:rPr>
          <w:sz w:val="20"/>
          <w:szCs w:val="20"/>
          <w:color w:val="auto"/>
        </w:rPr>
      </w:pPr>
    </w:p>
    <w:p>
      <w:pPr>
        <w:ind w:left="840"/>
        <w:spacing w:after="0"/>
        <w:tabs>
          <w:tab w:leader="none" w:pos="230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color w:val="auto"/>
        </w:rPr>
        <w:t>Solvency.</w:t>
      </w:r>
    </w:p>
    <w:p>
      <w:pPr>
        <w:spacing w:after="0" w:line="225" w:lineRule="exact"/>
        <w:rPr>
          <w:sz w:val="20"/>
          <w:szCs w:val="20"/>
          <w:color w:val="auto"/>
        </w:rPr>
      </w:pPr>
    </w:p>
    <w:p>
      <w:pPr>
        <w:jc w:val="both"/>
        <w:ind w:left="840" w:firstLine="640"/>
        <w:spacing w:after="0" w:line="285" w:lineRule="auto"/>
        <w:tabs>
          <w:tab w:leader="none" w:pos="2335" w:val="left"/>
        </w:tabs>
        <w:numPr>
          <w:ilvl w:val="1"/>
          <w:numId w:val="383"/>
        </w:numPr>
        <w:rPr>
          <w:rFonts w:ascii="Arial" w:cs="Arial" w:eastAsia="Arial" w:hAnsi="Arial"/>
          <w:sz w:val="16"/>
          <w:szCs w:val="16"/>
          <w:color w:val="auto"/>
        </w:rPr>
      </w:pPr>
      <w:r>
        <w:rPr>
          <w:rFonts w:ascii="Arial" w:cs="Arial" w:eastAsia="Arial" w:hAnsi="Arial"/>
          <w:sz w:val="16"/>
          <w:szCs w:val="16"/>
          <w:color w:val="auto"/>
        </w:rPr>
        <w:t>Immediately after the consummation of the Transactions to occur on the Effective Date and the making of each Loan on the Effective Date and the application of the proceeds of such Loans, (i) the sum of the liabilities of the Company and its Subsidiaries, taken as a whole, shall not exceed the present fair saleable value of the assets of the Company and its Subsidiaries, taken as a whole; (ii) the capital of the Company and its Subsidiaries, taken as a whole, shall not be unreasonably small in relation to the business of the Company and its Subsidiaries, taken as a whole, contemplated on the date hereof and</w:t>
      </w:r>
    </w:p>
    <w:p>
      <w:pPr>
        <w:spacing w:after="0" w:line="1" w:lineRule="exact"/>
        <w:rPr>
          <w:rFonts w:ascii="Arial" w:cs="Arial" w:eastAsia="Arial" w:hAnsi="Arial"/>
          <w:sz w:val="16"/>
          <w:szCs w:val="16"/>
          <w:color w:val="auto"/>
        </w:rPr>
      </w:pPr>
    </w:p>
    <w:p>
      <w:pPr>
        <w:jc w:val="both"/>
        <w:ind w:left="840" w:hanging="8"/>
        <w:spacing w:after="0" w:line="252" w:lineRule="auto"/>
        <w:tabs>
          <w:tab w:leader="none" w:pos="116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0" w:name="page301"/>
    <w:bookmarkEnd w:id="300"/>
    <w:p>
      <w:pPr>
        <w:jc w:val="both"/>
        <w:ind w:left="840" w:firstLine="640"/>
        <w:spacing w:after="0" w:line="259" w:lineRule="auto"/>
        <w:tabs>
          <w:tab w:leader="none" w:pos="238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Company does not intend to, nor will it permit any of its Subsidiaries to, and the Company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87" w:lineRule="exact"/>
        <w:rPr>
          <w:sz w:val="20"/>
          <w:szCs w:val="20"/>
          <w:color w:val="auto"/>
        </w:rPr>
      </w:pPr>
    </w:p>
    <w:p>
      <w:pPr>
        <w:jc w:val="both"/>
        <w:ind w:left="180" w:firstLine="648"/>
        <w:spacing w:after="0" w:line="293" w:lineRule="auto"/>
        <w:rPr>
          <w:sz w:val="20"/>
          <w:szCs w:val="20"/>
          <w:color w:val="auto"/>
        </w:rPr>
      </w:pPr>
      <w:r>
        <w:rPr>
          <w:rFonts w:ascii="Arial" w:cs="Arial" w:eastAsia="Arial" w:hAnsi="Arial"/>
          <w:sz w:val="16"/>
          <w:szCs w:val="16"/>
          <w:color w:val="auto"/>
        </w:rPr>
        <w:t xml:space="preserve">SECTION 3.18. Insurance. </w:t>
      </w:r>
      <w:r>
        <w:rPr>
          <w:rFonts w:ascii="Arial" w:cs="Arial" w:eastAsia="Arial" w:hAnsi="Arial"/>
          <w:sz w:val="16"/>
          <w:szCs w:val="16"/>
          <w:u w:val="single" w:color="auto"/>
          <w:color w:val="auto"/>
        </w:rPr>
        <w:t>Schedule 3.18</w:t>
      </w:r>
      <w:r>
        <w:rPr>
          <w:rFonts w:ascii="Arial" w:cs="Arial" w:eastAsia="Arial" w:hAnsi="Arial"/>
          <w:sz w:val="16"/>
          <w:szCs w:val="16"/>
          <w:color w:val="auto"/>
        </w:rPr>
        <w:t xml:space="preserve"> sets forth a description of all insurance maintained by or on behalf of the Loan Parties and their Subsidiaries as of the Amendment No. 1 Effective Date. As of the Amendment No. 1 Effective Date, all premiums in respect of such insurance due and payable on or prior to the Amendment No. 1 Effective Date have been paid. Each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64" w:lineRule="exact"/>
        <w:rPr>
          <w:sz w:val="20"/>
          <w:szCs w:val="20"/>
          <w:color w:val="auto"/>
        </w:rPr>
      </w:pPr>
    </w:p>
    <w:p>
      <w:pPr>
        <w:jc w:val="both"/>
        <w:ind w:left="180" w:firstLine="648"/>
        <w:spacing w:after="0" w:line="253" w:lineRule="auto"/>
        <w:rPr>
          <w:sz w:val="20"/>
          <w:szCs w:val="20"/>
          <w:color w:val="auto"/>
        </w:rPr>
      </w:pPr>
      <w:r>
        <w:rPr>
          <w:rFonts w:ascii="Arial" w:cs="Arial" w:eastAsia="Arial" w:hAnsi="Arial"/>
          <w:sz w:val="18"/>
          <w:szCs w:val="18"/>
          <w:color w:val="auto"/>
        </w:rPr>
        <w:t xml:space="preserve">SECTION 3.19. Security Interest in Collateral. The Collateral Documents, upon execution and delivery thereof by the parties thereto, will create in favor of the Administrative Agent, for the benefit of the Secured Parties, a valid and enforceable security interest in the Collateral covered thereby and (i) when the Collateral constituting certificated securities (as defined in the UCC) is delivered to the Administrative Agent, together with instruments of transfer duly endorsed in blank, the Liens under the Collateral Documents will constitute a fully perfected security interest in all right, title and interest of the respective Loan Parties thereunder in such Collateral, prior and superior in right to any other Person, except for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(ii) when financing statements in appropriate form are filed in the applicable filing offices, the security interest created under the Collateral Documents will constitute a fully perfected security interest in all right, title and interest of the respective Loan Parties in the remaining Collateral to the extent perfection can be obtained by filing UCC financing statements, prior and superior to the rights of any other Person, except for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1" w:name="page302"/>
    <w:bookmarkEnd w:id="301"/>
    <w:p>
      <w:pPr>
        <w:jc w:val="both"/>
        <w:ind w:left="180" w:firstLine="648"/>
        <w:spacing w:after="0" w:line="290" w:lineRule="auto"/>
        <w:rPr>
          <w:sz w:val="20"/>
          <w:szCs w:val="20"/>
          <w:color w:val="auto"/>
        </w:rPr>
      </w:pPr>
      <w:r>
        <w:rPr>
          <w:rFonts w:ascii="Arial" w:cs="Arial" w:eastAsia="Arial" w:hAnsi="Arial"/>
          <w:sz w:val="16"/>
          <w:szCs w:val="16"/>
          <w:color w:val="auto"/>
        </w:rPr>
        <w:t>SECTION 3.20. Employment Matters. As of the Effective Date, there are no strikes, lockouts or slowdowns against any Loan Party or any Subsidiary pending or, to the knowledge of any Loan Party, threatened, that, in the aggregate, could reasonably be expected to result in a Material Adverse Effect. The hours worked by and payments made to employees of the Loan Parties and their Subsidiaries have not been in violation of the Fair Labor Standards Act or any other applicable Federal, state, local or foreign law dealing with such matters in a manner that, in the aggregate, could reasonably be expected to result in a Material Adverse Effect.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 except those that could not reasonably be expected to have a Material Adverse Effect.</w:t>
      </w:r>
    </w:p>
    <w:p>
      <w:pPr>
        <w:spacing w:after="0" w:line="165" w:lineRule="exact"/>
        <w:rPr>
          <w:sz w:val="20"/>
          <w:szCs w:val="20"/>
          <w:color w:val="auto"/>
        </w:rPr>
      </w:pPr>
    </w:p>
    <w:p>
      <w:pPr>
        <w:jc w:val="both"/>
        <w:ind w:left="180" w:firstLine="648"/>
        <w:spacing w:after="0" w:line="270" w:lineRule="auto"/>
        <w:rPr>
          <w:sz w:val="20"/>
          <w:szCs w:val="20"/>
          <w:color w:val="auto"/>
        </w:rPr>
      </w:pPr>
      <w:r>
        <w:rPr>
          <w:rFonts w:ascii="Arial" w:cs="Arial" w:eastAsia="Arial" w:hAnsi="Arial"/>
          <w:sz w:val="17"/>
          <w:szCs w:val="17"/>
          <w:color w:val="auto"/>
        </w:rPr>
        <w:t>SECTION 3.21. Anti-Corruption Laws and Sanctions. The Company has implemented and maintains in effect policies and procedures reasonably designed to ensure compliance by the Company, its Subsidiaries and their respective directors, officers, employees and agents with Anti-Corruption Laws and applicable Sanctions, and the Company, its Subsidiaries and to the knowledge of the Company its officers, directors, employees and agents that will act in any capacity in connection with or benefit from the credit facilities established hereby, are in compliance with Anti-Corruption Laws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Transactions will violate any Anti-Corruption Law or applicable Sanctions.</w:t>
      </w:r>
    </w:p>
    <w:p>
      <w:pPr>
        <w:spacing w:after="0" w:line="181" w:lineRule="exact"/>
        <w:rPr>
          <w:sz w:val="20"/>
          <w:szCs w:val="20"/>
          <w:color w:val="auto"/>
        </w:rPr>
      </w:pPr>
    </w:p>
    <w:p>
      <w:pPr>
        <w:ind w:left="840"/>
        <w:spacing w:after="0"/>
        <w:tabs>
          <w:tab w:leader="none" w:pos="2300" w:val="left"/>
        </w:tabs>
        <w:rPr>
          <w:sz w:val="20"/>
          <w:szCs w:val="20"/>
          <w:color w:val="auto"/>
        </w:rPr>
      </w:pPr>
      <w:r>
        <w:rPr>
          <w:rFonts w:ascii="Arial" w:cs="Arial" w:eastAsia="Arial" w:hAnsi="Arial"/>
          <w:sz w:val="18"/>
          <w:szCs w:val="18"/>
          <w:color w:val="auto"/>
        </w:rPr>
        <w:t>SECTION 3.22.</w:t>
      </w:r>
      <w:r>
        <w:rPr>
          <w:sz w:val="20"/>
          <w:szCs w:val="20"/>
          <w:color w:val="auto"/>
        </w:rPr>
        <w:tab/>
      </w:r>
      <w:r>
        <w:rPr>
          <w:rFonts w:ascii="Arial" w:cs="Arial" w:eastAsia="Arial" w:hAnsi="Arial"/>
          <w:sz w:val="16"/>
          <w:szCs w:val="16"/>
          <w:color w:val="auto"/>
        </w:rPr>
        <w:t>EEA Financial Institutions. No Loan Party is an EEA Financial Institution.</w:t>
      </w:r>
    </w:p>
    <w:p>
      <w:pPr>
        <w:spacing w:after="0" w:line="225"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auto"/>
        </w:rPr>
        <w:t xml:space="preserve">SECTION 3.23. Use of Proceeds. The proceeds of the Loans have been used and will be used, whether directly or indirectly as set forth in </w:t>
      </w:r>
      <w:r>
        <w:rPr>
          <w:rFonts w:ascii="Arial" w:cs="Arial" w:eastAsia="Arial" w:hAnsi="Arial"/>
          <w:sz w:val="18"/>
          <w:szCs w:val="18"/>
          <w:u w:val="single" w:color="auto"/>
          <w:color w:val="auto"/>
        </w:rPr>
        <w:t>Section 5.08</w:t>
      </w:r>
      <w:r>
        <w:rPr>
          <w:rFonts w:ascii="Arial" w:cs="Arial" w:eastAsia="Arial" w:hAnsi="Arial"/>
          <w:sz w:val="18"/>
          <w:szCs w:val="18"/>
          <w:color w:val="auto"/>
        </w:rPr>
        <w:t>.</w:t>
      </w:r>
    </w:p>
    <w:p>
      <w:pPr>
        <w:spacing w:after="0" w:line="170" w:lineRule="exact"/>
        <w:rPr>
          <w:sz w:val="20"/>
          <w:szCs w:val="20"/>
          <w:color w:val="auto"/>
        </w:rPr>
      </w:pPr>
    </w:p>
    <w:p>
      <w:pPr>
        <w:jc w:val="both"/>
        <w:ind w:left="180" w:firstLine="648"/>
        <w:spacing w:after="0" w:line="279" w:lineRule="auto"/>
        <w:rPr>
          <w:sz w:val="20"/>
          <w:szCs w:val="20"/>
          <w:color w:val="auto"/>
        </w:rPr>
      </w:pPr>
      <w:r>
        <w:rPr>
          <w:rFonts w:ascii="Arial" w:cs="Arial" w:eastAsia="Arial" w:hAnsi="Arial"/>
          <w:sz w:val="17"/>
          <w:szCs w:val="17"/>
          <w:color w:val="auto"/>
        </w:rPr>
        <w:t>SECTION 3.24. Plan Assets; Prohibited Transactions.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Conditions</w:t>
      </w:r>
    </w:p>
    <w:p>
      <w:pPr>
        <w:spacing w:after="0" w:line="225"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 xml:space="preserve">SECTION 4.01. Effective Date. The obligations of the Lenders to make Loans and of the Issuing Banks to issue Letters of Credit hereunder shall not become effective until the date on which each of the following conditions is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2" w:name="page303"/>
    <w:bookmarkEnd w:id="302"/>
    <w:p>
      <w:pPr>
        <w:ind w:left="2240" w:hanging="760"/>
        <w:spacing w:after="0"/>
        <w:tabs>
          <w:tab w:leader="none" w:pos="2240" w:val="left"/>
        </w:tabs>
        <w:numPr>
          <w:ilvl w:val="1"/>
          <w:numId w:val="386"/>
        </w:numPr>
        <w:rPr>
          <w:rFonts w:ascii="Arial" w:cs="Arial" w:eastAsia="Arial" w:hAnsi="Arial"/>
          <w:sz w:val="16"/>
          <w:szCs w:val="16"/>
          <w:color w:val="auto"/>
        </w:rPr>
      </w:pPr>
      <w:r>
        <w:rPr>
          <w:rFonts w:ascii="Arial" w:cs="Arial" w:eastAsia="Arial" w:hAnsi="Arial"/>
          <w:sz w:val="16"/>
          <w:szCs w:val="16"/>
          <w:u w:val="single" w:color="auto"/>
          <w:color w:val="auto"/>
        </w:rPr>
        <w:t>Credit Agreement and Other Loan Documents</w:t>
      </w:r>
      <w:r>
        <w:rPr>
          <w:rFonts w:ascii="Arial" w:cs="Arial" w:eastAsia="Arial" w:hAnsi="Arial"/>
          <w:sz w:val="16"/>
          <w:szCs w:val="16"/>
          <w:color w:val="auto"/>
        </w:rPr>
        <w:t>. The Administrative Agent (or its counsel) shall have received</w:t>
      </w:r>
    </w:p>
    <w:p>
      <w:pPr>
        <w:spacing w:after="0" w:line="46" w:lineRule="exact"/>
        <w:rPr>
          <w:rFonts w:ascii="Arial" w:cs="Arial" w:eastAsia="Arial" w:hAnsi="Arial"/>
          <w:sz w:val="16"/>
          <w:szCs w:val="16"/>
          <w:color w:val="auto"/>
        </w:rPr>
      </w:pPr>
    </w:p>
    <w:p>
      <w:pPr>
        <w:jc w:val="both"/>
        <w:ind w:left="840" w:hanging="8"/>
        <w:spacing w:after="0" w:line="271" w:lineRule="auto"/>
        <w:tabs>
          <w:tab w:leader="none" w:pos="1075" w:val="left"/>
        </w:tabs>
        <w:numPr>
          <w:ilvl w:val="0"/>
          <w:numId w:val="387"/>
        </w:numPr>
        <w:rPr>
          <w:rFonts w:ascii="Arial" w:cs="Arial" w:eastAsia="Arial" w:hAnsi="Arial"/>
          <w:sz w:val="17"/>
          <w:szCs w:val="17"/>
          <w:color w:val="auto"/>
        </w:rPr>
      </w:pPr>
      <w:r>
        <w:rPr>
          <w:rFonts w:ascii="Arial" w:cs="Arial" w:eastAsia="Arial" w:hAnsi="Arial"/>
          <w:sz w:val="17"/>
          <w:szCs w:val="17"/>
          <w:color w:val="auto"/>
        </w:rPr>
        <w:t xml:space="preserve">from each party hereto either (A) 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 and (ii) each of the other documents, instruments, legal opinions and other agreements listed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that are required to be delivered on or prior to the date hereof, all in form and substance satisfactory to the Administrative Agent and its counsel.</w:t>
      </w:r>
    </w:p>
    <w:p>
      <w:pPr>
        <w:spacing w:after="0" w:line="178" w:lineRule="exact"/>
        <w:rPr>
          <w:rFonts w:ascii="Arial" w:cs="Arial" w:eastAsia="Arial" w:hAnsi="Arial"/>
          <w:sz w:val="17"/>
          <w:szCs w:val="17"/>
          <w:color w:val="auto"/>
        </w:rPr>
      </w:pPr>
    </w:p>
    <w:p>
      <w:pPr>
        <w:jc w:val="both"/>
        <w:ind w:left="840" w:firstLine="640"/>
        <w:spacing w:after="0" w:line="263" w:lineRule="auto"/>
        <w:tabs>
          <w:tab w:leader="none" w:pos="2656"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Funding Account</w:t>
      </w:r>
      <w:r>
        <w:rPr>
          <w:rFonts w:ascii="Arial" w:cs="Arial" w:eastAsia="Arial" w:hAnsi="Arial"/>
          <w:sz w:val="18"/>
          <w:szCs w:val="18"/>
          <w:color w:val="auto"/>
        </w:rPr>
        <w:t>. The Administrative Agent shall have received a notice setting forth the deposit account(s) of the Borrowers (the “</w:t>
      </w:r>
      <w:r>
        <w:rPr>
          <w:rFonts w:ascii="Arial" w:cs="Arial" w:eastAsia="Arial" w:hAnsi="Arial"/>
          <w:sz w:val="18"/>
          <w:szCs w:val="18"/>
          <w:u w:val="single" w:color="auto"/>
          <w:color w:val="auto"/>
        </w:rPr>
        <w:t>Funding Account</w:t>
      </w:r>
      <w:r>
        <w:rPr>
          <w:rFonts w:ascii="Arial" w:cs="Arial" w:eastAsia="Arial" w:hAnsi="Arial"/>
          <w:sz w:val="18"/>
          <w:szCs w:val="18"/>
          <w:color w:val="auto"/>
        </w:rPr>
        <w:t>”) to which the Administrative Agent is authorized by the Borrowers to transfer the proceeds of any Borrowings requested or authorized pursuant to this Agreement.</w:t>
      </w:r>
    </w:p>
    <w:p>
      <w:pPr>
        <w:spacing w:after="0" w:line="183" w:lineRule="exact"/>
        <w:rPr>
          <w:rFonts w:ascii="Arial" w:cs="Arial" w:eastAsia="Arial" w:hAnsi="Arial"/>
          <w:sz w:val="18"/>
          <w:szCs w:val="18"/>
          <w:color w:val="auto"/>
        </w:rPr>
      </w:pPr>
    </w:p>
    <w:p>
      <w:pPr>
        <w:jc w:val="both"/>
        <w:ind w:left="840" w:firstLine="640"/>
        <w:spacing w:after="0" w:line="263" w:lineRule="auto"/>
        <w:tabs>
          <w:tab w:leader="none" w:pos="2362"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The Administrative Agent shall have received an Aggregate Borrowing Base Certificate and a Borrowing Base Certificate for each Borrower, in each case, prepared as of the last day of the most recent month ended at least twenty (20) calendar days prior to the Effective Date.</w:t>
      </w:r>
    </w:p>
    <w:p>
      <w:pPr>
        <w:spacing w:after="0" w:line="183" w:lineRule="exact"/>
        <w:rPr>
          <w:rFonts w:ascii="Arial" w:cs="Arial" w:eastAsia="Arial" w:hAnsi="Arial"/>
          <w:sz w:val="18"/>
          <w:szCs w:val="18"/>
          <w:color w:val="auto"/>
        </w:rPr>
      </w:pPr>
    </w:p>
    <w:p>
      <w:pPr>
        <w:jc w:val="both"/>
        <w:ind w:left="840" w:firstLine="640"/>
        <w:spacing w:after="0" w:line="311" w:lineRule="auto"/>
        <w:tabs>
          <w:tab w:leader="none" w:pos="2291" w:val="left"/>
        </w:tabs>
        <w:numPr>
          <w:ilvl w:val="1"/>
          <w:numId w:val="387"/>
        </w:numPr>
        <w:rPr>
          <w:rFonts w:ascii="Arial" w:cs="Arial" w:eastAsia="Arial" w:hAnsi="Arial"/>
          <w:sz w:val="16"/>
          <w:szCs w:val="16"/>
          <w:color w:val="auto"/>
        </w:rPr>
      </w:pPr>
      <w:r>
        <w:rPr>
          <w:rFonts w:ascii="Arial" w:cs="Arial" w:eastAsia="Arial" w:hAnsi="Arial"/>
          <w:sz w:val="16"/>
          <w:szCs w:val="16"/>
          <w:u w:val="single" w:color="auto"/>
          <w:color w:val="auto"/>
        </w:rPr>
        <w:t>Closing Availability</w:t>
      </w:r>
      <w:r>
        <w:rPr>
          <w:rFonts w:ascii="Arial" w:cs="Arial" w:eastAsia="Arial" w:hAnsi="Arial"/>
          <w:sz w:val="16"/>
          <w:szCs w:val="16"/>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the Aggregate Availability shall not be less than $38,500,000.</w:t>
      </w:r>
    </w:p>
    <w:p>
      <w:pPr>
        <w:spacing w:after="0" w:line="148" w:lineRule="exact"/>
        <w:rPr>
          <w:rFonts w:ascii="Arial" w:cs="Arial" w:eastAsia="Arial" w:hAnsi="Arial"/>
          <w:sz w:val="16"/>
          <w:szCs w:val="16"/>
          <w:color w:val="auto"/>
        </w:rPr>
      </w:pPr>
    </w:p>
    <w:p>
      <w:pPr>
        <w:jc w:val="both"/>
        <w:ind w:left="840" w:firstLine="640"/>
        <w:spacing w:after="0" w:line="275" w:lineRule="auto"/>
        <w:tabs>
          <w:tab w:leader="none" w:pos="2227"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Fees and Expenses</w:t>
      </w:r>
      <w:r>
        <w:rPr>
          <w:rFonts w:ascii="Arial" w:cs="Arial" w:eastAsia="Arial" w:hAnsi="Arial"/>
          <w:sz w:val="17"/>
          <w:szCs w:val="17"/>
          <w:color w:val="auto"/>
        </w:rPr>
        <w:t>. All fees and expenses due and payable to the Administrative Agent, the Lenders and their respective Affiliates and required to be paid on or prior to the Effective Date shall have been paid or shall have been authorized to be deducted from the proceeds of the initial Loans, so long as any such fees or expenses not expressly set forth in the fee letters entered into by the Company in connection with the Transactions have been invoiced not less than two (2) Business Days prior to the Effective Date (except as otherwise reasonably agreed by the Company).</w:t>
      </w:r>
    </w:p>
    <w:p>
      <w:pPr>
        <w:spacing w:after="0" w:line="176" w:lineRule="exact"/>
        <w:rPr>
          <w:rFonts w:ascii="Arial" w:cs="Arial" w:eastAsia="Arial" w:hAnsi="Arial"/>
          <w:sz w:val="17"/>
          <w:szCs w:val="17"/>
          <w:color w:val="auto"/>
        </w:rPr>
      </w:pPr>
    </w:p>
    <w:p>
      <w:pPr>
        <w:jc w:val="both"/>
        <w:ind w:left="840" w:firstLine="640"/>
        <w:spacing w:after="0" w:line="257" w:lineRule="auto"/>
        <w:tabs>
          <w:tab w:leader="none" w:pos="2302"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Patriot Act, Etc.</w:t>
      </w:r>
      <w:r>
        <w:rPr>
          <w:rFonts w:ascii="Arial" w:cs="Arial" w:eastAsia="Arial" w:hAnsi="Arial"/>
          <w:sz w:val="18"/>
          <w:szCs w:val="18"/>
          <w:color w:val="auto"/>
        </w:rPr>
        <w:t xml:space="preserve"> At least three (3) Business Days prior to the Effective Date, the Administrative Agent and the Lead Arranger shall have received all documentation and other information about the Company and the other Loan Parties as shall have been reasonably requested in writing by either the Administrative Agent or by the Lead Arranger at least ten (10) days prior to the Effective Date and required by U.S. regulatory authorities under applicable “know your customer” and anti-money laundering rules and regulations, including the Patriot Act.</w:t>
      </w:r>
    </w:p>
    <w:p>
      <w:pPr>
        <w:spacing w:after="0" w:line="187" w:lineRule="exact"/>
        <w:rPr>
          <w:rFonts w:ascii="Arial" w:cs="Arial" w:eastAsia="Arial" w:hAnsi="Arial"/>
          <w:sz w:val="18"/>
          <w:szCs w:val="18"/>
          <w:color w:val="auto"/>
        </w:rPr>
      </w:pPr>
    </w:p>
    <w:p>
      <w:pPr>
        <w:ind w:left="840" w:firstLine="640"/>
        <w:spacing w:after="0" w:line="308" w:lineRule="auto"/>
        <w:tabs>
          <w:tab w:leader="none" w:pos="2332"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Other Documents</w:t>
      </w:r>
      <w:r>
        <w:rPr>
          <w:rFonts w:ascii="Arial" w:cs="Arial" w:eastAsia="Arial" w:hAnsi="Arial"/>
          <w:sz w:val="17"/>
          <w:szCs w:val="17"/>
          <w:color w:val="auto"/>
        </w:rPr>
        <w:t>. The Administrative Agent shall have received such other documents and information as the Administrative Agent, the Issuing Bank, any Lender or their respective counsel may have reasonably requested.</w:t>
      </w:r>
    </w:p>
    <w:p>
      <w:pPr>
        <w:spacing w:after="0" w:line="36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3" w:name="page304"/>
    <w:bookmarkEnd w:id="303"/>
    <w:p>
      <w:pPr>
        <w:ind w:left="660"/>
        <w:spacing w:after="0"/>
        <w:rPr>
          <w:sz w:val="20"/>
          <w:szCs w:val="20"/>
          <w:color w:val="auto"/>
        </w:rPr>
      </w:pPr>
      <w:r>
        <w:rPr>
          <w:rFonts w:ascii="Arial" w:cs="Arial" w:eastAsia="Arial" w:hAnsi="Arial"/>
          <w:sz w:val="17"/>
          <w:szCs w:val="17"/>
          <w:color w:val="auto"/>
        </w:rPr>
        <w:t>The Administrative Agent shall notify the Company and the Lenders of the Effective Date, and such notice shall be conclusive and binding.</w:t>
      </w:r>
    </w:p>
    <w:p>
      <w:pPr>
        <w:spacing w:after="0" w:line="237" w:lineRule="exact"/>
        <w:rPr>
          <w:sz w:val="20"/>
          <w:szCs w:val="20"/>
          <w:color w:val="auto"/>
        </w:rPr>
      </w:pPr>
    </w:p>
    <w:p>
      <w:pPr>
        <w:ind w:left="1300" w:firstLine="648"/>
        <w:spacing w:after="0" w:line="342" w:lineRule="auto"/>
        <w:rPr>
          <w:sz w:val="20"/>
          <w:szCs w:val="20"/>
          <w:color w:val="auto"/>
        </w:rPr>
      </w:pPr>
      <w:r>
        <w:rPr>
          <w:rFonts w:ascii="Arial" w:cs="Arial" w:eastAsia="Arial" w:hAnsi="Arial"/>
          <w:sz w:val="16"/>
          <w:szCs w:val="16"/>
          <w:color w:val="auto"/>
        </w:rPr>
        <w:t>SECTION 4.02. Each Other Credit Event. The obligation of each Lender to make a Loan on the occasion of any Borrowing, and of the Issuing Banks to issue, amend, renew or extend any Letter of Credit, is subject to the satisfaction of the following conditions:</w:t>
      </w:r>
    </w:p>
    <w:p>
      <w:pPr>
        <w:spacing w:after="0" w:line="124" w:lineRule="exact"/>
        <w:rPr>
          <w:sz w:val="20"/>
          <w:szCs w:val="20"/>
          <w:color w:val="auto"/>
        </w:rPr>
      </w:pPr>
    </w:p>
    <w:p>
      <w:pPr>
        <w:jc w:val="both"/>
        <w:ind w:left="1960" w:firstLine="640"/>
        <w:spacing w:after="0" w:line="254" w:lineRule="auto"/>
        <w:tabs>
          <w:tab w:leader="none" w:pos="349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representations and warranties of the Loan Parties set forth in the Loan Documents shall be true and correct in all material respects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Material Adverse Effect or similar language shall be true and correct in all respects) on and as of the date of such Borrowing or the date of issuance, amendment, renewal or extension of such Letter of Credit, as applicable, except to the extent that such representations and warranties specifically refer to an earlier date, in which case they shall be true and correct in all material respects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Material Adverse Effect or similar language shall be true and correct in all respects) as of such earlier date.</w:t>
      </w:r>
    </w:p>
    <w:p>
      <w:pPr>
        <w:spacing w:after="0" w:line="194" w:lineRule="exact"/>
        <w:rPr>
          <w:rFonts w:ascii="Arial" w:cs="Arial" w:eastAsia="Arial" w:hAnsi="Arial"/>
          <w:sz w:val="18"/>
          <w:szCs w:val="18"/>
          <w:color w:val="auto"/>
        </w:rPr>
      </w:pPr>
    </w:p>
    <w:p>
      <w:pPr>
        <w:ind w:left="1960" w:right="20" w:firstLine="640"/>
        <w:spacing w:after="0" w:line="277" w:lineRule="auto"/>
        <w:tabs>
          <w:tab w:leader="none" w:pos="335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shall have occurred and be continuing.</w:t>
      </w:r>
    </w:p>
    <w:p>
      <w:pPr>
        <w:spacing w:after="0" w:line="170" w:lineRule="exact"/>
        <w:rPr>
          <w:rFonts w:ascii="Arial" w:cs="Arial" w:eastAsia="Arial" w:hAnsi="Arial"/>
          <w:sz w:val="18"/>
          <w:szCs w:val="18"/>
          <w:color w:val="auto"/>
        </w:rPr>
      </w:pPr>
    </w:p>
    <w:p>
      <w:pPr>
        <w:ind w:left="1960" w:firstLine="640"/>
        <w:spacing w:after="0" w:line="277" w:lineRule="auto"/>
        <w:tabs>
          <w:tab w:leader="none" w:pos="350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After giving effect to such Borrowing or the issuance, amendment, renewal or extension of any Letter of Credit, the Borrowers shall be in compliance with the Revolving Exposure Limitations.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Each Borrowing and each issuance, amendment, renewal or extension of a Letter of Credit shall be deemed to constitute a representation and warranty by the Loan Parties on the date thereof as to the matters specified in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Until the Commitments shall have expired or been terminated and the principal of and interest on each Loan and all fees payable hereunder shall have been paid in full (other than Unliquidated Obligations not yet due and payable and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each Loan Party executing this Agreement covenants and agrees, jointly and severally with all of the other Loan Parties, with the Lenders that:</w:t>
      </w:r>
    </w:p>
    <w:p>
      <w:pPr>
        <w:spacing w:after="0" w:line="161" w:lineRule="exact"/>
        <w:rPr>
          <w:sz w:val="20"/>
          <w:szCs w:val="20"/>
          <w:color w:val="auto"/>
        </w:rPr>
      </w:pPr>
    </w:p>
    <w:p>
      <w:pPr>
        <w:ind w:left="1960"/>
        <w:spacing w:after="0"/>
        <w:tabs>
          <w:tab w:leader="none" w:pos="37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7"/>
          <w:szCs w:val="17"/>
          <w:color w:val="auto"/>
        </w:rPr>
        <w:t>Financial Statements; Borrowing Base and Other Information. The Company will furnish to the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Administrative Agent for distribution to each Lender: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4" w:name="page305"/>
    <w:bookmarkEnd w:id="304"/>
    <w:p>
      <w:pPr>
        <w:jc w:val="both"/>
        <w:ind w:left="840" w:firstLine="640"/>
        <w:spacing w:after="0" w:line="272" w:lineRule="auto"/>
        <w:tabs>
          <w:tab w:leader="none" w:pos="2362" w:val="left"/>
        </w:tabs>
        <w:numPr>
          <w:ilvl w:val="0"/>
          <w:numId w:val="389"/>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77" w:lineRule="exact"/>
        <w:rPr>
          <w:rFonts w:ascii="Arial" w:cs="Arial" w:eastAsia="Arial" w:hAnsi="Arial"/>
          <w:sz w:val="17"/>
          <w:szCs w:val="17"/>
          <w:color w:val="auto"/>
        </w:rPr>
      </w:pPr>
    </w:p>
    <w:p>
      <w:pPr>
        <w:jc w:val="both"/>
        <w:ind w:left="840" w:firstLine="640"/>
        <w:spacing w:after="0" w:line="272" w:lineRule="auto"/>
        <w:tabs>
          <w:tab w:leader="none" w:pos="2372" w:val="left"/>
        </w:tabs>
        <w:numPr>
          <w:ilvl w:val="0"/>
          <w:numId w:val="389"/>
        </w:numPr>
        <w:rPr>
          <w:rFonts w:ascii="Arial" w:cs="Arial" w:eastAsia="Arial" w:hAnsi="Arial"/>
          <w:sz w:val="17"/>
          <w:szCs w:val="17"/>
          <w:color w:val="auto"/>
        </w:rPr>
      </w:pPr>
      <w:r>
        <w:rPr>
          <w:rFonts w:ascii="Arial" w:cs="Arial" w:eastAsia="Arial" w:hAnsi="Arial"/>
          <w:sz w:val="17"/>
          <w:szCs w:val="17"/>
          <w:color w:val="auto"/>
        </w:rPr>
        <w:t>within forty-five (45) days after the end of each of the first three fiscal quarters of each fiscal year of the Company, its consolidated and consolidating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a Financial Officer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77" w:lineRule="exact"/>
        <w:rPr>
          <w:rFonts w:ascii="Arial" w:cs="Arial" w:eastAsia="Arial" w:hAnsi="Arial"/>
          <w:sz w:val="17"/>
          <w:szCs w:val="17"/>
          <w:color w:val="auto"/>
        </w:rPr>
      </w:pPr>
    </w:p>
    <w:p>
      <w:pPr>
        <w:ind w:left="2220" w:hanging="740"/>
        <w:spacing w:after="0"/>
        <w:tabs>
          <w:tab w:leader="none" w:pos="22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840" w:firstLine="640"/>
        <w:spacing w:after="0" w:line="287" w:lineRule="auto"/>
        <w:tabs>
          <w:tab w:leader="none" w:pos="2507"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concurrently with any delivery of financial statements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 certificate of a Financial Officer of the Borrower Representative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 certifying, in the case of the financial statements delivered under </w:t>
      </w:r>
      <w:r>
        <w:rPr>
          <w:rFonts w:ascii="Arial" w:cs="Arial" w:eastAsia="Arial" w:hAnsi="Arial"/>
          <w:sz w:val="16"/>
          <w:szCs w:val="16"/>
          <w:u w:val="single" w:color="auto"/>
          <w:color w:val="auto"/>
        </w:rPr>
        <w:t>clause (b)</w:t>
      </w:r>
      <w:r>
        <w:rPr>
          <w:rFonts w:ascii="Arial" w:cs="Arial" w:eastAsia="Arial" w:hAnsi="Arial"/>
          <w:sz w:val="16"/>
          <w:szCs w:val="16"/>
          <w:color w:val="auto"/>
        </w:rPr>
        <w:t>,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of the Fixed Charge Coverage Ratio as of the last day of the most recently ended period of four (4) Fiscal Quarters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Fixed Charge Coverage Ratio shall only be tested for compliance purposes during an FCCR Test Period) and (iv) stating whether any change in GAAP or in the application thereof has occurred since the date of the audited financial statements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and, if any such change has occurred, specifying the effect of such change on the financial statements accompanying such certificate;</w:t>
      </w: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5" w:name="page306"/>
    <w:bookmarkEnd w:id="305"/>
    <w:p>
      <w:pPr>
        <w:ind w:left="840" w:firstLine="640"/>
        <w:spacing w:after="0" w:line="308" w:lineRule="auto"/>
        <w:tabs>
          <w:tab w:leader="none" w:pos="2308" w:val="left"/>
        </w:tabs>
        <w:numPr>
          <w:ilvl w:val="1"/>
          <w:numId w:val="390"/>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Company, a copy of the plan and forecast of the Company and its Subsidiaries in the form previously provided to, and approved by, the Administrative Agent;</w:t>
      </w:r>
    </w:p>
    <w:p>
      <w:pPr>
        <w:spacing w:after="0" w:line="146" w:lineRule="exact"/>
        <w:rPr>
          <w:rFonts w:ascii="Arial" w:cs="Arial" w:eastAsia="Arial" w:hAnsi="Arial"/>
          <w:sz w:val="17"/>
          <w:szCs w:val="17"/>
          <w:color w:val="auto"/>
        </w:rPr>
      </w:pPr>
    </w:p>
    <w:p>
      <w:pPr>
        <w:jc w:val="both"/>
        <w:ind w:left="840" w:firstLine="640"/>
        <w:spacing w:after="0" w:line="271" w:lineRule="auto"/>
        <w:tabs>
          <w:tab w:leader="none" w:pos="2235" w:val="left"/>
        </w:tabs>
        <w:numPr>
          <w:ilvl w:val="1"/>
          <w:numId w:val="390"/>
        </w:numPr>
        <w:rPr>
          <w:rFonts w:ascii="Arial" w:cs="Arial" w:eastAsia="Arial" w:hAnsi="Arial"/>
          <w:sz w:val="17"/>
          <w:szCs w:val="17"/>
          <w:color w:val="auto"/>
        </w:rPr>
      </w:pPr>
      <w:r>
        <w:rPr>
          <w:rFonts w:ascii="Arial" w:cs="Arial" w:eastAsia="Arial" w:hAnsi="Arial"/>
          <w:sz w:val="17"/>
          <w:szCs w:val="17"/>
          <w:color w:val="auto"/>
        </w:rPr>
        <w:t>(i) as soon as available but in any event within twenty (20) days after the end of each fiscal quarter following the Effective Date (or, (x) during any Monthly Reporting Period, within twenty (20) days after the end of each calendar month following the Effective Date or (y) during any Weekly Reporting Period, by the Wednesday immediately following the end of each calendar week) and (ii) at such other times as may be necessary to re-determine Aggregate Availability or Availability for any Borrower or as may be reasonably requested by the Administrative Agent, as of the period then ended, an Aggregate Borrowing Base Certificate, together with a Borrowing Base Certificate for each Borrower, and supporting information in connection therewith, together with any additional reports with respect to the Aggregate Borrowing Base or the Borrowing Base of any Borrower as the Administrative Agent may reasonably request;</w:t>
      </w:r>
    </w:p>
    <w:p>
      <w:pPr>
        <w:spacing w:after="0" w:line="178" w:lineRule="exact"/>
        <w:rPr>
          <w:rFonts w:ascii="Arial" w:cs="Arial" w:eastAsia="Arial" w:hAnsi="Arial"/>
          <w:sz w:val="17"/>
          <w:szCs w:val="17"/>
          <w:color w:val="auto"/>
        </w:rPr>
      </w:pPr>
    </w:p>
    <w:p>
      <w:pPr>
        <w:jc w:val="both"/>
        <w:ind w:left="840" w:firstLine="640"/>
        <w:spacing w:after="0" w:line="286" w:lineRule="auto"/>
        <w:tabs>
          <w:tab w:leader="none" w:pos="2251" w:val="left"/>
        </w:tabs>
        <w:numPr>
          <w:ilvl w:val="1"/>
          <w:numId w:val="390"/>
        </w:numPr>
        <w:rPr>
          <w:rFonts w:ascii="Arial" w:cs="Arial" w:eastAsia="Arial" w:hAnsi="Arial"/>
          <w:sz w:val="17"/>
          <w:szCs w:val="17"/>
          <w:color w:val="auto"/>
        </w:rPr>
      </w:pPr>
      <w:r>
        <w:rPr>
          <w:rFonts w:ascii="Arial" w:cs="Arial" w:eastAsia="Arial" w:hAnsi="Arial"/>
          <w:sz w:val="17"/>
          <w:szCs w:val="17"/>
          <w:color w:val="auto"/>
        </w:rPr>
        <w:t>as soon as available but in any event within twenty (20) days of the end of each fiscal quarter (or, during any Monthly Reporting Period or Weekly Reporting Period, within twenty (20) days of the end of each calendar month), as of the period then ended, all delivered electronically in a text formatted file acceptable to the Administrative Agent:</w:t>
      </w:r>
    </w:p>
    <w:p>
      <w:pPr>
        <w:spacing w:after="0" w:line="165" w:lineRule="exact"/>
        <w:rPr>
          <w:rFonts w:ascii="Arial" w:cs="Arial" w:eastAsia="Arial" w:hAnsi="Arial"/>
          <w:sz w:val="17"/>
          <w:szCs w:val="17"/>
          <w:color w:val="auto"/>
        </w:rPr>
      </w:pPr>
    </w:p>
    <w:p>
      <w:pPr>
        <w:jc w:val="both"/>
        <w:ind w:left="-460" w:firstLine="644"/>
        <w:spacing w:after="0" w:line="263" w:lineRule="auto"/>
        <w:tabs>
          <w:tab w:leader="none" w:pos="96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detailed aging of the Borrowers’ Accounts, including all invoices aged by invoice date and due date (with an explanation of the terms offered), prepared in a manner reasonably acceptable to the Administrative Agent, together with a summary specifying the name, address, and balance due for each Account Debtor;</w:t>
      </w:r>
    </w:p>
    <w:p>
      <w:pPr>
        <w:spacing w:after="0" w:line="183" w:lineRule="exact"/>
        <w:rPr>
          <w:rFonts w:ascii="Arial" w:cs="Arial" w:eastAsia="Arial" w:hAnsi="Arial"/>
          <w:sz w:val="18"/>
          <w:szCs w:val="18"/>
          <w:color w:val="auto"/>
        </w:rPr>
      </w:pPr>
    </w:p>
    <w:p>
      <w:pPr>
        <w:jc w:val="both"/>
        <w:ind w:left="-460" w:firstLine="644"/>
        <w:spacing w:after="0" w:line="291" w:lineRule="auto"/>
        <w:tabs>
          <w:tab w:leader="none" w:pos="109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a schedule detailing the Borrowers’ Inventory, in form reasonably satisfactory to the Administrative Agent, (1) by location (showing U16 Inventory, Inventory in transit, any Inventory located with a third party under any consignment, bailee arrangement, or warehouse agreement), by class (raw material, work-in-process and finished goods), by product type, and by volume on hand, which Inventory shall be valued at the lower of cost (determined on a first-in, first-out basis) or market and adjusted for Reserves as the Administrative Agent has previously indicated to the Borrower Representative are deemed by the Administrative Agent to be appropriate, and (2) including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166" w:lineRule="exact"/>
        <w:rPr>
          <w:rFonts w:ascii="Arial" w:cs="Arial" w:eastAsia="Arial" w:hAnsi="Arial"/>
          <w:sz w:val="16"/>
          <w:szCs w:val="16"/>
          <w:color w:val="auto"/>
        </w:rPr>
      </w:pPr>
    </w:p>
    <w:p>
      <w:pPr>
        <w:jc w:val="both"/>
        <w:ind w:left="-460" w:firstLine="644"/>
        <w:spacing w:after="0" w:line="263" w:lineRule="auto"/>
        <w:tabs>
          <w:tab w:leader="none" w:pos="115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if a Monthly Reporting Period or Weekly Reporting Period is then in effect, a worksheet of calculations prepared by the Borrowers to determine Eligible Accounts and Eligible Inventory, such worksheets detailing the Accounts and Inventory excluded from Eligible Accounts and Eligible Inventory and the reason for such exclusion; and</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6" w:name="page307"/>
    <w:bookmarkEnd w:id="306"/>
    <w:p>
      <w:pPr>
        <w:jc w:val="both"/>
        <w:ind w:left="-460" w:firstLine="644"/>
        <w:spacing w:after="0" w:line="259" w:lineRule="auto"/>
        <w:tabs>
          <w:tab w:leader="none" w:pos="102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a reconciliation of the Borrowers’ Accounts and Inventory between (A) the amounts shown in the Borrowers’ general ledger and financial statements and the reports delivered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and (B) the amounts and dates shown in the reports delivered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and the Aggregate Borrowing Base Certificate and the Borrowing Base Certificate of each Borrower delivered pursuant to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above as of such date;</w:t>
      </w:r>
    </w:p>
    <w:p>
      <w:pPr>
        <w:spacing w:after="0" w:line="186" w:lineRule="exact"/>
        <w:rPr>
          <w:rFonts w:ascii="Arial" w:cs="Arial" w:eastAsia="Arial" w:hAnsi="Arial"/>
          <w:sz w:val="18"/>
          <w:szCs w:val="18"/>
          <w:color w:val="auto"/>
        </w:rPr>
      </w:pPr>
    </w:p>
    <w:p>
      <w:pPr>
        <w:jc w:val="both"/>
        <w:ind w:left="840" w:firstLine="640"/>
        <w:spacing w:after="0" w:line="279" w:lineRule="auto"/>
        <w:tabs>
          <w:tab w:leader="none" w:pos="2251" w:val="left"/>
        </w:tabs>
        <w:numPr>
          <w:ilvl w:val="1"/>
          <w:numId w:val="392"/>
        </w:numPr>
        <w:rPr>
          <w:rFonts w:ascii="Arial" w:cs="Arial" w:eastAsia="Arial" w:hAnsi="Arial"/>
          <w:sz w:val="17"/>
          <w:szCs w:val="17"/>
          <w:color w:val="auto"/>
        </w:rPr>
      </w:pPr>
      <w:r>
        <w:rPr>
          <w:rFonts w:ascii="Arial" w:cs="Arial" w:eastAsia="Arial" w:hAnsi="Arial"/>
          <w:sz w:val="17"/>
          <w:szCs w:val="17"/>
          <w:color w:val="auto"/>
        </w:rPr>
        <w:t>as soon as available but in any event within twenty (20) days of the end of each fiscal quarter (or, during any Monthly Reporting Period or Weekly Reporting Period, within twenty (20) days of the end of each calendar month) and at such other times as may be requested by the Administrative Agent, as of the period then ended, a schedule and aging of the Borrowers’ accounts payable, delivered electronically in a text formatted file acceptable to the Administrative Agent;</w:t>
      </w:r>
    </w:p>
    <w:p>
      <w:pPr>
        <w:spacing w:after="0" w:line="171" w:lineRule="exact"/>
        <w:rPr>
          <w:rFonts w:ascii="Arial" w:cs="Arial" w:eastAsia="Arial" w:hAnsi="Arial"/>
          <w:sz w:val="17"/>
          <w:szCs w:val="17"/>
          <w:color w:val="auto"/>
        </w:rPr>
      </w:pPr>
    </w:p>
    <w:p>
      <w:pPr>
        <w:jc w:val="both"/>
        <w:ind w:left="840" w:firstLine="640"/>
        <w:spacing w:after="0" w:line="257" w:lineRule="auto"/>
        <w:tabs>
          <w:tab w:leader="none" w:pos="2265"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as soon as available but in any event within twenty (20) days of the end of each fiscal year of the Company, and at such other times as may be requested by the Administrative Agent, an updated customer list for each Borrower and its Subsidiaries, which list shall state the customer’s name, mailing address and phone number, delivered electronically in a text formatted file acceptable to the Administrative Agent and certified as true and correct by a Financial Officer of the Borrower Representative;</w:t>
      </w:r>
    </w:p>
    <w:p>
      <w:pPr>
        <w:spacing w:after="0" w:line="187" w:lineRule="exact"/>
        <w:rPr>
          <w:rFonts w:ascii="Arial" w:cs="Arial" w:eastAsia="Arial" w:hAnsi="Arial"/>
          <w:sz w:val="18"/>
          <w:szCs w:val="18"/>
          <w:color w:val="auto"/>
        </w:rPr>
      </w:pPr>
    </w:p>
    <w:p>
      <w:pPr>
        <w:ind w:left="2180" w:hanging="700"/>
        <w:spacing w:after="0"/>
        <w:tabs>
          <w:tab w:leader="none" w:pos="218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promptly upon the Administrative Agent’s reasonable request:</w:t>
      </w:r>
    </w:p>
    <w:p>
      <w:pPr>
        <w:spacing w:after="0" w:line="225" w:lineRule="exact"/>
        <w:rPr>
          <w:sz w:val="20"/>
          <w:szCs w:val="20"/>
          <w:color w:val="auto"/>
        </w:rPr>
      </w:pPr>
    </w:p>
    <w:p>
      <w:pPr>
        <w:ind w:left="-460" w:firstLine="644"/>
        <w:spacing w:after="0" w:line="277" w:lineRule="auto"/>
        <w:tabs>
          <w:tab w:leader="none" w:pos="95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copies of invoices issued by the Borrowers in connection with any Accounts, credit memos, shipping and delivery documents, and other information related thereto;</w:t>
      </w:r>
    </w:p>
    <w:p>
      <w:pPr>
        <w:spacing w:after="0" w:line="170" w:lineRule="exact"/>
        <w:rPr>
          <w:rFonts w:ascii="Arial" w:cs="Arial" w:eastAsia="Arial" w:hAnsi="Arial"/>
          <w:sz w:val="18"/>
          <w:szCs w:val="18"/>
          <w:color w:val="auto"/>
        </w:rPr>
      </w:pPr>
    </w:p>
    <w:p>
      <w:pPr>
        <w:ind w:left="-460" w:firstLine="644"/>
        <w:spacing w:after="0" w:line="277" w:lineRule="auto"/>
        <w:tabs>
          <w:tab w:leader="none" w:pos="1123"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copies of purchase orders, invoices, and shipping and delivery documents in connection with any Inventory or Equipment purchased by any Loan Party; and</w:t>
      </w:r>
    </w:p>
    <w:p>
      <w:pPr>
        <w:spacing w:after="0" w:line="170" w:lineRule="exact"/>
        <w:rPr>
          <w:rFonts w:ascii="Arial" w:cs="Arial" w:eastAsia="Arial" w:hAnsi="Arial"/>
          <w:sz w:val="18"/>
          <w:szCs w:val="18"/>
          <w:color w:val="auto"/>
        </w:rPr>
      </w:pPr>
    </w:p>
    <w:p>
      <w:pPr>
        <w:ind w:left="1000" w:hanging="816"/>
        <w:spacing w:after="0"/>
        <w:tabs>
          <w:tab w:leader="none" w:pos="10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 schedule detailing the balance of all intercompany accounts of the Loan Parties;</w:t>
      </w:r>
    </w:p>
    <w:p>
      <w:pPr>
        <w:spacing w:after="0" w:line="225" w:lineRule="exact"/>
        <w:rPr>
          <w:rFonts w:ascii="Arial" w:cs="Arial" w:eastAsia="Arial" w:hAnsi="Arial"/>
          <w:sz w:val="18"/>
          <w:szCs w:val="18"/>
          <w:color w:val="auto"/>
        </w:rPr>
      </w:pPr>
    </w:p>
    <w:p>
      <w:pPr>
        <w:jc w:val="both"/>
        <w:ind w:left="840" w:firstLine="640"/>
        <w:spacing w:after="0" w:line="259" w:lineRule="auto"/>
        <w:tabs>
          <w:tab w:leader="none" w:pos="2264" w:val="left"/>
        </w:tabs>
        <w:numPr>
          <w:ilvl w:val="1"/>
          <w:numId w:val="393"/>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Company or any Subsidiary with the SEC, or any Governmental Authority succeeding to any or all of the functions of said Commission, or with any national securities exchange, or distributed by the Company to its shareholders generally, as the case may be; and</w:t>
      </w:r>
    </w:p>
    <w:p>
      <w:pPr>
        <w:spacing w:after="0" w:line="186" w:lineRule="exact"/>
        <w:rPr>
          <w:rFonts w:ascii="Arial" w:cs="Arial" w:eastAsia="Arial" w:hAnsi="Arial"/>
          <w:sz w:val="18"/>
          <w:szCs w:val="18"/>
          <w:color w:val="auto"/>
        </w:rPr>
      </w:pPr>
    </w:p>
    <w:p>
      <w:pPr>
        <w:jc w:val="both"/>
        <w:ind w:left="840" w:firstLine="640"/>
        <w:spacing w:after="0" w:line="257" w:lineRule="auto"/>
        <w:tabs>
          <w:tab w:leader="none" w:pos="227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regarding the operations, business affairs and financial condition of the Company or any Subsidiary, or compliance with the terms of this Agreement, as the Administrative Agent or any Lender may reasonably request, and (ii) information and documentation reasonably requested by the Administrative Agent or any Lender for purposes of compliance with applicable “know your customer” and anti-money laundering rules and regulations, including the USA PATRIOT Act.</w:t>
      </w: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7" w:name="page308"/>
    <w:bookmarkEnd w:id="307"/>
    <w:p>
      <w:pPr>
        <w:jc w:val="both"/>
        <w:ind w:firstLine="648"/>
        <w:spacing w:after="0" w:line="270" w:lineRule="auto"/>
        <w:rPr>
          <w:sz w:val="20"/>
          <w:szCs w:val="20"/>
          <w:color w:val="auto"/>
        </w:rPr>
      </w:pPr>
      <w:r>
        <w:rPr>
          <w:rFonts w:ascii="Arial" w:cs="Arial" w:eastAsia="Arial" w:hAnsi="Arial"/>
          <w:sz w:val="17"/>
          <w:szCs w:val="17"/>
          <w:color w:val="auto"/>
        </w:rPr>
        <w:t xml:space="preserve">Documents required to be delivered pursuant to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may be delivered electronically and if so delivered, shall be deemed to have been delivered on the date on which such documents are filed for public availability on the SEC’s Electronic Data Gathering and Retrieval System;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notify (which may be by facsimile or through Electronic Systems) the Administrative Agent of the filing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to it and maintaining its copies of such documents. Notwithstanding anything contained herein, in every instance the Company shall be required to provide paper copies of the compliance certificates required by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to the Administrative Agent.</w:t>
      </w:r>
    </w:p>
    <w:p>
      <w:pPr>
        <w:spacing w:after="0" w:line="181" w:lineRule="exact"/>
        <w:rPr>
          <w:sz w:val="20"/>
          <w:szCs w:val="20"/>
          <w:color w:val="auto"/>
        </w:rPr>
      </w:pPr>
    </w:p>
    <w:p>
      <w:pPr>
        <w:ind w:left="1960"/>
        <w:spacing w:after="0"/>
        <w:tabs>
          <w:tab w:leader="none" w:pos="34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Notices of Material Events. The Company will furnish to the Administrative Agent (for distribution to each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Lender) written notice of the following, promptly after a Responsible Officer of the Company obtains actual knowledge thereof:</w:t>
      </w:r>
    </w:p>
    <w:p>
      <w:pPr>
        <w:spacing w:after="0" w:line="222" w:lineRule="exact"/>
        <w:rPr>
          <w:sz w:val="20"/>
          <w:szCs w:val="20"/>
          <w:color w:val="auto"/>
        </w:rPr>
      </w:pPr>
    </w:p>
    <w:p>
      <w:pPr>
        <w:ind w:left="3340" w:hanging="740"/>
        <w:spacing w:after="0"/>
        <w:tabs>
          <w:tab w:leader="none" w:pos="33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jc w:val="both"/>
        <w:ind w:left="1960" w:firstLine="640"/>
        <w:spacing w:after="0" w:line="263" w:lineRule="auto"/>
        <w:tabs>
          <w:tab w:leader="none" w:pos="346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Company or any Subsidiary thereof that, if adversely determined, could reasonably be expected to result in a Material Adverse Effect;</w:t>
      </w:r>
    </w:p>
    <w:p>
      <w:pPr>
        <w:spacing w:after="0" w:line="183" w:lineRule="exact"/>
        <w:rPr>
          <w:rFonts w:ascii="Arial" w:cs="Arial" w:eastAsia="Arial" w:hAnsi="Arial"/>
          <w:sz w:val="18"/>
          <w:szCs w:val="18"/>
          <w:color w:val="auto"/>
        </w:rPr>
      </w:pPr>
    </w:p>
    <w:p>
      <w:pPr>
        <w:ind w:left="3560" w:hanging="960"/>
        <w:spacing w:after="0"/>
        <w:tabs>
          <w:tab w:leader="none" w:pos="356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any loss, damage, or destruction to the Collateral in the amount of $7,500,000 or more, whether or not</w:t>
      </w:r>
    </w:p>
    <w:p>
      <w:pPr>
        <w:spacing w:after="0" w:line="34"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covered by insurance;</w:t>
      </w:r>
    </w:p>
    <w:p>
      <w:pPr>
        <w:spacing w:after="0" w:line="210" w:lineRule="exact"/>
        <w:rPr>
          <w:rFonts w:ascii="Arial" w:cs="Arial" w:eastAsia="Arial" w:hAnsi="Arial"/>
          <w:sz w:val="17"/>
          <w:szCs w:val="17"/>
          <w:color w:val="auto"/>
        </w:rPr>
      </w:pPr>
    </w:p>
    <w:p>
      <w:pPr>
        <w:ind w:left="1960" w:firstLine="640"/>
        <w:spacing w:after="0" w:line="277" w:lineRule="auto"/>
        <w:tabs>
          <w:tab w:leader="none" w:pos="342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any and all default notices received under or with respect to any leased location or public warehouse where Inventory constituting Collateral with a value in excess of $2,500,000 is located;</w:t>
      </w:r>
    </w:p>
    <w:p>
      <w:pPr>
        <w:spacing w:after="0" w:line="166" w:lineRule="exact"/>
        <w:rPr>
          <w:rFonts w:ascii="Arial" w:cs="Arial" w:eastAsia="Arial" w:hAnsi="Arial"/>
          <w:sz w:val="18"/>
          <w:szCs w:val="18"/>
          <w:color w:val="auto"/>
        </w:rPr>
      </w:pPr>
    </w:p>
    <w:p>
      <w:pPr>
        <w:ind w:left="3740" w:hanging="1140"/>
        <w:spacing w:after="0"/>
        <w:tabs>
          <w:tab w:leader="none" w:pos="374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 xml:space="preserve">all amendments to </w:t>
      </w:r>
      <w:r>
        <w:rPr>
          <w:rFonts w:ascii="Arial" w:cs="Arial" w:eastAsia="Arial" w:hAnsi="Arial"/>
          <w:sz w:val="17"/>
          <w:szCs w:val="17"/>
          <w:b w:val="1"/>
          <w:bCs w:val="1"/>
          <w:color w:val="FF0000"/>
          <w:strike w:val="1"/>
        </w:rPr>
        <w:t>the</w:t>
      </w:r>
      <w:r>
        <w:rPr>
          <w:rFonts w:ascii="Arial" w:cs="Arial" w:eastAsia="Arial" w:hAnsi="Arial"/>
          <w:sz w:val="17"/>
          <w:szCs w:val="17"/>
          <w:b w:val="1"/>
          <w:bCs w:val="1"/>
          <w:u w:val="single" w:color="auto"/>
          <w:color w:val="0000FF"/>
        </w:rPr>
        <w:t>any</w:t>
      </w:r>
      <w:r>
        <w:rPr>
          <w:rFonts w:ascii="Arial" w:cs="Arial" w:eastAsia="Arial" w:hAnsi="Arial"/>
          <w:sz w:val="17"/>
          <w:szCs w:val="17"/>
          <w:color w:val="auto"/>
        </w:rPr>
        <w:t xml:space="preserve"> Term </w:t>
      </w:r>
      <w:r>
        <w:rPr>
          <w:rFonts w:ascii="Arial" w:cs="Arial" w:eastAsia="Arial" w:hAnsi="Arial"/>
          <w:sz w:val="17"/>
          <w:szCs w:val="17"/>
          <w:b w:val="1"/>
          <w:bCs w:val="1"/>
          <w:color w:val="FF0000"/>
          <w:strike w:val="1"/>
        </w:rPr>
        <w:t>Loan</w:t>
      </w:r>
      <w:r>
        <w:rPr>
          <w:rFonts w:ascii="Arial" w:cs="Arial" w:eastAsia="Arial" w:hAnsi="Arial"/>
          <w:sz w:val="17"/>
          <w:szCs w:val="17"/>
          <w:b w:val="1"/>
          <w:bCs w:val="1"/>
          <w:u w:val="single" w:color="auto"/>
          <w:color w:val="0000FF"/>
        </w:rPr>
        <w:t>Loans/Notes</w:t>
      </w:r>
      <w:r>
        <w:rPr>
          <w:rFonts w:ascii="Arial" w:cs="Arial" w:eastAsia="Arial" w:hAnsi="Arial"/>
          <w:sz w:val="17"/>
          <w:szCs w:val="17"/>
          <w:color w:val="auto"/>
        </w:rPr>
        <w:t xml:space="preserve"> Agreement, together with a copy of each such</w:t>
      </w:r>
    </w:p>
    <w:p>
      <w:pPr>
        <w:spacing w:after="0" w:line="38"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amendment;</w:t>
      </w:r>
    </w:p>
    <w:p>
      <w:pPr>
        <w:spacing w:after="0" w:line="210" w:lineRule="exact"/>
        <w:rPr>
          <w:rFonts w:ascii="Arial" w:cs="Arial" w:eastAsia="Arial" w:hAnsi="Arial"/>
          <w:sz w:val="17"/>
          <w:szCs w:val="17"/>
          <w:color w:val="auto"/>
        </w:rPr>
      </w:pPr>
    </w:p>
    <w:p>
      <w:pPr>
        <w:ind w:left="1960" w:firstLine="640"/>
        <w:spacing w:after="0" w:line="277" w:lineRule="auto"/>
        <w:tabs>
          <w:tab w:leader="none" w:pos="336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0" w:lineRule="exact"/>
        <w:rPr>
          <w:rFonts w:ascii="Arial" w:cs="Arial" w:eastAsia="Arial" w:hAnsi="Arial"/>
          <w:sz w:val="18"/>
          <w:szCs w:val="18"/>
          <w:color w:val="auto"/>
        </w:rPr>
      </w:pPr>
    </w:p>
    <w:p>
      <w:pPr>
        <w:ind w:left="3340" w:hanging="740"/>
        <w:spacing w:after="0"/>
        <w:tabs>
          <w:tab w:leader="none" w:pos="334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any other development that results in, or could reasonably be expected to result in, a Material Adverse Effect.</w:t>
      </w:r>
    </w:p>
    <w:p>
      <w:pPr>
        <w:spacing w:after="0" w:line="2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notice delivered under this Section shall be accompanied by a statement of a Responsible Officer or other executive officer of the Borrower Representative setting forth the details of the event or development requiring such notice and any action taken or proposed to be taken with respect thereto.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8" w:name="page309"/>
    <w:bookmarkEnd w:id="308"/>
    <w:p>
      <w:pPr>
        <w:jc w:val="both"/>
        <w:ind w:firstLine="648"/>
        <w:spacing w:after="0" w:line="293" w:lineRule="auto"/>
        <w:rPr>
          <w:sz w:val="20"/>
          <w:szCs w:val="20"/>
          <w:color w:val="auto"/>
        </w:rPr>
      </w:pPr>
      <w:r>
        <w:rPr>
          <w:rFonts w:ascii="Arial" w:cs="Arial" w:eastAsia="Arial" w:hAnsi="Arial"/>
          <w:sz w:val="16"/>
          <w:szCs w:val="16"/>
          <w:color w:val="auto"/>
        </w:rPr>
        <w:t xml:space="preserve">Information required to be delivered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Section shall be deemed to have been delivered if such information, or one or more annual, quarterly, current or other reports containing such information, is (i) filed for public availability on the SEC’s Electronic Data Gathering and Retrieval System, (ii) posted on www.winnebagoind.com or at another website identified in a notice from the Company and accessible by the Lenders without charge; or (iii) posted on the Company’s behalf on an Internet or intranet website, if any, to which the Administrative Agent and the Lenders have access (whether a commercial, third-party website or whether sponsored by the Administrative Agent). Information required to be delivered pursuant to this Section may also be delivered by electronic communications pursuant to procedures approved by the Administrative Agent.</w:t>
      </w:r>
    </w:p>
    <w:p>
      <w:pPr>
        <w:spacing w:after="0" w:line="164" w:lineRule="exact"/>
        <w:rPr>
          <w:sz w:val="20"/>
          <w:szCs w:val="20"/>
          <w:color w:val="auto"/>
        </w:rPr>
      </w:pPr>
    </w:p>
    <w:p>
      <w:pPr>
        <w:ind w:left="1960"/>
        <w:spacing w:after="0"/>
        <w:tabs>
          <w:tab w:leader="none" w:pos="346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Existence; Conduct of Business. Each Loan Party will, and will cause each of its Material Subsidiaries to,</w:t>
      </w:r>
    </w:p>
    <w:p>
      <w:pPr>
        <w:spacing w:after="0" w:line="23" w:lineRule="exact"/>
        <w:rPr>
          <w:sz w:val="20"/>
          <w:szCs w:val="20"/>
          <w:color w:val="auto"/>
        </w:rPr>
      </w:pPr>
    </w:p>
    <w:p>
      <w:pPr>
        <w:jc w:val="both"/>
        <w:ind w:left="1300" w:firstLine="4"/>
        <w:spacing w:after="0" w:line="252" w:lineRule="auto"/>
        <w:tabs>
          <w:tab w:leader="none" w:pos="154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do or cause to be done all things necessary to preserve, renew and keep in full force and effect its legal existence and (b) take, or cause to be taken, all reasonable actions to preserve, renew and keep in full force and effect the rights, qualifications, licenses, permits, privileges, franchises, governmental authorizations and intellectual property rights material to the conduct of the business of the Company and its Subsidiaries, taken as a whole, and maintain all requisite authority to conduct its business in each jurisdiction in which its business is conducted, except,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to the extent failure to do so could not reasonably be expected to result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92" w:lineRule="exact"/>
        <w:rPr>
          <w:sz w:val="20"/>
          <w:szCs w:val="20"/>
          <w:color w:val="auto"/>
        </w:rPr>
      </w:pPr>
    </w:p>
    <w:p>
      <w:pPr>
        <w:jc w:val="both"/>
        <w:ind w:left="1300" w:firstLine="648"/>
        <w:spacing w:after="0" w:line="275" w:lineRule="auto"/>
        <w:rPr>
          <w:sz w:val="20"/>
          <w:szCs w:val="20"/>
          <w:color w:val="auto"/>
        </w:rPr>
      </w:pPr>
      <w:r>
        <w:rPr>
          <w:rFonts w:ascii="Arial" w:cs="Arial" w:eastAsia="Arial" w:hAnsi="Arial"/>
          <w:sz w:val="17"/>
          <w:szCs w:val="17"/>
          <w:color w:val="auto"/>
        </w:rPr>
        <w:t>SECTION 5.04. Payment of Obligations. Each Loan Party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could not reasonably be expected to result in a Material Adverse Effect.</w:t>
      </w:r>
    </w:p>
    <w:p>
      <w:pPr>
        <w:spacing w:after="0" w:line="176" w:lineRule="exact"/>
        <w:rPr>
          <w:sz w:val="20"/>
          <w:szCs w:val="20"/>
          <w:color w:val="auto"/>
        </w:rPr>
      </w:pPr>
    </w:p>
    <w:p>
      <w:pPr>
        <w:jc w:val="both"/>
        <w:ind w:left="1300" w:firstLine="648"/>
        <w:spacing w:after="0" w:line="286" w:lineRule="auto"/>
        <w:rPr>
          <w:sz w:val="20"/>
          <w:szCs w:val="20"/>
          <w:color w:val="auto"/>
        </w:rPr>
      </w:pPr>
      <w:r>
        <w:rPr>
          <w:rFonts w:ascii="Arial" w:cs="Arial" w:eastAsia="Arial" w:hAnsi="Arial"/>
          <w:sz w:val="17"/>
          <w:szCs w:val="17"/>
          <w:color w:val="auto"/>
        </w:rPr>
        <w:t>SECTION 5.05. Maintenance of Properties. Each Loan Party will, and will cause each Subsidiary to, keep and maintain all property material to the conduct of its business in good working order and condition, ordinary wear and tear and casualty and condemnation excepted, except to the extent such failure could not reasonably be expected to have a Material Adverse Effect.</w:t>
      </w:r>
    </w:p>
    <w:p>
      <w:pPr>
        <w:spacing w:after="0" w:line="165" w:lineRule="exact"/>
        <w:rPr>
          <w:sz w:val="20"/>
          <w:szCs w:val="20"/>
          <w:color w:val="auto"/>
        </w:rPr>
      </w:pPr>
    </w:p>
    <w:p>
      <w:pPr>
        <w:jc w:val="both"/>
        <w:ind w:left="1300" w:firstLine="648"/>
        <w:spacing w:after="0" w:line="267" w:lineRule="auto"/>
        <w:rPr>
          <w:sz w:val="20"/>
          <w:szCs w:val="20"/>
          <w:color w:val="auto"/>
        </w:rPr>
      </w:pPr>
      <w:r>
        <w:rPr>
          <w:rFonts w:ascii="Arial" w:cs="Arial" w:eastAsia="Arial" w:hAnsi="Arial"/>
          <w:sz w:val="17"/>
          <w:szCs w:val="17"/>
          <w:color w:val="auto"/>
        </w:rPr>
        <w:t>SECTION 5.06. Books and Records; Inspection Rights. The Loan Parties will, and will cause each of their Subsidiaries to, keep in all material respects proper books of record and account in which full, true and correct entries in all material respects in conformity, in all material respects, with GAAP and applicable law are made of all material dealings and material transactions in relation to its business and activities. The Loan Parties will, and will cause each of the Subsidiaries to, permit any representatives designated by the Administrative Agent, who may be accompanied by a Lender, upon no less than five (5) Business Days’ prior written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prior written notice shall be required during the occurrence and continuance of an Event of Default) and at reasonable times during normal business hours, to visit and inspect its properties, to examine and make extracts from its books and records, environmental assessment reports and Phase I or Phase II studies, and to discuss its affairs, finances and condition with its officers, all at such reasonable times and as often as reasonably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Event of Default has occurred and is continuing, the Loan Parties shall not be required to pay for any such inspection (but may be obligated reimburse the Administrative Agent for field exams and appraisals as provided in </w:t>
      </w:r>
      <w:r>
        <w:rPr>
          <w:rFonts w:ascii="Arial" w:cs="Arial" w:eastAsia="Arial" w:hAnsi="Arial"/>
          <w:sz w:val="17"/>
          <w:szCs w:val="17"/>
          <w:u w:val="single" w:color="auto"/>
          <w:color w:val="auto"/>
        </w:rPr>
        <w:t>Sections 5.11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5.12</w:t>
      </w:r>
      <w:r>
        <w:rPr>
          <w:rFonts w:ascii="Arial" w:cs="Arial" w:eastAsia="Arial" w:hAnsi="Arial"/>
          <w:sz w:val="17"/>
          <w:szCs w:val="17"/>
          <w:color w:val="auto"/>
        </w:rPr>
        <w:t xml:space="preserve"> below). The Loan Parties acknowledge that the Administrative Agent, after exercising its rights of inspection, may prepare and distribute to the Lenders Reports pertaining to the Loan Parties’ assets for internal use by the Administrative Agent and the Lenders. The Loan Parties and the Subsidiaries shall have no obligation to discuss or disclose to Administrative Agent, any Lender, or any of their officers, directors, employees or agents, materials protected by attorney-client privilege (including any attorney work product) materials that constitute non-financial trade secrets or non-financial proprietary information, or materials that the Loan Parties or any of the Subsidiaries may not disclose without violation of a confidentiality obligation binding upon it.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9" w:name="page310"/>
    <w:bookmarkEnd w:id="309"/>
    <w:p>
      <w:pPr>
        <w:jc w:val="both"/>
        <w:ind w:left="180" w:firstLine="648"/>
        <w:spacing w:after="0" w:line="254" w:lineRule="auto"/>
        <w:rPr>
          <w:sz w:val="20"/>
          <w:szCs w:val="20"/>
          <w:color w:val="auto"/>
        </w:rPr>
      </w:pPr>
      <w:r>
        <w:rPr>
          <w:rFonts w:ascii="Arial" w:cs="Arial" w:eastAsia="Arial" w:hAnsi="Arial"/>
          <w:sz w:val="18"/>
          <w:szCs w:val="18"/>
          <w:color w:val="auto"/>
        </w:rPr>
        <w:t xml:space="preserve">SECTION 5.07. Compliance with Laws and Material Contractual Obligations. Each Loan Party will, and will cause each Subsidiary to, (i) comply with all Requirements of Law applicable to it or its property (including without limitation applicable Environmental Laws) and (ii) perform in all material respects its obligations under material agreements to which it is a party, except, in each case for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and employees with Anti-Corruption Laws and applicable Sanctions in all material respects.</w:t>
      </w:r>
    </w:p>
    <w:p>
      <w:pPr>
        <w:spacing w:after="0" w:line="195" w:lineRule="exact"/>
        <w:rPr>
          <w:sz w:val="20"/>
          <w:szCs w:val="20"/>
          <w:color w:val="auto"/>
        </w:rPr>
      </w:pPr>
    </w:p>
    <w:p>
      <w:pPr>
        <w:jc w:val="both"/>
        <w:ind w:left="180" w:firstLine="648"/>
        <w:spacing w:after="0" w:line="269" w:lineRule="auto"/>
        <w:rPr>
          <w:sz w:val="20"/>
          <w:szCs w:val="20"/>
          <w:color w:val="auto"/>
        </w:rPr>
      </w:pPr>
      <w:r>
        <w:rPr>
          <w:rFonts w:ascii="Arial" w:cs="Arial" w:eastAsia="Arial" w:hAnsi="Arial"/>
          <w:sz w:val="17"/>
          <w:szCs w:val="17"/>
          <w:color w:val="auto"/>
        </w:rPr>
        <w:t>SECTION 5.08. Use of Proceeds. The proceeds of the Revolving Loans and the Letters of Credit will be used only to finance the Transaction Costs and to finance the working capital needs, and for general corporate purposes (including Restricted Payments and Permitted Acquisitions as permitted hereunder), of the Company and its Subsidiaries. No part of the proceeds of any Loan and no Letter of Credit will be used, whether directly or indirectly, for any purpose that entails a violation of any of the Regulations of the Board, including Regulations T, U and X. No Borrower will request any Borrowing or Letter of Credit, and no Borrower shall use, and each Borrower shall ensure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82" w:lineRule="exact"/>
        <w:rPr>
          <w:sz w:val="20"/>
          <w:szCs w:val="20"/>
          <w:color w:val="auto"/>
        </w:rPr>
      </w:pPr>
    </w:p>
    <w:p>
      <w:pPr>
        <w:jc w:val="both"/>
        <w:ind w:left="180" w:firstLine="648"/>
        <w:spacing w:after="0" w:line="293" w:lineRule="auto"/>
        <w:rPr>
          <w:sz w:val="20"/>
          <w:szCs w:val="20"/>
          <w:color w:val="auto"/>
        </w:rPr>
      </w:pPr>
      <w:r>
        <w:rPr>
          <w:rFonts w:ascii="Arial" w:cs="Arial" w:eastAsia="Arial" w:hAnsi="Arial"/>
          <w:sz w:val="16"/>
          <w:szCs w:val="16"/>
          <w:color w:val="auto"/>
        </w:rPr>
        <w:t>SECTION 5.09. Insurance. Each Loan Party will, and will cause each Subsidiary to, maintain with financially sound and reputable carriers (a) insurance in such amounts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information in reasonable detail as to the insurance so maintained.</w:t>
      </w:r>
    </w:p>
    <w:p>
      <w:pPr>
        <w:spacing w:after="0" w:line="38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0" w:name="page311"/>
    <w:bookmarkEnd w:id="310"/>
    <w:p>
      <w:pPr>
        <w:jc w:val="both"/>
        <w:ind w:left="180" w:firstLine="648"/>
        <w:spacing w:after="0" w:line="273" w:lineRule="auto"/>
        <w:rPr>
          <w:sz w:val="20"/>
          <w:szCs w:val="20"/>
          <w:color w:val="auto"/>
        </w:rPr>
      </w:pPr>
      <w:r>
        <w:rPr>
          <w:rFonts w:ascii="Arial" w:cs="Arial" w:eastAsia="Arial" w:hAnsi="Arial"/>
          <w:sz w:val="17"/>
          <w:szCs w:val="17"/>
          <w:color w:val="auto"/>
        </w:rPr>
        <w:t>SECTION 5.10. Casualty and Condemnation. The Borrowers will (a) furnish to the Administrative Agent and the Lenders prompt written notice upon obtaining knowledge of any casualty or other insured damage to any Collateral in excess of $7,500,000 or the commencement of any action or proceeding for the taking of any Collateral or interest therein with a book value in excess of $7,500,000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78" w:lineRule="exact"/>
        <w:rPr>
          <w:sz w:val="20"/>
          <w:szCs w:val="20"/>
          <w:color w:val="auto"/>
        </w:rPr>
      </w:pPr>
    </w:p>
    <w:p>
      <w:pPr>
        <w:jc w:val="both"/>
        <w:ind w:left="180" w:firstLine="648"/>
        <w:spacing w:after="0" w:line="284" w:lineRule="auto"/>
        <w:rPr>
          <w:sz w:val="20"/>
          <w:szCs w:val="20"/>
          <w:color w:val="auto"/>
        </w:rPr>
      </w:pPr>
      <w:r>
        <w:rPr>
          <w:rFonts w:ascii="Arial" w:cs="Arial" w:eastAsia="Arial" w:hAnsi="Arial"/>
          <w:sz w:val="16"/>
          <w:szCs w:val="16"/>
          <w:color w:val="auto"/>
        </w:rPr>
        <w:t xml:space="preserve">SECTION 5.11. Appraisals. At any time that the Administrative Agent reasonably requests, each Loan Party will permit the Administrative Agent to conduct appraisals or updates thereof of their Inventory with an appraiser engaged by the Administrative Agent, such appraisals and updates to include, without limitation, information required by any applicable Requirement of Law and to be conducted with reasonable prior notice and during normal business hours. Only one (1) such Inventory appraisal every other calendar year shall be at the sole expense of the Loan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 Inventory appraisal may be conducted during any calendar year at the sole expense of the Loan Parties if the Aggregate Availability is less than $50,000,000 at any time during such calendar year,</w:t>
      </w:r>
    </w:p>
    <w:p>
      <w:pPr>
        <w:spacing w:after="0" w:line="4" w:lineRule="exact"/>
        <w:rPr>
          <w:sz w:val="20"/>
          <w:szCs w:val="20"/>
          <w:color w:val="auto"/>
        </w:rPr>
      </w:pPr>
    </w:p>
    <w:p>
      <w:pPr>
        <w:jc w:val="both"/>
        <w:ind w:left="180" w:firstLine="4"/>
        <w:spacing w:after="0" w:line="253" w:lineRule="auto"/>
        <w:tabs>
          <w:tab w:leader="none" w:pos="45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two (2) such Inventory appraisals per calendar year shall be at the sole expense of the Loan Parties if the Aggregate Availability is less than the greater of $16,500,000 and 10% of the Aggregate Commitment at any time during such calendar year and (iii) during the occurrence and continuance of an Event of Default, there shall be no limitation on the number or frequency of appraisals that shall be at the sole expense of the Loan Parties.</w:t>
      </w:r>
    </w:p>
    <w:p>
      <w:pPr>
        <w:spacing w:after="0" w:line="193" w:lineRule="exact"/>
        <w:rPr>
          <w:sz w:val="20"/>
          <w:szCs w:val="20"/>
          <w:color w:val="auto"/>
        </w:rPr>
      </w:pPr>
    </w:p>
    <w:p>
      <w:pPr>
        <w:jc w:val="both"/>
        <w:ind w:left="180" w:firstLine="648"/>
        <w:spacing w:after="0" w:line="289" w:lineRule="auto"/>
        <w:rPr>
          <w:sz w:val="20"/>
          <w:szCs w:val="20"/>
          <w:color w:val="auto"/>
        </w:rPr>
      </w:pPr>
      <w:r>
        <w:rPr>
          <w:rFonts w:ascii="Arial" w:cs="Arial" w:eastAsia="Arial" w:hAnsi="Arial"/>
          <w:sz w:val="16"/>
          <w:szCs w:val="16"/>
          <w:color w:val="auto"/>
        </w:rPr>
        <w:t xml:space="preserve">SECTION 5.12. Field Examinations. At any time that the Administrative Agent reasonably requests, each Loan Party will, and will cause each Subsidiary to, permit, upon reasonable prior notice and during normal business hours, the Administrative Agent to conduct a field examination to ensure adequacy of Collateral included in the Borrowing Bases and related reporting and control systems. For purposes of this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it is understood and agreed that a single field examination may consist of examinations conducted at multiple relevant sites and involve one or more relevant Loan Parties and their assets. Only one (1) such field examinations per calendar year shall be at the sole expense of the Loan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two (2) such field examinations per calendar year shall be at the sole expense of the Loan Parties if the Aggregate Availability is less than the greater of $16,500,000 and 10% of the Aggregate Commitment at any time during such calendar year and (ii) during the occurrence and continuance of an Event of Default, there shall be no limitation on the number or frequency of field examinations that shall be at the sole expense of the Loan Parties.</w:t>
      </w:r>
    </w:p>
    <w:p>
      <w:pPr>
        <w:spacing w:after="0" w:line="166" w:lineRule="exact"/>
        <w:rPr>
          <w:sz w:val="20"/>
          <w:szCs w:val="20"/>
          <w:color w:val="auto"/>
        </w:rPr>
      </w:pPr>
    </w:p>
    <w:p>
      <w:pPr>
        <w:jc w:val="both"/>
        <w:ind w:left="180" w:firstLine="648"/>
        <w:spacing w:after="0" w:line="291" w:lineRule="auto"/>
        <w:rPr>
          <w:sz w:val="20"/>
          <w:szCs w:val="20"/>
          <w:color w:val="auto"/>
        </w:rPr>
      </w:pPr>
      <w:r>
        <w:rPr>
          <w:rFonts w:ascii="Arial" w:cs="Arial" w:eastAsia="Arial" w:hAnsi="Arial"/>
          <w:sz w:val="16"/>
          <w:szCs w:val="16"/>
          <w:color w:val="auto"/>
        </w:rPr>
        <w:t xml:space="preserve">SECTION 5.13. Accuracy of Information. The Loan Parties will ensure that any information, including financial statements or other documents, furnished to the Administrative Agent or the Lenders in writing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Loan Parties will only ensure that such information was prepared in good faith based upon assumptions believed to be reasonable at the time.</w:t>
      </w:r>
    </w:p>
    <w:p>
      <w:pPr>
        <w:spacing w:after="0" w:line="38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1" w:name="page312"/>
    <w:bookmarkEnd w:id="311"/>
    <w:p>
      <w:pPr>
        <w:ind w:left="840"/>
        <w:spacing w:after="0"/>
        <w:tabs>
          <w:tab w:leader="none" w:pos="230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color w:val="auto"/>
        </w:rPr>
        <w:t>Additional Collateral; Further Assurances.</w:t>
      </w:r>
    </w:p>
    <w:p>
      <w:pPr>
        <w:spacing w:after="0" w:line="225" w:lineRule="exact"/>
        <w:rPr>
          <w:sz w:val="20"/>
          <w:szCs w:val="20"/>
          <w:color w:val="auto"/>
        </w:rPr>
      </w:pPr>
    </w:p>
    <w:p>
      <w:pPr>
        <w:jc w:val="both"/>
        <w:ind w:left="840" w:firstLine="640"/>
        <w:spacing w:after="0" w:line="269" w:lineRule="auto"/>
        <w:tabs>
          <w:tab w:leader="none" w:pos="2524" w:val="left"/>
        </w:tabs>
        <w:numPr>
          <w:ilvl w:val="1"/>
          <w:numId w:val="397"/>
        </w:numPr>
        <w:rPr>
          <w:rFonts w:ascii="Arial" w:cs="Arial" w:eastAsia="Arial" w:hAnsi="Arial"/>
          <w:sz w:val="17"/>
          <w:szCs w:val="17"/>
          <w:color w:val="auto"/>
        </w:rPr>
      </w:pPr>
      <w:r>
        <w:rPr>
          <w:rFonts w:ascii="Arial" w:cs="Arial" w:eastAsia="Arial" w:hAnsi="Arial"/>
          <w:sz w:val="17"/>
          <w:szCs w:val="17"/>
          <w:color w:val="auto"/>
        </w:rPr>
        <w:t>Within sixty (60) days (or such later date as may be agreed upon by the Administrative Agent in its reasonable discretion) after any wholly-owned Subsidiary qualifies as a Material Domestic Subsidiary pursuant to the definition of “</w:t>
      </w:r>
      <w:r>
        <w:rPr>
          <w:rFonts w:ascii="Arial" w:cs="Arial" w:eastAsia="Arial" w:hAnsi="Arial"/>
          <w:sz w:val="17"/>
          <w:szCs w:val="17"/>
          <w:u w:val="single" w:color="auto"/>
          <w:color w:val="auto"/>
        </w:rPr>
        <w:t>Material Domestic Subsidiary</w:t>
      </w:r>
      <w:r>
        <w:rPr>
          <w:rFonts w:ascii="Arial" w:cs="Arial" w:eastAsia="Arial" w:hAnsi="Arial"/>
          <w:sz w:val="17"/>
          <w:szCs w:val="17"/>
          <w:color w:val="auto"/>
        </w:rPr>
        <w:t>”, the Company shall provide the Administrative Agent with written notice thereof setting forth information in reasonable detail describing the material assets of such Person and shall cause each such Subsidiary to deliver to the Administrative Agent a Joinder Agreement and a joinder to the Security Agreement (in the form contemplated thereby) pursuant to which such Subsidiary agrees to be bound by the terms and provisions hereof and thereof, such delivery to be accompanied by requisite resolutions, other organizational documentation and legal opinions as may be reasonably requested by, and in form and substance reasonably satisfactory to, the Administrative Agent and its counsel. Notwithstanding anything to the contrary in any Loan Document, (i) no Excluded Domestic Subsidiary or Excluded Foreign Subsidiary shall be required to be a Loan Party and (ii) no Collateral constituting fee-owned real property located in the State of New York shall secure any Commitments, Revolving Loans or Revolving Exposure.</w:t>
      </w:r>
    </w:p>
    <w:p>
      <w:pPr>
        <w:spacing w:after="0" w:line="181" w:lineRule="exact"/>
        <w:rPr>
          <w:rFonts w:ascii="Arial" w:cs="Arial" w:eastAsia="Arial" w:hAnsi="Arial"/>
          <w:sz w:val="17"/>
          <w:szCs w:val="17"/>
          <w:color w:val="auto"/>
        </w:rPr>
      </w:pPr>
    </w:p>
    <w:p>
      <w:pPr>
        <w:jc w:val="both"/>
        <w:ind w:left="840" w:firstLine="640"/>
        <w:spacing w:after="0" w:line="283" w:lineRule="auto"/>
        <w:tabs>
          <w:tab w:leader="none" w:pos="2494" w:val="left"/>
        </w:tabs>
        <w:numPr>
          <w:ilvl w:val="1"/>
          <w:numId w:val="397"/>
        </w:numPr>
        <w:rPr>
          <w:rFonts w:ascii="Arial" w:cs="Arial" w:eastAsia="Arial" w:hAnsi="Arial"/>
          <w:sz w:val="16"/>
          <w:szCs w:val="16"/>
          <w:color w:val="auto"/>
        </w:rPr>
      </w:pPr>
      <w:r>
        <w:rPr>
          <w:rFonts w:ascii="Arial" w:cs="Arial" w:eastAsia="Arial" w:hAnsi="Arial"/>
          <w:sz w:val="16"/>
          <w:szCs w:val="16"/>
          <w:color w:val="auto"/>
        </w:rPr>
        <w:t xml:space="preserve">Subject the terms, limitations and exceptions set forth in the applicable Collateral Documents and this </w:t>
      </w:r>
      <w:r>
        <w:rPr>
          <w:rFonts w:ascii="Arial" w:cs="Arial" w:eastAsia="Arial" w:hAnsi="Arial"/>
          <w:sz w:val="16"/>
          <w:szCs w:val="16"/>
          <w:u w:val="single" w:color="auto"/>
          <w:color w:val="auto"/>
        </w:rPr>
        <w:t>Section 5.14(b)</w:t>
      </w:r>
      <w:r>
        <w:rPr>
          <w:rFonts w:ascii="Arial" w:cs="Arial" w:eastAsia="Arial" w:hAnsi="Arial"/>
          <w:sz w:val="16"/>
          <w:szCs w:val="16"/>
          <w:color w:val="auto"/>
        </w:rPr>
        <w:t xml:space="preserve">, each Loan Party will cause all of its owned property (whether real, personal, tangible, intangible, or mixed but excluding Excluded Assets and any real property that is not Material Real Property) to be subject at all times to perfected Liens in favor of the Administrative Agent for the benefit of the Secured Parties to secure the Secured Obligations in accordance with the terms and conditions of the Collateral Documents on a first priority basis, subject in any case to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Without limiting the generality of the foregoing, and subject to the terms, limitations and exceptions set forth in the applicable Collateral Documents, the Company (i) will cause the Applicable Pledge Percentage of the issued and outstanding Equity Interests of each Pledge Subsidiary directly owned by the Company or any other Loan Party (other than Excluded Assets) to be subject at all times to a first priority perfected (subject in any case to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Lien in favor of the Administrative Agent to secure the Secured Obligations in accordance with the terms and conditions of the Collateral Documents or such other pledge and security documents as the Administrative Agent shall reasonably request and</w:t>
      </w:r>
    </w:p>
    <w:p>
      <w:pPr>
        <w:spacing w:after="0" w:line="3" w:lineRule="exact"/>
        <w:rPr>
          <w:rFonts w:ascii="Arial" w:cs="Arial" w:eastAsia="Arial" w:hAnsi="Arial"/>
          <w:sz w:val="16"/>
          <w:szCs w:val="16"/>
          <w:color w:val="auto"/>
        </w:rPr>
      </w:pPr>
    </w:p>
    <w:p>
      <w:pPr>
        <w:jc w:val="both"/>
        <w:ind w:left="840" w:hanging="8"/>
        <w:spacing w:after="0" w:line="285" w:lineRule="auto"/>
        <w:tabs>
          <w:tab w:leader="none" w:pos="1122" w:val="left"/>
        </w:tabs>
        <w:numPr>
          <w:ilvl w:val="0"/>
          <w:numId w:val="398"/>
        </w:numPr>
        <w:rPr>
          <w:rFonts w:ascii="Arial" w:cs="Arial" w:eastAsia="Arial" w:hAnsi="Arial"/>
          <w:sz w:val="16"/>
          <w:szCs w:val="16"/>
          <w:color w:val="auto"/>
        </w:rPr>
      </w:pPr>
      <w:r>
        <w:rPr>
          <w:rFonts w:ascii="Arial" w:cs="Arial" w:eastAsia="Arial" w:hAnsi="Arial"/>
          <w:sz w:val="16"/>
          <w:szCs w:val="16"/>
          <w:color w:val="auto"/>
        </w:rPr>
        <w:t xml:space="preserve">will deliver Mortgages and Mortgage Instruments with respect to Material Real Property owned by the Company or such Loan Party to the extent, and within such time period as is, reasonably required by the Administrative Agent. Notwithstanding anything to the contrary in this </w:t>
      </w:r>
      <w:r>
        <w:rPr>
          <w:rFonts w:ascii="Arial" w:cs="Arial" w:eastAsia="Arial" w:hAnsi="Arial"/>
          <w:sz w:val="16"/>
          <w:szCs w:val="16"/>
          <w:u w:val="single" w:color="auto"/>
          <w:color w:val="auto"/>
        </w:rPr>
        <w:t>Section 5.14</w:t>
      </w:r>
      <w:r>
        <w:rPr>
          <w:rFonts w:ascii="Arial" w:cs="Arial" w:eastAsia="Arial" w:hAnsi="Arial"/>
          <w:sz w:val="16"/>
          <w:szCs w:val="16"/>
          <w:color w:val="auto"/>
        </w:rPr>
        <w:t>, (i) no such Mortgage or Mortgage Instruments are required to be delivered hereunder until the date that is ninety (90) days (or such later date as may be agreed upon by the Administrative Agent in its reasonable discretion) after (A) the Effective Date, with respect to Material Real Property owned by the Company or any other Loan Party on the Effective Date or (B) the date of acquisition thereof, with respect to Material Real Property acquired by the Company or any other Loan Party after the Effective Date and (ii) no foreign pledge documentation in respect of the pledge of Equity Interests of a Pledge Subsidiary that is a Material Foreign Subsidiary shall be required hereunder (A) until the date that is ninety (90) days after the Effective Date or such later date as the Administrative Agent may agree in the exercise of its reasonable discretion with respect thereto, (B) to the extent the Administrative Agent or its counsel determines that such pledge would not provide material credit support for the benefit of the Secured Parties pursuant to legally valid, binding and enforceable pledge agreements, and (C) to the extent the Company reasonably determines in its good faith judgment that such pledge would result in a material adverse tax consequence to the Company or any Subsidiary.</w:t>
      </w:r>
    </w:p>
    <w:p>
      <w:pPr>
        <w:spacing w:after="0" w:line="3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2" w:name="page313"/>
    <w:bookmarkEnd w:id="312"/>
    <w:p>
      <w:pPr>
        <w:jc w:val="both"/>
        <w:ind w:left="840" w:firstLine="640"/>
        <w:spacing w:after="0" w:line="296" w:lineRule="auto"/>
        <w:tabs>
          <w:tab w:leader="none" w:pos="2268"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If, at any time after the Effective Date any Subsidiary of the Company that is not a Loan Party shall become party to a guaranty of, or grant a Lien on any assets to secure, the Term </w:t>
      </w:r>
      <w:r>
        <w:rPr>
          <w:rFonts w:ascii="Arial" w:cs="Arial" w:eastAsia="Arial" w:hAnsi="Arial"/>
          <w:sz w:val="16"/>
          <w:szCs w:val="16"/>
          <w:b w:val="1"/>
          <w:bCs w:val="1"/>
          <w:color w:val="FF0000"/>
          <w:strike w:val="1"/>
        </w:rPr>
        <w:t>Loan</w:t>
      </w:r>
      <w:r>
        <w:rPr>
          <w:rFonts w:ascii="Arial" w:cs="Arial" w:eastAsia="Arial" w:hAnsi="Arial"/>
          <w:sz w:val="16"/>
          <w:szCs w:val="16"/>
          <w:b w:val="1"/>
          <w:bCs w:val="1"/>
          <w:u w:val="single" w:color="auto"/>
          <w:color w:val="0000FF"/>
        </w:rPr>
        <w:t>Loans/Notes</w:t>
      </w:r>
      <w:r>
        <w:rPr>
          <w:rFonts w:ascii="Arial" w:cs="Arial" w:eastAsia="Arial" w:hAnsi="Arial"/>
          <w:sz w:val="16"/>
          <w:szCs w:val="16"/>
          <w:color w:val="auto"/>
        </w:rPr>
        <w:t xml:space="preserve"> Obligations, any Subordinated Indebtedness or any other Material Indebtedness of a Loan Party, the Company shall promptly notify the Administrative Agent thereof and, within ten (10) days thereof (or such later date as may be agreed upon by the Administrative Agent) cause such Subsidiary to comply with </w:t>
      </w:r>
      <w:r>
        <w:rPr>
          <w:rFonts w:ascii="Arial" w:cs="Arial" w:eastAsia="Arial" w:hAnsi="Arial"/>
          <w:sz w:val="16"/>
          <w:szCs w:val="16"/>
          <w:u w:val="single" w:color="auto"/>
          <w:color w:val="auto"/>
        </w:rPr>
        <w:t>Section 5.14(a)</w:t>
      </w:r>
      <w:r>
        <w:rPr>
          <w:rFonts w:ascii="Arial" w:cs="Arial" w:eastAsia="Arial" w:hAnsi="Arial"/>
          <w:sz w:val="16"/>
          <w:szCs w:val="16"/>
          <w:color w:val="auto"/>
        </w:rPr>
        <w:t xml:space="preserve"> and (b) (but without giving effect to the 30-day grace periods provided therein).</w:t>
      </w:r>
    </w:p>
    <w:p>
      <w:pPr>
        <w:spacing w:after="0" w:line="161" w:lineRule="exact"/>
        <w:rPr>
          <w:rFonts w:ascii="Arial" w:cs="Arial" w:eastAsia="Arial" w:hAnsi="Arial"/>
          <w:sz w:val="16"/>
          <w:szCs w:val="16"/>
          <w:color w:val="auto"/>
        </w:rPr>
      </w:pPr>
    </w:p>
    <w:p>
      <w:pPr>
        <w:jc w:val="both"/>
        <w:ind w:left="840" w:firstLine="640"/>
        <w:spacing w:after="0" w:line="289" w:lineRule="auto"/>
        <w:tabs>
          <w:tab w:leader="none" w:pos="2264"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Without limiting the foregoing, each Loan Party will, and will cause each Subsidiary to, execute and deliver, or cause to be executed and delivered, to the Administrative Agent such documents, agreements and instruments, and take or cause to be taken such further actions (including the filing and recording of financing statements, fixture filings, mortgages, deeds of trust and other documents and such other actions or deliveries of the type required by </w:t>
      </w:r>
      <w:r>
        <w:rPr>
          <w:rFonts w:ascii="Arial" w:cs="Arial" w:eastAsia="Arial" w:hAnsi="Arial"/>
          <w:sz w:val="16"/>
          <w:szCs w:val="16"/>
          <w:u w:val="single" w:color="auto"/>
          <w:color w:val="auto"/>
        </w:rPr>
        <w:t>Section 4.01</w:t>
      </w:r>
      <w:r>
        <w:rPr>
          <w:rFonts w:ascii="Arial" w:cs="Arial" w:eastAsia="Arial" w:hAnsi="Arial"/>
          <w:sz w:val="16"/>
          <w:szCs w:val="16"/>
          <w:color w:val="auto"/>
        </w:rPr>
        <w:t>,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subject to the terms, limitations, and exceptions set forth herein or in any Collateral Document, all at the expense of the Loan Parties, in each case to the extent required by, and subject to the limitations and exceptions of, this Agreement and the other Loan Documents.</w:t>
      </w:r>
    </w:p>
    <w:p>
      <w:pPr>
        <w:spacing w:after="0" w:line="38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3" w:name="page314"/>
    <w:bookmarkEnd w:id="313"/>
    <w:p>
      <w:pPr>
        <w:jc w:val="both"/>
        <w:ind w:left="1960" w:firstLine="640"/>
        <w:spacing w:after="0" w:line="283" w:lineRule="auto"/>
        <w:tabs>
          <w:tab w:leader="none" w:pos="3415" w:val="left"/>
        </w:tabs>
        <w:numPr>
          <w:ilvl w:val="1"/>
          <w:numId w:val="400"/>
        </w:numPr>
        <w:rPr>
          <w:rFonts w:ascii="Arial" w:cs="Arial" w:eastAsia="Arial" w:hAnsi="Arial"/>
          <w:sz w:val="16"/>
          <w:szCs w:val="16"/>
          <w:color w:val="auto"/>
        </w:rPr>
      </w:pPr>
      <w:r>
        <w:rPr>
          <w:rFonts w:ascii="Arial" w:cs="Arial" w:eastAsia="Arial" w:hAnsi="Arial"/>
          <w:sz w:val="16"/>
          <w:szCs w:val="16"/>
          <w:color w:val="auto"/>
        </w:rPr>
        <w:t xml:space="preserve">If any material assets (other than Excluded Assets or other assets not required to be Collateral) are acquired by any Loan Party after the Effective Date (other than assets constituting Collateral under the applicable Collateral Documents that become subject to the Lien granted by the Loan Parties in favor of the Administrative Agent in support of all of the Secured Obligations upon acquisition thereof), the Borrower Representative will promptly (i) notify the Administrative Agent thereof and, if requested by the Administrative Agent or the Required Lenders, cause such assets to be subjected to a Lien securing the Secured Obligations and (ii) take such actions as shall be necessary or reasonably requested by the Administrative Agent to grant and perfect such Liens, subject to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of this Section, all at the expense of the Loan Parties, subject, however, to the terms, limitations and exceptions set forth herein or in any Collateral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Material Real Property acquired by the Company or any other Loan Party after the Effective Date (including in connection with a Permitted Acquisition), which property would not be automatically subject to any other Lien pursuant to an existing Collateral Document, no Mortgage or Mortgage Instrument shall be required to be delivered hereunder prior to the date that is one hundred twenty</w:t>
      </w:r>
    </w:p>
    <w:p>
      <w:pPr>
        <w:spacing w:after="0" w:line="3" w:lineRule="exact"/>
        <w:rPr>
          <w:rFonts w:ascii="Arial" w:cs="Arial" w:eastAsia="Arial" w:hAnsi="Arial"/>
          <w:sz w:val="16"/>
          <w:szCs w:val="16"/>
          <w:color w:val="auto"/>
        </w:rPr>
      </w:pPr>
    </w:p>
    <w:p>
      <w:pPr>
        <w:ind w:left="1960" w:hanging="8"/>
        <w:spacing w:after="0" w:line="260" w:lineRule="auto"/>
        <w:tabs>
          <w:tab w:leader="none" w:pos="2399" w:val="left"/>
        </w:tabs>
        <w:numPr>
          <w:ilvl w:val="0"/>
          <w:numId w:val="401"/>
        </w:numPr>
        <w:rPr>
          <w:rFonts w:ascii="Arial" w:cs="Arial" w:eastAsia="Arial" w:hAnsi="Arial"/>
          <w:sz w:val="18"/>
          <w:szCs w:val="18"/>
          <w:color w:val="auto"/>
        </w:rPr>
      </w:pPr>
      <w:r>
        <w:rPr>
          <w:rFonts w:ascii="Arial" w:cs="Arial" w:eastAsia="Arial" w:hAnsi="Arial"/>
          <w:sz w:val="18"/>
          <w:szCs w:val="18"/>
          <w:color w:val="auto"/>
        </w:rPr>
        <w:t>days after the acquisition thereof as determined by the Borrower Representative (acting reasonably in good faith) (or such later date as may be agreed upon by the Administrative Agent in its reasonable discretion).</w:t>
      </w:r>
    </w:p>
    <w:p>
      <w:pPr>
        <w:spacing w:after="0" w:line="185" w:lineRule="exact"/>
        <w:rPr>
          <w:rFonts w:ascii="Arial" w:cs="Arial" w:eastAsia="Arial" w:hAnsi="Arial"/>
          <w:sz w:val="18"/>
          <w:szCs w:val="18"/>
          <w:color w:val="auto"/>
        </w:rPr>
      </w:pPr>
    </w:p>
    <w:p>
      <w:pPr>
        <w:jc w:val="both"/>
        <w:ind w:left="1960" w:firstLine="640"/>
        <w:spacing w:after="0" w:line="254" w:lineRule="auto"/>
        <w:tabs>
          <w:tab w:leader="none" w:pos="3382" w:val="left"/>
        </w:tabs>
        <w:numPr>
          <w:ilvl w:val="1"/>
          <w:numId w:val="401"/>
        </w:numPr>
        <w:rPr>
          <w:rFonts w:ascii="Arial" w:cs="Arial" w:eastAsia="Arial" w:hAnsi="Arial"/>
          <w:sz w:val="18"/>
          <w:szCs w:val="18"/>
          <w:color w:val="auto"/>
        </w:rPr>
      </w:pPr>
      <w:r>
        <w:rPr>
          <w:rFonts w:ascii="Arial" w:cs="Arial" w:eastAsia="Arial" w:hAnsi="Arial"/>
          <w:sz w:val="18"/>
          <w:szCs w:val="18"/>
          <w:color w:val="auto"/>
        </w:rPr>
        <w:t>Notwithstanding the foregoing, the parties hereto acknowledge and agree that (i) in circumstances where the Administrative Agent reasonably determines that the cost or effort of obtaining or perfecting a security interest in any asset that constitutes Collateral is excessive in relation to the benefit afforded to the Secured Parties thereby, the Administrative Agent may exclude such Collateral from the creation and perfection requirements set forth in this Agreement and the other Loan Documents and (ii) the Administrative Agent may grant extensions of time for the creation or perfection of Liens in particular property (including extensions of time beyond the Effective Date) where it determines that such creation or perfection cannot be accomplished without undue effort or expense by the time or times at which it would otherwise be required by this Agreement or any other Loan Document.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Until the Commitments shall have expired or been terminated and the principal of and interest on each Loan and all fees payable hereunder shall have been paid in full (other than Unliquidated Obligations not yet due and payable and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each Loan Party executing this Agreement covenants and agrees, jointly and severally with all of the other Loan Parties, with the Lenders that: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4" w:name="page315"/>
    <w:bookmarkEnd w:id="314"/>
    <w:p>
      <w:pPr>
        <w:ind w:left="180" w:firstLine="648"/>
        <w:spacing w:after="0" w:line="277" w:lineRule="auto"/>
        <w:rPr>
          <w:sz w:val="20"/>
          <w:szCs w:val="20"/>
          <w:color w:val="auto"/>
        </w:rPr>
      </w:pPr>
      <w:r>
        <w:rPr>
          <w:rFonts w:ascii="Arial" w:cs="Arial" w:eastAsia="Arial" w:hAnsi="Arial"/>
          <w:sz w:val="18"/>
          <w:szCs w:val="18"/>
          <w:color w:val="auto"/>
        </w:rPr>
        <w:t>SECTION 6.01. Indebtedness. No Loan Party will, nor will it permit any Subsidiary to, create, incur, assume or permit to exist any Indebtedness, except:</w:t>
      </w:r>
    </w:p>
    <w:p>
      <w:pPr>
        <w:spacing w:after="0" w:line="170" w:lineRule="exact"/>
        <w:rPr>
          <w:sz w:val="20"/>
          <w:szCs w:val="20"/>
          <w:color w:val="auto"/>
        </w:rPr>
      </w:pPr>
    </w:p>
    <w:p>
      <w:pPr>
        <w:ind w:left="2740" w:hanging="1260"/>
        <w:spacing w:after="0"/>
        <w:tabs>
          <w:tab w:leader="none" w:pos="274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(i) the Secured Obligations and any other Indebtedness created under the Loan Documents and</w:t>
      </w:r>
    </w:p>
    <w:p>
      <w:pPr>
        <w:spacing w:after="0" w:line="34" w:lineRule="exact"/>
        <w:rPr>
          <w:rFonts w:ascii="Arial" w:cs="Arial" w:eastAsia="Arial" w:hAnsi="Arial"/>
          <w:sz w:val="17"/>
          <w:szCs w:val="17"/>
          <w:color w:val="auto"/>
        </w:rPr>
      </w:pPr>
    </w:p>
    <w:p>
      <w:pPr>
        <w:jc w:val="both"/>
        <w:ind w:left="840" w:right="20" w:hanging="8"/>
        <w:spacing w:after="0" w:line="295" w:lineRule="auto"/>
        <w:tabs>
          <w:tab w:leader="none" w:pos="117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 xml:space="preserve">(A) Indebtedness under </w:t>
      </w:r>
      <w:r>
        <w:rPr>
          <w:rFonts w:ascii="Arial" w:cs="Arial" w:eastAsia="Arial" w:hAnsi="Arial"/>
          <w:sz w:val="16"/>
          <w:szCs w:val="16"/>
          <w:b w:val="1"/>
          <w:bCs w:val="1"/>
          <w:color w:val="FF0000"/>
          <w:strike w:val="1"/>
        </w:rPr>
        <w:t>the</w:t>
      </w:r>
      <w:r>
        <w:rPr>
          <w:rFonts w:ascii="Arial" w:cs="Arial" w:eastAsia="Arial" w:hAnsi="Arial"/>
          <w:sz w:val="16"/>
          <w:szCs w:val="16"/>
          <w:b w:val="1"/>
          <w:bCs w:val="1"/>
          <w:u w:val="single" w:color="auto"/>
          <w:color w:val="0000FF"/>
        </w:rPr>
        <w:t>any</w:t>
      </w:r>
      <w:r>
        <w:rPr>
          <w:rFonts w:ascii="Arial" w:cs="Arial" w:eastAsia="Arial" w:hAnsi="Arial"/>
          <w:sz w:val="16"/>
          <w:szCs w:val="16"/>
          <w:color w:val="auto"/>
        </w:rPr>
        <w:t xml:space="preserve"> Term </w:t>
      </w:r>
      <w:r>
        <w:rPr>
          <w:rFonts w:ascii="Arial" w:cs="Arial" w:eastAsia="Arial" w:hAnsi="Arial"/>
          <w:sz w:val="16"/>
          <w:szCs w:val="16"/>
          <w:b w:val="1"/>
          <w:bCs w:val="1"/>
          <w:color w:val="FF0000"/>
          <w:strike w:val="1"/>
        </w:rPr>
        <w:t>Loan</w:t>
      </w:r>
      <w:r>
        <w:rPr>
          <w:rFonts w:ascii="Arial" w:cs="Arial" w:eastAsia="Arial" w:hAnsi="Arial"/>
          <w:sz w:val="16"/>
          <w:szCs w:val="16"/>
          <w:b w:val="1"/>
          <w:bCs w:val="1"/>
          <w:u w:val="single" w:color="auto"/>
          <w:color w:val="0000FF"/>
        </w:rPr>
        <w:t>Loans/Notes</w:t>
      </w:r>
      <w:r>
        <w:rPr>
          <w:rFonts w:ascii="Arial" w:cs="Arial" w:eastAsia="Arial" w:hAnsi="Arial"/>
          <w:sz w:val="16"/>
          <w:szCs w:val="16"/>
          <w:color w:val="auto"/>
        </w:rPr>
        <w:t xml:space="preserve"> Agreement and </w:t>
      </w:r>
      <w:r>
        <w:rPr>
          <w:rFonts w:ascii="Arial" w:cs="Arial" w:eastAsia="Arial" w:hAnsi="Arial"/>
          <w:sz w:val="16"/>
          <w:szCs w:val="16"/>
          <w:b w:val="1"/>
          <w:bCs w:val="1"/>
          <w:color w:val="FF0000"/>
          <w:strike w:val="1"/>
        </w:rPr>
        <w:t>Incremental Equivalent Debt</w:t>
      </w:r>
      <w:r>
        <w:rPr>
          <w:rFonts w:ascii="Arial" w:cs="Arial" w:eastAsia="Arial" w:hAnsi="Arial"/>
          <w:sz w:val="16"/>
          <w:szCs w:val="16"/>
          <w:b w:val="1"/>
          <w:bCs w:val="1"/>
          <w:u w:val="single" w:color="auto"/>
          <w:color w:val="0000FF"/>
        </w:rPr>
        <w:t>Permitted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Additional Pari Passu Obligations</w:t>
      </w:r>
      <w:r>
        <w:rPr>
          <w:rFonts w:ascii="Arial" w:cs="Arial" w:eastAsia="Arial" w:hAnsi="Arial"/>
          <w:sz w:val="16"/>
          <w:szCs w:val="16"/>
          <w:b w:val="1"/>
          <w:bCs w:val="1"/>
          <w:color w:val="0000FF"/>
        </w:rPr>
        <w:t xml:space="preserve"> </w:t>
      </w:r>
      <w:r>
        <w:rPr>
          <w:rFonts w:ascii="Arial" w:cs="Arial" w:eastAsia="Arial" w:hAnsi="Arial"/>
          <w:sz w:val="16"/>
          <w:szCs w:val="16"/>
          <w:color w:val="000000"/>
        </w:rPr>
        <w:t>(as defined in the Term</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Loan</w:t>
      </w:r>
      <w:r>
        <w:rPr>
          <w:rFonts w:ascii="Arial" w:cs="Arial" w:eastAsia="Arial" w:hAnsi="Arial"/>
          <w:sz w:val="16"/>
          <w:szCs w:val="16"/>
          <w:b w:val="1"/>
          <w:bCs w:val="1"/>
          <w:u w:val="single" w:color="auto"/>
          <w:color w:val="0000FF"/>
        </w:rPr>
        <w:t>Loans/Notes</w:t>
      </w:r>
      <w:r>
        <w:rPr>
          <w:rFonts w:ascii="Arial" w:cs="Arial" w:eastAsia="Arial" w:hAnsi="Arial"/>
          <w:sz w:val="16"/>
          <w:szCs w:val="16"/>
          <w:b w:val="1"/>
          <w:bCs w:val="1"/>
          <w:color w:val="0000FF"/>
        </w:rPr>
        <w:t xml:space="preserve"> </w:t>
      </w:r>
      <w:r>
        <w:rPr>
          <w:rFonts w:ascii="Arial" w:cs="Arial" w:eastAsia="Arial" w:hAnsi="Arial"/>
          <w:sz w:val="16"/>
          <w:szCs w:val="16"/>
          <w:color w:val="000000"/>
        </w:rPr>
        <w:t>Agreement as of the</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date hereof</w:t>
      </w:r>
      <w:r>
        <w:rPr>
          <w:rFonts w:ascii="Arial" w:cs="Arial" w:eastAsia="Arial" w:hAnsi="Arial"/>
          <w:sz w:val="16"/>
          <w:szCs w:val="16"/>
          <w:b w:val="1"/>
          <w:bCs w:val="1"/>
          <w:u w:val="single" w:color="auto"/>
          <w:color w:val="0000FF"/>
        </w:rPr>
        <w:t>Amendment</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No. 2 Effective Date</w:t>
      </w:r>
      <w:r>
        <w:rPr>
          <w:rFonts w:ascii="Arial" w:cs="Arial" w:eastAsia="Arial" w:hAnsi="Arial"/>
          <w:sz w:val="16"/>
          <w:szCs w:val="16"/>
          <w:color w:val="000000"/>
        </w:rPr>
        <w:t>) in an aggregate principal amount at any one time outstanding not to exceed the sum of</w:t>
      </w:r>
      <w:r>
        <w:rPr>
          <w:rFonts w:ascii="Arial" w:cs="Arial" w:eastAsia="Arial" w:hAnsi="Arial"/>
          <w:sz w:val="16"/>
          <w:szCs w:val="16"/>
          <w:b w:val="1"/>
          <w:bCs w:val="1"/>
          <w:color w:val="0000FF"/>
        </w:rPr>
        <w:t xml:space="preserve"> </w:t>
      </w:r>
      <w:r>
        <w:rPr>
          <w:rFonts w:ascii="Arial" w:cs="Arial" w:eastAsia="Arial" w:hAnsi="Arial"/>
          <w:sz w:val="16"/>
          <w:szCs w:val="16"/>
          <w:color w:val="000000"/>
        </w:rPr>
        <w:t>$</w:t>
      </w:r>
      <w:r>
        <w:rPr>
          <w:rFonts w:ascii="Arial" w:cs="Arial" w:eastAsia="Arial" w:hAnsi="Arial"/>
          <w:sz w:val="16"/>
          <w:szCs w:val="16"/>
          <w:b w:val="1"/>
          <w:bCs w:val="1"/>
          <w:color w:val="FF0000"/>
          <w:strike w:val="1"/>
        </w:rPr>
        <w:t>425,000,000</w:t>
      </w:r>
      <w:r>
        <w:rPr>
          <w:rFonts w:ascii="Arial" w:cs="Arial" w:eastAsia="Arial" w:hAnsi="Arial"/>
          <w:sz w:val="16"/>
          <w:szCs w:val="16"/>
          <w:b w:val="1"/>
          <w:bCs w:val="1"/>
          <w:u w:val="single" w:color="auto"/>
          <w:color w:val="0000FF"/>
        </w:rPr>
        <w:t>450,000,000</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the Incremental Term </w:t>
      </w:r>
      <w:r>
        <w:rPr>
          <w:rFonts w:ascii="Arial" w:cs="Arial" w:eastAsia="Arial" w:hAnsi="Arial"/>
          <w:sz w:val="16"/>
          <w:szCs w:val="16"/>
          <w:b w:val="1"/>
          <w:bCs w:val="1"/>
          <w:color w:val="FF0000"/>
          <w:strike w:val="1"/>
        </w:rPr>
        <w:t>Loan</w:t>
      </w:r>
      <w:r>
        <w:rPr>
          <w:rFonts w:ascii="Arial" w:cs="Arial" w:eastAsia="Arial" w:hAnsi="Arial"/>
          <w:sz w:val="16"/>
          <w:szCs w:val="16"/>
          <w:b w:val="1"/>
          <w:bCs w:val="1"/>
          <w:u w:val="single" w:color="auto"/>
          <w:color w:val="0000FF"/>
        </w:rPr>
        <w:t>Loans/Notes</w:t>
      </w:r>
      <w:r>
        <w:rPr>
          <w:rFonts w:ascii="Arial" w:cs="Arial" w:eastAsia="Arial" w:hAnsi="Arial"/>
          <w:sz w:val="16"/>
          <w:szCs w:val="16"/>
          <w:color w:val="000000"/>
        </w:rPr>
        <w:t xml:space="preserve"> Amount and (B) any Refinancing Indebtedness thereof;</w:t>
      </w:r>
    </w:p>
    <w:p>
      <w:pPr>
        <w:spacing w:after="0" w:line="161" w:lineRule="exact"/>
        <w:rPr>
          <w:rFonts w:ascii="Arial" w:cs="Arial" w:eastAsia="Arial" w:hAnsi="Arial"/>
          <w:sz w:val="16"/>
          <w:szCs w:val="16"/>
          <w:color w:val="auto"/>
        </w:rPr>
      </w:pPr>
    </w:p>
    <w:p>
      <w:pPr>
        <w:ind w:left="840" w:firstLine="640"/>
        <w:spacing w:after="0" w:line="277" w:lineRule="auto"/>
        <w:tabs>
          <w:tab w:leader="none" w:pos="2291" w:val="left"/>
        </w:tabs>
        <w:numPr>
          <w:ilvl w:val="1"/>
          <w:numId w:val="403"/>
        </w:numPr>
        <w:rPr>
          <w:rFonts w:ascii="Arial" w:cs="Arial" w:eastAsia="Arial" w:hAnsi="Arial"/>
          <w:sz w:val="18"/>
          <w:szCs w:val="18"/>
          <w:color w:val="auto"/>
        </w:rPr>
      </w:pPr>
      <w:r>
        <w:rPr>
          <w:rFonts w:ascii="Arial" w:cs="Arial" w:eastAsia="Arial" w:hAnsi="Arial"/>
          <w:sz w:val="18"/>
          <w:szCs w:val="18"/>
          <w:color w:val="auto"/>
        </w:rPr>
        <w:t xml:space="preserve">Indebtedness existing on the Effective Date and set forth on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Refinancing Indebtedness in respect of any of the foregoing;</w:t>
      </w:r>
    </w:p>
    <w:p>
      <w:pPr>
        <w:spacing w:after="0" w:line="170" w:lineRule="exact"/>
        <w:rPr>
          <w:rFonts w:ascii="Arial" w:cs="Arial" w:eastAsia="Arial" w:hAnsi="Arial"/>
          <w:sz w:val="18"/>
          <w:szCs w:val="18"/>
          <w:color w:val="auto"/>
        </w:rPr>
      </w:pPr>
    </w:p>
    <w:p>
      <w:pPr>
        <w:jc w:val="both"/>
        <w:ind w:left="840" w:firstLine="640"/>
        <w:spacing w:after="0" w:line="293" w:lineRule="auto"/>
        <w:tabs>
          <w:tab w:leader="none" w:pos="2349" w:val="left"/>
        </w:tabs>
        <w:numPr>
          <w:ilvl w:val="1"/>
          <w:numId w:val="403"/>
        </w:numPr>
        <w:rPr>
          <w:rFonts w:ascii="Arial" w:cs="Arial" w:eastAsia="Arial" w:hAnsi="Arial"/>
          <w:sz w:val="16"/>
          <w:szCs w:val="16"/>
          <w:color w:val="auto"/>
        </w:rPr>
      </w:pPr>
      <w:r>
        <w:rPr>
          <w:rFonts w:ascii="Arial" w:cs="Arial" w:eastAsia="Arial" w:hAnsi="Arial"/>
          <w:sz w:val="16"/>
          <w:szCs w:val="16"/>
          <w:color w:val="auto"/>
        </w:rPr>
        <w:t xml:space="preserve">Indebtedness of the Company or any Subsidiary to the Company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such Indebtedness owing by the Company or any other Loan Party shall be unsecured and shall be subordinated in right of payment to the Secured Obligations on terms customary for intercompany subordinated Indebtedness, as reasonably determined by the Administrative Agent, (B) any such Indebtedness owing to the Company or any other Loan Party shall be evidenced by a promissory note which shall have been pledged pursuant to the Security Agreement and (C) any such Indebtedness owing by any Subsidiary that is not a Loan Party to any Loan Party shall be incurred in compliance with </w:t>
      </w:r>
      <w:r>
        <w:rPr>
          <w:rFonts w:ascii="Arial" w:cs="Arial" w:eastAsia="Arial" w:hAnsi="Arial"/>
          <w:sz w:val="16"/>
          <w:szCs w:val="16"/>
          <w:u w:val="single" w:color="auto"/>
          <w:color w:val="auto"/>
        </w:rPr>
        <w:t>Section 6.04(d)</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2220" w:hanging="740"/>
        <w:spacing w:after="0"/>
        <w:tabs>
          <w:tab w:leader="none" w:pos="222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 xml:space="preserve">Guarantees incurred in compliance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20" w:hanging="740"/>
        <w:spacing w:after="0"/>
        <w:tabs>
          <w:tab w:leader="none" w:pos="222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840" w:firstLine="640"/>
        <w:spacing w:after="0" w:line="293" w:lineRule="auto"/>
        <w:tabs>
          <w:tab w:leader="none" w:pos="2464" w:val="left"/>
        </w:tabs>
        <w:numPr>
          <w:ilvl w:val="1"/>
          <w:numId w:val="403"/>
        </w:numPr>
        <w:rPr>
          <w:rFonts w:ascii="Arial" w:cs="Arial" w:eastAsia="Arial" w:hAnsi="Arial"/>
          <w:sz w:val="16"/>
          <w:szCs w:val="16"/>
          <w:color w:val="auto"/>
        </w:rPr>
      </w:pPr>
      <w:r>
        <w:rPr>
          <w:rFonts w:ascii="Arial" w:cs="Arial" w:eastAsia="Arial" w:hAnsi="Arial"/>
          <w:sz w:val="16"/>
          <w:szCs w:val="16"/>
          <w:color w:val="auto"/>
        </w:rPr>
        <w:t xml:space="preserve">(i) Indebtedness of the Company or any Subsidiary incurred to finance the acquisition, construction or improvement of any fixed or capital assets, including Capital Lease Obligations, purchase money Indebtedness and any Indebtedness assumed by the Company or any Subsidiary in connection with the acquisition of any such assets or secured by a Lien on any such assets prior to the acquisition thereof and (ii) Refinancing Indebtedness in respect of Indebtedness incurred or assumed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Indebtedness permitted by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shall not exceed the greater of (x) $30,000,000 and (y) 3% of Consolidated Total Assets (at the time of incurrence);</w:t>
      </w:r>
    </w:p>
    <w:p>
      <w:pPr>
        <w:spacing w:after="0" w:line="38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5" w:name="page316"/>
    <w:bookmarkEnd w:id="315"/>
    <w:p>
      <w:pPr>
        <w:jc w:val="both"/>
        <w:ind w:left="840" w:firstLine="640"/>
        <w:spacing w:after="0" w:line="253" w:lineRule="auto"/>
        <w:tabs>
          <w:tab w:leader="none" w:pos="2291"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(i) Indebtedness of any Person that becomes a Subsidiary (or of any Person not previously a Subsidiary that is merged or consolidated with or into a Subsidiary in a transaction permitted hereunder) after the Effective Date, or Indebtedness of any Person that is assumed by any Subsidiary in connection with an acquisition of assets by such Subsidiary in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 (ii) Refinancing Indebtedness in respect of Indebtedness assumed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aggregate principal amount of Indebtedness permitted by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shall not exceed the greater of (x) $50,000,000 and (y) 5% of Consolidated Total Assets (at the time of incurrence);</w:t>
      </w:r>
    </w:p>
    <w:p>
      <w:pPr>
        <w:spacing w:after="0" w:line="196" w:lineRule="exact"/>
        <w:rPr>
          <w:rFonts w:ascii="Arial" w:cs="Arial" w:eastAsia="Arial" w:hAnsi="Arial"/>
          <w:sz w:val="18"/>
          <w:szCs w:val="18"/>
          <w:color w:val="auto"/>
        </w:rPr>
      </w:pPr>
    </w:p>
    <w:p>
      <w:pPr>
        <w:ind w:left="2640" w:hanging="1160"/>
        <w:spacing w:after="0"/>
        <w:tabs>
          <w:tab w:leader="none" w:pos="264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 xml:space="preserve">Permitted Unsecured Indebtedness and Refinancing Indebtedness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jc w:val="both"/>
        <w:ind w:left="840" w:hanging="8"/>
        <w:spacing w:after="0" w:line="286" w:lineRule="auto"/>
        <w:tabs>
          <w:tab w:leader="none" w:pos="108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immediately prior to and immediately after giving effect (including pro forma effect) to the incurrence of any Permitted Unsecured Indebtedness under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no Default shall have occurred and be continuing, (ii) immediately after giving effect (including pro forma effect) to the incurrence of any Permitted Unsecured Indebtedness, the Total Net Leverage Ratio, calculated on a pro forma basis for the most recently ended Test Period, shall not exceed 4.25 to 1.00, and (iii) the Company will, on the date of incurrence of such Indebtedness, deliver to the Administrative Agent a certificate of a Financial Officer of the Company, dated such date, confirming the satisfaction of the conditions set forth above and attaching a reasonably detailed calculation evidencing compliance with the condition set forth in the preceding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identifying the Permitted Unsecured Indebtedness being incurred and specifying that it is being incurred pursuant to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aggregate amount of Indebtedness incurred by a Subsidiary that is not a Loan Party under this </w:t>
      </w:r>
      <w:r>
        <w:rPr>
          <w:rFonts w:ascii="Arial" w:cs="Arial" w:eastAsia="Arial" w:hAnsi="Arial"/>
          <w:sz w:val="16"/>
          <w:szCs w:val="16"/>
          <w:u w:val="single" w:color="auto"/>
          <w:color w:val="auto"/>
        </w:rPr>
        <w:t>Section 6.01(h)</w:t>
      </w:r>
      <w:r>
        <w:rPr>
          <w:rFonts w:ascii="Arial" w:cs="Arial" w:eastAsia="Arial" w:hAnsi="Arial"/>
          <w:sz w:val="16"/>
          <w:szCs w:val="16"/>
          <w:color w:val="auto"/>
        </w:rPr>
        <w:t xml:space="preserve"> shall not exceed the greater of (x) $30,000,000 and (y) 3% of Consolidated Total Assets (at the time of incurrence);</w:t>
      </w:r>
    </w:p>
    <w:p>
      <w:pPr>
        <w:spacing w:after="0" w:line="169" w:lineRule="exact"/>
        <w:rPr>
          <w:rFonts w:ascii="Arial" w:cs="Arial" w:eastAsia="Arial" w:hAnsi="Arial"/>
          <w:sz w:val="16"/>
          <w:szCs w:val="16"/>
          <w:color w:val="auto"/>
        </w:rPr>
      </w:pPr>
    </w:p>
    <w:p>
      <w:pPr>
        <w:jc w:val="both"/>
        <w:ind w:left="840" w:right="20" w:firstLine="640"/>
        <w:spacing w:after="0" w:line="263" w:lineRule="auto"/>
        <w:tabs>
          <w:tab w:leader="none" w:pos="2351" w:val="left"/>
        </w:tabs>
        <w:numPr>
          <w:ilvl w:val="1"/>
          <w:numId w:val="405"/>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and owed in respect of any overdrafts and related liabilities arising from treasury, depository and cash management services or in connection with any automated clearing-house transfers of funds;</w:t>
      </w:r>
    </w:p>
    <w:p>
      <w:pPr>
        <w:spacing w:after="0" w:line="183" w:lineRule="exact"/>
        <w:rPr>
          <w:rFonts w:ascii="Arial" w:cs="Arial" w:eastAsia="Arial" w:hAnsi="Arial"/>
          <w:sz w:val="18"/>
          <w:szCs w:val="18"/>
          <w:color w:val="auto"/>
        </w:rPr>
      </w:pPr>
    </w:p>
    <w:p>
      <w:pPr>
        <w:jc w:val="both"/>
        <w:ind w:left="840" w:firstLine="640"/>
        <w:spacing w:after="0" w:line="291" w:lineRule="auto"/>
        <w:tabs>
          <w:tab w:leader="none" w:pos="2243" w:val="left"/>
        </w:tabs>
        <w:numPr>
          <w:ilvl w:val="1"/>
          <w:numId w:val="405"/>
        </w:numPr>
        <w:rPr>
          <w:rFonts w:ascii="Arial" w:cs="Arial" w:eastAsia="Arial" w:hAnsi="Arial"/>
          <w:sz w:val="16"/>
          <w:szCs w:val="16"/>
          <w:color w:val="auto"/>
        </w:rPr>
      </w:pPr>
      <w:r>
        <w:rPr>
          <w:rFonts w:ascii="Arial" w:cs="Arial" w:eastAsia="Arial" w:hAnsi="Arial"/>
          <w:sz w:val="16"/>
          <w:szCs w:val="16"/>
          <w:color w:val="auto"/>
        </w:rPr>
        <w:t xml:space="preserve">Indebtedness in respect of (1) letters of credit, bank guarantees and similar instruments issued for the account of, and (2) lines of credit established for the account of, the Company or any Subsidiary, in the case of each of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w:t>
      </w:r>
    </w:p>
    <w:p>
      <w:pPr>
        <w:jc w:val="both"/>
        <w:ind w:left="8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 xml:space="preserve"> in the ordinary course of business supporting or drawn to support, as applicable, obligations under (i) workers’ compensation, health, disability or other employee benefits, casualty or liability insurance, unemployment insurance and other social security laws and local state and federal payroll taxes, (ii) obligations in connection with self-insurance arrangements in the ordinary course of business and (iii) bids, trade contracts, leases, statutory obligations, surety and appeal bonds, performance and reclamation bonds and obligations of a like nature;</w:t>
      </w:r>
    </w:p>
    <w:p>
      <w:pPr>
        <w:spacing w:after="0" w:line="200" w:lineRule="exact"/>
        <w:rPr>
          <w:sz w:val="20"/>
          <w:szCs w:val="20"/>
          <w:color w:val="auto"/>
        </w:rPr>
      </w:pPr>
    </w:p>
    <w:p>
      <w:pPr>
        <w:spacing w:after="0" w:line="20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6" w:name="page317"/>
    <w:bookmarkEnd w:id="316"/>
    <w:p>
      <w:pPr>
        <w:ind w:left="2380" w:hanging="900"/>
        <w:spacing w:after="0"/>
        <w:tabs>
          <w:tab w:leader="none" w:pos="238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Indebtedness consisting of (i) client advances or deposits received in the ordinary course of business and</w:t>
      </w:r>
    </w:p>
    <w:p>
      <w:pPr>
        <w:spacing w:after="0" w:line="46" w:lineRule="exact"/>
        <w:rPr>
          <w:rFonts w:ascii="Arial" w:cs="Arial" w:eastAsia="Arial" w:hAnsi="Arial"/>
          <w:sz w:val="16"/>
          <w:szCs w:val="16"/>
          <w:color w:val="auto"/>
        </w:rPr>
      </w:pPr>
    </w:p>
    <w:p>
      <w:pPr>
        <w:ind w:left="1100" w:hanging="268"/>
        <w:spacing w:after="0"/>
        <w:tabs>
          <w:tab w:leader="none" w:pos="11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obligations in respect of Repurchase Agreements;</w:t>
      </w:r>
    </w:p>
    <w:p>
      <w:pPr>
        <w:spacing w:after="0" w:line="210" w:lineRule="exact"/>
        <w:rPr>
          <w:rFonts w:ascii="Arial" w:cs="Arial" w:eastAsia="Arial" w:hAnsi="Arial"/>
          <w:sz w:val="18"/>
          <w:szCs w:val="18"/>
          <w:color w:val="auto"/>
        </w:rPr>
      </w:pPr>
    </w:p>
    <w:p>
      <w:pPr>
        <w:jc w:val="both"/>
        <w:ind w:left="840" w:firstLine="640"/>
        <w:spacing w:after="0" w:line="279" w:lineRule="auto"/>
        <w:tabs>
          <w:tab w:leader="none" w:pos="2400" w:val="left"/>
        </w:tabs>
        <w:numPr>
          <w:ilvl w:val="1"/>
          <w:numId w:val="407"/>
        </w:numPr>
        <w:rPr>
          <w:rFonts w:ascii="Arial" w:cs="Arial" w:eastAsia="Arial" w:hAnsi="Arial"/>
          <w:sz w:val="17"/>
          <w:szCs w:val="17"/>
          <w:color w:val="auto"/>
        </w:rPr>
      </w:pPr>
      <w:r>
        <w:rPr>
          <w:rFonts w:ascii="Arial" w:cs="Arial" w:eastAsia="Arial" w:hAnsi="Arial"/>
          <w:sz w:val="17"/>
          <w:szCs w:val="17"/>
          <w:color w:val="auto"/>
        </w:rPr>
        <w:t xml:space="preserve">Indebtedness of the Company or any Subsidiary in the form of purchase price adjustments (including in respect of working capital), earnouts, deferred compensation, indemnification or other arrangements representing acquisition consideration or deferred payments of a similar nature incurred in connection with any Permitted Acquisition or other Investments permitted under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or Dispositions permitted under </w:t>
      </w:r>
      <w:r>
        <w:rPr>
          <w:rFonts w:ascii="Arial" w:cs="Arial" w:eastAsia="Arial" w:hAnsi="Arial"/>
          <w:sz w:val="17"/>
          <w:szCs w:val="17"/>
          <w:u w:val="single" w:color="auto"/>
          <w:color w:val="auto"/>
        </w:rPr>
        <w:t>Section 6.05</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840" w:firstLine="640"/>
        <w:spacing w:after="0" w:line="291" w:lineRule="auto"/>
        <w:tabs>
          <w:tab w:leader="none" w:pos="2436" w:val="left"/>
        </w:tabs>
        <w:numPr>
          <w:ilvl w:val="1"/>
          <w:numId w:val="407"/>
        </w:numPr>
        <w:rPr>
          <w:rFonts w:ascii="Arial" w:cs="Arial" w:eastAsia="Arial" w:hAnsi="Arial"/>
          <w:sz w:val="16"/>
          <w:szCs w:val="16"/>
          <w:color w:val="auto"/>
        </w:rPr>
      </w:pPr>
      <w:r>
        <w:rPr>
          <w:rFonts w:ascii="Arial" w:cs="Arial" w:eastAsia="Arial" w:hAnsi="Arial"/>
          <w:sz w:val="16"/>
          <w:szCs w:val="16"/>
          <w:color w:val="auto"/>
        </w:rPr>
        <w:t xml:space="preserve">Indebtedness of Foreign Subsidiaries and Refinancing Indebtedness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Indebtedness permitted by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shall not exceed the greater of (x) $50,000,000 and</w:t>
      </w:r>
    </w:p>
    <w:p>
      <w:pPr>
        <w:ind w:left="1080" w:hanging="248"/>
        <w:spacing w:after="0"/>
        <w:tabs>
          <w:tab w:leader="none" w:pos="10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5% of Consolidated Total Assets (at the time of incurrence);</w:t>
      </w:r>
    </w:p>
    <w:p>
      <w:pPr>
        <w:spacing w:after="0" w:line="210" w:lineRule="exact"/>
        <w:rPr>
          <w:rFonts w:ascii="Arial" w:cs="Arial" w:eastAsia="Arial" w:hAnsi="Arial"/>
          <w:sz w:val="18"/>
          <w:szCs w:val="18"/>
          <w:color w:val="auto"/>
        </w:rPr>
      </w:pPr>
    </w:p>
    <w:p>
      <w:pPr>
        <w:jc w:val="both"/>
        <w:ind w:left="840" w:firstLine="640"/>
        <w:spacing w:after="0" w:line="263" w:lineRule="auto"/>
        <w:tabs>
          <w:tab w:leader="none" w:pos="244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Indebtedness relating to premium financing arrangements for property and casualty insurance plans and health and welfare benefit plans (including health and workers compensation insurance, employment practices liability insurance and directors and officers insurance), if incurred in the ordinary course of business;</w:t>
      </w:r>
    </w:p>
    <w:p>
      <w:pPr>
        <w:spacing w:after="0" w:line="183" w:lineRule="exact"/>
        <w:rPr>
          <w:rFonts w:ascii="Arial" w:cs="Arial" w:eastAsia="Arial" w:hAnsi="Arial"/>
          <w:sz w:val="18"/>
          <w:szCs w:val="18"/>
          <w:color w:val="auto"/>
        </w:rPr>
      </w:pPr>
    </w:p>
    <w:p>
      <w:pPr>
        <w:jc w:val="both"/>
        <w:ind w:left="840" w:firstLine="640"/>
        <w:spacing w:after="0" w:line="274" w:lineRule="auto"/>
        <w:tabs>
          <w:tab w:leader="none" w:pos="275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other unsecured and Subordinated Indebtedness not otherwise described above, and Refinancing Indebtedness in respect thereof, in an aggregate principal amount at any time outstanding not in excess of the greater of</w:t>
      </w:r>
    </w:p>
    <w:p>
      <w:pPr>
        <w:ind w:left="1080" w:hanging="248"/>
        <w:spacing w:after="0"/>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$50,000,000 and (y) 5% of Consolidated Total Assets;</w:t>
      </w:r>
    </w:p>
    <w:p>
      <w:pPr>
        <w:spacing w:after="0" w:line="210" w:lineRule="exact"/>
        <w:rPr>
          <w:rFonts w:ascii="Arial" w:cs="Arial" w:eastAsia="Arial" w:hAnsi="Arial"/>
          <w:sz w:val="18"/>
          <w:szCs w:val="18"/>
          <w:color w:val="auto"/>
        </w:rPr>
      </w:pPr>
    </w:p>
    <w:p>
      <w:pPr>
        <w:ind w:left="840" w:firstLine="640"/>
        <w:spacing w:after="0" w:line="277" w:lineRule="auto"/>
        <w:tabs>
          <w:tab w:leader="none" w:pos="2426" w:val="left"/>
        </w:tabs>
        <w:numPr>
          <w:ilvl w:val="1"/>
          <w:numId w:val="409"/>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they are permitted to remain unfunded under applicable law;</w:t>
      </w:r>
    </w:p>
    <w:p>
      <w:pPr>
        <w:spacing w:after="0" w:line="170" w:lineRule="exact"/>
        <w:rPr>
          <w:rFonts w:ascii="Arial" w:cs="Arial" w:eastAsia="Arial" w:hAnsi="Arial"/>
          <w:sz w:val="18"/>
          <w:szCs w:val="18"/>
          <w:color w:val="auto"/>
        </w:rPr>
      </w:pPr>
    </w:p>
    <w:p>
      <w:pPr>
        <w:jc w:val="both"/>
        <w:ind w:left="840" w:firstLine="640"/>
        <w:spacing w:after="0" w:line="259" w:lineRule="auto"/>
        <w:tabs>
          <w:tab w:leader="none" w:pos="2318"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Indebtedness of the Company or any of its Subsidiaries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86" w:lineRule="exact"/>
        <w:rPr>
          <w:rFonts w:ascii="Arial" w:cs="Arial" w:eastAsia="Arial" w:hAnsi="Arial"/>
          <w:sz w:val="18"/>
          <w:szCs w:val="18"/>
          <w:color w:val="auto"/>
        </w:rPr>
      </w:pPr>
    </w:p>
    <w:p>
      <w:pPr>
        <w:ind w:left="2200" w:hanging="720"/>
        <w:spacing w:after="0"/>
        <w:tabs>
          <w:tab w:leader="none" w:pos="2200" w:val="left"/>
        </w:tabs>
        <w:numPr>
          <w:ilvl w:val="1"/>
          <w:numId w:val="409"/>
        </w:numPr>
        <w:rPr>
          <w:rFonts w:ascii="Arial" w:cs="Arial" w:eastAsia="Arial" w:hAnsi="Arial"/>
          <w:sz w:val="16"/>
          <w:szCs w:val="16"/>
          <w:color w:val="auto"/>
        </w:rPr>
      </w:pPr>
      <w:r>
        <w:rPr>
          <w:rFonts w:ascii="Arial" w:cs="Arial" w:eastAsia="Arial" w:hAnsi="Arial"/>
          <w:sz w:val="16"/>
          <w:szCs w:val="16"/>
          <w:color w:val="auto"/>
        </w:rPr>
        <w:t>Indebtedness in respect to judgments or awards under circumstances not giving rise to an Event of Default;</w:t>
      </w:r>
    </w:p>
    <w:p>
      <w:pPr>
        <w:spacing w:after="0" w:line="248" w:lineRule="exact"/>
        <w:rPr>
          <w:rFonts w:ascii="Arial" w:cs="Arial" w:eastAsia="Arial" w:hAnsi="Arial"/>
          <w:sz w:val="16"/>
          <w:szCs w:val="16"/>
          <w:color w:val="auto"/>
        </w:rPr>
      </w:pPr>
    </w:p>
    <w:p>
      <w:pPr>
        <w:ind w:left="2200" w:hanging="720"/>
        <w:spacing w:after="0"/>
        <w:tabs>
          <w:tab w:leader="none" w:pos="220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 xml:space="preserve">Indebtedness in respect of obligations that are being contested in accordance with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7" w:name="page318"/>
    <w:bookmarkEnd w:id="317"/>
    <w:p>
      <w:pPr>
        <w:jc w:val="both"/>
        <w:ind w:left="1960" w:firstLine="640"/>
        <w:spacing w:after="0" w:line="263" w:lineRule="auto"/>
        <w:tabs>
          <w:tab w:leader="none" w:pos="353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Indebtedness representing deferred compensation, severance, pension, and health and welfare retirement benefits or the equivalent to current and former employees of the Company and its Subsidiaries incurred in the ordinary course of business or existing on the Effective Date; and</w:t>
      </w:r>
    </w:p>
    <w:p>
      <w:pPr>
        <w:spacing w:after="0" w:line="183" w:lineRule="exact"/>
        <w:rPr>
          <w:rFonts w:ascii="Arial" w:cs="Arial" w:eastAsia="Arial" w:hAnsi="Arial"/>
          <w:sz w:val="18"/>
          <w:szCs w:val="18"/>
          <w:color w:val="auto"/>
        </w:rPr>
      </w:pPr>
    </w:p>
    <w:p>
      <w:pPr>
        <w:jc w:val="both"/>
        <w:ind w:left="1960" w:firstLine="640"/>
        <w:spacing w:after="0" w:line="263" w:lineRule="auto"/>
        <w:tabs>
          <w:tab w:leader="none" w:pos="3425"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Indebtedness consisting of promissory notes issued by the Company or any Subsidiary to present or former employees, officers, directors or consultants (or their estates or beneficiaries under their estates) to finance the purchase or redemption of Equity Interests of the Company permitted by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in the event that an item of Indebtedness (or any portion thereof) meets the criteria of more than one of the categories of permitted Indebtedness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(u)</w:t>
      </w:r>
      <w:r>
        <w:rPr>
          <w:rFonts w:ascii="Arial" w:cs="Arial" w:eastAsia="Arial" w:hAnsi="Arial"/>
          <w:sz w:val="16"/>
          <w:szCs w:val="16"/>
          <w:color w:val="auto"/>
        </w:rPr>
        <w:t xml:space="preserve"> above, the Company, in its sole discretion, will be permitted to divide and classify such item of Indebtedness (or any portion thereof) on the date of incurrence, and at any time and from time to time may later reclassify all or any portion of any item of Indebtedness as having been incurred under any category of permitted Indebtedness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w:t>
      </w:r>
    </w:p>
    <w:p>
      <w:pPr>
        <w:spacing w:after="0" w:line="1" w:lineRule="exact"/>
        <w:rPr>
          <w:sz w:val="20"/>
          <w:szCs w:val="20"/>
          <w:color w:val="auto"/>
        </w:rPr>
      </w:pPr>
    </w:p>
    <w:p>
      <w:pPr>
        <w:ind w:left="260" w:hanging="252"/>
        <w:spacing w:after="0"/>
        <w:tabs>
          <w:tab w:leader="none" w:pos="260" w:val="left"/>
        </w:tabs>
        <w:numPr>
          <w:ilvl w:val="0"/>
          <w:numId w:val="411"/>
        </w:numPr>
        <w:rPr>
          <w:rFonts w:ascii="Arial" w:cs="Arial" w:eastAsia="Arial" w:hAnsi="Arial"/>
          <w:sz w:val="18"/>
          <w:szCs w:val="18"/>
          <w:u w:val="single" w:color="auto"/>
          <w:color w:val="auto"/>
        </w:rPr>
      </w:pPr>
      <w:r>
        <w:rPr>
          <w:rFonts w:ascii="Arial" w:cs="Arial" w:eastAsia="Arial" w:hAnsi="Arial"/>
          <w:sz w:val="18"/>
          <w:szCs w:val="18"/>
          <w:color w:val="auto"/>
        </w:rPr>
        <w:t>above so long as such Indebtedness is permitted to be incurred pursuant to such provision at the time of reclassification.</w:t>
      </w:r>
    </w:p>
    <w:p>
      <w:pPr>
        <w:spacing w:after="0" w:line="211"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auto"/>
        </w:rPr>
        <w:t>SECTION 6.02. Liens.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4" w:lineRule="exact"/>
        <w:rPr>
          <w:sz w:val="20"/>
          <w:szCs w:val="20"/>
          <w:color w:val="auto"/>
        </w:rPr>
      </w:pPr>
    </w:p>
    <w:p>
      <w:pPr>
        <w:jc w:val="both"/>
        <w:ind w:left="1960" w:firstLine="640"/>
        <w:spacing w:after="0" w:line="286" w:lineRule="auto"/>
        <w:tabs>
          <w:tab w:leader="none" w:pos="3658" w:val="left"/>
        </w:tabs>
        <w:numPr>
          <w:ilvl w:val="1"/>
          <w:numId w:val="412"/>
        </w:numPr>
        <w:rPr>
          <w:rFonts w:ascii="Arial" w:cs="Arial" w:eastAsia="Arial" w:hAnsi="Arial"/>
          <w:sz w:val="17"/>
          <w:szCs w:val="17"/>
          <w:color w:val="auto"/>
        </w:rPr>
      </w:pPr>
      <w:r>
        <w:rPr>
          <w:rFonts w:ascii="Arial" w:cs="Arial" w:eastAsia="Arial" w:hAnsi="Arial"/>
          <w:sz w:val="17"/>
          <w:szCs w:val="17"/>
          <w:color w:val="auto"/>
        </w:rPr>
        <w:t xml:space="preserve">(i) Liens created under the Loan Documents and (ii) Lien on Collateral of the Loan Parties securing Indebtedness incurred pursuant to </w:t>
      </w:r>
      <w:r>
        <w:rPr>
          <w:rFonts w:ascii="Arial" w:cs="Arial" w:eastAsia="Arial" w:hAnsi="Arial"/>
          <w:sz w:val="17"/>
          <w:szCs w:val="17"/>
          <w:u w:val="single" w:color="auto"/>
          <w:color w:val="auto"/>
        </w:rPr>
        <w:t>Section 6.01(a)(ii)</w:t>
      </w:r>
      <w:r>
        <w:rPr>
          <w:rFonts w:ascii="Arial" w:cs="Arial" w:eastAsia="Arial" w:hAnsi="Arial"/>
          <w:sz w:val="17"/>
          <w:szCs w:val="17"/>
          <w:color w:val="auto"/>
        </w:rPr>
        <w:t xml:space="preserve"> (which Liens shall be subject to an Intercreditor Agreement and, to the extent on ABL Priority Collateral, shall be junior to the Liens securing the Secured Obligations);</w:t>
      </w:r>
    </w:p>
    <w:p>
      <w:pPr>
        <w:spacing w:after="0" w:line="165" w:lineRule="exact"/>
        <w:rPr>
          <w:rFonts w:ascii="Arial" w:cs="Arial" w:eastAsia="Arial" w:hAnsi="Arial"/>
          <w:sz w:val="17"/>
          <w:szCs w:val="17"/>
          <w:color w:val="auto"/>
        </w:rPr>
      </w:pPr>
    </w:p>
    <w:p>
      <w:pPr>
        <w:ind w:left="3340" w:hanging="740"/>
        <w:spacing w:after="0"/>
        <w:tabs>
          <w:tab w:leader="none" w:pos="334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left="1960" w:firstLine="640"/>
        <w:spacing w:after="0" w:line="291" w:lineRule="auto"/>
        <w:tabs>
          <w:tab w:leader="none" w:pos="3523" w:val="left"/>
        </w:tabs>
        <w:numPr>
          <w:ilvl w:val="1"/>
          <w:numId w:val="412"/>
        </w:numPr>
        <w:rPr>
          <w:rFonts w:ascii="Arial" w:cs="Arial" w:eastAsia="Arial" w:hAnsi="Arial"/>
          <w:sz w:val="16"/>
          <w:szCs w:val="16"/>
          <w:color w:val="auto"/>
        </w:rPr>
      </w:pPr>
      <w:r>
        <w:rPr>
          <w:rFonts w:ascii="Arial" w:cs="Arial" w:eastAsia="Arial" w:hAnsi="Arial"/>
          <w:sz w:val="16"/>
          <w:szCs w:val="16"/>
          <w:color w:val="auto"/>
        </w:rPr>
        <w:t xml:space="preserve">any Lien on any asset of the Company or any Subsidiary existing on the Effective Date and set forth on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shall not apply to any other asset of the Company or any Subsidiary other than</w:t>
      </w:r>
    </w:p>
    <w:p>
      <w:pPr>
        <w:jc w:val="both"/>
        <w:ind w:left="1960" w:hanging="8"/>
        <w:spacing w:after="0" w:line="270" w:lineRule="auto"/>
        <w:tabs>
          <w:tab w:leader="none" w:pos="2268" w:val="left"/>
        </w:tabs>
        <w:numPr>
          <w:ilvl w:val="0"/>
          <w:numId w:val="413"/>
        </w:numPr>
        <w:rPr>
          <w:rFonts w:ascii="Arial" w:cs="Arial" w:eastAsia="Arial" w:hAnsi="Arial"/>
          <w:sz w:val="17"/>
          <w:szCs w:val="17"/>
          <w:color w:val="auto"/>
        </w:rPr>
      </w:pPr>
      <w:r>
        <w:rPr>
          <w:rFonts w:ascii="Arial" w:cs="Arial" w:eastAsia="Arial" w:hAnsi="Arial"/>
          <w:sz w:val="17"/>
          <w:szCs w:val="17"/>
          <w:color w:val="auto"/>
        </w:rPr>
        <w:t xml:space="preserve">after-acquired property that is affixed or incorporated into the property covered by such Lien or financed by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(B) proceeds and products thereof and (ii) such Lien shall secure only those obligations that it secures on the Effective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as Refinancing Indebtedness in respect thereof;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8" w:name="page319"/>
    <w:bookmarkEnd w:id="318"/>
    <w:p>
      <w:pPr>
        <w:jc w:val="both"/>
        <w:ind w:left="840" w:firstLine="640"/>
        <w:spacing w:after="0" w:line="285" w:lineRule="auto"/>
        <w:tabs>
          <w:tab w:leader="none" w:pos="2278"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any Lien existing on any asset prior to the acquisition thereof by the Company or any Subsidiary or existing on any asset of any Person that becomes a Subsidiary (or of any Person not previously a Subsidiary that is merged or consolidated with or into a Subsidiary in a transaction permitted hereunder) after the Effective Date prior to the time such Person becomes a Subsidiary (or is so merged or consolidated);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Subsidiary (or such merger or consolidation), (ii) such Lien shall not apply to any other asset of the Company or any Subsidiary (other than (A) the proceeds or products of such assets, (B)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(C) in the case of any such merger or consolidation, the assets of any Subsidiary without significant assets that was formed solely for the purpose of effecting such acquisition) and (iii) such Lien shall secure only those obligations that it secures on the date of such acquisition or the date such Person becomes a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Arial" w:cs="Arial" w:eastAsia="Arial" w:hAnsi="Arial"/>
          <w:sz w:val="16"/>
          <w:szCs w:val="16"/>
          <w:u w:val="single" w:color="auto"/>
          <w:color w:val="auto"/>
        </w:rPr>
        <w:t>Section 6.01(g)</w:t>
      </w:r>
      <w:r>
        <w:rPr>
          <w:rFonts w:ascii="Arial" w:cs="Arial" w:eastAsia="Arial" w:hAnsi="Arial"/>
          <w:sz w:val="16"/>
          <w:szCs w:val="16"/>
          <w:color w:val="auto"/>
        </w:rPr>
        <w:t xml:space="preserve"> as Refinancing Indebtedness in respect thereof;</w:t>
      </w:r>
    </w:p>
    <w:p>
      <w:pPr>
        <w:spacing w:after="0" w:line="176" w:lineRule="exact"/>
        <w:rPr>
          <w:rFonts w:ascii="Arial" w:cs="Arial" w:eastAsia="Arial" w:hAnsi="Arial"/>
          <w:sz w:val="16"/>
          <w:szCs w:val="16"/>
          <w:color w:val="auto"/>
        </w:rPr>
      </w:pPr>
    </w:p>
    <w:p>
      <w:pPr>
        <w:jc w:val="both"/>
        <w:ind w:left="840" w:firstLine="640"/>
        <w:spacing w:after="0" w:line="272" w:lineRule="auto"/>
        <w:tabs>
          <w:tab w:leader="none" w:pos="2457" w:val="left"/>
        </w:tabs>
        <w:numPr>
          <w:ilvl w:val="0"/>
          <w:numId w:val="414"/>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(including any such assets made the subject of a Capital Lease Obligation incurred) by the Company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secure Indebtedness incurred to finance such acquisition, construction or improvement and permitted by </w:t>
      </w:r>
      <w:r>
        <w:rPr>
          <w:rFonts w:ascii="Arial" w:cs="Arial" w:eastAsia="Arial" w:hAnsi="Arial"/>
          <w:sz w:val="17"/>
          <w:szCs w:val="17"/>
          <w:u w:val="single" w:color="auto"/>
          <w:color w:val="auto"/>
        </w:rPr>
        <w:t>clause (f)(i)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any Refinancing Indebtedness in respect thereof permitted by </w:t>
      </w:r>
      <w:r>
        <w:rPr>
          <w:rFonts w:ascii="Arial" w:cs="Arial" w:eastAsia="Arial" w:hAnsi="Arial"/>
          <w:sz w:val="17"/>
          <w:szCs w:val="17"/>
          <w:u w:val="single" w:color="auto"/>
          <w:color w:val="auto"/>
        </w:rPr>
        <w:t>clause (f)(ii)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(ii) such Liens shall not apply to any other assets (except for replacements, additions and accessions to such assets) of the Company or any Subsidiary, other than the proceeds and products of such fixed or capital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individual financings of equipment provided by one lender may be cross collateralized to other financings of equipment provided by such lender;</w:t>
      </w:r>
    </w:p>
    <w:p>
      <w:pPr>
        <w:spacing w:after="0" w:line="177" w:lineRule="exact"/>
        <w:rPr>
          <w:rFonts w:ascii="Arial" w:cs="Arial" w:eastAsia="Arial" w:hAnsi="Arial"/>
          <w:sz w:val="17"/>
          <w:szCs w:val="17"/>
          <w:color w:val="auto"/>
        </w:rPr>
      </w:pPr>
    </w:p>
    <w:p>
      <w:pPr>
        <w:jc w:val="both"/>
        <w:ind w:left="840" w:firstLine="640"/>
        <w:spacing w:after="0" w:line="263" w:lineRule="auto"/>
        <w:tabs>
          <w:tab w:leader="none" w:pos="2248"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in connection with the sale or transfer of any Equity Interests or other assets in a transaction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customary rights and restrictions contained in agreements relating to such sale or transfer pending the completion thereof;</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9" w:name="page320"/>
    <w:bookmarkEnd w:id="319"/>
    <w:p>
      <w:pPr>
        <w:jc w:val="both"/>
        <w:ind w:left="840" w:firstLine="640"/>
        <w:spacing w:after="0" w:line="259" w:lineRule="auto"/>
        <w:tabs>
          <w:tab w:leader="none" w:pos="239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 the case of (i) any Subsidiary that is not a wholly-owned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86" w:lineRule="exact"/>
        <w:rPr>
          <w:rFonts w:ascii="Arial" w:cs="Arial" w:eastAsia="Arial" w:hAnsi="Arial"/>
          <w:sz w:val="18"/>
          <w:szCs w:val="18"/>
          <w:color w:val="auto"/>
        </w:rPr>
      </w:pPr>
    </w:p>
    <w:p>
      <w:pPr>
        <w:jc w:val="both"/>
        <w:ind w:left="840" w:firstLine="640"/>
        <w:spacing w:after="0" w:line="259" w:lineRule="auto"/>
        <w:tabs>
          <w:tab w:leader="none" w:pos="234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any Lien on assets of any Foreign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shall not apply to any Collateral (including any Equity Interests in any Subsidiary that constitute Collateral) or any other assets of the Company or any other Loan Party and (ii) such Lien shall secure only Indebtedness or other obligations of such Foreign Subsidiary permitted hereunder;</w:t>
      </w:r>
    </w:p>
    <w:p>
      <w:pPr>
        <w:spacing w:after="0" w:line="186" w:lineRule="exact"/>
        <w:rPr>
          <w:rFonts w:ascii="Arial" w:cs="Arial" w:eastAsia="Arial" w:hAnsi="Arial"/>
          <w:sz w:val="18"/>
          <w:szCs w:val="18"/>
          <w:color w:val="auto"/>
        </w:rPr>
      </w:pPr>
    </w:p>
    <w:p>
      <w:pPr>
        <w:jc w:val="both"/>
        <w:ind w:left="840" w:firstLine="640"/>
        <w:spacing w:after="0" w:line="263" w:lineRule="auto"/>
        <w:tabs>
          <w:tab w:leader="none" w:pos="228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Liens solely on any cash earnest money deposits, escrow arrangements or similar arrangements made by the Company or any Subsidiary in connection with any letter of intent or purchase agreement for a Permitted Acquisition or other transaction permitted hereunder;</w:t>
      </w:r>
    </w:p>
    <w:p>
      <w:pPr>
        <w:spacing w:after="0" w:line="183" w:lineRule="exact"/>
        <w:rPr>
          <w:rFonts w:ascii="Arial" w:cs="Arial" w:eastAsia="Arial" w:hAnsi="Arial"/>
          <w:sz w:val="18"/>
          <w:szCs w:val="18"/>
          <w:color w:val="auto"/>
        </w:rPr>
      </w:pPr>
    </w:p>
    <w:p>
      <w:pPr>
        <w:ind w:left="840" w:right="20" w:firstLine="640"/>
        <w:spacing w:after="0" w:line="277" w:lineRule="auto"/>
        <w:tabs>
          <w:tab w:leader="none" w:pos="228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Liens granted (i) by a Subsidiary that is not a Loan Party in respect of Indebtedness permitted to be incurred under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and (ii) by any Subsidiary in favor of any Loan Party;</w:t>
      </w:r>
    </w:p>
    <w:p>
      <w:pPr>
        <w:spacing w:after="0" w:line="170" w:lineRule="exact"/>
        <w:rPr>
          <w:rFonts w:ascii="Arial" w:cs="Arial" w:eastAsia="Arial" w:hAnsi="Arial"/>
          <w:sz w:val="18"/>
          <w:szCs w:val="18"/>
          <w:color w:val="auto"/>
        </w:rPr>
      </w:pPr>
    </w:p>
    <w:p>
      <w:pPr>
        <w:ind w:left="2220" w:hanging="740"/>
        <w:spacing w:after="0"/>
        <w:tabs>
          <w:tab w:leader="none" w:pos="222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840" w:right="20" w:firstLine="640"/>
        <w:spacing w:after="0" w:line="277" w:lineRule="auto"/>
        <w:tabs>
          <w:tab w:leader="none" w:pos="2378" w:val="left"/>
        </w:tabs>
        <w:numPr>
          <w:ilvl w:val="0"/>
          <w:numId w:val="415"/>
        </w:numPr>
        <w:rPr>
          <w:rFonts w:ascii="Arial" w:cs="Arial" w:eastAsia="Arial" w:hAnsi="Arial"/>
          <w:sz w:val="18"/>
          <w:szCs w:val="18"/>
          <w:color w:val="auto"/>
        </w:rPr>
      </w:pPr>
      <w:r>
        <w:rPr>
          <w:rFonts w:ascii="Arial" w:cs="Arial" w:eastAsia="Arial" w:hAnsi="Arial"/>
          <w:sz w:val="18"/>
          <w:szCs w:val="18"/>
          <w:color w:val="auto"/>
        </w:rPr>
        <w:t>other Liens securing Indebtedness or other obligations in an aggregate principal amount not to exceed the greater of (x) $30,000,000 and (y) 3% of Consolidated Total Assets at any time outstanding;</w:t>
      </w:r>
    </w:p>
    <w:p>
      <w:pPr>
        <w:spacing w:after="0" w:line="170" w:lineRule="exact"/>
        <w:rPr>
          <w:rFonts w:ascii="Arial" w:cs="Arial" w:eastAsia="Arial" w:hAnsi="Arial"/>
          <w:sz w:val="18"/>
          <w:szCs w:val="18"/>
          <w:color w:val="auto"/>
        </w:rPr>
      </w:pPr>
    </w:p>
    <w:p>
      <w:pPr>
        <w:ind w:left="840" w:right="20" w:firstLine="640"/>
        <w:spacing w:after="0" w:line="308" w:lineRule="auto"/>
        <w:tabs>
          <w:tab w:leader="none" w:pos="2368" w:val="left"/>
        </w:tabs>
        <w:numPr>
          <w:ilvl w:val="0"/>
          <w:numId w:val="415"/>
        </w:numPr>
        <w:rPr>
          <w:rFonts w:ascii="Arial" w:cs="Arial" w:eastAsia="Arial" w:hAnsi="Arial"/>
          <w:sz w:val="17"/>
          <w:szCs w:val="17"/>
          <w:color w:val="auto"/>
        </w:rPr>
      </w:pPr>
      <w:r>
        <w:rPr>
          <w:rFonts w:ascii="Arial" w:cs="Arial" w:eastAsia="Arial" w:hAnsi="Arial"/>
          <w:sz w:val="17"/>
          <w:szCs w:val="17"/>
          <w:color w:val="auto"/>
        </w:rPr>
        <w:t>Liens arising out of any conditional sale, title retention, consignment or other similar arrangements for the sale of goods entered into by the Company or any Subsidiary in the ordinary course of business;</w:t>
      </w:r>
    </w:p>
    <w:p>
      <w:pPr>
        <w:spacing w:after="0" w:line="146" w:lineRule="exact"/>
        <w:rPr>
          <w:rFonts w:ascii="Arial" w:cs="Arial" w:eastAsia="Arial" w:hAnsi="Arial"/>
          <w:sz w:val="17"/>
          <w:szCs w:val="17"/>
          <w:color w:val="auto"/>
        </w:rPr>
      </w:pPr>
    </w:p>
    <w:p>
      <w:pPr>
        <w:ind w:left="2280" w:hanging="800"/>
        <w:spacing w:after="0"/>
        <w:tabs>
          <w:tab w:leader="none" w:pos="228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Liens securing Indebtedness permitted hereunder to finance insurance premiums solely to the extent of such</w:t>
      </w:r>
    </w:p>
    <w:p>
      <w:pPr>
        <w:spacing w:after="0" w:line="4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8"/>
          <w:szCs w:val="18"/>
          <w:color w:val="auto"/>
        </w:rPr>
        <w:t>premiums;</w:t>
      </w:r>
    </w:p>
    <w:p>
      <w:pPr>
        <w:spacing w:after="0" w:line="210" w:lineRule="exact"/>
        <w:rPr>
          <w:rFonts w:ascii="Arial" w:cs="Arial" w:eastAsia="Arial" w:hAnsi="Arial"/>
          <w:sz w:val="16"/>
          <w:szCs w:val="16"/>
          <w:color w:val="auto"/>
        </w:rPr>
      </w:pPr>
    </w:p>
    <w:p>
      <w:pPr>
        <w:jc w:val="both"/>
        <w:ind w:left="840" w:firstLine="640"/>
        <w:spacing w:after="0" w:line="257" w:lineRule="auto"/>
        <w:tabs>
          <w:tab w:leader="none" w:pos="2278"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87" w:lineRule="exact"/>
        <w:rPr>
          <w:rFonts w:ascii="Arial" w:cs="Arial" w:eastAsia="Arial" w:hAnsi="Arial"/>
          <w:sz w:val="18"/>
          <w:szCs w:val="18"/>
          <w:color w:val="auto"/>
        </w:rPr>
      </w:pPr>
    </w:p>
    <w:p>
      <w:pPr>
        <w:jc w:val="both"/>
        <w:ind w:left="840" w:firstLine="640"/>
        <w:spacing w:after="0" w:line="263" w:lineRule="auto"/>
        <w:tabs>
          <w:tab w:leader="none" w:pos="2291" w:val="left"/>
        </w:tabs>
        <w:numPr>
          <w:ilvl w:val="0"/>
          <w:numId w:val="415"/>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0" w:name="page321"/>
    <w:bookmarkEnd w:id="320"/>
    <w:p>
      <w:pPr>
        <w:jc w:val="both"/>
        <w:ind w:left="1940" w:firstLine="640"/>
        <w:spacing w:after="0" w:line="257" w:lineRule="auto"/>
        <w:tabs>
          <w:tab w:leader="none" w:pos="3432" w:val="left"/>
        </w:tabs>
        <w:numPr>
          <w:ilvl w:val="1"/>
          <w:numId w:val="416"/>
        </w:numPr>
        <w:rPr>
          <w:rFonts w:ascii="Arial" w:cs="Arial" w:eastAsia="Arial" w:hAnsi="Arial"/>
          <w:sz w:val="18"/>
          <w:szCs w:val="18"/>
          <w:color w:val="auto"/>
        </w:rPr>
      </w:pPr>
      <w:r>
        <w:rPr>
          <w:rFonts w:ascii="Arial" w:cs="Arial" w:eastAsia="Arial" w:hAnsi="Arial"/>
          <w:sz w:val="18"/>
          <w:szCs w:val="18"/>
          <w:color w:val="auto"/>
        </w:rPr>
        <w:t>Liens that are contractual rights of set-off or rights of pledge (i) relating to the establishment of depository relations with banks not given in connection with the issuance of Indebtedness, (ii) relating to pooled deposit or sweep accounts of the Company or any Subsidiary to permit satisfaction of overdraft or similar obligations incurred in the ordinary course of business of the or (3) relating to purchase orders and other agreements entered into with customers of the Company or any of Subsidiary in the ordinary course of business;</w:t>
      </w:r>
    </w:p>
    <w:p>
      <w:pPr>
        <w:spacing w:after="0" w:line="187" w:lineRule="exact"/>
        <w:rPr>
          <w:rFonts w:ascii="Arial" w:cs="Arial" w:eastAsia="Arial" w:hAnsi="Arial"/>
          <w:sz w:val="18"/>
          <w:szCs w:val="18"/>
          <w:color w:val="auto"/>
        </w:rPr>
      </w:pPr>
    </w:p>
    <w:p>
      <w:pPr>
        <w:ind w:left="3340" w:hanging="760"/>
        <w:spacing w:after="0"/>
        <w:tabs>
          <w:tab w:leader="none" w:pos="3340" w:val="left"/>
        </w:tabs>
        <w:numPr>
          <w:ilvl w:val="1"/>
          <w:numId w:val="416"/>
        </w:numPr>
        <w:rPr>
          <w:rFonts w:ascii="Arial" w:cs="Arial" w:eastAsia="Arial" w:hAnsi="Arial"/>
          <w:sz w:val="17"/>
          <w:szCs w:val="17"/>
          <w:color w:val="auto"/>
        </w:rPr>
      </w:pPr>
      <w:r>
        <w:rPr>
          <w:rFonts w:ascii="Arial" w:cs="Arial" w:eastAsia="Arial" w:hAnsi="Arial"/>
          <w:sz w:val="17"/>
          <w:szCs w:val="17"/>
          <w:color w:val="auto"/>
        </w:rPr>
        <w:t xml:space="preserve">Liens deemed to exist in connection with Investments in repurchase agreements under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left="1940" w:firstLine="640"/>
        <w:spacing w:after="0" w:line="257" w:lineRule="auto"/>
        <w:tabs>
          <w:tab w:leader="none" w:pos="350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 xml:space="preserve">the modification, replacement, renewal or extension of any Lien permitted by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Section 6.02;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Lien does not extend to any additional property, other than (A) after-acquired property that is affixed or incorporated into the property covered by such Lien and (B) proceeds and products thereof, and (ii) the renewal, extension or refinancing of the obligations secured or benefited by such Liens is permitted by Section 6.01 (to the extent constituting Indebtedness); </w:t>
      </w:r>
      <w:r>
        <w:rPr>
          <w:rFonts w:ascii="Arial" w:cs="Arial" w:eastAsia="Arial" w:hAnsi="Arial"/>
          <w:sz w:val="18"/>
          <w:szCs w:val="18"/>
          <w:b w:val="1"/>
          <w:bCs w:val="1"/>
          <w:u w:val="single" w:color="auto"/>
          <w:color w:val="0000FF"/>
        </w:rPr>
        <w:t>and</w:t>
      </w:r>
    </w:p>
    <w:p>
      <w:pPr>
        <w:spacing w:after="0" w:line="187" w:lineRule="exact"/>
        <w:rPr>
          <w:rFonts w:ascii="Arial" w:cs="Arial" w:eastAsia="Arial" w:hAnsi="Arial"/>
          <w:sz w:val="18"/>
          <w:szCs w:val="18"/>
          <w:color w:val="auto"/>
        </w:rPr>
      </w:pPr>
    </w:p>
    <w:p>
      <w:pPr>
        <w:jc w:val="both"/>
        <w:ind w:left="1940" w:firstLine="640"/>
        <w:spacing w:after="0" w:line="257" w:lineRule="auto"/>
        <w:tabs>
          <w:tab w:leader="none" w:pos="3338" w:val="left"/>
        </w:tabs>
        <w:numPr>
          <w:ilvl w:val="1"/>
          <w:numId w:val="416"/>
        </w:numPr>
        <w:rPr>
          <w:rFonts w:ascii="Arial" w:cs="Arial" w:eastAsia="Arial" w:hAnsi="Arial"/>
          <w:sz w:val="18"/>
          <w:szCs w:val="18"/>
          <w:color w:val="auto"/>
        </w:rPr>
      </w:pPr>
      <w:r>
        <w:rPr>
          <w:rFonts w:ascii="Arial" w:cs="Arial" w:eastAsia="Arial" w:hAnsi="Arial"/>
          <w:sz w:val="18"/>
          <w:szCs w:val="18"/>
          <w:color w:val="auto"/>
        </w:rPr>
        <w:t>(i) Liens in favor of customs and revenue authorities arising as a matter of law to secure payment of customs duties in connection with the importation of goods in the ordinary course of business and (ii)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r>
        <w:rPr>
          <w:rFonts w:ascii="Arial" w:cs="Arial" w:eastAsia="Arial" w:hAnsi="Arial"/>
          <w:sz w:val="18"/>
          <w:szCs w:val="18"/>
          <w:b w:val="1"/>
          <w:bCs w:val="1"/>
          <w:color w:val="FF0000"/>
          <w:strike w:val="1"/>
        </w:rPr>
        <w:t>; and</w:t>
      </w:r>
      <w:r>
        <w:rPr>
          <w:rFonts w:ascii="Arial" w:cs="Arial" w:eastAsia="Arial" w:hAnsi="Arial"/>
          <w:sz w:val="18"/>
          <w:szCs w:val="18"/>
          <w:b w:val="1"/>
          <w:bCs w:val="1"/>
          <w:u w:val="single" w:color="auto"/>
          <w:color w:val="0000FF"/>
        </w:rPr>
        <w:t>.</w:t>
      </w:r>
    </w:p>
    <w:p>
      <w:pPr>
        <w:spacing w:after="0" w:line="183" w:lineRule="exact"/>
        <w:rPr>
          <w:rFonts w:ascii="Arial" w:cs="Arial" w:eastAsia="Arial" w:hAnsi="Arial"/>
          <w:sz w:val="18"/>
          <w:szCs w:val="18"/>
          <w:color w:val="auto"/>
        </w:rPr>
      </w:pPr>
    </w:p>
    <w:p>
      <w:pPr>
        <w:ind w:left="-20" w:right="40" w:firstLine="656"/>
        <w:spacing w:after="0" w:line="272" w:lineRule="auto"/>
        <w:tabs>
          <w:tab w:leader="none" w:pos="893" w:val="left"/>
        </w:tabs>
        <w:numPr>
          <w:ilvl w:val="0"/>
          <w:numId w:val="417"/>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 xml:space="preserve">Liens on the Collateral securing (i) Permitted First Priority Refinancing Indebtedness permitted under Section 6.01(e) of the Term Loan Agreement (as in effect on the Effective Date) on a pari passu basis with the Liens on the Collateral securing the Secured Obligations, and, if secured by the Collateral, Refinancing Indebtedness in respect thereof; </w:t>
      </w:r>
      <w:r>
        <w:rPr>
          <w:rFonts w:ascii="Arial" w:cs="Arial" w:eastAsia="Arial" w:hAnsi="Arial"/>
          <w:sz w:val="17"/>
          <w:szCs w:val="17"/>
          <w:b w:val="1"/>
          <w:bCs w:val="1"/>
          <w:u w:val="single" w:color="auto"/>
          <w:color w:val="FF0000"/>
          <w:strike w:val="1"/>
        </w:rPr>
        <w:t>provided</w:t>
      </w:r>
      <w:r>
        <w:rPr>
          <w:rFonts w:ascii="Arial" w:cs="Arial" w:eastAsia="Arial" w:hAnsi="Arial"/>
          <w:sz w:val="17"/>
          <w:szCs w:val="17"/>
          <w:b w:val="1"/>
          <w:bCs w:val="1"/>
          <w:color w:val="FF0000"/>
          <w:strike w:val="1"/>
        </w:rPr>
        <w:t xml:space="preserve"> that a trustee, collateral agent, security agent or other Person acting on behalf of the holders of such Indebtedness has entered into an Intercreditor Agreement and (ii) Permitted Second Priority Refinancing Indebtedness permitted under Section 6.01(e) of the Term Loan Agreement (as in effect on the Effective Date) on a junior basis to the Liens on the Collateral securing the Secured Obligations and, if secured by the Collateral, Refinancing Indebtedness in respect thereof; </w:t>
      </w:r>
      <w:r>
        <w:rPr>
          <w:rFonts w:ascii="Arial" w:cs="Arial" w:eastAsia="Arial" w:hAnsi="Arial"/>
          <w:sz w:val="17"/>
          <w:szCs w:val="17"/>
          <w:b w:val="1"/>
          <w:bCs w:val="1"/>
          <w:u w:val="single" w:color="auto"/>
          <w:color w:val="FF0000"/>
          <w:strike w:val="1"/>
        </w:rPr>
        <w:t>provided</w:t>
      </w:r>
      <w:r>
        <w:rPr>
          <w:rFonts w:ascii="Arial" w:cs="Arial" w:eastAsia="Arial" w:hAnsi="Arial"/>
          <w:sz w:val="17"/>
          <w:szCs w:val="17"/>
          <w:b w:val="1"/>
          <w:bCs w:val="1"/>
          <w:color w:val="FF0000"/>
          <w:strike w:val="1"/>
        </w:rPr>
        <w:t xml:space="preserve"> that, a trustee, collateral agent, security agent or other Person acting on behalf of the holders of such Indebtedness has entered into an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-2510155</wp:posOffset>
            </wp:positionV>
            <wp:extent cx="5708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-2235835</wp:posOffset>
            </wp:positionV>
            <wp:extent cx="5880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21" w:name="page322"/>
    <w:bookmarkEnd w:id="321"/>
    <w:p>
      <w:pPr>
        <w:jc w:val="both"/>
        <w:spacing w:after="0" w:line="291"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 a Lien securing an item of Indebtedness need not be permitted solely by reference to one category of permitted Liens (or any portion thereof)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FF0000"/>
          <w:strike w:val="1"/>
        </w:rPr>
        <w:t>u</w:t>
      </w:r>
      <w:r>
        <w:rPr>
          <w:rFonts w:ascii="Arial" w:cs="Arial" w:eastAsia="Arial" w:hAnsi="Arial"/>
          <w:sz w:val="16"/>
          <w:szCs w:val="16"/>
          <w:b w:val="1"/>
          <w:bCs w:val="1"/>
          <w:u w:val="single" w:color="auto"/>
          <w:color w:val="0000FF"/>
        </w:rPr>
        <w:t>t</w:t>
      </w:r>
      <w:r>
        <w:rPr>
          <w:rFonts w:ascii="Arial" w:cs="Arial" w:eastAsia="Arial" w:hAnsi="Arial"/>
          <w:sz w:val="16"/>
          <w:szCs w:val="16"/>
          <w:u w:val="single" w:color="auto"/>
          <w:color w:val="auto"/>
        </w:rPr>
        <w:t>)</w:t>
      </w:r>
      <w:r>
        <w:rPr>
          <w:rFonts w:ascii="Arial" w:cs="Arial" w:eastAsia="Arial" w:hAnsi="Arial"/>
          <w:sz w:val="16"/>
          <w:szCs w:val="16"/>
          <w:color w:val="auto"/>
        </w:rPr>
        <w:t xml:space="preserve"> but may be permitted in part under any combination thereof and (B) in the event that a Lien securing an item of Indebtedness (or any portion thereof) meets the criteria of one or more of the categories of permitted Liens (or any portion thereof)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FF0000"/>
          <w:strike w:val="1"/>
        </w:rPr>
        <w:t>u</w:t>
      </w:r>
      <w:r>
        <w:rPr>
          <w:rFonts w:ascii="Arial" w:cs="Arial" w:eastAsia="Arial" w:hAnsi="Arial"/>
          <w:sz w:val="16"/>
          <w:szCs w:val="16"/>
          <w:b w:val="1"/>
          <w:bCs w:val="1"/>
          <w:u w:val="single" w:color="auto"/>
          <w:color w:val="0000FF"/>
        </w:rPr>
        <w:t>t</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Company may, in its sole discretion, classify or divide such Lien securing such item of Indebtedness (or any portion thereof) in any manner that complies with this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w:t>
      </w:r>
    </w:p>
    <w:p>
      <w:pPr>
        <w:spacing w:after="0" w:line="166" w:lineRule="exact"/>
        <w:rPr>
          <w:sz w:val="20"/>
          <w:szCs w:val="20"/>
          <w:color w:val="auto"/>
        </w:rPr>
      </w:pPr>
    </w:p>
    <w:p>
      <w:pPr>
        <w:ind w:left="1960"/>
        <w:spacing w:after="0"/>
        <w:tabs>
          <w:tab w:leader="none" w:pos="34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color w:val="auto"/>
        </w:rPr>
        <w:t>Fundamental Changes.</w:t>
      </w:r>
    </w:p>
    <w:p>
      <w:pPr>
        <w:spacing w:after="0" w:line="225" w:lineRule="exact"/>
        <w:rPr>
          <w:sz w:val="20"/>
          <w:szCs w:val="20"/>
          <w:color w:val="auto"/>
        </w:rPr>
      </w:pPr>
    </w:p>
    <w:p>
      <w:pPr>
        <w:jc w:val="both"/>
        <w:ind w:left="1960" w:firstLine="640"/>
        <w:spacing w:after="0" w:line="263" w:lineRule="auto"/>
        <w:tabs>
          <w:tab w:leader="none" w:pos="3388" w:val="left"/>
        </w:tabs>
        <w:numPr>
          <w:ilvl w:val="1"/>
          <w:numId w:val="418"/>
        </w:numPr>
        <w:rPr>
          <w:rFonts w:ascii="Arial" w:cs="Arial" w:eastAsia="Arial" w:hAnsi="Arial"/>
          <w:sz w:val="18"/>
          <w:szCs w:val="18"/>
          <w:color w:val="auto"/>
        </w:rPr>
      </w:pPr>
      <w:r>
        <w:rPr>
          <w:rFonts w:ascii="Arial" w:cs="Arial" w:eastAsia="Arial" w:hAnsi="Arial"/>
          <w:sz w:val="18"/>
          <w:szCs w:val="18"/>
          <w:color w:val="auto"/>
        </w:rPr>
        <w:t>None of the Company or any Subsidiary will merge into or consolidate with any other Person, or permit any other Person to merge into or consolidate with it, or liquidate or dissolve, except that, if at the time thereof and immediately after giving effect thereto no Default shall have occurred and be continuing:</w:t>
      </w:r>
    </w:p>
    <w:p>
      <w:pPr>
        <w:spacing w:after="0" w:line="183" w:lineRule="exact"/>
        <w:rPr>
          <w:rFonts w:ascii="Arial" w:cs="Arial" w:eastAsia="Arial" w:hAnsi="Arial"/>
          <w:sz w:val="18"/>
          <w:szCs w:val="18"/>
          <w:color w:val="auto"/>
        </w:rPr>
      </w:pPr>
    </w:p>
    <w:p>
      <w:pPr>
        <w:jc w:val="both"/>
        <w:ind w:left="660" w:firstLine="644"/>
        <w:spacing w:after="0" w:line="275" w:lineRule="auto"/>
        <w:tabs>
          <w:tab w:leader="none" w:pos="2279" w:val="left"/>
        </w:tabs>
        <w:numPr>
          <w:ilvl w:val="0"/>
          <w:numId w:val="419"/>
        </w:numPr>
        <w:rPr>
          <w:rFonts w:ascii="Arial" w:cs="Arial" w:eastAsia="Arial" w:hAnsi="Arial"/>
          <w:sz w:val="17"/>
          <w:szCs w:val="17"/>
          <w:color w:val="auto"/>
        </w:rPr>
      </w:pPr>
      <w:r>
        <w:rPr>
          <w:rFonts w:ascii="Arial" w:cs="Arial" w:eastAsia="Arial" w:hAnsi="Arial"/>
          <w:sz w:val="17"/>
          <w:szCs w:val="17"/>
          <w:color w:val="auto"/>
        </w:rPr>
        <w:t xml:space="preserve">any Person (other than the Company or any Subsidiary) may merge or consolidate with the Company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merger or consolidation involving (A) the Company must result in the Company as the surviving entity, (B) any Borrower must result in such Borrower as the surviving entity and (C) a Loan Party must result in such Loan Party as the surviving entity or, if such Loan Party is not the surviving entity of such merger or consolidation, the Person surviving such merger or consolidation becomes a Loan Party following the consummation of such merger or consolidation in accordance with </w:t>
      </w:r>
      <w:r>
        <w:rPr>
          <w:rFonts w:ascii="Arial" w:cs="Arial" w:eastAsia="Arial" w:hAnsi="Arial"/>
          <w:sz w:val="17"/>
          <w:szCs w:val="17"/>
          <w:u w:val="single" w:color="auto"/>
          <w:color w:val="auto"/>
        </w:rPr>
        <w:t>Section 5.14(a)</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left="660" w:firstLine="644"/>
        <w:spacing w:after="0" w:line="263" w:lineRule="auto"/>
        <w:tabs>
          <w:tab w:leader="none" w:pos="217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Subsidiary may merge into or consolidate with a Loan Party in a transaction in which the surviving entity is such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merger involving (A) the Company must result in the Company as the surviving entity and (B) a Borrower must result in such Borrower as the surviving entity);</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any Subsidiary that is not a Loan Party may merge into or consolidate with another Subsidiary that is not a Loan Party;</w:t>
      </w:r>
    </w:p>
    <w:p>
      <w:pPr>
        <w:spacing w:after="0" w:line="236" w:lineRule="exact"/>
        <w:rPr>
          <w:rFonts w:ascii="Arial" w:cs="Arial" w:eastAsia="Arial" w:hAnsi="Arial"/>
          <w:sz w:val="17"/>
          <w:szCs w:val="17"/>
          <w:color w:val="auto"/>
        </w:rPr>
      </w:pPr>
    </w:p>
    <w:p>
      <w:pPr>
        <w:jc w:val="both"/>
        <w:ind w:left="660" w:firstLine="644"/>
        <w:spacing w:after="0" w:line="263" w:lineRule="auto"/>
        <w:tabs>
          <w:tab w:leader="none" w:pos="2161"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Subsidiary that is not a Loan Party may liquidate, wind up or dissolve if the Company determines in good faith that such liquidation, winding up or dissolution is in the best interests of the Company and its Subsidiaries and is not materially disadvantageous to the Lenders; and</w:t>
      </w:r>
    </w:p>
    <w:p>
      <w:pPr>
        <w:spacing w:after="0" w:line="183" w:lineRule="exact"/>
        <w:rPr>
          <w:rFonts w:ascii="Arial" w:cs="Arial" w:eastAsia="Arial" w:hAnsi="Arial"/>
          <w:sz w:val="18"/>
          <w:szCs w:val="18"/>
          <w:color w:val="auto"/>
        </w:rPr>
      </w:pPr>
    </w:p>
    <w:p>
      <w:pPr>
        <w:ind w:left="660" w:firstLine="644"/>
        <w:spacing w:after="0" w:line="277" w:lineRule="auto"/>
        <w:tabs>
          <w:tab w:leader="none" w:pos="2179"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Subsidiary may liquidate, wind up or dissolve if its assets are transferred to the Company or any Loan Party or, if such Subsidiary is not a Loan Party, to any other Subsidiary.</w:t>
      </w:r>
    </w:p>
    <w:p>
      <w:pPr>
        <w:spacing w:after="0" w:line="170" w:lineRule="exact"/>
        <w:rPr>
          <w:rFonts w:ascii="Arial" w:cs="Arial" w:eastAsia="Arial" w:hAnsi="Arial"/>
          <w:sz w:val="18"/>
          <w:szCs w:val="18"/>
          <w:color w:val="auto"/>
        </w:rPr>
      </w:pPr>
    </w:p>
    <w:p>
      <w:pPr>
        <w:jc w:val="both"/>
        <w:ind w:left="1960" w:firstLine="640"/>
        <w:spacing w:after="0" w:line="259" w:lineRule="auto"/>
        <w:tabs>
          <w:tab w:leader="none" w:pos="3357" w:val="left"/>
        </w:tabs>
        <w:numPr>
          <w:ilvl w:val="1"/>
          <w:numId w:val="419"/>
        </w:numPr>
        <w:rPr>
          <w:rFonts w:ascii="Arial" w:cs="Arial" w:eastAsia="Arial" w:hAnsi="Arial"/>
          <w:sz w:val="18"/>
          <w:szCs w:val="18"/>
          <w:color w:val="auto"/>
        </w:rPr>
      </w:pPr>
      <w:r>
        <w:rPr>
          <w:rFonts w:ascii="Arial" w:cs="Arial" w:eastAsia="Arial" w:hAnsi="Arial"/>
          <w:sz w:val="18"/>
          <w:szCs w:val="18"/>
          <w:color w:val="auto"/>
        </w:rPr>
        <w:t>No Loan Party will, nor will it permit any of its Subsidiaries to, engage to any material extent in any business substantially different from businesses of the type conducted by the Company and its Subsidiaries (taken as a whole) on the Effective Date and businesses reasonably related, ancillary, similar, complementary or synergistic thereto or reasonable extensions, development or expansion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2" w:name="page323"/>
    <w:bookmarkEnd w:id="322"/>
    <w:p>
      <w:pPr>
        <w:jc w:val="both"/>
        <w:ind w:left="840" w:firstLine="640"/>
        <w:spacing w:after="0" w:line="255" w:lineRule="auto"/>
        <w:tabs>
          <w:tab w:leader="none" w:pos="2241" w:val="left"/>
        </w:tabs>
        <w:numPr>
          <w:ilvl w:val="0"/>
          <w:numId w:val="420"/>
        </w:numPr>
        <w:rPr>
          <w:rFonts w:ascii="Arial" w:cs="Arial" w:eastAsia="Arial" w:hAnsi="Arial"/>
          <w:sz w:val="18"/>
          <w:szCs w:val="18"/>
          <w:color w:val="auto"/>
        </w:rPr>
      </w:pPr>
      <w:r>
        <w:rPr>
          <w:rFonts w:ascii="Arial" w:cs="Arial" w:eastAsia="Arial" w:hAnsi="Arial"/>
          <w:sz w:val="18"/>
          <w:szCs w:val="18"/>
          <w:color w:val="auto"/>
        </w:rPr>
        <w:t xml:space="preserve">No Loan Party will, nor will it permit any of its Subsidiaries to, change its fiscal year from the basis in effect on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and their Subsidiaries may change their fiscal year from the basis in effect on the Effective Date, subject to such adjustments to this Agreement as the Borrower Representative and the Administrative Agent shall reasonably agree are necessary or appropriate in connection with such change (and the parties hereto hereby authorize the Borrower Representative and the Administrative Agent to make any such amendments to this Agreement as they jointly deem necessary to give effect to the foregoing).</w:t>
      </w:r>
    </w:p>
    <w:p>
      <w:pPr>
        <w:spacing w:after="0" w:line="192" w:lineRule="exact"/>
        <w:rPr>
          <w:rFonts w:ascii="Arial" w:cs="Arial" w:eastAsia="Arial" w:hAnsi="Arial"/>
          <w:sz w:val="18"/>
          <w:szCs w:val="18"/>
          <w:color w:val="auto"/>
        </w:rPr>
      </w:pPr>
    </w:p>
    <w:p>
      <w:pPr>
        <w:jc w:val="both"/>
        <w:ind w:left="840" w:firstLine="640"/>
        <w:spacing w:after="0" w:line="263" w:lineRule="auto"/>
        <w:tabs>
          <w:tab w:leader="none" w:pos="235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No Loan Party will, nor will it permit any of its Subsidiaries to, amend, modify or waive any of its rights under its certificate of incorporation, bylaws or other organizational documents, in each case to the extent such amendment, modification or waiver would be materially adverse to the Lenders.</w:t>
      </w:r>
    </w:p>
    <w:p>
      <w:pPr>
        <w:spacing w:after="0" w:line="183" w:lineRule="exact"/>
        <w:rPr>
          <w:rFonts w:ascii="Arial" w:cs="Arial" w:eastAsia="Arial" w:hAnsi="Arial"/>
          <w:sz w:val="18"/>
          <w:szCs w:val="18"/>
          <w:color w:val="auto"/>
        </w:rPr>
      </w:pPr>
    </w:p>
    <w:p>
      <w:pPr>
        <w:jc w:val="both"/>
        <w:ind w:left="840" w:firstLine="640"/>
        <w:spacing w:after="0" w:line="296" w:lineRule="auto"/>
        <w:tabs>
          <w:tab w:leader="none" w:pos="2376"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and the other further assurances obligations set forth in the Loan Documents and become a Loan Party under this Agreement and the other Loan Documents.</w:t>
      </w:r>
    </w:p>
    <w:p>
      <w:pPr>
        <w:spacing w:after="0" w:line="161" w:lineRule="exact"/>
        <w:rPr>
          <w:sz w:val="20"/>
          <w:szCs w:val="20"/>
          <w:color w:val="auto"/>
        </w:rPr>
      </w:pPr>
    </w:p>
    <w:p>
      <w:pPr>
        <w:ind w:left="840"/>
        <w:spacing w:after="0"/>
        <w:tabs>
          <w:tab w:leader="none" w:pos="236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color w:val="auto"/>
        </w:rPr>
        <w:t>Investments, Loans, Advances, Guarantees and Acquisitions. No Loan Party will, nor will it permit any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Subsidiary to, purchase, hold, acquire (including pursuant to any merger or consolidation with any Person that was not a wholly-owned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Subsidiary prior thereto), make or otherwise permit to exist any Investment in any other Person, except:</w:t>
      </w:r>
    </w:p>
    <w:p>
      <w:pPr>
        <w:spacing w:after="0" w:line="211" w:lineRule="exact"/>
        <w:rPr>
          <w:sz w:val="20"/>
          <w:szCs w:val="20"/>
          <w:color w:val="auto"/>
        </w:rPr>
      </w:pPr>
    </w:p>
    <w:p>
      <w:pPr>
        <w:ind w:left="2220" w:hanging="740"/>
        <w:spacing w:after="0"/>
        <w:tabs>
          <w:tab w:leader="none" w:pos="22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220" w:hanging="740"/>
        <w:spacing w:after="0"/>
        <w:tabs>
          <w:tab w:leader="none" w:pos="22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cash and Permitted Investments;</w:t>
      </w:r>
    </w:p>
    <w:p>
      <w:pPr>
        <w:spacing w:after="0" w:line="225" w:lineRule="exact"/>
        <w:rPr>
          <w:rFonts w:ascii="Arial" w:cs="Arial" w:eastAsia="Arial" w:hAnsi="Arial"/>
          <w:sz w:val="18"/>
          <w:szCs w:val="18"/>
          <w:color w:val="auto"/>
        </w:rPr>
      </w:pPr>
    </w:p>
    <w:p>
      <w:pPr>
        <w:jc w:val="both"/>
        <w:ind w:left="840" w:firstLine="640"/>
        <w:spacing w:after="0" w:line="257" w:lineRule="auto"/>
        <w:tabs>
          <w:tab w:leader="none" w:pos="2592"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(i) Investments existing on the Effective Date in Subsidiaries and (ii) other Investments existing or contemplated on the Effective Date and set forth on </w:t>
      </w:r>
      <w:r>
        <w:rPr>
          <w:rFonts w:ascii="Arial" w:cs="Arial" w:eastAsia="Arial" w:hAnsi="Arial"/>
          <w:sz w:val="18"/>
          <w:szCs w:val="18"/>
          <w:u w:val="single" w:color="auto"/>
          <w:color w:val="auto"/>
        </w:rPr>
        <w:t>Schedule 6.04</w:t>
      </w:r>
      <w:r>
        <w:rPr>
          <w:rFonts w:ascii="Arial" w:cs="Arial" w:eastAsia="Arial" w:hAnsi="Arial"/>
          <w:sz w:val="18"/>
          <w:szCs w:val="18"/>
          <w:color w:val="auto"/>
        </w:rPr>
        <w:t xml:space="preserve"> and any modification, replacement, renewal, reinvestment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Investment permitted pursuant to this </w:t>
      </w:r>
      <w:r>
        <w:rPr>
          <w:rFonts w:ascii="Arial" w:cs="Arial" w:eastAsia="Arial" w:hAnsi="Arial"/>
          <w:sz w:val="18"/>
          <w:szCs w:val="18"/>
          <w:u w:val="single" w:color="auto"/>
          <w:color w:val="auto"/>
        </w:rPr>
        <w:t>Section 6.04(c)</w:t>
      </w:r>
      <w:r>
        <w:rPr>
          <w:rFonts w:ascii="Arial" w:cs="Arial" w:eastAsia="Arial" w:hAnsi="Arial"/>
          <w:sz w:val="18"/>
          <w:szCs w:val="18"/>
          <w:color w:val="auto"/>
        </w:rPr>
        <w:t xml:space="preserve"> is not increased from the amount of such Investment on the Effective Date except pursuant to the terms of such Investment as of the Effective Date or as otherwise permitted by this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3" w:name="page324"/>
    <w:bookmarkEnd w:id="323"/>
    <w:p>
      <w:pPr>
        <w:jc w:val="both"/>
        <w:ind w:left="840" w:firstLine="640"/>
        <w:spacing w:after="0" w:line="270" w:lineRule="auto"/>
        <w:tabs>
          <w:tab w:leader="none" w:pos="2318" w:val="left"/>
        </w:tabs>
        <w:numPr>
          <w:ilvl w:val="1"/>
          <w:numId w:val="422"/>
        </w:numPr>
        <w:rPr>
          <w:rFonts w:ascii="Arial" w:cs="Arial" w:eastAsia="Arial" w:hAnsi="Arial"/>
          <w:sz w:val="17"/>
          <w:szCs w:val="17"/>
          <w:color w:val="auto"/>
        </w:rPr>
      </w:pPr>
      <w:r>
        <w:rPr>
          <w:rFonts w:ascii="Arial" w:cs="Arial" w:eastAsia="Arial" w:hAnsi="Arial"/>
          <w:sz w:val="17"/>
          <w:szCs w:val="17"/>
          <w:color w:val="auto"/>
        </w:rPr>
        <w:t xml:space="preserve">(i) additional Investments by the Company in any Loan Party and by any Loan Party in the Company or in another Loan Party, and (ii) Investments (including by way of capital contributions) by the Company and the Subsidiaries in Equity Interests in their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that (x) any such Equity Interests held by the Company or any Loan Party shall be pledged in accordance with the requirements of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and (y) the aggregate amount of Investments made by the Company or any Loan Party in any Subsidiary that is not a Loan Party in reliance on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when combined with the aggregate amount of Guarantees made by the Company or any Loan Party of Indebtedness (excluding, for the avoidance of doubt, Guarantees of obligations not constituting Indebtedness) of any Subsidiary that is not a Loan Party in reliance on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below, shall not exceed the greater of (x) $30,000,000 and (y) 3% of Consolidated Total Assets (at the time made);</w:t>
      </w:r>
    </w:p>
    <w:p>
      <w:pPr>
        <w:spacing w:after="0" w:line="180" w:lineRule="exact"/>
        <w:rPr>
          <w:rFonts w:ascii="Arial" w:cs="Arial" w:eastAsia="Arial" w:hAnsi="Arial"/>
          <w:sz w:val="17"/>
          <w:szCs w:val="17"/>
          <w:color w:val="auto"/>
        </w:rPr>
      </w:pPr>
    </w:p>
    <w:p>
      <w:pPr>
        <w:jc w:val="both"/>
        <w:ind w:left="840" w:firstLine="640"/>
        <w:spacing w:after="0" w:line="286" w:lineRule="auto"/>
        <w:tabs>
          <w:tab w:leader="none" w:pos="2308" w:val="left"/>
        </w:tabs>
        <w:numPr>
          <w:ilvl w:val="1"/>
          <w:numId w:val="422"/>
        </w:numPr>
        <w:rPr>
          <w:rFonts w:ascii="Arial" w:cs="Arial" w:eastAsia="Arial" w:hAnsi="Arial"/>
          <w:sz w:val="16"/>
          <w:szCs w:val="16"/>
          <w:color w:val="auto"/>
        </w:rPr>
      </w:pPr>
      <w:r>
        <w:rPr>
          <w:rFonts w:ascii="Arial" w:cs="Arial" w:eastAsia="Arial" w:hAnsi="Arial"/>
          <w:sz w:val="16"/>
          <w:szCs w:val="16"/>
          <w:color w:val="auto"/>
        </w:rPr>
        <w:t xml:space="preserve">Guarantees by the Company or any Subsidiary of Indebtedness or other obligations of the Company or any Subsidiary (including any such Guarantees arising as a result of any such Person being a joint and several co-applicant with respect to any letter of credit or letter of guaranty);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Guarantee of Subordinated Indebtedness is subordinated to the Secured Obligations on terms no less favorable to the Lenders than those of the Subordinated Indebtedness,</w:t>
      </w:r>
    </w:p>
    <w:p>
      <w:pPr>
        <w:spacing w:after="0" w:line="1" w:lineRule="exact"/>
        <w:rPr>
          <w:rFonts w:ascii="Arial" w:cs="Arial" w:eastAsia="Arial" w:hAnsi="Arial"/>
          <w:sz w:val="16"/>
          <w:szCs w:val="16"/>
          <w:color w:val="auto"/>
        </w:rPr>
      </w:pPr>
    </w:p>
    <w:p>
      <w:pPr>
        <w:jc w:val="both"/>
        <w:ind w:left="840" w:hanging="8"/>
        <w:spacing w:after="0" w:line="252" w:lineRule="auto"/>
        <w:tabs>
          <w:tab w:leader="none" w:pos="113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any such Guarantee constituting Indebtedness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thereof) and (iii) the aggregate amount of Guarantees made by the Company or any Loan Party of Indebtedness (excluding, for the avoidance of doubt, Guarantees of obligations not constituting Indebtedness) of any Subsidiary that is not a Loan Party in reliance on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when combined with the aggregate amount of Investments made by the Company or any Loan Party in any Subsidiary that is not a Loan Party in reliance on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above, shall not exceed the greater of (x) $30,000,000 and (y) 3% of Consolidated Total Assets (at the time made);</w:t>
      </w:r>
    </w:p>
    <w:p>
      <w:pPr>
        <w:spacing w:after="0" w:line="193" w:lineRule="exact"/>
        <w:rPr>
          <w:rFonts w:ascii="Arial" w:cs="Arial" w:eastAsia="Arial" w:hAnsi="Arial"/>
          <w:sz w:val="18"/>
          <w:szCs w:val="18"/>
          <w:color w:val="auto"/>
        </w:rPr>
      </w:pPr>
    </w:p>
    <w:p>
      <w:pPr>
        <w:jc w:val="both"/>
        <w:ind w:left="840" w:firstLine="640"/>
        <w:spacing w:after="0" w:line="255" w:lineRule="auto"/>
        <w:tabs>
          <w:tab w:leader="none" w:pos="2414" w:val="left"/>
        </w:tabs>
        <w:numPr>
          <w:ilvl w:val="1"/>
          <w:numId w:val="423"/>
        </w:numPr>
        <w:rPr>
          <w:rFonts w:ascii="Arial" w:cs="Arial" w:eastAsia="Arial" w:hAnsi="Arial"/>
          <w:sz w:val="18"/>
          <w:szCs w:val="18"/>
          <w:color w:val="auto"/>
        </w:rPr>
      </w:pPr>
      <w:r>
        <w:rPr>
          <w:rFonts w:ascii="Arial" w:cs="Arial" w:eastAsia="Arial" w:hAnsi="Arial"/>
          <w:sz w:val="18"/>
          <w:szCs w:val="18"/>
          <w:color w:val="auto"/>
        </w:rPr>
        <w:t xml:space="preserve">loans, advances or other extensions of credit to officers, directors and employees of the Company or any Subsidiary (i) to finance the purchase of Equity Interests of the Company pursuant to employee plans, (ii) for reasonable and customary business-related travel, entertainment, and moving and relocation, business machines or supplies, automobiles and other similar expenses and advances, in each case incurred in the ordinary course of business, and (iii) for purposes not described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in an aggregate principal amount outstanding at any time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not to exceed $5,000,000;</w:t>
      </w:r>
    </w:p>
    <w:p>
      <w:pPr>
        <w:spacing w:after="0" w:line="200" w:lineRule="exact"/>
        <w:rPr>
          <w:sz w:val="20"/>
          <w:szCs w:val="20"/>
          <w:color w:val="auto"/>
        </w:rPr>
      </w:pPr>
    </w:p>
    <w:p>
      <w:pPr>
        <w:spacing w:after="0" w:line="20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4" w:name="page325"/>
    <w:bookmarkEnd w:id="324"/>
    <w:p>
      <w:pPr>
        <w:jc w:val="both"/>
        <w:ind w:left="840" w:firstLine="640"/>
        <w:spacing w:after="0" w:line="301" w:lineRule="auto"/>
        <w:tabs>
          <w:tab w:leader="none" w:pos="2413"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Investments received in connection with the bankruptcy or reorganization of, or settlement of delinquent accounts and disputes with, customers and suppliers, or consisting of securities acquired in connection with the satisfaction or enforcement of claims due or owing to the Company or any Subsidiary, in each case in the ordinary course of business or upon the foreclosure with respect to any secured Investment or other transfer of title with respect to any secured Investment;</w:t>
      </w:r>
    </w:p>
    <w:p>
      <w:pPr>
        <w:spacing w:after="0" w:line="157" w:lineRule="exact"/>
        <w:rPr>
          <w:rFonts w:ascii="Arial" w:cs="Arial" w:eastAsia="Arial" w:hAnsi="Arial"/>
          <w:sz w:val="16"/>
          <w:szCs w:val="16"/>
          <w:color w:val="auto"/>
        </w:rPr>
      </w:pPr>
    </w:p>
    <w:p>
      <w:pPr>
        <w:ind w:left="840" w:firstLine="640"/>
        <w:spacing w:after="0" w:line="342" w:lineRule="auto"/>
        <w:tabs>
          <w:tab w:leader="none" w:pos="2345" w:val="left"/>
        </w:tabs>
        <w:numPr>
          <w:ilvl w:val="0"/>
          <w:numId w:val="424"/>
        </w:numPr>
        <w:rPr>
          <w:rFonts w:ascii="Arial" w:cs="Arial" w:eastAsia="Arial" w:hAnsi="Arial"/>
          <w:sz w:val="16"/>
          <w:szCs w:val="16"/>
          <w:color w:val="auto"/>
        </w:rPr>
      </w:pPr>
      <w:r>
        <w:rPr>
          <w:rFonts w:ascii="Arial" w:cs="Arial" w:eastAsia="Arial" w:hAnsi="Arial"/>
          <w:sz w:val="16"/>
          <w:szCs w:val="16"/>
          <w:color w:val="auto"/>
        </w:rPr>
        <w:t xml:space="preserve">Permitted Acquisitions (including any intercompany investments, loans and advances used to consummate Permitted Acquisitions);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Payment Condition shall be satisfied with respect to such Acquisition;</w:t>
      </w:r>
    </w:p>
    <w:p>
      <w:pPr>
        <w:spacing w:after="0" w:line="123" w:lineRule="exact"/>
        <w:rPr>
          <w:rFonts w:ascii="Arial" w:cs="Arial" w:eastAsia="Arial" w:hAnsi="Arial"/>
          <w:sz w:val="16"/>
          <w:szCs w:val="16"/>
          <w:color w:val="auto"/>
        </w:rPr>
      </w:pPr>
    </w:p>
    <w:p>
      <w:pPr>
        <w:jc w:val="both"/>
        <w:ind w:left="840" w:firstLine="640"/>
        <w:spacing w:after="0" w:line="259" w:lineRule="auto"/>
        <w:tabs>
          <w:tab w:leader="none" w:pos="2198"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Investments held by a Subsidiary acquired after the Effective Date or of a Person merged or consolidated with or into the Company or a Subsidiary after the Effective Date, in each case as permitted hereunder, to the extent that such Investments were not made in contemplation of or in connection with such acquisition, merger or consolidation and were in existence on the date of such acquisition, merger or consolidation;</w:t>
      </w:r>
    </w:p>
    <w:p>
      <w:pPr>
        <w:spacing w:after="0" w:line="186" w:lineRule="exact"/>
        <w:rPr>
          <w:rFonts w:ascii="Arial" w:cs="Arial" w:eastAsia="Arial" w:hAnsi="Arial"/>
          <w:sz w:val="18"/>
          <w:szCs w:val="18"/>
          <w:color w:val="auto"/>
        </w:rPr>
      </w:pPr>
    </w:p>
    <w:p>
      <w:pPr>
        <w:ind w:left="840" w:firstLine="640"/>
        <w:spacing w:after="0" w:line="277" w:lineRule="auto"/>
        <w:tabs>
          <w:tab w:leader="none" w:pos="234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 xml:space="preserve">Investments constituting, or made as a result of the receipt of noncash consideration from a sale, transfer, lease or other disposition of any asset in compliance with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840" w:firstLine="640"/>
        <w:spacing w:after="0" w:line="286" w:lineRule="auto"/>
        <w:tabs>
          <w:tab w:leader="none" w:pos="2332" w:val="left"/>
        </w:tabs>
        <w:numPr>
          <w:ilvl w:val="0"/>
          <w:numId w:val="424"/>
        </w:numPr>
        <w:rPr>
          <w:rFonts w:ascii="Arial" w:cs="Arial" w:eastAsia="Arial" w:hAnsi="Arial"/>
          <w:sz w:val="17"/>
          <w:szCs w:val="17"/>
          <w:color w:val="auto"/>
        </w:rPr>
      </w:pPr>
      <w:r>
        <w:rPr>
          <w:rFonts w:ascii="Arial" w:cs="Arial" w:eastAsia="Arial" w:hAnsi="Arial"/>
          <w:sz w:val="17"/>
          <w:szCs w:val="17"/>
          <w:color w:val="auto"/>
        </w:rPr>
        <w:t>Investments by the Company or any Subsidiary that result solely from the receipt by the Company or such Subsidiary from any of its subsidiaries of a dividend or other Restricted Payment in the form of Equity Interests, evidences of Indebtedness or other securities (but not any additions thereto made after the date of the receipt thereof);</w:t>
      </w:r>
    </w:p>
    <w:p>
      <w:pPr>
        <w:spacing w:after="0" w:line="165" w:lineRule="exact"/>
        <w:rPr>
          <w:rFonts w:ascii="Arial" w:cs="Arial" w:eastAsia="Arial" w:hAnsi="Arial"/>
          <w:sz w:val="17"/>
          <w:szCs w:val="17"/>
          <w:color w:val="auto"/>
        </w:rPr>
      </w:pPr>
    </w:p>
    <w:p>
      <w:pPr>
        <w:ind w:left="2180" w:hanging="700"/>
        <w:spacing w:after="0"/>
        <w:tabs>
          <w:tab w:leader="none" w:pos="21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 xml:space="preserve">Investments in the form of Swap Agreements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40" w:right="20" w:firstLine="640"/>
        <w:spacing w:after="0" w:line="277" w:lineRule="auto"/>
        <w:tabs>
          <w:tab w:leader="none" w:pos="2395"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Investments by Foreign Subsidiaries in other Foreign Subsidiaries or by any Subsidiary that is not a Loan Party in any other Subsidiary that is not a Loan Party;</w:t>
      </w:r>
    </w:p>
    <w:p>
      <w:pPr>
        <w:spacing w:after="0" w:line="170" w:lineRule="exact"/>
        <w:rPr>
          <w:rFonts w:ascii="Arial" w:cs="Arial" w:eastAsia="Arial" w:hAnsi="Arial"/>
          <w:sz w:val="18"/>
          <w:szCs w:val="18"/>
          <w:color w:val="auto"/>
        </w:rPr>
      </w:pPr>
    </w:p>
    <w:p>
      <w:pPr>
        <w:ind w:left="2680" w:hanging="1200"/>
        <w:spacing w:after="0"/>
        <w:tabs>
          <w:tab w:leader="none" w:pos="268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 xml:space="preserve">Investments constituting deposits described in </w:t>
      </w:r>
      <w:r>
        <w:rPr>
          <w:rFonts w:ascii="Arial" w:cs="Arial" w:eastAsia="Arial" w:hAnsi="Arial"/>
          <w:sz w:val="17"/>
          <w:szCs w:val="17"/>
          <w:u w:val="single" w:color="auto"/>
          <w:color w:val="auto"/>
        </w:rPr>
        <w:t>clauses (c)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definition of “</w:t>
      </w:r>
      <w:r>
        <w:rPr>
          <w:rFonts w:ascii="Arial" w:cs="Arial" w:eastAsia="Arial" w:hAnsi="Arial"/>
          <w:sz w:val="17"/>
          <w:szCs w:val="17"/>
          <w:u w:val="single" w:color="auto"/>
          <w:color w:val="auto"/>
        </w:rPr>
        <w:t>Permitted</w:t>
      </w:r>
    </w:p>
    <w:p>
      <w:pPr>
        <w:spacing w:after="0" w:line="34"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8"/>
          <w:szCs w:val="18"/>
          <w:u w:val="single" w:color="auto"/>
          <w:color w:val="auto"/>
        </w:rPr>
        <w:t>Encumbrances</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jc w:val="both"/>
        <w:ind w:left="840" w:firstLine="640"/>
        <w:spacing w:after="0" w:line="269" w:lineRule="auto"/>
        <w:tabs>
          <w:tab w:leader="none" w:pos="2264" w:val="left"/>
        </w:tabs>
        <w:numPr>
          <w:ilvl w:val="0"/>
          <w:numId w:val="424"/>
        </w:numPr>
        <w:rPr>
          <w:rFonts w:ascii="Arial" w:cs="Arial" w:eastAsia="Arial" w:hAnsi="Arial"/>
          <w:sz w:val="17"/>
          <w:szCs w:val="17"/>
          <w:color w:val="auto"/>
        </w:rPr>
      </w:pPr>
      <w:r>
        <w:rPr>
          <w:rFonts w:ascii="Arial" w:cs="Arial" w:eastAsia="Arial" w:hAnsi="Arial"/>
          <w:sz w:val="17"/>
          <w:szCs w:val="17"/>
          <w:color w:val="auto"/>
        </w:rPr>
        <w:t xml:space="preserve">Investments consisting of (i) extensions of trade credit, (ii) deposits made in connection with the purchase of goods or services or the performance of leases, licenses or contracts, in each case, in the ordinary course of business, (iii) notes receivable of, or prepaid royalties and other extensions of credit to, customers and suppliers that are not Affiliates of the Company and that are made in the ordinary course of business, (iv) Guarantees made in the ordinary course of business in support of obligations of the Company or any of its Subsidiaries not constituting Indebtedness for borrowed money, including operating leases and obligations owing to suppliers, customers and licensees and (v) loans, advances or other extensions of credit to one or more customers by the Company or any Subsidiary pursuant to arm’s-length terms (or terms otherwise acceptable to the Administrative Agent in its reasonable discretion) in order to finance such customer’s purchase of chassis that are used by the Company or any Subsidiary to manufacture recreational vehicles for such customer;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principal amount of such loans, advances and extensions of credit outstanding at any time in reliance on this </w:t>
      </w:r>
      <w:r>
        <w:rPr>
          <w:rFonts w:ascii="Arial" w:cs="Arial" w:eastAsia="Arial" w:hAnsi="Arial"/>
          <w:sz w:val="17"/>
          <w:szCs w:val="17"/>
          <w:u w:val="single" w:color="auto"/>
          <w:color w:val="auto"/>
        </w:rPr>
        <w:t>clause (o)(v)</w:t>
      </w:r>
      <w:r>
        <w:rPr>
          <w:rFonts w:ascii="Arial" w:cs="Arial" w:eastAsia="Arial" w:hAnsi="Arial"/>
          <w:sz w:val="17"/>
          <w:szCs w:val="17"/>
          <w:color w:val="auto"/>
        </w:rPr>
        <w:t xml:space="preserve"> shall not exceed $15,000,000;</w:t>
      </w:r>
    </w:p>
    <w:p>
      <w:pPr>
        <w:spacing w:after="0" w:line="3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325" w:name="page326"/>
    <w:bookmarkEnd w:id="325"/>
    <w:p>
      <w:pPr>
        <w:ind w:left="840" w:firstLine="640"/>
        <w:spacing w:after="0" w:line="277" w:lineRule="auto"/>
        <w:tabs>
          <w:tab w:leader="none" w:pos="246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mergers and consolidations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that do not involve any Person other than the Company and Subsidiaries that are wholly-owned Subsidiaries;</w:t>
      </w:r>
    </w:p>
    <w:p>
      <w:pPr>
        <w:spacing w:after="0" w:line="170" w:lineRule="exact"/>
        <w:rPr>
          <w:rFonts w:ascii="Arial" w:cs="Arial" w:eastAsia="Arial" w:hAnsi="Arial"/>
          <w:sz w:val="18"/>
          <w:szCs w:val="18"/>
          <w:color w:val="auto"/>
        </w:rPr>
      </w:pPr>
    </w:p>
    <w:p>
      <w:pPr>
        <w:jc w:val="both"/>
        <w:ind w:left="840" w:firstLine="640"/>
        <w:spacing w:after="0" w:line="259" w:lineRule="auto"/>
        <w:tabs>
          <w:tab w:leader="none" w:pos="2251"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to the extent constituting Investments, intercompany loans or other intercompany Investments made by Loan Parties in the ordinary course of business to or in any Foreign Subsidiary to provide funds as necessary to enable the applicable Foreign Subsidiary to comply with changes in statutory or contractual capital requirements (other than any contractual requirement that constitutes a Guarantee);</w:t>
      </w:r>
    </w:p>
    <w:p>
      <w:pPr>
        <w:spacing w:after="0" w:line="186" w:lineRule="exact"/>
        <w:rPr>
          <w:rFonts w:ascii="Arial" w:cs="Arial" w:eastAsia="Arial" w:hAnsi="Arial"/>
          <w:sz w:val="18"/>
          <w:szCs w:val="18"/>
          <w:color w:val="auto"/>
        </w:rPr>
      </w:pPr>
    </w:p>
    <w:p>
      <w:pPr>
        <w:ind w:left="840" w:firstLine="640"/>
        <w:spacing w:after="0" w:line="277" w:lineRule="auto"/>
        <w:tabs>
          <w:tab w:leader="none" w:pos="237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Investments consisting of Guarantees in the ordinary course of business to support the obligations of any Subsidiary under its worker’s compensation and general insurance agreements;</w:t>
      </w:r>
    </w:p>
    <w:p>
      <w:pPr>
        <w:spacing w:after="0" w:line="170" w:lineRule="exact"/>
        <w:rPr>
          <w:rFonts w:ascii="Arial" w:cs="Arial" w:eastAsia="Arial" w:hAnsi="Arial"/>
          <w:sz w:val="18"/>
          <w:szCs w:val="18"/>
          <w:color w:val="auto"/>
        </w:rPr>
      </w:pPr>
    </w:p>
    <w:p>
      <w:pPr>
        <w:ind w:left="840" w:firstLine="640"/>
        <w:spacing w:after="0" w:line="277" w:lineRule="auto"/>
        <w:tabs>
          <w:tab w:leader="none" w:pos="2231"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Company’s entry into (including payments of premiums in connection therewith), and the performance of obligations under, Permitted Call Spread Swap Agreements in accordance with their terms;</w:t>
      </w:r>
    </w:p>
    <w:p>
      <w:pPr>
        <w:spacing w:after="0" w:line="170" w:lineRule="exact"/>
        <w:rPr>
          <w:rFonts w:ascii="Arial" w:cs="Arial" w:eastAsia="Arial" w:hAnsi="Arial"/>
          <w:sz w:val="18"/>
          <w:szCs w:val="18"/>
          <w:color w:val="auto"/>
        </w:rPr>
      </w:pPr>
    </w:p>
    <w:p>
      <w:pPr>
        <w:jc w:val="both"/>
        <w:ind w:left="840" w:firstLine="640"/>
        <w:spacing w:after="0" w:line="301" w:lineRule="auto"/>
        <w:tabs>
          <w:tab w:leader="none" w:pos="2333"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Investments in joint ventures of the Company or any Subsidiary, taken together with all other Investments made pursuant to this </w:t>
      </w:r>
      <w:r>
        <w:rPr>
          <w:rFonts w:ascii="Arial" w:cs="Arial" w:eastAsia="Arial" w:hAnsi="Arial"/>
          <w:sz w:val="16"/>
          <w:szCs w:val="16"/>
          <w:u w:val="single" w:color="auto"/>
          <w:color w:val="auto"/>
        </w:rPr>
        <w:t>clause (t)</w:t>
      </w:r>
      <w:r>
        <w:rPr>
          <w:rFonts w:ascii="Arial" w:cs="Arial" w:eastAsia="Arial" w:hAnsi="Arial"/>
          <w:sz w:val="16"/>
          <w:szCs w:val="16"/>
          <w:color w:val="auto"/>
        </w:rPr>
        <w:t xml:space="preserve"> that are at that time outstanding, not to exceed the greater of (x) $50,000,000 and (y) 5% of Consolidated Total Assets (in each case, determined on the date such Investment is made, with the fair market value of each Investment being measured at the time made and without giving effect to subsequent changes in value);</w:t>
      </w:r>
    </w:p>
    <w:p>
      <w:pPr>
        <w:spacing w:after="0" w:line="157" w:lineRule="exact"/>
        <w:rPr>
          <w:rFonts w:ascii="Arial" w:cs="Arial" w:eastAsia="Arial" w:hAnsi="Arial"/>
          <w:sz w:val="16"/>
          <w:szCs w:val="16"/>
          <w:color w:val="auto"/>
        </w:rPr>
      </w:pPr>
    </w:p>
    <w:p>
      <w:pPr>
        <w:ind w:left="2220" w:hanging="740"/>
        <w:spacing w:after="0"/>
        <w:tabs>
          <w:tab w:leader="none" w:pos="22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w:t>
      </w:r>
    </w:p>
    <w:p>
      <w:pPr>
        <w:spacing w:after="0" w:line="225" w:lineRule="exact"/>
        <w:rPr>
          <w:rFonts w:ascii="Arial" w:cs="Arial" w:eastAsia="Arial" w:hAnsi="Arial"/>
          <w:sz w:val="18"/>
          <w:szCs w:val="18"/>
          <w:color w:val="auto"/>
        </w:rPr>
      </w:pPr>
    </w:p>
    <w:p>
      <w:pPr>
        <w:ind w:left="840" w:firstLine="640"/>
        <w:spacing w:after="0" w:line="277" w:lineRule="auto"/>
        <w:tabs>
          <w:tab w:leader="none" w:pos="2278"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solely with Equity Interests (other than Disqualified Equity Interests) of the Company;</w:t>
      </w:r>
    </w:p>
    <w:p>
      <w:pPr>
        <w:spacing w:after="0" w:line="170" w:lineRule="exact"/>
        <w:rPr>
          <w:rFonts w:ascii="Arial" w:cs="Arial" w:eastAsia="Arial" w:hAnsi="Arial"/>
          <w:sz w:val="18"/>
          <w:szCs w:val="18"/>
          <w:color w:val="auto"/>
        </w:rPr>
      </w:pPr>
    </w:p>
    <w:p>
      <w:pPr>
        <w:ind w:left="840" w:firstLine="640"/>
        <w:spacing w:after="0" w:line="277" w:lineRule="auto"/>
        <w:tabs>
          <w:tab w:leader="none" w:pos="238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the forgiveness or conversion to equity of any Indebtedness owed by the Company or any Subsidiary and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38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6" w:name="page327"/>
    <w:bookmarkEnd w:id="326"/>
    <w:p>
      <w:pPr>
        <w:ind w:left="1960" w:firstLine="640"/>
        <w:spacing w:after="0" w:line="258" w:lineRule="auto"/>
        <w:tabs>
          <w:tab w:leader="none" w:pos="3411"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to the extent that they constitute Investments, purchases and acquisitions of inventory, supplies, materials or equipment or purchases, acquisitions, licenses or leases of other assets, Intellectual</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 xml:space="preserve">Property, or other rights, in each case in the ordinary course of business; </w:t>
      </w:r>
      <w:r>
        <w:rPr>
          <w:rFonts w:ascii="Arial" w:cs="Arial" w:eastAsia="Arial" w:hAnsi="Arial"/>
          <w:sz w:val="18"/>
          <w:szCs w:val="18"/>
          <w:b w:val="1"/>
          <w:bCs w:val="1"/>
          <w:color w:val="FF0000"/>
          <w:strike w:val="1"/>
        </w:rPr>
        <w:t>and</w:t>
      </w:r>
    </w:p>
    <w:p>
      <w:pPr>
        <w:spacing w:after="0" w:line="210" w:lineRule="exact"/>
        <w:rPr>
          <w:rFonts w:ascii="Arial" w:cs="Arial" w:eastAsia="Arial" w:hAnsi="Arial"/>
          <w:sz w:val="18"/>
          <w:szCs w:val="18"/>
          <w:color w:val="auto"/>
        </w:rPr>
      </w:pPr>
    </w:p>
    <w:p>
      <w:pPr>
        <w:ind w:left="3340" w:hanging="740"/>
        <w:spacing w:after="0"/>
        <w:tabs>
          <w:tab w:leader="none" w:pos="33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Investments arising as a result of Sale and Leaseback Transactions;</w:t>
      </w:r>
    </w:p>
    <w:p>
      <w:pPr>
        <w:spacing w:after="0" w:line="221" w:lineRule="exact"/>
        <w:rPr>
          <w:rFonts w:ascii="Arial" w:cs="Arial" w:eastAsia="Arial" w:hAnsi="Arial"/>
          <w:sz w:val="18"/>
          <w:szCs w:val="18"/>
          <w:color w:val="auto"/>
        </w:rPr>
      </w:pPr>
    </w:p>
    <w:p>
      <w:pPr>
        <w:jc w:val="both"/>
        <w:ind w:left="1960" w:firstLine="640"/>
        <w:spacing w:after="0" w:line="266" w:lineRule="auto"/>
        <w:tabs>
          <w:tab w:leader="none" w:pos="3928"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Investments in </w:t>
      </w:r>
      <w:r>
        <w:rPr>
          <w:rFonts w:ascii="Arial" w:cs="Arial" w:eastAsia="Arial" w:hAnsi="Arial"/>
          <w:sz w:val="18"/>
          <w:szCs w:val="18"/>
          <w:b w:val="1"/>
          <w:bCs w:val="1"/>
          <w:color w:val="FF0000"/>
          <w:strike w:val="1"/>
        </w:rPr>
        <w:t>the</w:t>
      </w:r>
      <w:r>
        <w:rPr>
          <w:rFonts w:ascii="Arial" w:cs="Arial" w:eastAsia="Arial" w:hAnsi="Arial"/>
          <w:sz w:val="18"/>
          <w:szCs w:val="18"/>
          <w:b w:val="1"/>
          <w:bCs w:val="1"/>
          <w:u w:val="single" w:color="auto"/>
          <w:color w:val="0000FF"/>
        </w:rPr>
        <w:t>any</w:t>
      </w:r>
      <w:r>
        <w:rPr>
          <w:rFonts w:ascii="Arial" w:cs="Arial" w:eastAsia="Arial" w:hAnsi="Arial"/>
          <w:sz w:val="18"/>
          <w:szCs w:val="18"/>
          <w:color w:val="auto"/>
        </w:rPr>
        <w:t xml:space="preserve"> Term Loans</w:t>
      </w:r>
      <w:r>
        <w:rPr>
          <w:rFonts w:ascii="Arial" w:cs="Arial" w:eastAsia="Arial" w:hAnsi="Arial"/>
          <w:sz w:val="18"/>
          <w:szCs w:val="18"/>
          <w:b w:val="1"/>
          <w:bCs w:val="1"/>
          <w:u w:val="single" w:color="auto"/>
          <w:color w:val="0000FF"/>
        </w:rPr>
        <w:t>/Notes</w:t>
      </w:r>
      <w:r>
        <w:rPr>
          <w:rFonts w:ascii="Arial" w:cs="Arial" w:eastAsia="Arial" w:hAnsi="Arial"/>
          <w:sz w:val="18"/>
          <w:szCs w:val="18"/>
          <w:color w:val="auto"/>
        </w:rPr>
        <w:t xml:space="preserve"> in accordance with </w:t>
      </w:r>
      <w:r>
        <w:rPr>
          <w:rFonts w:ascii="Arial" w:cs="Arial" w:eastAsia="Arial" w:hAnsi="Arial"/>
          <w:sz w:val="18"/>
          <w:szCs w:val="18"/>
          <w:b w:val="1"/>
          <w:bCs w:val="1"/>
          <w:color w:val="FF0000"/>
          <w:strike w:val="1"/>
        </w:rPr>
        <w:t>Section 9.04(f) of the</w:t>
      </w:r>
      <w:r>
        <w:rPr>
          <w:rFonts w:ascii="Arial" w:cs="Arial" w:eastAsia="Arial" w:hAnsi="Arial"/>
          <w:sz w:val="18"/>
          <w:szCs w:val="18"/>
          <w:b w:val="1"/>
          <w:bCs w:val="1"/>
          <w:u w:val="single" w:color="auto"/>
          <w:color w:val="0000FF"/>
        </w:rPr>
        <w:t>any</w:t>
      </w:r>
      <w:r>
        <w:rPr>
          <w:rFonts w:ascii="Arial" w:cs="Arial" w:eastAsia="Arial" w:hAnsi="Arial"/>
          <w:sz w:val="18"/>
          <w:szCs w:val="18"/>
          <w:color w:val="auto"/>
        </w:rPr>
        <w:t xml:space="preserve"> Term </w:t>
      </w:r>
      <w:r>
        <w:rPr>
          <w:rFonts w:ascii="Arial" w:cs="Arial" w:eastAsia="Arial" w:hAnsi="Arial"/>
          <w:sz w:val="18"/>
          <w:szCs w:val="18"/>
          <w:b w:val="1"/>
          <w:bCs w:val="1"/>
          <w:color w:val="FF0000"/>
          <w:strike w:val="1"/>
        </w:rPr>
        <w:t>Loan</w:t>
      </w:r>
      <w:r>
        <w:rPr>
          <w:rFonts w:ascii="Arial" w:cs="Arial" w:eastAsia="Arial" w:hAnsi="Arial"/>
          <w:sz w:val="18"/>
          <w:szCs w:val="18"/>
          <w:b w:val="1"/>
          <w:bCs w:val="1"/>
          <w:u w:val="single" w:color="auto"/>
          <w:color w:val="0000FF"/>
        </w:rPr>
        <w:t>Loans/Notes</w:t>
      </w:r>
      <w:r>
        <w:rPr>
          <w:rFonts w:ascii="Arial" w:cs="Arial" w:eastAsia="Arial" w:hAnsi="Arial"/>
          <w:sz w:val="18"/>
          <w:szCs w:val="18"/>
          <w:b w:val="1"/>
          <w:bCs w:val="1"/>
          <w:color w:val="FF0000"/>
        </w:rPr>
        <w:t xml:space="preserve"> </w:t>
      </w:r>
      <w:r>
        <w:rPr>
          <w:rFonts w:ascii="Arial" w:cs="Arial" w:eastAsia="Arial" w:hAnsi="Arial"/>
          <w:sz w:val="18"/>
          <w:szCs w:val="18"/>
          <w:color w:val="000000"/>
        </w:rPr>
        <w:t>Agreement (as in effect on the</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Effective Date</w:t>
      </w:r>
      <w:r>
        <w:rPr>
          <w:rFonts w:ascii="Arial" w:cs="Arial" w:eastAsia="Arial" w:hAnsi="Arial"/>
          <w:sz w:val="18"/>
          <w:szCs w:val="18"/>
          <w:b w:val="1"/>
          <w:bCs w:val="1"/>
          <w:u w:val="single" w:color="auto"/>
          <w:color w:val="0000FF"/>
        </w:rPr>
        <w:t>date of entry thereto so long as the entry thereto was</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permitted by the terms of the Loan Documents</w:t>
      </w:r>
      <w:r>
        <w:rPr>
          <w:rFonts w:ascii="Arial" w:cs="Arial" w:eastAsia="Arial" w:hAnsi="Arial"/>
          <w:sz w:val="18"/>
          <w:szCs w:val="18"/>
          <w:color w:val="000000"/>
        </w:rPr>
        <w:t>);</w:t>
      </w:r>
    </w:p>
    <w:p>
      <w:pPr>
        <w:spacing w:after="0" w:line="180" w:lineRule="exact"/>
        <w:rPr>
          <w:sz w:val="20"/>
          <w:szCs w:val="20"/>
          <w:color w:val="auto"/>
        </w:rPr>
      </w:pPr>
    </w:p>
    <w:p>
      <w:pPr>
        <w:ind w:left="3140" w:hanging="540"/>
        <w:spacing w:after="0"/>
        <w:tabs>
          <w:tab w:leader="none" w:pos="31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960" w:firstLine="640"/>
        <w:spacing w:after="0" w:line="271" w:lineRule="auto"/>
        <w:tabs>
          <w:tab w:leader="none" w:pos="3313"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xml:space="preserve">Investments consisting of the acquisition of real property (and any improvements thereon) located at, and commonly known as, 11333 CR2, Middlebury, Indiana 46540 and Vacant Land, CR2, Middlebury, Indiana 46540, pursuant to the exercise by Grand Design of its right of first offer to purchase such property pursuant to the terms of each Lease Agreement, dated as of the date hereof, by and between Three Oaks, LLC, as landlord, and Grand Design, as tenant (or such other terms as may be reasonably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both immediately before and immediately after giving pro forma effect to any such Investment pursuant to this </w:t>
      </w:r>
      <w:r>
        <w:rPr>
          <w:rFonts w:ascii="Arial" w:cs="Arial" w:eastAsia="Arial" w:hAnsi="Arial"/>
          <w:sz w:val="17"/>
          <w:szCs w:val="17"/>
          <w:u w:val="single" w:color="auto"/>
          <w:color w:val="auto"/>
        </w:rPr>
        <w:t>clause (bb)</w:t>
      </w:r>
      <w:r>
        <w:rPr>
          <w:rFonts w:ascii="Arial" w:cs="Arial" w:eastAsia="Arial" w:hAnsi="Arial"/>
          <w:sz w:val="17"/>
          <w:szCs w:val="17"/>
          <w:color w:val="auto"/>
        </w:rPr>
        <w:t xml:space="preserve">, no Event of Default shall have occurred and be continuing and (ii) the aggregate amount of Investments permitted in reliance on this </w:t>
      </w:r>
      <w:r>
        <w:rPr>
          <w:rFonts w:ascii="Arial" w:cs="Arial" w:eastAsia="Arial" w:hAnsi="Arial"/>
          <w:sz w:val="17"/>
          <w:szCs w:val="17"/>
          <w:u w:val="single" w:color="auto"/>
          <w:color w:val="auto"/>
        </w:rPr>
        <w:t>clause (bb)</w:t>
      </w:r>
      <w:r>
        <w:rPr>
          <w:rFonts w:ascii="Arial" w:cs="Arial" w:eastAsia="Arial" w:hAnsi="Arial"/>
          <w:sz w:val="17"/>
          <w:szCs w:val="17"/>
          <w:color w:val="auto"/>
        </w:rPr>
        <w:t xml:space="preserve"> shall not exceed $20,000,000 (at the time made); and</w:t>
      </w:r>
    </w:p>
    <w:p>
      <w:pPr>
        <w:spacing w:after="0" w:line="178" w:lineRule="exact"/>
        <w:rPr>
          <w:rFonts w:ascii="Arial" w:cs="Arial" w:eastAsia="Arial" w:hAnsi="Arial"/>
          <w:sz w:val="17"/>
          <w:szCs w:val="17"/>
          <w:color w:val="auto"/>
        </w:rPr>
      </w:pPr>
    </w:p>
    <w:p>
      <w:pPr>
        <w:jc w:val="both"/>
        <w:ind w:left="1960" w:firstLine="640"/>
        <w:spacing w:after="0" w:line="279" w:lineRule="auto"/>
        <w:tabs>
          <w:tab w:leader="none" w:pos="3171"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xml:space="preserve">any other Investments (including Acquisitions) whether or not of a type described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both immediately before and immediately after giving pro forma effect to any such Investment pursuant to this </w:t>
      </w:r>
      <w:r>
        <w:rPr>
          <w:rFonts w:ascii="Arial" w:cs="Arial" w:eastAsia="Arial" w:hAnsi="Arial"/>
          <w:sz w:val="17"/>
          <w:szCs w:val="17"/>
          <w:u w:val="single" w:color="auto"/>
          <w:color w:val="auto"/>
        </w:rPr>
        <w:t>clause (cc)</w:t>
      </w:r>
      <w:r>
        <w:rPr>
          <w:rFonts w:ascii="Arial" w:cs="Arial" w:eastAsia="Arial" w:hAnsi="Arial"/>
          <w:sz w:val="17"/>
          <w:szCs w:val="17"/>
          <w:color w:val="auto"/>
        </w:rPr>
        <w:t xml:space="preserve">, no Event of Default shall have occurred and be continuing and the Payment Condition shall be satisfied with respect to such Investment and (ii) any Acquisitions made pursuant to this </w:t>
      </w:r>
      <w:r>
        <w:rPr>
          <w:rFonts w:ascii="Arial" w:cs="Arial" w:eastAsia="Arial" w:hAnsi="Arial"/>
          <w:sz w:val="17"/>
          <w:szCs w:val="17"/>
          <w:u w:val="single" w:color="auto"/>
          <w:color w:val="auto"/>
        </w:rPr>
        <w:t>clause (cc)</w:t>
      </w:r>
      <w:r>
        <w:rPr>
          <w:rFonts w:ascii="Arial" w:cs="Arial" w:eastAsia="Arial" w:hAnsi="Arial"/>
          <w:sz w:val="17"/>
          <w:szCs w:val="17"/>
          <w:color w:val="auto"/>
        </w:rPr>
        <w:t xml:space="preserve"> must constitute a Permitted Acquisition.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Notwithstanding the foregoing, any Acquisition made in reliance on any provision of this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must satisfy the requirements of a Permitted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Notwithstanding anything contrary set forth above, if any Investment is denominated in a foreign currency, no fluctuation in currency values shall result in a breach of this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in the event that an Investment (or any portion thereof) meets the criteria of more than one of the categories of permitted Investments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(cc)</w:t>
      </w:r>
      <w:r>
        <w:rPr>
          <w:rFonts w:ascii="Arial" w:cs="Arial" w:eastAsia="Arial" w:hAnsi="Arial"/>
          <w:sz w:val="18"/>
          <w:szCs w:val="18"/>
          <w:color w:val="auto"/>
        </w:rPr>
        <w:t xml:space="preserve"> above, the Company and the Subsidiaries, in their sole discretion, will be permitted to divide and classify such Investment (or any portion thereof) on the date of incurrence, and at any time and from time to time may later reclassify all or any portion of any Investment as having been incurred under any category of permitted Investments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(cc)</w:t>
      </w:r>
      <w:r>
        <w:rPr>
          <w:rFonts w:ascii="Arial" w:cs="Arial" w:eastAsia="Arial" w:hAnsi="Arial"/>
          <w:sz w:val="18"/>
          <w:szCs w:val="18"/>
          <w:color w:val="auto"/>
        </w:rPr>
        <w:t xml:space="preserve"> above so long as such Investment is permitted to be incurred pursuant to such provision at the time of reclassification. For the avoidance of doubt, an Investment entered into in reliance on </w:t>
      </w:r>
      <w:r>
        <w:rPr>
          <w:rFonts w:ascii="Arial" w:cs="Arial" w:eastAsia="Arial" w:hAnsi="Arial"/>
          <w:sz w:val="18"/>
          <w:szCs w:val="18"/>
          <w:u w:val="single" w:color="auto"/>
          <w:color w:val="auto"/>
        </w:rPr>
        <w:t>clause (cc)</w:t>
      </w:r>
      <w:r>
        <w:rPr>
          <w:rFonts w:ascii="Arial" w:cs="Arial" w:eastAsia="Arial" w:hAnsi="Arial"/>
          <w:sz w:val="18"/>
          <w:szCs w:val="18"/>
          <w:color w:val="auto"/>
        </w:rPr>
        <w:t xml:space="preserve"> above that was permitted at the time entered into shall continue to be permitted under such clause notwithstanding any failure to satisfy the Payment Condition (or any other condition in such clause) at a later date with respect to any subsequent Investment.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7" w:name="page328"/>
    <w:bookmarkEnd w:id="327"/>
    <w:p>
      <w:pPr>
        <w:jc w:val="both"/>
        <w:ind w:right="20"/>
        <w:spacing w:after="0" w:line="263" w:lineRule="auto"/>
        <w:rPr>
          <w:sz w:val="20"/>
          <w:szCs w:val="20"/>
          <w:color w:val="auto"/>
        </w:rPr>
      </w:pPr>
      <w:r>
        <w:rPr>
          <w:rFonts w:ascii="Arial" w:cs="Arial" w:eastAsia="Arial" w:hAnsi="Arial"/>
          <w:sz w:val="18"/>
          <w:szCs w:val="18"/>
          <w:color w:val="auto"/>
        </w:rPr>
        <w:t>For purposes of determining the amount of any Investment outstanding, such amount shall be deemed to be the amount of such Investment when made, purchased or acquired (without adjustment for subsequent increases or decreases in the value of such Investment) less any amount realized in respect of such Investment upon the sale, collection or return of capital (not to exceed the original amount invested.</w:t>
      </w:r>
    </w:p>
    <w:p>
      <w:pPr>
        <w:spacing w:after="0" w:line="184"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8"/>
          <w:szCs w:val="18"/>
          <w:color w:val="auto"/>
        </w:rPr>
        <w:t xml:space="preserve">SECTION 6.05. Asset Sales. No Loan Party will, nor will it permit any Subsidiary to, sell, transfer, lease or otherwise dispose of any asset, including any Equity Interest owned by it, nor will any Subsidiary issue any additional Equity Interest in such Subsidiary (other than issuing directors’ qualifying shares and other than issuing Equity Interests to the Company or another Subsidiary in compliance with </w:t>
      </w:r>
      <w:r>
        <w:rPr>
          <w:rFonts w:ascii="Arial" w:cs="Arial" w:eastAsia="Arial" w:hAnsi="Arial"/>
          <w:sz w:val="18"/>
          <w:szCs w:val="18"/>
          <w:u w:val="single" w:color="auto"/>
          <w:color w:val="auto"/>
        </w:rPr>
        <w:t>Section 6.04(d)</w:t>
      </w:r>
      <w:r>
        <w:rPr>
          <w:rFonts w:ascii="Arial" w:cs="Arial" w:eastAsia="Arial" w:hAnsi="Arial"/>
          <w:sz w:val="18"/>
          <w:szCs w:val="18"/>
          <w:color w:val="auto"/>
        </w:rPr>
        <w:t>) (each, a “</w:t>
      </w:r>
      <w:r>
        <w:rPr>
          <w:rFonts w:ascii="Arial" w:cs="Arial" w:eastAsia="Arial" w:hAnsi="Arial"/>
          <w:sz w:val="18"/>
          <w:szCs w:val="18"/>
          <w:u w:val="single" w:color="auto"/>
          <w:color w:val="auto"/>
        </w:rPr>
        <w:t>Disposition</w:t>
      </w:r>
      <w:r>
        <w:rPr>
          <w:rFonts w:ascii="Arial" w:cs="Arial" w:eastAsia="Arial" w:hAnsi="Arial"/>
          <w:sz w:val="18"/>
          <w:szCs w:val="18"/>
          <w:color w:val="auto"/>
        </w:rPr>
        <w:t>”), except:</w:t>
      </w:r>
    </w:p>
    <w:p>
      <w:pPr>
        <w:spacing w:after="0" w:line="187" w:lineRule="exact"/>
        <w:rPr>
          <w:sz w:val="20"/>
          <w:szCs w:val="20"/>
          <w:color w:val="auto"/>
        </w:rPr>
      </w:pPr>
    </w:p>
    <w:p>
      <w:pPr>
        <w:jc w:val="both"/>
        <w:ind w:left="1960" w:firstLine="640"/>
        <w:spacing w:after="0" w:line="291" w:lineRule="auto"/>
        <w:tabs>
          <w:tab w:leader="none" w:pos="3388" w:val="left"/>
        </w:tabs>
        <w:numPr>
          <w:ilvl w:val="1"/>
          <w:numId w:val="428"/>
        </w:numPr>
        <w:rPr>
          <w:rFonts w:ascii="Arial" w:cs="Arial" w:eastAsia="Arial" w:hAnsi="Arial"/>
          <w:sz w:val="16"/>
          <w:szCs w:val="16"/>
          <w:color w:val="auto"/>
        </w:rPr>
      </w:pPr>
      <w:r>
        <w:rPr>
          <w:rFonts w:ascii="Arial" w:cs="Arial" w:eastAsia="Arial" w:hAnsi="Arial"/>
          <w:sz w:val="16"/>
          <w:szCs w:val="16"/>
          <w:color w:val="auto"/>
        </w:rPr>
        <w:t>Dispositions of (i) inventory or goods held for sale (including, for the avoidance of doubt, such Dispositions made by the Company or any other Loan Party to Subsidiaries that are not Loan Parties, so long as such Dispositions are at prices and on terms and conditions at least substantially as favorable to the Company or such Loan Party as those that could be obtained at the time in a comparable arm’s-length transaction with a Person that is not a Subsidiary), (ii) immaterial assets (including allowing any registrations or any applications for registration of any immaterial intellectual property to lapse or go abandoned in the ordinary course of business), (iii) used, obsolete, damaged or surplus property or equipment, whether now owned or hereafter acquired, and (iv) cash and Permitted Investments, in each case in the ordinary course of business;</w:t>
      </w:r>
    </w:p>
    <w:p>
      <w:pPr>
        <w:spacing w:after="0" w:line="166" w:lineRule="exact"/>
        <w:rPr>
          <w:rFonts w:ascii="Arial" w:cs="Arial" w:eastAsia="Arial" w:hAnsi="Arial"/>
          <w:sz w:val="16"/>
          <w:szCs w:val="16"/>
          <w:color w:val="auto"/>
        </w:rPr>
      </w:pPr>
    </w:p>
    <w:p>
      <w:pPr>
        <w:jc w:val="both"/>
        <w:ind w:left="1960" w:firstLine="640"/>
        <w:spacing w:after="0" w:line="257" w:lineRule="auto"/>
        <w:tabs>
          <w:tab w:leader="none" w:pos="3371" w:val="left"/>
        </w:tabs>
        <w:numPr>
          <w:ilvl w:val="1"/>
          <w:numId w:val="428"/>
        </w:numPr>
        <w:rPr>
          <w:rFonts w:ascii="Arial" w:cs="Arial" w:eastAsia="Arial" w:hAnsi="Arial"/>
          <w:sz w:val="18"/>
          <w:szCs w:val="18"/>
          <w:color w:val="auto"/>
        </w:rPr>
      </w:pPr>
      <w:r>
        <w:rPr>
          <w:rFonts w:ascii="Arial" w:cs="Arial" w:eastAsia="Arial" w:hAnsi="Arial"/>
          <w:sz w:val="18"/>
          <w:szCs w:val="18"/>
          <w:color w:val="auto"/>
        </w:rPr>
        <w:t xml:space="preserve">Dispositions to the Company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Disposition to a Subsidiary that is not a Loan Party (i) shall be made in compliance with </w:t>
      </w:r>
      <w:r>
        <w:rPr>
          <w:rFonts w:ascii="Arial" w:cs="Arial" w:eastAsia="Arial" w:hAnsi="Arial"/>
          <w:sz w:val="18"/>
          <w:szCs w:val="18"/>
          <w:u w:val="single" w:color="auto"/>
          <w:color w:val="auto"/>
        </w:rPr>
        <w:t>Sections 6.04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6.08</w:t>
      </w:r>
      <w:r>
        <w:rPr>
          <w:rFonts w:ascii="Arial" w:cs="Arial" w:eastAsia="Arial" w:hAnsi="Arial"/>
          <w:sz w:val="18"/>
          <w:szCs w:val="18"/>
          <w:color w:val="auto"/>
        </w:rPr>
        <w:t xml:space="preserve"> if and to the extent applicable and (ii) shall not, in the case of any Disposition by the Company or any other Loan Party to Subsidiaries that are not Loan Parties in any fiscal year that are not made as Investments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involve assets having an aggregate fair market value for all such assets so Disposed in such fiscal year in excess of $7,500,000;</w:t>
      </w:r>
    </w:p>
    <w:p>
      <w:pPr>
        <w:spacing w:after="0" w:line="187" w:lineRule="exact"/>
        <w:rPr>
          <w:rFonts w:ascii="Arial" w:cs="Arial" w:eastAsia="Arial" w:hAnsi="Arial"/>
          <w:sz w:val="18"/>
          <w:szCs w:val="18"/>
          <w:color w:val="auto"/>
        </w:rPr>
      </w:pPr>
    </w:p>
    <w:p>
      <w:pPr>
        <w:ind w:left="1960" w:firstLine="640"/>
        <w:spacing w:after="0" w:line="342" w:lineRule="auto"/>
        <w:tabs>
          <w:tab w:leader="none" w:pos="3455" w:val="left"/>
        </w:tabs>
        <w:numPr>
          <w:ilvl w:val="1"/>
          <w:numId w:val="428"/>
        </w:numPr>
        <w:rPr>
          <w:rFonts w:ascii="Arial" w:cs="Arial" w:eastAsia="Arial" w:hAnsi="Arial"/>
          <w:sz w:val="16"/>
          <w:szCs w:val="16"/>
          <w:color w:val="auto"/>
        </w:rPr>
      </w:pPr>
      <w:r>
        <w:rPr>
          <w:rFonts w:ascii="Arial" w:cs="Arial" w:eastAsia="Arial" w:hAnsi="Arial"/>
          <w:sz w:val="16"/>
          <w:szCs w:val="16"/>
          <w:color w:val="auto"/>
        </w:rPr>
        <w:t>Dispositions of accounts receivable in connection with the compromise, settlement or collection thereof in the ordinary course of business consistent with past practice and not as part of any accounts receivables financing transaction;</w:t>
      </w:r>
    </w:p>
    <w:p>
      <w:pPr>
        <w:spacing w:after="0" w:line="123" w:lineRule="exact"/>
        <w:rPr>
          <w:rFonts w:ascii="Arial" w:cs="Arial" w:eastAsia="Arial" w:hAnsi="Arial"/>
          <w:sz w:val="16"/>
          <w:szCs w:val="16"/>
          <w:color w:val="auto"/>
        </w:rPr>
      </w:pPr>
    </w:p>
    <w:p>
      <w:pPr>
        <w:jc w:val="both"/>
        <w:ind w:left="1960" w:firstLine="640"/>
        <w:spacing w:after="0" w:line="291" w:lineRule="auto"/>
        <w:tabs>
          <w:tab w:leader="none" w:pos="3398" w:val="left"/>
        </w:tabs>
        <w:numPr>
          <w:ilvl w:val="1"/>
          <w:numId w:val="428"/>
        </w:numPr>
        <w:rPr>
          <w:rFonts w:ascii="Arial" w:cs="Arial" w:eastAsia="Arial" w:hAnsi="Arial"/>
          <w:sz w:val="16"/>
          <w:szCs w:val="16"/>
          <w:color w:val="auto"/>
        </w:rPr>
      </w:pPr>
      <w:r>
        <w:rPr>
          <w:rFonts w:ascii="Arial" w:cs="Arial" w:eastAsia="Arial" w:hAnsi="Arial"/>
          <w:sz w:val="16"/>
          <w:szCs w:val="16"/>
          <w:color w:val="auto"/>
        </w:rPr>
        <w:t xml:space="preserve">(i) to the extent constituting Dispositions, transactions permitted by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6.03</w:t>
      </w:r>
      <w:r>
        <w:rPr>
          <w:rFonts w:ascii="Arial" w:cs="Arial" w:eastAsia="Arial" w:hAnsi="Arial"/>
          <w:sz w:val="16"/>
          <w:szCs w:val="16"/>
          <w:color w:val="auto"/>
        </w:rPr>
        <w:t xml:space="preserve">, (ii) Dispositions of assets to the extent that such Disposition constitutes an Investment referred to in and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and</w:t>
      </w:r>
    </w:p>
    <w:p>
      <w:pPr>
        <w:ind w:left="1960" w:right="20" w:hanging="8"/>
        <w:spacing w:after="0" w:line="260" w:lineRule="auto"/>
        <w:tabs>
          <w:tab w:leader="none" w:pos="229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Dispositions of assets to the extent that such Disposition constitute a Restricted Payment referred to in and permitted by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8" w:name="page329"/>
    <w:bookmarkEnd w:id="328"/>
    <w:p>
      <w:pPr>
        <w:ind w:left="2220" w:hanging="740"/>
        <w:spacing w:after="0"/>
        <w:tabs>
          <w:tab w:leader="none" w:pos="22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Sale and Leaseback Transactions permitted by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63" w:lineRule="auto"/>
        <w:tabs>
          <w:tab w:leader="none" w:pos="234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Licenses, leases or subleases entered into in the ordinary course of business, including in connection with effectuating any tax subsidy arrangement, including a payment-in-lieu of taxes arrangement, to the extent that they do not materially interfere with the business of the Company or any Subsidiary;</w:t>
      </w:r>
    </w:p>
    <w:p>
      <w:pPr>
        <w:spacing w:after="0" w:line="183" w:lineRule="exact"/>
        <w:rPr>
          <w:rFonts w:ascii="Arial" w:cs="Arial" w:eastAsia="Arial" w:hAnsi="Arial"/>
          <w:sz w:val="18"/>
          <w:szCs w:val="18"/>
          <w:color w:val="auto"/>
        </w:rPr>
      </w:pPr>
    </w:p>
    <w:p>
      <w:pPr>
        <w:ind w:left="840" w:firstLine="640"/>
        <w:spacing w:after="0" w:line="277" w:lineRule="auto"/>
        <w:tabs>
          <w:tab w:leader="none" w:pos="230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Licenses or sublicenses of intellectual property in the ordinary course of business, to the extent that they do not materially interfere with the business of the Company or any Subsidiary;</w:t>
      </w:r>
    </w:p>
    <w:p>
      <w:pPr>
        <w:spacing w:after="0" w:line="170" w:lineRule="exact"/>
        <w:rPr>
          <w:rFonts w:ascii="Arial" w:cs="Arial" w:eastAsia="Arial" w:hAnsi="Arial"/>
          <w:sz w:val="18"/>
          <w:szCs w:val="18"/>
          <w:color w:val="auto"/>
        </w:rPr>
      </w:pPr>
    </w:p>
    <w:p>
      <w:pPr>
        <w:ind w:left="840" w:right="20" w:firstLine="640"/>
        <w:spacing w:after="0" w:line="277" w:lineRule="auto"/>
        <w:tabs>
          <w:tab w:leader="none" w:pos="231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asset of any of the Company or any Subsidiary;</w:t>
      </w:r>
    </w:p>
    <w:p>
      <w:pPr>
        <w:spacing w:after="0" w:line="170" w:lineRule="exact"/>
        <w:rPr>
          <w:rFonts w:ascii="Arial" w:cs="Arial" w:eastAsia="Arial" w:hAnsi="Arial"/>
          <w:sz w:val="18"/>
          <w:szCs w:val="18"/>
          <w:color w:val="auto"/>
        </w:rPr>
      </w:pPr>
    </w:p>
    <w:p>
      <w:pPr>
        <w:jc w:val="both"/>
        <w:ind w:left="840" w:firstLine="640"/>
        <w:spacing w:after="0" w:line="259" w:lineRule="auto"/>
        <w:tabs>
          <w:tab w:leader="none" w:pos="24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Dispositions of assets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w:t>
      </w:r>
    </w:p>
    <w:p>
      <w:pPr>
        <w:spacing w:after="0" w:line="186" w:lineRule="exact"/>
        <w:rPr>
          <w:rFonts w:ascii="Arial" w:cs="Arial" w:eastAsia="Arial" w:hAnsi="Arial"/>
          <w:sz w:val="18"/>
          <w:szCs w:val="18"/>
          <w:color w:val="auto"/>
        </w:rPr>
      </w:pPr>
    </w:p>
    <w:p>
      <w:pPr>
        <w:ind w:left="840" w:firstLine="640"/>
        <w:spacing w:after="0" w:line="277" w:lineRule="auto"/>
        <w:tabs>
          <w:tab w:leader="none" w:pos="2454"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w:t>
      </w:r>
    </w:p>
    <w:p>
      <w:pPr>
        <w:spacing w:after="0" w:line="170" w:lineRule="exact"/>
        <w:rPr>
          <w:rFonts w:ascii="Arial" w:cs="Arial" w:eastAsia="Arial" w:hAnsi="Arial"/>
          <w:sz w:val="18"/>
          <w:szCs w:val="18"/>
          <w:color w:val="auto"/>
        </w:rPr>
      </w:pPr>
    </w:p>
    <w:p>
      <w:pPr>
        <w:jc w:val="both"/>
        <w:ind w:left="840" w:firstLine="640"/>
        <w:spacing w:after="0" w:line="259" w:lineRule="auto"/>
        <w:tabs>
          <w:tab w:leader="none" w:pos="254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abandonment, cancellation, non-renewal or discontinuance of use or maintenance of non-material intellectual property or rights relating thereto (including registrations and applications for registration) that the Company determines in its reasonable judgment to be desirable to the conduct of its business and not materially disadvantageous to the interests of the Lenders;</w:t>
      </w:r>
    </w:p>
    <w:p>
      <w:pPr>
        <w:spacing w:after="0" w:line="186" w:lineRule="exact"/>
        <w:rPr>
          <w:rFonts w:ascii="Arial" w:cs="Arial" w:eastAsia="Arial" w:hAnsi="Arial"/>
          <w:sz w:val="18"/>
          <w:szCs w:val="18"/>
          <w:color w:val="auto"/>
        </w:rPr>
      </w:pPr>
    </w:p>
    <w:p>
      <w:pPr>
        <w:jc w:val="both"/>
        <w:ind w:left="840" w:firstLine="640"/>
        <w:spacing w:after="0" w:line="263" w:lineRule="auto"/>
        <w:tabs>
          <w:tab w:leader="none" w:pos="225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Dispositions of assets acquired pursuant to or in order to effectuate a Permitted Acquisition which assets are not used or useful to the core or principal business of the Company and its Subsidiaries in an aggregate amount not to exceed 30% of the aggregate consideration in respect of such Permitted Acquisition;</w:t>
      </w:r>
    </w:p>
    <w:p>
      <w:pPr>
        <w:spacing w:after="0" w:line="183" w:lineRule="exact"/>
        <w:rPr>
          <w:rFonts w:ascii="Arial" w:cs="Arial" w:eastAsia="Arial" w:hAnsi="Arial"/>
          <w:sz w:val="18"/>
          <w:szCs w:val="18"/>
          <w:color w:val="auto"/>
        </w:rPr>
      </w:pPr>
    </w:p>
    <w:p>
      <w:pPr>
        <w:jc w:val="both"/>
        <w:ind w:left="840" w:firstLine="640"/>
        <w:spacing w:after="0" w:line="259" w:lineRule="auto"/>
        <w:tabs>
          <w:tab w:leader="none" w:pos="228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Dispositions of assets that the Company determines in its reasonable judgment to be no longer used or useful in the conduct of the business of the Company or any Subsidiary outside the ordinary course of business (and for consideration complying with the requirements applicable to Dispositions pursuant to </w:t>
      </w:r>
      <w:r>
        <w:rPr>
          <w:rFonts w:ascii="Arial" w:cs="Arial" w:eastAsia="Arial" w:hAnsi="Arial"/>
          <w:sz w:val="18"/>
          <w:szCs w:val="18"/>
          <w:u w:val="single" w:color="auto"/>
          <w:color w:val="auto"/>
        </w:rPr>
        <w:t>clause (</w:t>
      </w:r>
      <w:r>
        <w:rPr>
          <w:rFonts w:ascii="Arial" w:cs="Arial" w:eastAsia="Arial" w:hAnsi="Arial"/>
          <w:sz w:val="18"/>
          <w:szCs w:val="18"/>
          <w:b w:val="1"/>
          <w:bCs w:val="1"/>
          <w:u w:val="single" w:color="auto"/>
          <w:color w:val="FF0000"/>
          <w:strike w:val="1"/>
        </w:rPr>
        <w:t>r</w:t>
      </w:r>
      <w:r>
        <w:rPr>
          <w:rFonts w:ascii="Arial" w:cs="Arial" w:eastAsia="Arial" w:hAnsi="Arial"/>
          <w:sz w:val="18"/>
          <w:szCs w:val="18"/>
          <w:b w:val="1"/>
          <w:bCs w:val="1"/>
          <w:u w:val="single" w:color="auto"/>
          <w:color w:val="0000FF"/>
        </w:rPr>
        <w:t>s</w:t>
      </w:r>
      <w:r>
        <w:rPr>
          <w:rFonts w:ascii="Arial" w:cs="Arial" w:eastAsia="Arial" w:hAnsi="Arial"/>
          <w:sz w:val="18"/>
          <w:szCs w:val="18"/>
          <w:u w:val="single" w:color="auto"/>
          <w:color w:val="auto"/>
        </w:rPr>
        <w:t>)</w:t>
      </w:r>
      <w:r>
        <w:rPr>
          <w:rFonts w:ascii="Arial" w:cs="Arial" w:eastAsia="Arial" w:hAnsi="Arial"/>
          <w:sz w:val="18"/>
          <w:szCs w:val="18"/>
          <w:color w:val="auto"/>
        </w:rPr>
        <w:t xml:space="preserve"> below) in an aggregate amount not to exceed $15,000,000;</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9" w:name="page330"/>
    <w:bookmarkEnd w:id="329"/>
    <w:p>
      <w:pPr>
        <w:ind w:left="840" w:firstLine="640"/>
        <w:spacing w:after="0" w:line="308" w:lineRule="auto"/>
        <w:tabs>
          <w:tab w:leader="none" w:pos="2237" w:val="left"/>
        </w:tabs>
        <w:numPr>
          <w:ilvl w:val="1"/>
          <w:numId w:val="431"/>
        </w:numPr>
        <w:rPr>
          <w:rFonts w:ascii="Arial" w:cs="Arial" w:eastAsia="Arial" w:hAnsi="Arial"/>
          <w:sz w:val="17"/>
          <w:szCs w:val="17"/>
          <w:color w:val="auto"/>
        </w:rPr>
      </w:pPr>
      <w:r>
        <w:rPr>
          <w:rFonts w:ascii="Arial" w:cs="Arial" w:eastAsia="Arial" w:hAnsi="Arial"/>
          <w:sz w:val="17"/>
          <w:szCs w:val="17"/>
          <w:color w:val="auto"/>
        </w:rPr>
        <w:t>any swap of assets in exchange for services or other assets of comparable or greater value or usefulness to the business of the Company and the Subsidiaries as a whole, as determined in good faith by the Company;</w:t>
      </w:r>
    </w:p>
    <w:p>
      <w:pPr>
        <w:spacing w:after="0" w:line="146" w:lineRule="exact"/>
        <w:rPr>
          <w:rFonts w:ascii="Arial" w:cs="Arial" w:eastAsia="Arial" w:hAnsi="Arial"/>
          <w:sz w:val="17"/>
          <w:szCs w:val="17"/>
          <w:color w:val="auto"/>
        </w:rPr>
      </w:pPr>
    </w:p>
    <w:p>
      <w:pPr>
        <w:jc w:val="both"/>
        <w:ind w:left="840" w:firstLine="640"/>
        <w:spacing w:after="0" w:line="263" w:lineRule="auto"/>
        <w:tabs>
          <w:tab w:leader="none" w:pos="248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83" w:lineRule="exact"/>
        <w:rPr>
          <w:rFonts w:ascii="Arial" w:cs="Arial" w:eastAsia="Arial" w:hAnsi="Arial"/>
          <w:sz w:val="18"/>
          <w:szCs w:val="18"/>
          <w:color w:val="auto"/>
        </w:rPr>
      </w:pPr>
    </w:p>
    <w:p>
      <w:pPr>
        <w:ind w:left="2220" w:hanging="740"/>
        <w:spacing w:after="0"/>
        <w:tabs>
          <w:tab w:leader="none" w:pos="222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the unwinding of any Swap Contract pursuant to its terms;</w:t>
      </w:r>
    </w:p>
    <w:p>
      <w:pPr>
        <w:spacing w:after="0" w:line="225" w:lineRule="exact"/>
        <w:rPr>
          <w:rFonts w:ascii="Arial" w:cs="Arial" w:eastAsia="Arial" w:hAnsi="Arial"/>
          <w:sz w:val="18"/>
          <w:szCs w:val="18"/>
          <w:color w:val="auto"/>
        </w:rPr>
      </w:pPr>
    </w:p>
    <w:p>
      <w:pPr>
        <w:ind w:left="2220" w:hanging="740"/>
        <w:spacing w:after="0"/>
        <w:tabs>
          <w:tab w:leader="none" w:pos="222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sales or other issuances of Equity Interests in the Company;</w:t>
      </w:r>
    </w:p>
    <w:p>
      <w:pPr>
        <w:spacing w:after="0" w:line="221" w:lineRule="exact"/>
        <w:rPr>
          <w:rFonts w:ascii="Arial" w:cs="Arial" w:eastAsia="Arial" w:hAnsi="Arial"/>
          <w:sz w:val="18"/>
          <w:szCs w:val="18"/>
          <w:color w:val="auto"/>
        </w:rPr>
      </w:pPr>
    </w:p>
    <w:p>
      <w:pPr>
        <w:ind w:left="2200" w:hanging="720"/>
        <w:spacing w:after="0"/>
        <w:tabs>
          <w:tab w:leader="none" w:pos="2200" w:val="left"/>
        </w:tabs>
        <w:numPr>
          <w:ilvl w:val="1"/>
          <w:numId w:val="431"/>
        </w:numPr>
        <w:rPr>
          <w:rFonts w:ascii="Arial" w:cs="Arial" w:eastAsia="Arial" w:hAnsi="Arial"/>
          <w:sz w:val="17"/>
          <w:szCs w:val="17"/>
          <w:color w:val="auto"/>
        </w:rPr>
      </w:pPr>
      <w:r>
        <w:rPr>
          <w:rFonts w:ascii="Arial" w:cs="Arial" w:eastAsia="Arial" w:hAnsi="Arial"/>
          <w:sz w:val="17"/>
          <w:szCs w:val="17"/>
          <w:color w:val="auto"/>
        </w:rPr>
        <w:t xml:space="preserve">Dispositions contemplated as of the </w:t>
      </w:r>
      <w:r>
        <w:rPr>
          <w:rFonts w:ascii="Arial" w:cs="Arial" w:eastAsia="Arial" w:hAnsi="Arial"/>
          <w:sz w:val="17"/>
          <w:szCs w:val="17"/>
          <w:b w:val="1"/>
          <w:bCs w:val="1"/>
          <w:u w:val="single" w:color="auto"/>
          <w:color w:val="0000FF"/>
        </w:rPr>
        <w:t>Amendment No. 2</w:t>
      </w:r>
      <w:r>
        <w:rPr>
          <w:rFonts w:ascii="Arial" w:cs="Arial" w:eastAsia="Arial" w:hAnsi="Arial"/>
          <w:sz w:val="17"/>
          <w:szCs w:val="17"/>
          <w:color w:val="auto"/>
        </w:rPr>
        <w:t xml:space="preserve"> Effective Date and listed on </w:t>
      </w:r>
      <w:r>
        <w:rPr>
          <w:rFonts w:ascii="Arial" w:cs="Arial" w:eastAsia="Arial" w:hAnsi="Arial"/>
          <w:sz w:val="17"/>
          <w:szCs w:val="17"/>
          <w:u w:val="single" w:color="auto"/>
          <w:color w:val="auto"/>
        </w:rPr>
        <w:t>Schedule 6.05</w:t>
      </w:r>
      <w:r>
        <w:rPr>
          <w:rFonts w:ascii="Arial" w:cs="Arial" w:eastAsia="Arial" w:hAnsi="Arial"/>
          <w:sz w:val="17"/>
          <w:szCs w:val="17"/>
          <w:color w:val="auto"/>
        </w:rPr>
        <w:t>; and</w:t>
      </w:r>
    </w:p>
    <w:p>
      <w:pPr>
        <w:spacing w:after="0" w:line="240" w:lineRule="exact"/>
        <w:rPr>
          <w:rFonts w:ascii="Arial" w:cs="Arial" w:eastAsia="Arial" w:hAnsi="Arial"/>
          <w:sz w:val="17"/>
          <w:szCs w:val="17"/>
          <w:color w:val="auto"/>
        </w:rPr>
      </w:pPr>
    </w:p>
    <w:p>
      <w:pPr>
        <w:jc w:val="both"/>
        <w:ind w:left="840" w:firstLine="640"/>
        <w:spacing w:after="0" w:line="283" w:lineRule="auto"/>
        <w:tabs>
          <w:tab w:leader="none" w:pos="2272" w:val="left"/>
        </w:tabs>
        <w:numPr>
          <w:ilvl w:val="1"/>
          <w:numId w:val="431"/>
        </w:numPr>
        <w:rPr>
          <w:rFonts w:ascii="Arial" w:cs="Arial" w:eastAsia="Arial" w:hAnsi="Arial"/>
          <w:sz w:val="16"/>
          <w:szCs w:val="16"/>
          <w:color w:val="auto"/>
        </w:rPr>
      </w:pPr>
      <w:r>
        <w:rPr>
          <w:rFonts w:ascii="Arial" w:cs="Arial" w:eastAsia="Arial" w:hAnsi="Arial"/>
          <w:sz w:val="16"/>
          <w:szCs w:val="16"/>
          <w:color w:val="auto"/>
        </w:rPr>
        <w:t xml:space="preserve">any other Disposition of assets (including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the total fair market value of the assets subject to any such Disposition or series of related Dispositions is in excess of $7,500,000, it shall be for fair market value (or if not for fair market value, the shortfall is permitted as and treated as an Investment under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(ii) at least 75% of the total consideration for any such Disposition in excess of $10,000,000 received by the Company and its Subsidiaries is in the form of cash or Permitted Investments, (iii) no Default or Event of Default then exists or would result after giving effect (including pro forma effect) thereto (except if such Disposition is made pursuant to an agreement entered into at a time when no Default or Event of Default exists) and (iv) if the Dispositions since the delivery of the most recent Borrowing Base Certificates results (on a pro forma basis) in a reduction of 10% or more of the Aggregate Borrowing Base (based on the most recent Borrowing Base Certificates delivered to the Administrative Agent), the Borrower Representative shall be required to deliver an updated Aggregate Borrowing Base Certificate, together with an updated Borrowing Base Certificate for each Borrower,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following shall be deemed to be cash:</w:t>
      </w:r>
    </w:p>
    <w:p>
      <w:pPr>
        <w:spacing w:after="0" w:line="3" w:lineRule="exact"/>
        <w:rPr>
          <w:rFonts w:ascii="Arial" w:cs="Arial" w:eastAsia="Arial" w:hAnsi="Arial"/>
          <w:sz w:val="16"/>
          <w:szCs w:val="16"/>
          <w:color w:val="auto"/>
        </w:rPr>
      </w:pPr>
    </w:p>
    <w:p>
      <w:pPr>
        <w:jc w:val="both"/>
        <w:ind w:left="840" w:hanging="8"/>
        <w:spacing w:after="0" w:line="267" w:lineRule="auto"/>
        <w:tabs>
          <w:tab w:leader="none" w:pos="1172" w:val="left"/>
        </w:tabs>
        <w:numPr>
          <w:ilvl w:val="0"/>
          <w:numId w:val="432"/>
        </w:numPr>
        <w:rPr>
          <w:rFonts w:ascii="Arial" w:cs="Arial" w:eastAsia="Arial" w:hAnsi="Arial"/>
          <w:sz w:val="17"/>
          <w:szCs w:val="17"/>
          <w:color w:val="auto"/>
        </w:rPr>
      </w:pPr>
      <w:r>
        <w:rPr>
          <w:rFonts w:ascii="Arial" w:cs="Arial" w:eastAsia="Arial" w:hAnsi="Arial"/>
          <w:sz w:val="17"/>
          <w:szCs w:val="17"/>
          <w:color w:val="auto"/>
        </w:rPr>
        <w:t>any liabilities (as shown on the Company’s or such Subsidiary’s most recent balance sheet provided hereunder or in the footnotes thereto) of the Company or such Subsidiary (other than liabilities that are by their terms subordinated to the Obligations) that are assumed by the transferee with respect to the applicable Disposition and for which the Company and its Subsidiaries shall have been validly released by all applicable creditors in writing, (B) any securities received by the Company or such Subsidiary from such transferee that are converted by the Company or such Subsidiary into cash or Permitted Investments (to the extent of the cash or Permitted Investments received in the conversion) within one hundred eighty (180) days following the closing of the applicable Disposition and (C) aggregate non-cash consideration received by the Company or such Subsidiary having an aggregate fair market value (determined in good faith by the Company as of the closing of the applicable Disposition for which such non-cash consideration is received and without giving effect to subsequent changes in value) not to exceed the greater of (x) $30,000,000 and (y) 3% of Consolidated Total Assets at any time since the Effective Date (net of any non-cash consideration converted into cash and Permitted Investments).</w:t>
      </w:r>
    </w:p>
    <w:p>
      <w:pPr>
        <w:spacing w:after="0" w:line="200" w:lineRule="exact"/>
        <w:rPr>
          <w:sz w:val="20"/>
          <w:szCs w:val="20"/>
          <w:color w:val="auto"/>
        </w:rPr>
      </w:pPr>
    </w:p>
    <w:p>
      <w:pPr>
        <w:spacing w:after="0" w:line="20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0" w:name="page331"/>
    <w:bookmarkEnd w:id="330"/>
    <w:p>
      <w:pPr>
        <w:jc w:val="both"/>
        <w:ind w:left="180" w:firstLine="648"/>
        <w:spacing w:after="0" w:line="259" w:lineRule="auto"/>
        <w:rPr>
          <w:sz w:val="20"/>
          <w:szCs w:val="20"/>
          <w:color w:val="auto"/>
        </w:rPr>
      </w:pPr>
      <w:r>
        <w:rPr>
          <w:rFonts w:ascii="Arial" w:cs="Arial" w:eastAsia="Arial" w:hAnsi="Arial"/>
          <w:sz w:val="18"/>
          <w:szCs w:val="18"/>
          <w:color w:val="auto"/>
        </w:rPr>
        <w:t xml:space="preserve">SECTION 6.06. Sale and Leaseback Transactions. No Loan Party will, nor will it permit any Subsidiary to, enter into any Sale and Leaseback Transaction unless (a) any Capital Lease Obligations arising in connection therewith are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any Liens arising in connection therewith (including Liens deemed to arise in connection with any such Capital Lease Obligations) are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7" w:lineRule="exact"/>
        <w:rPr>
          <w:sz w:val="20"/>
          <w:szCs w:val="20"/>
          <w:color w:val="auto"/>
        </w:rPr>
      </w:pPr>
    </w:p>
    <w:p>
      <w:pPr>
        <w:jc w:val="both"/>
        <w:ind w:left="180" w:firstLine="648"/>
        <w:spacing w:after="0" w:line="255" w:lineRule="auto"/>
        <w:rPr>
          <w:sz w:val="20"/>
          <w:szCs w:val="20"/>
          <w:color w:val="auto"/>
        </w:rPr>
      </w:pPr>
      <w:r>
        <w:rPr>
          <w:rFonts w:ascii="Arial" w:cs="Arial" w:eastAsia="Arial" w:hAnsi="Arial"/>
          <w:sz w:val="18"/>
          <w:szCs w:val="18"/>
          <w:color w:val="auto"/>
        </w:rPr>
        <w:t>SECTION 6.07. Swap Agreements. No Loan Party will, nor will it permit any Subsidiary to, enter into any Swap Agreement, except (a) Swap Agreements entered into to hedge or mitigate risks to which the Company or any Subsidiary has actual exposure (other than those in respect of the Equity Interests or Indebtedness of the Company or any Subsidiary), (b) Swap Agreements entered into in order to effectively cap, collar or exchange interest rates (from fixed to floating rates, from one floating rate to another floating rate or otherwise) with respect to any interest-bearing liability or investment of the Company or any Subsidiary and (c) Permitted Call Spread Swap Agreements.</w:t>
      </w:r>
    </w:p>
    <w:p>
      <w:pPr>
        <w:spacing w:after="0" w:line="192"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SECTION 6.08. Transactions with Affiliates. No Loan Party will, nor will it permit any Subsidiary to, sell, lease or otherwise transfer any assets to, or purchase, lease or otherwise acquire any assets from, or otherwise engage in any other transactions with, any of its Affiliates, except:</w:t>
      </w:r>
    </w:p>
    <w:p>
      <w:pPr>
        <w:spacing w:after="0" w:line="184" w:lineRule="exact"/>
        <w:rPr>
          <w:sz w:val="20"/>
          <w:szCs w:val="20"/>
          <w:color w:val="auto"/>
        </w:rPr>
      </w:pPr>
    </w:p>
    <w:p>
      <w:pPr>
        <w:jc w:val="both"/>
        <w:ind w:left="840" w:firstLine="640"/>
        <w:spacing w:after="0" w:line="259" w:lineRule="auto"/>
        <w:tabs>
          <w:tab w:leader="none" w:pos="2268"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transactions that are at prices and on terms and conditions at least substantially as favorable to the Company or such Subsidiary (or, in the case of a transaction between a Loan Party and a non-Loan Party, at least substantially as favorable to such Loan Party) as those that could be obtained at the time in a comparable arm’s-length transaction with a Person that is not an Affiliate;</w:t>
      </w:r>
    </w:p>
    <w:p>
      <w:pPr>
        <w:spacing w:after="0" w:line="186" w:lineRule="exact"/>
        <w:rPr>
          <w:rFonts w:ascii="Arial" w:cs="Arial" w:eastAsia="Arial" w:hAnsi="Arial"/>
          <w:sz w:val="18"/>
          <w:szCs w:val="18"/>
          <w:color w:val="auto"/>
        </w:rPr>
      </w:pPr>
    </w:p>
    <w:p>
      <w:pPr>
        <w:jc w:val="both"/>
        <w:ind w:left="840" w:firstLine="640"/>
        <w:spacing w:after="0" w:line="263" w:lineRule="auto"/>
        <w:tabs>
          <w:tab w:leader="none" w:pos="2291"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transactions between or among the Company and the other Loan Parties or any Person that becomes a Loan Party as a result of or in connection with such loan or other transaction to the extent permitted hereunder and not involving any other Affiliate;</w:t>
      </w:r>
    </w:p>
    <w:p>
      <w:pPr>
        <w:spacing w:after="0" w:line="183" w:lineRule="exact"/>
        <w:rPr>
          <w:rFonts w:ascii="Arial" w:cs="Arial" w:eastAsia="Arial" w:hAnsi="Arial"/>
          <w:sz w:val="18"/>
          <w:szCs w:val="18"/>
          <w:color w:val="auto"/>
        </w:rPr>
      </w:pPr>
    </w:p>
    <w:p>
      <w:pPr>
        <w:ind w:left="840" w:right="20" w:firstLine="640"/>
        <w:spacing w:after="0" w:line="342" w:lineRule="auto"/>
        <w:tabs>
          <w:tab w:leader="none" w:pos="2241" w:val="left"/>
        </w:tabs>
        <w:numPr>
          <w:ilvl w:val="0"/>
          <w:numId w:val="433"/>
        </w:numPr>
        <w:rPr>
          <w:rFonts w:ascii="Arial" w:cs="Arial" w:eastAsia="Arial" w:hAnsi="Arial"/>
          <w:sz w:val="16"/>
          <w:szCs w:val="16"/>
          <w:color w:val="auto"/>
        </w:rPr>
      </w:pPr>
      <w:r>
        <w:rPr>
          <w:rFonts w:ascii="Arial" w:cs="Arial" w:eastAsia="Arial" w:hAnsi="Arial"/>
          <w:sz w:val="16"/>
          <w:szCs w:val="16"/>
          <w:color w:val="auto"/>
        </w:rPr>
        <w:t>(i) transactions between or among Subsidiaries that are not Loan Parties and not involving any other Affiliate and (ii) transactions between any Loan Party and any Subsidiary that is not a Loan Party to the extent permitted hereunder;</w:t>
      </w:r>
    </w:p>
    <w:p>
      <w:pPr>
        <w:spacing w:after="0" w:line="34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1" w:name="page332"/>
    <w:bookmarkEnd w:id="331"/>
    <w:p>
      <w:pPr>
        <w:ind w:left="2220" w:hanging="740"/>
        <w:spacing w:after="0"/>
        <w:tabs>
          <w:tab w:leader="none" w:pos="22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any Investment (including loans or advances to employees) permitted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40" w:firstLine="640"/>
        <w:spacing w:after="0" w:line="277" w:lineRule="auto"/>
        <w:tabs>
          <w:tab w:leader="none" w:pos="226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payment of reasonable fees to directors of the Company or any Subsidiary who are not employees of the Company or any Subsidiary;</w:t>
      </w:r>
    </w:p>
    <w:p>
      <w:pPr>
        <w:spacing w:after="0" w:line="170" w:lineRule="exact"/>
        <w:rPr>
          <w:rFonts w:ascii="Arial" w:cs="Arial" w:eastAsia="Arial" w:hAnsi="Arial"/>
          <w:sz w:val="18"/>
          <w:szCs w:val="18"/>
          <w:color w:val="auto"/>
        </w:rPr>
      </w:pPr>
    </w:p>
    <w:p>
      <w:pPr>
        <w:jc w:val="both"/>
        <w:ind w:left="840" w:firstLine="640"/>
        <w:spacing w:after="0" w:line="301" w:lineRule="auto"/>
        <w:tabs>
          <w:tab w:leader="none" w:pos="2613" w:val="left"/>
        </w:tabs>
        <w:numPr>
          <w:ilvl w:val="0"/>
          <w:numId w:val="434"/>
        </w:numPr>
        <w:rPr>
          <w:rFonts w:ascii="Arial" w:cs="Arial" w:eastAsia="Arial" w:hAnsi="Arial"/>
          <w:sz w:val="16"/>
          <w:szCs w:val="16"/>
          <w:color w:val="auto"/>
        </w:rPr>
      </w:pPr>
      <w:r>
        <w:rPr>
          <w:rFonts w:ascii="Arial" w:cs="Arial" w:eastAsia="Arial" w:hAnsi="Arial"/>
          <w:sz w:val="16"/>
          <w:szCs w:val="16"/>
          <w:color w:val="auto"/>
        </w:rPr>
        <w:t>compensation, expense reimbursement and indemnification of, and other employment arrangements (including severance arrangements and health, disability and similar insurance or benefit plans) with, directors, officers, managers, employees and consultants of the Company or any Subsidiary entered into in the ordinary course of business and transactions pursuant to equity-based plans and employee benefit plans and arrangements in the ordinary course of business;</w:t>
      </w:r>
    </w:p>
    <w:p>
      <w:pPr>
        <w:spacing w:after="0" w:line="157" w:lineRule="exact"/>
        <w:rPr>
          <w:rFonts w:ascii="Arial" w:cs="Arial" w:eastAsia="Arial" w:hAnsi="Arial"/>
          <w:sz w:val="16"/>
          <w:szCs w:val="16"/>
          <w:color w:val="auto"/>
        </w:rPr>
      </w:pPr>
    </w:p>
    <w:p>
      <w:pPr>
        <w:ind w:left="2220" w:hanging="740"/>
        <w:spacing w:after="0"/>
        <w:tabs>
          <w:tab w:leader="none" w:pos="22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any Restricted Payment permitted by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40" w:firstLine="640"/>
        <w:spacing w:after="0" w:line="277" w:lineRule="auto"/>
        <w:tabs>
          <w:tab w:leader="none" w:pos="2251"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issuance or sale of Equity Interests to, and any repurchase, retirement, redemption or other acquisition or retirement of Equity Interests owned by, Affiliates to the extent not prohibited under this Agreement;</w:t>
      </w:r>
    </w:p>
    <w:p>
      <w:pPr>
        <w:spacing w:after="0" w:line="170" w:lineRule="exact"/>
        <w:rPr>
          <w:rFonts w:ascii="Arial" w:cs="Arial" w:eastAsia="Arial" w:hAnsi="Arial"/>
          <w:sz w:val="18"/>
          <w:szCs w:val="18"/>
          <w:color w:val="auto"/>
        </w:rPr>
      </w:pPr>
    </w:p>
    <w:p>
      <w:pPr>
        <w:jc w:val="both"/>
        <w:ind w:left="840" w:firstLine="640"/>
        <w:spacing w:after="0" w:line="263" w:lineRule="auto"/>
        <w:tabs>
          <w:tab w:leader="none" w:pos="2279"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any payments or other transactions pursuant to any tax sharing agreement among the Loan Parties and their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tax sharing agreement is on arm’s-length terms usual and customary for agreements of that type;</w:t>
      </w:r>
    </w:p>
    <w:p>
      <w:pPr>
        <w:spacing w:after="0" w:line="183" w:lineRule="exact"/>
        <w:rPr>
          <w:rFonts w:ascii="Arial" w:cs="Arial" w:eastAsia="Arial" w:hAnsi="Arial"/>
          <w:sz w:val="18"/>
          <w:szCs w:val="18"/>
          <w:color w:val="auto"/>
        </w:rPr>
      </w:pPr>
    </w:p>
    <w:p>
      <w:pPr>
        <w:ind w:left="2180" w:hanging="700"/>
        <w:spacing w:after="0"/>
        <w:tabs>
          <w:tab w:leader="none" w:pos="218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consummation of the Transactions and the payment of the Transaction Costs;</w:t>
      </w:r>
    </w:p>
    <w:p>
      <w:pPr>
        <w:spacing w:after="0" w:line="225" w:lineRule="exact"/>
        <w:rPr>
          <w:rFonts w:ascii="Arial" w:cs="Arial" w:eastAsia="Arial" w:hAnsi="Arial"/>
          <w:sz w:val="18"/>
          <w:szCs w:val="18"/>
          <w:color w:val="auto"/>
        </w:rPr>
      </w:pPr>
    </w:p>
    <w:p>
      <w:pPr>
        <w:jc w:val="both"/>
        <w:ind w:left="840" w:firstLine="640"/>
        <w:spacing w:after="0" w:line="286" w:lineRule="auto"/>
        <w:tabs>
          <w:tab w:leader="none" w:pos="2278" w:val="left"/>
        </w:tabs>
        <w:numPr>
          <w:ilvl w:val="0"/>
          <w:numId w:val="434"/>
        </w:numPr>
        <w:rPr>
          <w:rFonts w:ascii="Arial" w:cs="Arial" w:eastAsia="Arial" w:hAnsi="Arial"/>
          <w:sz w:val="17"/>
          <w:szCs w:val="17"/>
          <w:color w:val="auto"/>
        </w:rPr>
      </w:pPr>
      <w:r>
        <w:rPr>
          <w:rFonts w:ascii="Arial" w:cs="Arial" w:eastAsia="Arial" w:hAnsi="Arial"/>
          <w:sz w:val="17"/>
          <w:szCs w:val="17"/>
          <w:color w:val="auto"/>
        </w:rPr>
        <w:t>the payment of customary fees and reasonable out of pocket costs to, and indemnities provided on behalf of, directors, officers, managers, employees and consultants of the Company or any Subsidiary in the ordinary course of business to the extent attributable to the ownership or operation of the Company and its Subsidiaries;</w:t>
      </w:r>
    </w:p>
    <w:p>
      <w:pPr>
        <w:spacing w:after="0" w:line="165" w:lineRule="exact"/>
        <w:rPr>
          <w:rFonts w:ascii="Arial" w:cs="Arial" w:eastAsia="Arial" w:hAnsi="Arial"/>
          <w:sz w:val="17"/>
          <w:szCs w:val="17"/>
          <w:color w:val="auto"/>
        </w:rPr>
      </w:pPr>
    </w:p>
    <w:p>
      <w:pPr>
        <w:ind w:left="840" w:firstLine="640"/>
        <w:spacing w:after="0" w:line="308" w:lineRule="auto"/>
        <w:tabs>
          <w:tab w:leader="none" w:pos="2252"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transactions pursuant to agreements in existence on the Effective Date and set forth on </w:t>
      </w:r>
      <w:r>
        <w:rPr>
          <w:rFonts w:ascii="Arial" w:cs="Arial" w:eastAsia="Arial" w:hAnsi="Arial"/>
          <w:sz w:val="17"/>
          <w:szCs w:val="17"/>
          <w:u w:val="single" w:color="auto"/>
          <w:color w:val="auto"/>
        </w:rPr>
        <w:t>Schedule 6.08</w:t>
      </w:r>
      <w:r>
        <w:rPr>
          <w:rFonts w:ascii="Arial" w:cs="Arial" w:eastAsia="Arial" w:hAnsi="Arial"/>
          <w:sz w:val="17"/>
          <w:szCs w:val="17"/>
          <w:color w:val="auto"/>
        </w:rPr>
        <w:t xml:space="preserve"> or any amendment thereto to the extent such an amendment is not adverse to the Lenders in any material respect;</w:t>
      </w:r>
    </w:p>
    <w:p>
      <w:pPr>
        <w:spacing w:after="0" w:line="146" w:lineRule="exact"/>
        <w:rPr>
          <w:rFonts w:ascii="Arial" w:cs="Arial" w:eastAsia="Arial" w:hAnsi="Arial"/>
          <w:sz w:val="17"/>
          <w:szCs w:val="17"/>
          <w:color w:val="auto"/>
        </w:rPr>
      </w:pPr>
    </w:p>
    <w:p>
      <w:pPr>
        <w:ind w:left="840" w:firstLine="640"/>
        <w:spacing w:after="0" w:line="277" w:lineRule="auto"/>
        <w:tabs>
          <w:tab w:leader="none" w:pos="238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 joint venture which would constitute a transaction with an Affiliate solely as a result of the Company or any Subsidiary owning an equity interest or otherwise controlling such joint venture or similar entity;</w:t>
      </w:r>
    </w:p>
    <w:p>
      <w:pPr>
        <w:spacing w:after="0" w:line="170" w:lineRule="exact"/>
        <w:rPr>
          <w:rFonts w:ascii="Arial" w:cs="Arial" w:eastAsia="Arial" w:hAnsi="Arial"/>
          <w:sz w:val="18"/>
          <w:szCs w:val="18"/>
          <w:color w:val="auto"/>
        </w:rPr>
      </w:pPr>
    </w:p>
    <w:p>
      <w:pPr>
        <w:jc w:val="both"/>
        <w:ind w:left="840" w:firstLine="640"/>
        <w:spacing w:after="0" w:line="255" w:lineRule="auto"/>
        <w:tabs>
          <w:tab w:leader="none" w:pos="265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transactions with joint ventures, customers, suppliers, contractors, joint venture partners (including physicians) or purchasers or sellers of goods or services, in each case which are in the ordinary course of business (including pursuant to joint venture agreements) and otherwise in compliance with the terms of the Loan Documents, and which are fair to the Company or its applicable Subsidiaries in the reasonable determination of the board of directors, chief executive officer or chief financial officer of the Company or its Subsidiaries, as applicable, or are on terms at least as favorable as might reasonably have been obtained at such time from an unaffiliated party;</w:t>
      </w:r>
    </w:p>
    <w:p>
      <w:pPr>
        <w:spacing w:after="0" w:line="200" w:lineRule="exact"/>
        <w:rPr>
          <w:sz w:val="20"/>
          <w:szCs w:val="20"/>
          <w:color w:val="auto"/>
        </w:rPr>
      </w:pPr>
    </w:p>
    <w:p>
      <w:pPr>
        <w:spacing w:after="0" w:line="20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2" w:name="page333"/>
    <w:bookmarkEnd w:id="332"/>
    <w:p>
      <w:pPr>
        <w:ind w:left="840" w:firstLine="640"/>
        <w:spacing w:after="0" w:line="342" w:lineRule="auto"/>
        <w:tabs>
          <w:tab w:leader="none" w:pos="2413"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existing Indebtedness and any other obligations otherwise permitted hereunder pursuant to an agreement existing on the Effective Date as set forth on </w:t>
      </w:r>
      <w:r>
        <w:rPr>
          <w:rFonts w:ascii="Arial" w:cs="Arial" w:eastAsia="Arial" w:hAnsi="Arial"/>
          <w:sz w:val="16"/>
          <w:szCs w:val="16"/>
          <w:u w:val="single" w:color="auto"/>
          <w:color w:val="auto"/>
        </w:rPr>
        <w:t>Schedule 6.01</w:t>
      </w:r>
      <w:r>
        <w:rPr>
          <w:rFonts w:ascii="Arial" w:cs="Arial" w:eastAsia="Arial" w:hAnsi="Arial"/>
          <w:sz w:val="16"/>
          <w:szCs w:val="16"/>
          <w:color w:val="auto"/>
        </w:rPr>
        <w:t xml:space="preserve">, as such agreement may be amended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jc w:val="both"/>
        <w:ind w:left="840" w:firstLine="640"/>
        <w:spacing w:after="0" w:line="263" w:lineRule="auto"/>
        <w:tabs>
          <w:tab w:leader="none" w:pos="225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lease or sublease entered into between the Company or any Subsidiary, as lessee, and any Affiliate of the Company, as lessor or sublessor, which is approved by a majority of the disinterested members of the board of directors of the Company in good faith.</w:t>
      </w:r>
    </w:p>
    <w:p>
      <w:pPr>
        <w:spacing w:after="0" w:line="184" w:lineRule="exact"/>
        <w:rPr>
          <w:sz w:val="20"/>
          <w:szCs w:val="20"/>
          <w:color w:val="auto"/>
        </w:rPr>
      </w:pPr>
    </w:p>
    <w:p>
      <w:pPr>
        <w:ind w:left="180" w:firstLine="648"/>
        <w:spacing w:after="0" w:line="277" w:lineRule="auto"/>
        <w:rPr>
          <w:sz w:val="20"/>
          <w:szCs w:val="20"/>
          <w:color w:val="auto"/>
        </w:rPr>
      </w:pPr>
      <w:r>
        <w:rPr>
          <w:rFonts w:ascii="Arial" w:cs="Arial" w:eastAsia="Arial" w:hAnsi="Arial"/>
          <w:sz w:val="18"/>
          <w:szCs w:val="18"/>
          <w:color w:val="auto"/>
        </w:rPr>
        <w:t>SECTION 6.09. Restricted Payments. No Loan Party will, nor will it permit any Subsidiary to, will declare or make, directly or indirectly, any Restricted Payment, or incur any obligation (contingent or otherwise) to do so, except that:</w:t>
      </w:r>
    </w:p>
    <w:p>
      <w:pPr>
        <w:spacing w:after="0" w:line="170" w:lineRule="exact"/>
        <w:rPr>
          <w:sz w:val="20"/>
          <w:szCs w:val="20"/>
          <w:color w:val="auto"/>
        </w:rPr>
      </w:pPr>
    </w:p>
    <w:p>
      <w:pPr>
        <w:jc w:val="both"/>
        <w:ind w:left="840" w:firstLine="640"/>
        <w:spacing w:after="0" w:line="263" w:lineRule="auto"/>
        <w:tabs>
          <w:tab w:leader="none" w:pos="2227"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any Subsidiary may declare and pay dividends or make other distributions with respect to its Equity Interests, in each case ratably to the holders of such Equity Interests (or if not ratably, on a basis more favorable to the Company and the Loan Parties);</w:t>
      </w:r>
    </w:p>
    <w:p>
      <w:pPr>
        <w:spacing w:after="0" w:line="183" w:lineRule="exact"/>
        <w:rPr>
          <w:rFonts w:ascii="Arial" w:cs="Arial" w:eastAsia="Arial" w:hAnsi="Arial"/>
          <w:sz w:val="18"/>
          <w:szCs w:val="18"/>
          <w:color w:val="auto"/>
        </w:rPr>
      </w:pPr>
    </w:p>
    <w:p>
      <w:pPr>
        <w:ind w:left="840" w:right="20" w:firstLine="640"/>
        <w:spacing w:after="0" w:line="277" w:lineRule="auto"/>
        <w:tabs>
          <w:tab w:leader="none" w:pos="2318"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Company may declare and pay dividends with respect to its Equity Interests payable solely in shares of Qualified Equity Interests of the Company;</w:t>
      </w:r>
    </w:p>
    <w:p>
      <w:pPr>
        <w:spacing w:after="0" w:line="170" w:lineRule="exact"/>
        <w:rPr>
          <w:rFonts w:ascii="Arial" w:cs="Arial" w:eastAsia="Arial" w:hAnsi="Arial"/>
          <w:sz w:val="18"/>
          <w:szCs w:val="18"/>
          <w:color w:val="auto"/>
        </w:rPr>
      </w:pPr>
    </w:p>
    <w:p>
      <w:pPr>
        <w:jc w:val="both"/>
        <w:ind w:left="840" w:firstLine="640"/>
        <w:spacing w:after="0" w:line="271" w:lineRule="auto"/>
        <w:tabs>
          <w:tab w:leader="none" w:pos="2295" w:val="left"/>
        </w:tabs>
        <w:numPr>
          <w:ilvl w:val="1"/>
          <w:numId w:val="436"/>
        </w:numPr>
        <w:rPr>
          <w:rFonts w:ascii="Arial" w:cs="Arial" w:eastAsia="Arial" w:hAnsi="Arial"/>
          <w:sz w:val="17"/>
          <w:szCs w:val="17"/>
          <w:color w:val="auto"/>
        </w:rPr>
      </w:pPr>
      <w:r>
        <w:rPr>
          <w:rFonts w:ascii="Arial" w:cs="Arial" w:eastAsia="Arial" w:hAnsi="Arial"/>
          <w:sz w:val="17"/>
          <w:szCs w:val="17"/>
          <w:color w:val="auto"/>
        </w:rPr>
        <w:t xml:space="preserve">the Company may repurchase, purchase, acquire, cancel or retire for value Equity Interests of the Company from present or former employees, officers, directors or consultants (or their estates or beneficiaries under their estates) of the Company or any Subsidiary upon the death, disability, retirement or termination of employment or service of such employees, officers, directors or consultants, or to the extent required, pursuant to employee benefit plans, employment agreements, stock purchase agreements or stock purchase plans, or other benefit plans;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Restricted Payments made pursuant to this </w:t>
      </w:r>
      <w:r>
        <w:rPr>
          <w:rFonts w:ascii="Arial" w:cs="Arial" w:eastAsia="Arial" w:hAnsi="Arial"/>
          <w:sz w:val="17"/>
          <w:szCs w:val="17"/>
          <w:u w:val="single" w:color="auto"/>
          <w:color w:val="auto"/>
        </w:rPr>
        <w:t>Section 6.09(c)</w:t>
      </w:r>
      <w:r>
        <w:rPr>
          <w:rFonts w:ascii="Arial" w:cs="Arial" w:eastAsia="Arial" w:hAnsi="Arial"/>
          <w:sz w:val="17"/>
          <w:szCs w:val="17"/>
          <w:color w:val="auto"/>
        </w:rPr>
        <w:t xml:space="preserve"> shall not exceed $5,000,000 in any fiscal year (with unused amounts in any calendar year being carried over to succeeding calendar years subject to a maximum of $10,000,000;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amount in any calendar year may be increased by an amount not to exceed:</w:t>
      </w:r>
    </w:p>
    <w:p>
      <w:pPr>
        <w:spacing w:after="0" w:line="178" w:lineRule="exact"/>
        <w:rPr>
          <w:rFonts w:ascii="Arial" w:cs="Arial" w:eastAsia="Arial" w:hAnsi="Arial"/>
          <w:sz w:val="17"/>
          <w:szCs w:val="17"/>
          <w:color w:val="auto"/>
        </w:rPr>
      </w:pPr>
    </w:p>
    <w:p>
      <w:pPr>
        <w:jc w:val="both"/>
        <w:ind w:left="-460" w:firstLine="644"/>
        <w:spacing w:after="0" w:line="259" w:lineRule="auto"/>
        <w:tabs>
          <w:tab w:leader="none" w:pos="1127"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net cash proceeds from the sale of Equity Interests (other than Disqualified Equity Interests) of the Company or any Subsidiary to members of management, managers, directors or consultants of the Company or any Subsidiary that occurs after the Effective Date, to the extent net cash proceeds from the sale of such Equity Interests have not otherwise been applied to the payment of Restricted Payments by virtue of </w:t>
      </w:r>
      <w:r>
        <w:rPr>
          <w:rFonts w:ascii="Arial" w:cs="Arial" w:eastAsia="Arial" w:hAnsi="Arial"/>
          <w:sz w:val="18"/>
          <w:szCs w:val="18"/>
          <w:u w:val="single" w:color="auto"/>
          <w:color w:val="auto"/>
        </w:rPr>
        <w:t>Section 6.09(b)</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6.09(c)</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3" w:name="page334"/>
    <w:bookmarkEnd w:id="333"/>
    <w:p>
      <w:pPr>
        <w:ind w:left="1400" w:hanging="756"/>
        <w:spacing w:after="0"/>
        <w:tabs>
          <w:tab w:leader="none" w:pos="14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net cash proceeds of key man life insurance policies received by the Company or any Subsidiary; less</w:t>
      </w:r>
    </w:p>
    <w:p>
      <w:pPr>
        <w:spacing w:after="0" w:line="225" w:lineRule="exact"/>
        <w:rPr>
          <w:rFonts w:ascii="Arial" w:cs="Arial" w:eastAsia="Arial" w:hAnsi="Arial"/>
          <w:sz w:val="18"/>
          <w:szCs w:val="18"/>
          <w:color w:val="auto"/>
        </w:rPr>
      </w:pPr>
    </w:p>
    <w:p>
      <w:pPr>
        <w:ind w:left="1680" w:hanging="1036"/>
        <w:spacing w:after="0"/>
        <w:tabs>
          <w:tab w:leader="none" w:pos="168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the amount of any Restricted Payments previously made with the cash proceeds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6.09(c);</w:t>
      </w:r>
    </w:p>
    <w:p>
      <w:pPr>
        <w:spacing w:after="0" w:line="210" w:lineRule="exact"/>
        <w:rPr>
          <w:rFonts w:ascii="Arial" w:cs="Arial" w:eastAsia="Arial" w:hAnsi="Arial"/>
          <w:sz w:val="16"/>
          <w:szCs w:val="16"/>
          <w:color w:val="auto"/>
        </w:rPr>
      </w:pPr>
    </w:p>
    <w:p>
      <w:pPr>
        <w:jc w:val="both"/>
        <w:ind w:left="1300" w:right="20" w:firstLine="640"/>
        <w:spacing w:after="0" w:line="259" w:lineRule="auto"/>
        <w:tabs>
          <w:tab w:leader="none" w:pos="2738"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Company may make cash payments in lieu of the issuance of fractional shares representing insignificant interests in the Company in connection with (i) the exercise of warrants, options or other securities convertible into or exchangeable for Equity Interests in the Company and (ii) any dividend, split or combination thereof or any Permitted Acquisition;</w:t>
      </w:r>
    </w:p>
    <w:p>
      <w:pPr>
        <w:spacing w:after="0" w:line="186" w:lineRule="exact"/>
        <w:rPr>
          <w:rFonts w:ascii="Arial" w:cs="Arial" w:eastAsia="Arial" w:hAnsi="Arial"/>
          <w:sz w:val="18"/>
          <w:szCs w:val="18"/>
          <w:color w:val="auto"/>
        </w:rPr>
      </w:pPr>
    </w:p>
    <w:p>
      <w:pPr>
        <w:jc w:val="both"/>
        <w:ind w:left="1300" w:firstLine="640"/>
        <w:spacing w:after="0" w:line="279" w:lineRule="auto"/>
        <w:tabs>
          <w:tab w:leader="none" w:pos="2890" w:val="left"/>
        </w:tabs>
        <w:numPr>
          <w:ilvl w:val="1"/>
          <w:numId w:val="438"/>
        </w:numPr>
        <w:rPr>
          <w:rFonts w:ascii="Arial" w:cs="Arial" w:eastAsia="Arial" w:hAnsi="Arial"/>
          <w:sz w:val="17"/>
          <w:szCs w:val="17"/>
          <w:color w:val="auto"/>
        </w:rPr>
      </w:pPr>
      <w:r>
        <w:rPr>
          <w:rFonts w:ascii="Arial" w:cs="Arial" w:eastAsia="Arial" w:hAnsi="Arial"/>
          <w:sz w:val="17"/>
          <w:szCs w:val="17"/>
          <w:color w:val="auto"/>
        </w:rPr>
        <w:t>the Company may acquire Equity Interests of the Company upon the exercise of stock options for such Equity Interests of the Company if such Equity Interests represent a portion of the exercise price of such stock options or in connection with tax withholding obligations arising in connection with the exercise of options by, or the vesting of restricted Equity Interests held by, any current or former director, officer or employee of the Company or its Subsidiaries;</w:t>
      </w:r>
    </w:p>
    <w:p>
      <w:pPr>
        <w:spacing w:after="0" w:line="171" w:lineRule="exact"/>
        <w:rPr>
          <w:rFonts w:ascii="Arial" w:cs="Arial" w:eastAsia="Arial" w:hAnsi="Arial"/>
          <w:sz w:val="17"/>
          <w:szCs w:val="17"/>
          <w:color w:val="auto"/>
        </w:rPr>
      </w:pPr>
    </w:p>
    <w:p>
      <w:pPr>
        <w:ind w:left="1300" w:firstLine="640"/>
        <w:spacing w:after="0" w:line="277" w:lineRule="auto"/>
        <w:tabs>
          <w:tab w:leader="none" w:pos="283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Company may convert or exchange any Equity Interests of the Company for or into Qualified Equity Interests of the Company;</w:t>
      </w:r>
    </w:p>
    <w:p>
      <w:pPr>
        <w:spacing w:after="0" w:line="170" w:lineRule="exact"/>
        <w:rPr>
          <w:rFonts w:ascii="Arial" w:cs="Arial" w:eastAsia="Arial" w:hAnsi="Arial"/>
          <w:sz w:val="18"/>
          <w:szCs w:val="18"/>
          <w:color w:val="auto"/>
        </w:rPr>
      </w:pPr>
    </w:p>
    <w:p>
      <w:pPr>
        <w:jc w:val="both"/>
        <w:ind w:left="1300" w:firstLine="640"/>
        <w:spacing w:after="0" w:line="257" w:lineRule="auto"/>
        <w:tabs>
          <w:tab w:leader="none" w:pos="2778" w:val="left"/>
        </w:tabs>
        <w:numPr>
          <w:ilvl w:val="1"/>
          <w:numId w:val="438"/>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may declare or make, or agree to pay or make, directly or indirectly, any other Restricted Payments (whether or not of a type described in the other paragraphs of this </w:t>
      </w:r>
      <w:r>
        <w:rPr>
          <w:rFonts w:ascii="Arial" w:cs="Arial" w:eastAsia="Arial" w:hAnsi="Arial"/>
          <w:sz w:val="18"/>
          <w:szCs w:val="18"/>
          <w:u w:val="single" w:color="auto"/>
          <w:color w:val="auto"/>
        </w:rPr>
        <w:t>Section 6.09</w:t>
      </w:r>
      <w:r>
        <w:rPr>
          <w:rFonts w:ascii="Arial" w:cs="Arial" w:eastAsia="Arial" w:hAnsi="Arial"/>
          <w:sz w:val="18"/>
          <w:szCs w:val="18"/>
          <w:color w:val="auto"/>
        </w:rPr>
        <w:t>) so long as, both immediately before and after giving effect (including pro forma effect) to such Restricted Payment (x) no Default or Event of Default shall have occurred and be continuing and (y) the Payment Condition shall be satisfied with respect to such Restricted Payments;</w:t>
      </w:r>
    </w:p>
    <w:p>
      <w:pPr>
        <w:spacing w:after="0" w:line="187" w:lineRule="exact"/>
        <w:rPr>
          <w:rFonts w:ascii="Arial" w:cs="Arial" w:eastAsia="Arial" w:hAnsi="Arial"/>
          <w:sz w:val="18"/>
          <w:szCs w:val="18"/>
          <w:color w:val="auto"/>
        </w:rPr>
      </w:pPr>
    </w:p>
    <w:p>
      <w:pPr>
        <w:jc w:val="both"/>
        <w:ind w:left="1300" w:firstLine="640"/>
        <w:spacing w:after="0" w:line="263" w:lineRule="auto"/>
        <w:tabs>
          <w:tab w:leader="none" w:pos="2711" w:val="left"/>
        </w:tabs>
        <w:numPr>
          <w:ilvl w:val="1"/>
          <w:numId w:val="438"/>
        </w:numPr>
        <w:rPr>
          <w:rFonts w:ascii="Arial" w:cs="Arial" w:eastAsia="Arial" w:hAnsi="Arial"/>
          <w:sz w:val="18"/>
          <w:szCs w:val="18"/>
          <w:color w:val="auto"/>
        </w:rPr>
      </w:pPr>
      <w:r>
        <w:rPr>
          <w:rFonts w:ascii="Arial" w:cs="Arial" w:eastAsia="Arial" w:hAnsi="Arial"/>
          <w:sz w:val="18"/>
          <w:szCs w:val="18"/>
          <w:color w:val="auto"/>
        </w:rPr>
        <w:t xml:space="preserve">the Company may make Restricted Payments within sixty (60) days after the date of declaration thereof, if at the date of declaration of such Restricted Payments, such Restricted Payments would have been permitted pursuant to another clause of this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640" w:hanging="700"/>
        <w:spacing w:after="0"/>
        <w:tabs>
          <w:tab w:leader="none" w:pos="264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Company and its Subsidiaries may make Restricted Payments to effect the Transactions; and</w:t>
      </w:r>
    </w:p>
    <w:p>
      <w:pPr>
        <w:spacing w:after="0" w:line="225" w:lineRule="exact"/>
        <w:rPr>
          <w:rFonts w:ascii="Arial" w:cs="Arial" w:eastAsia="Arial" w:hAnsi="Arial"/>
          <w:sz w:val="18"/>
          <w:szCs w:val="18"/>
          <w:color w:val="auto"/>
        </w:rPr>
      </w:pPr>
    </w:p>
    <w:p>
      <w:pPr>
        <w:jc w:val="both"/>
        <w:ind w:left="1300" w:firstLine="640"/>
        <w:spacing w:after="0" w:line="275" w:lineRule="auto"/>
        <w:tabs>
          <w:tab w:leader="none" w:pos="2766" w:val="left"/>
        </w:tabs>
        <w:numPr>
          <w:ilvl w:val="1"/>
          <w:numId w:val="438"/>
        </w:numPr>
        <w:rPr>
          <w:rFonts w:ascii="Arial" w:cs="Arial" w:eastAsia="Arial" w:hAnsi="Arial"/>
          <w:sz w:val="17"/>
          <w:szCs w:val="17"/>
          <w:color w:val="auto"/>
        </w:rPr>
      </w:pPr>
      <w:r>
        <w:rPr>
          <w:rFonts w:ascii="Arial" w:cs="Arial" w:eastAsia="Arial" w:hAnsi="Arial"/>
          <w:sz w:val="17"/>
          <w:szCs w:val="17"/>
          <w:color w:val="auto"/>
        </w:rPr>
        <w:t xml:space="preserve">the Company and its Subsidiaries may declare or make, or agree to pay or make, directly or indirectly, any other Restricted Payments (whether or not of the type described in the other paragraphs of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so long as (i) both immediately before and after giving effect (including pro forma effect) to such Restricted Payments, no Default or Event of Default has occurred and is continuing and (ii) the aggregate amount of such Restricted Payments made in reliance on this </w:t>
      </w:r>
      <w:r>
        <w:rPr>
          <w:rFonts w:ascii="Arial" w:cs="Arial" w:eastAsia="Arial" w:hAnsi="Arial"/>
          <w:sz w:val="17"/>
          <w:szCs w:val="17"/>
          <w:u w:val="single" w:color="auto"/>
          <w:color w:val="auto"/>
        </w:rPr>
        <w:t>clause (j)</w:t>
      </w:r>
      <w:r>
        <w:rPr>
          <w:rFonts w:ascii="Arial" w:cs="Arial" w:eastAsia="Arial" w:hAnsi="Arial"/>
          <w:sz w:val="17"/>
          <w:szCs w:val="17"/>
          <w:color w:val="auto"/>
        </w:rPr>
        <w:t xml:space="preserve"> during any fiscal year of the Company shall not exceed $20,000,000.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-4293235</wp:posOffset>
            </wp:positionV>
            <wp:extent cx="6978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7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34" w:name="page335"/>
    <w:bookmarkEnd w:id="334"/>
    <w:p>
      <w:pPr>
        <w:jc w:val="both"/>
        <w:ind w:firstLine="648"/>
        <w:spacing w:after="0" w:line="286" w:lineRule="auto"/>
        <w:rPr>
          <w:sz w:val="20"/>
          <w:szCs w:val="20"/>
          <w:color w:val="auto"/>
        </w:rPr>
      </w:pPr>
      <w:r>
        <w:rPr>
          <w:rFonts w:ascii="Arial" w:cs="Arial" w:eastAsia="Arial" w:hAnsi="Arial"/>
          <w:sz w:val="16"/>
          <w:szCs w:val="16"/>
          <w:color w:val="auto"/>
        </w:rPr>
        <w:t>Notwithstanding the foregoing, the Company may also repurchase, exchange or induce the conversion of Permitted Convertible Notes by delivery of shares of the Company’s common stock and/or a different series of Permitted Convertible Notes (which series (x) matures after, and does not require any scheduled amortization or other scheduled payments of principal prior to, the analogous date under the indenture governing the Permitted Convertible Notes that are so repurchased, exchanged or converted and (y) has terms, conditions and covenants that are no less favorable to the Company than the Permitted Convertible Notes that are so repurchased, exchanged or converted (as determined by the board of directors of the Company, or a committee thereof, in good faith)) (any such series of Permitted Convertible Notes, “</w:t>
      </w:r>
      <w:r>
        <w:rPr>
          <w:rFonts w:ascii="Arial" w:cs="Arial" w:eastAsia="Arial" w:hAnsi="Arial"/>
          <w:sz w:val="16"/>
          <w:szCs w:val="16"/>
          <w:u w:val="single" w:color="auto"/>
          <w:color w:val="auto"/>
        </w:rPr>
        <w:t>Refinancing Convertible Notes</w:t>
      </w:r>
      <w:r>
        <w:rPr>
          <w:rFonts w:ascii="Arial" w:cs="Arial" w:eastAsia="Arial" w:hAnsi="Arial"/>
          <w:sz w:val="16"/>
          <w:szCs w:val="16"/>
          <w:color w:val="auto"/>
        </w:rPr>
        <w:t xml:space="preserve">”) and/or by payment of cash (in an amount that does not exceed the proceeds received by the Company from the substantially concurrent issuance of shares of the Company’s common stock and/or a Refinancing Convertible Notes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net cash proceeds, if any, received by the Company pursuant to the related exercise or early unwind or termination of the related Permitted Call Spread Swap Agreements pursuant to the immediately following proviso);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substantially concurrently with, or a commercially reasonable period of time before or after, the related settlement date for the Permitted Convertible Notes that are so repurchased, exchanged or converted, the Company shall (and, for the avoidance of doubt, shall be permitted under this </w:t>
      </w: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to) exercise or unwind or terminate early (whether in cash, shares or any combination thereof) the portion of the Permitted Call Spread Swap Agreements, if any, corresponding to such Permitted Convertible Notes that are so repurchased, exchanged or converted.</w:t>
      </w:r>
    </w:p>
    <w:p>
      <w:pPr>
        <w:spacing w:after="0" w:line="174" w:lineRule="exact"/>
        <w:rPr>
          <w:sz w:val="20"/>
          <w:szCs w:val="20"/>
          <w:color w:val="auto"/>
        </w:rPr>
      </w:pPr>
    </w:p>
    <w:p>
      <w:pPr>
        <w:ind w:left="1960"/>
        <w:spacing w:after="0"/>
        <w:tabs>
          <w:tab w:leader="none" w:pos="336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color w:val="auto"/>
        </w:rPr>
        <w:t>Subordinated Indebtedness and Amendments to Subordinated Indebtedness Documents.</w:t>
      </w:r>
    </w:p>
    <w:p>
      <w:pPr>
        <w:spacing w:after="0" w:line="225" w:lineRule="exact"/>
        <w:rPr>
          <w:sz w:val="20"/>
          <w:szCs w:val="20"/>
          <w:color w:val="auto"/>
        </w:rPr>
      </w:pPr>
    </w:p>
    <w:p>
      <w:pPr>
        <w:jc w:val="both"/>
        <w:ind w:left="1960" w:firstLine="640"/>
        <w:spacing w:after="0" w:line="263" w:lineRule="auto"/>
        <w:tabs>
          <w:tab w:leader="none" w:pos="3401" w:val="left"/>
        </w:tabs>
        <w:numPr>
          <w:ilvl w:val="1"/>
          <w:numId w:val="439"/>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directly or indirectly voluntarily prepay, defease or in substance defease, purchase, redeem, retire or otherwise acquire, any Subordinated Indebtedness or any Indebtedness from time to time outstanding under the Subordinated Indebtedness Documents, except:</w:t>
      </w:r>
    </w:p>
    <w:p>
      <w:pPr>
        <w:spacing w:after="0" w:line="183" w:lineRule="exact"/>
        <w:rPr>
          <w:rFonts w:ascii="Arial" w:cs="Arial" w:eastAsia="Arial" w:hAnsi="Arial"/>
          <w:sz w:val="18"/>
          <w:szCs w:val="18"/>
          <w:color w:val="auto"/>
        </w:rPr>
      </w:pPr>
    </w:p>
    <w:p>
      <w:pPr>
        <w:ind w:left="660" w:firstLine="644"/>
        <w:spacing w:after="0" w:line="277" w:lineRule="auto"/>
        <w:tabs>
          <w:tab w:leader="none" w:pos="2112" w:val="left"/>
        </w:tabs>
        <w:numPr>
          <w:ilvl w:val="0"/>
          <w:numId w:val="440"/>
        </w:numPr>
        <w:rPr>
          <w:rFonts w:ascii="Arial" w:cs="Arial" w:eastAsia="Arial" w:hAnsi="Arial"/>
          <w:sz w:val="18"/>
          <w:szCs w:val="18"/>
          <w:color w:val="auto"/>
        </w:rPr>
      </w:pPr>
      <w:r>
        <w:rPr>
          <w:rFonts w:ascii="Arial" w:cs="Arial" w:eastAsia="Arial" w:hAnsi="Arial"/>
          <w:sz w:val="18"/>
          <w:szCs w:val="18"/>
          <w:color w:val="auto"/>
        </w:rPr>
        <w:t>regularly scheduled interest and principal payments as and when due in respect of any Subordinated Indebtedness, other than payments prohibited by the subordination provisions thereof;</w:t>
      </w:r>
    </w:p>
    <w:p>
      <w:pPr>
        <w:spacing w:after="0" w:line="170" w:lineRule="exact"/>
        <w:rPr>
          <w:rFonts w:ascii="Arial" w:cs="Arial" w:eastAsia="Arial" w:hAnsi="Arial"/>
          <w:sz w:val="18"/>
          <w:szCs w:val="18"/>
          <w:color w:val="auto"/>
        </w:rPr>
      </w:pPr>
    </w:p>
    <w:p>
      <w:pPr>
        <w:ind w:left="2140" w:hanging="836"/>
        <w:spacing w:after="0"/>
        <w:tabs>
          <w:tab w:leader="none" w:pos="214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refinancings of Subordinated Indebtedness with the proceeds of Refinancing Indebtedness permitted in respect thereof under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60" w:firstLine="644"/>
        <w:spacing w:after="0" w:line="277" w:lineRule="auto"/>
        <w:tabs>
          <w:tab w:leader="none" w:pos="222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payments of or in respect of Subordinated Indebtedness made solely with Qualified Equity Interests in the Company or the conversion of any Subordinated Indebtedness into Qualified Equity Interests of the Company;</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2229"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prepayments of intercompany Subordinated Indebtedness permitted hereby owed by the Company or any Subsidiary to the Company or any Subsidiary, other than prepayments prohibited by the subordination provisions governing such Subordinated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prepayment of any Subordinated Indebtedness owed by the Company or any Loan Party to any Subsidiary that is not a Loan Party shall be permitted so long as no Default shall have occurred and be continuing or would result after giving effect (including pro forma effect) thereto;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5" w:name="page336"/>
    <w:bookmarkEnd w:id="335"/>
    <w:p>
      <w:pPr>
        <w:jc w:val="both"/>
        <w:ind w:left="-460" w:firstLine="644"/>
        <w:spacing w:after="0" w:line="263" w:lineRule="auto"/>
        <w:tabs>
          <w:tab w:leader="none" w:pos="103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so long as no Default shall have occurred and be continuing or would result therefrom, the Company may on any date make payments of or in respect of Subordinated Indebtedness if at the time of making such payment and immediately after giving effect (including pro forma effect) thereto, the Payment Condition shall be satisfied.</w:t>
      </w:r>
    </w:p>
    <w:p>
      <w:pPr>
        <w:spacing w:after="0" w:line="183" w:lineRule="exact"/>
        <w:rPr>
          <w:rFonts w:ascii="Arial" w:cs="Arial" w:eastAsia="Arial" w:hAnsi="Arial"/>
          <w:sz w:val="18"/>
          <w:szCs w:val="18"/>
          <w:color w:val="auto"/>
        </w:rPr>
      </w:pPr>
    </w:p>
    <w:p>
      <w:pPr>
        <w:jc w:val="both"/>
        <w:ind w:left="840" w:firstLine="640"/>
        <w:spacing w:after="0" w:line="272" w:lineRule="auto"/>
        <w:tabs>
          <w:tab w:leader="none" w:pos="2278" w:val="left"/>
        </w:tabs>
        <w:numPr>
          <w:ilvl w:val="1"/>
          <w:numId w:val="441"/>
        </w:numPr>
        <w:rPr>
          <w:rFonts w:ascii="Arial" w:cs="Arial" w:eastAsia="Arial" w:hAnsi="Arial"/>
          <w:sz w:val="17"/>
          <w:szCs w:val="17"/>
          <w:color w:val="auto"/>
        </w:rPr>
      </w:pPr>
      <w:r>
        <w:rPr>
          <w:rFonts w:ascii="Arial" w:cs="Arial" w:eastAsia="Arial" w:hAnsi="Arial"/>
          <w:sz w:val="17"/>
          <w:szCs w:val="17"/>
          <w:color w:val="auto"/>
        </w:rPr>
        <w:t>Furthermore, no Loan Party will, nor will it permit any Subsidiary to, amend the Subordinated Indebtedness Documents relating to any Subordinated Indebtedness or any document, agreement or instrument evidencing any Indebtedness incurred pursuant to the Subordinated Indebtedness Documents (or any replacements, substitutions, extensions or renewals thereof) or pursuant to which such Indebtedness is issued where such amendment, modification or supplement amends, modifies or adds any provision thereof in a manner which (i) when taken as a whole, is materially adverse the Lenders or (ii) is more onerous than the applicable provision in this Agreement (except in each case to the extent permitted under the applicable subordination agreement governing such Subordinated Indebtedness).</w:t>
      </w:r>
    </w:p>
    <w:p>
      <w:pPr>
        <w:spacing w:after="0" w:line="177" w:lineRule="exact"/>
        <w:rPr>
          <w:sz w:val="20"/>
          <w:szCs w:val="20"/>
          <w:color w:val="auto"/>
        </w:rPr>
      </w:pPr>
    </w:p>
    <w:p>
      <w:pPr>
        <w:jc w:val="both"/>
        <w:ind w:left="180" w:firstLine="648"/>
        <w:spacing w:after="0" w:line="257" w:lineRule="auto"/>
        <w:rPr>
          <w:sz w:val="20"/>
          <w:szCs w:val="20"/>
          <w:color w:val="auto"/>
        </w:rPr>
      </w:pPr>
      <w:r>
        <w:rPr>
          <w:rFonts w:ascii="Arial" w:cs="Arial" w:eastAsia="Arial" w:hAnsi="Arial"/>
          <w:sz w:val="18"/>
          <w:szCs w:val="18"/>
          <w:color w:val="auto"/>
        </w:rPr>
        <w:t xml:space="preserve">SECTION 6.11. Restrictive Agreements. No Loan Party will, nor will it permit any Subsidiary to, directly or indirectly, enter into, incur or permit to exist any agreement or other arrangement that restricts or imposes any condition upon (a) the ability of the Company or any Subsidiary to create, incur or permit to exist any Lien upon any of its assets to secure the Secured Obligations or (b) the ability of any Subsidiary to pay dividends or other distributions with respect to any of its Equity Interests or to make or repay loans or advances to the Company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ind w:left="900" w:hanging="716"/>
        <w:spacing w:after="0"/>
        <w:tabs>
          <w:tab w:leader="none" w:pos="9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foregoing shall not apply to:</w:t>
      </w:r>
    </w:p>
    <w:p>
      <w:pPr>
        <w:spacing w:after="0" w:line="225" w:lineRule="exact"/>
        <w:rPr>
          <w:rFonts w:ascii="Arial" w:cs="Arial" w:eastAsia="Arial" w:hAnsi="Arial"/>
          <w:sz w:val="18"/>
          <w:szCs w:val="18"/>
          <w:color w:val="auto"/>
        </w:rPr>
      </w:pPr>
    </w:p>
    <w:p>
      <w:pPr>
        <w:ind w:left="1620" w:hanging="788"/>
        <w:spacing w:after="0"/>
        <w:tabs>
          <w:tab w:leader="none" w:pos="16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restrictions and conditions imposed by law or by this Agreement or any other Loan Document;</w:t>
      </w:r>
    </w:p>
    <w:p>
      <w:pPr>
        <w:spacing w:after="0" w:line="225" w:lineRule="exact"/>
        <w:rPr>
          <w:rFonts w:ascii="Arial" w:cs="Arial" w:eastAsia="Arial" w:hAnsi="Arial"/>
          <w:sz w:val="18"/>
          <w:szCs w:val="18"/>
          <w:color w:val="auto"/>
        </w:rPr>
      </w:pPr>
    </w:p>
    <w:p>
      <w:pPr>
        <w:jc w:val="both"/>
        <w:ind w:left="180" w:firstLine="652"/>
        <w:spacing w:after="0" w:line="279" w:lineRule="auto"/>
        <w:tabs>
          <w:tab w:leader="none" w:pos="2053" w:val="left"/>
        </w:tabs>
        <w:numPr>
          <w:ilvl w:val="1"/>
          <w:numId w:val="442"/>
        </w:numPr>
        <w:rPr>
          <w:rFonts w:ascii="Arial" w:cs="Arial" w:eastAsia="Arial" w:hAnsi="Arial"/>
          <w:sz w:val="17"/>
          <w:szCs w:val="17"/>
          <w:color w:val="auto"/>
        </w:rPr>
      </w:pPr>
      <w:r>
        <w:rPr>
          <w:rFonts w:ascii="Arial" w:cs="Arial" w:eastAsia="Arial" w:hAnsi="Arial"/>
          <w:sz w:val="17"/>
          <w:szCs w:val="17"/>
          <w:color w:val="auto"/>
        </w:rPr>
        <w:t xml:space="preserve">restrictions and conditions contained in any agreement or document governing or evidencing Refinancing Indebtedness in respect of Indebtedness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Refinancing Indebtedness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restrictions and conditions contained in any such agreement or document referred to in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are not less favorable in any material respect to the Lenders than the restrictions and conditions imposed by this Agreement;</w:t>
      </w:r>
    </w:p>
    <w:p>
      <w:pPr>
        <w:spacing w:after="0" w:line="171" w:lineRule="exact"/>
        <w:rPr>
          <w:rFonts w:ascii="Arial" w:cs="Arial" w:eastAsia="Arial" w:hAnsi="Arial"/>
          <w:sz w:val="17"/>
          <w:szCs w:val="17"/>
          <w:color w:val="auto"/>
        </w:rPr>
      </w:pPr>
    </w:p>
    <w:p>
      <w:pPr>
        <w:jc w:val="both"/>
        <w:ind w:left="180" w:firstLine="652"/>
        <w:spacing w:after="0" w:line="311" w:lineRule="auto"/>
        <w:tabs>
          <w:tab w:leader="none" w:pos="1756" w:val="left"/>
        </w:tabs>
        <w:numPr>
          <w:ilvl w:val="1"/>
          <w:numId w:val="442"/>
        </w:numPr>
        <w:rPr>
          <w:rFonts w:ascii="Arial" w:cs="Arial" w:eastAsia="Arial" w:hAnsi="Arial"/>
          <w:sz w:val="16"/>
          <w:szCs w:val="16"/>
          <w:color w:val="auto"/>
        </w:rPr>
      </w:pPr>
      <w:r>
        <w:rPr>
          <w:rFonts w:ascii="Arial" w:cs="Arial" w:eastAsia="Arial" w:hAnsi="Arial"/>
          <w:sz w:val="16"/>
          <w:szCs w:val="16"/>
          <w:color w:val="auto"/>
        </w:rPr>
        <w:t xml:space="preserve">restrictions and conditions existing on the date hereof identified on </w:t>
      </w:r>
      <w:r>
        <w:rPr>
          <w:rFonts w:ascii="Arial" w:cs="Arial" w:eastAsia="Arial" w:hAnsi="Arial"/>
          <w:sz w:val="16"/>
          <w:szCs w:val="16"/>
          <w:u w:val="single" w:color="auto"/>
          <w:color w:val="auto"/>
        </w:rPr>
        <w:t>Schedule 6.11</w:t>
      </w:r>
      <w:r>
        <w:rPr>
          <w:rFonts w:ascii="Arial" w:cs="Arial" w:eastAsia="Arial" w:hAnsi="Arial"/>
          <w:sz w:val="16"/>
          <w:szCs w:val="16"/>
          <w:color w:val="auto"/>
        </w:rPr>
        <w:t xml:space="preserve">, and restrictions and conditions contained in any agreement evidencing any renewal, extension or refinancing permitted hereunder of any agreement identified on </w:t>
      </w:r>
      <w:r>
        <w:rPr>
          <w:rFonts w:ascii="Arial" w:cs="Arial" w:eastAsia="Arial" w:hAnsi="Arial"/>
          <w:sz w:val="16"/>
          <w:szCs w:val="16"/>
          <w:u w:val="single" w:color="auto"/>
          <w:color w:val="auto"/>
        </w:rPr>
        <w:t>Schedule 6.11</w:t>
      </w:r>
      <w:r>
        <w:rPr>
          <w:rFonts w:ascii="Arial" w:cs="Arial" w:eastAsia="Arial" w:hAnsi="Arial"/>
          <w:sz w:val="16"/>
          <w:szCs w:val="16"/>
          <w:color w:val="auto"/>
        </w:rPr>
        <w:t xml:space="preserve"> so long as such renewal, extension or refinancing does not expand the scope of such restrictions or conditions;</w:t>
      </w:r>
    </w:p>
    <w:p>
      <w:pPr>
        <w:spacing w:after="0" w:line="3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6" w:name="page337"/>
    <w:bookmarkEnd w:id="336"/>
    <w:p>
      <w:pPr>
        <w:jc w:val="both"/>
        <w:ind w:left="1300" w:firstLine="652"/>
        <w:spacing w:after="0" w:line="263" w:lineRule="auto"/>
        <w:tabs>
          <w:tab w:leader="none" w:pos="296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in the case of any Subsidiary that is not a wholly-owned Subsidiary, restrictions and conditions imposed by its organizational documents or any related joint venture or similar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apply only to such Subsidiary and to the Equity Interests of such Subsidiary;</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71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restrictions imposed by any agreement governing Indebtedness incurred by any Loan Party or any Subsidiary after the Effective Date and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that are, taken as a whole, in the good faith judgment of the Company, no more restrictive with respect to the Company or any Subsidiary than those contained in this Agreement;</w:t>
      </w:r>
    </w:p>
    <w:p>
      <w:pPr>
        <w:spacing w:after="0" w:line="183" w:lineRule="exact"/>
        <w:rPr>
          <w:rFonts w:ascii="Arial" w:cs="Arial" w:eastAsia="Arial" w:hAnsi="Arial"/>
          <w:sz w:val="18"/>
          <w:szCs w:val="18"/>
          <w:color w:val="auto"/>
        </w:rPr>
      </w:pPr>
    </w:p>
    <w:p>
      <w:pPr>
        <w:jc w:val="both"/>
        <w:ind w:left="1300" w:firstLine="652"/>
        <w:spacing w:after="0" w:line="259" w:lineRule="auto"/>
        <w:tabs>
          <w:tab w:leader="none" w:pos="2748"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customary restrictions and conditions contained in agreements relating to the sale, transfer, lease or other Disposition of a Subsidiary or any assets of the Company or any Subsidiary, in each case pending such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apply only to such Subsidiary or the assets that are to be sold, leased or otherwise transferred and, in each case, such transaction is permitted hereunder;</w:t>
      </w:r>
    </w:p>
    <w:p>
      <w:pPr>
        <w:spacing w:after="0" w:line="186" w:lineRule="exact"/>
        <w:rPr>
          <w:rFonts w:ascii="Arial" w:cs="Arial" w:eastAsia="Arial" w:hAnsi="Arial"/>
          <w:sz w:val="18"/>
          <w:szCs w:val="18"/>
          <w:color w:val="auto"/>
        </w:rPr>
      </w:pPr>
    </w:p>
    <w:p>
      <w:pPr>
        <w:ind w:left="2740" w:hanging="788"/>
        <w:spacing w:after="0"/>
        <w:tabs>
          <w:tab w:leader="none" w:pos="274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restrictions relating to assets encumbered by a Lien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740" w:hanging="788"/>
        <w:spacing w:after="0"/>
        <w:tabs>
          <w:tab w:leader="none" w:pos="274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00" w:firstLine="652"/>
        <w:spacing w:after="0" w:line="277" w:lineRule="auto"/>
        <w:tabs>
          <w:tab w:leader="none" w:pos="2695"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restrictions imposed by any agreement governing Indebtedness of a Subsidiary which is not a Loan Party to the extent such Indebtedness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300" w:firstLine="652"/>
        <w:spacing w:after="0" w:line="277" w:lineRule="auto"/>
        <w:tabs>
          <w:tab w:leader="none" w:pos="2718" w:val="left"/>
        </w:tabs>
        <w:numPr>
          <w:ilvl w:val="1"/>
          <w:numId w:val="443"/>
        </w:numPr>
        <w:rPr>
          <w:rFonts w:ascii="Arial" w:cs="Arial" w:eastAsia="Arial" w:hAnsi="Arial"/>
          <w:sz w:val="18"/>
          <w:szCs w:val="18"/>
          <w:color w:val="auto"/>
        </w:rPr>
      </w:pPr>
      <w:r>
        <w:rPr>
          <w:rFonts w:ascii="Arial" w:cs="Arial" w:eastAsia="Arial" w:hAnsi="Arial"/>
          <w:sz w:val="18"/>
          <w:szCs w:val="18"/>
          <w:color w:val="auto"/>
        </w:rPr>
        <w:t>restrictions or conditions on cash or other deposits imposed by customers under contracts entered into in the ordinary course of business;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not apply to:</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1"/>
          <w:numId w:val="444"/>
        </w:numPr>
        <w:rPr>
          <w:rFonts w:ascii="Arial" w:cs="Arial" w:eastAsia="Arial" w:hAnsi="Arial"/>
          <w:sz w:val="16"/>
          <w:szCs w:val="16"/>
          <w:color w:val="auto"/>
        </w:rPr>
      </w:pPr>
      <w:r>
        <w:rPr>
          <w:rFonts w:ascii="Arial" w:cs="Arial" w:eastAsia="Arial" w:hAnsi="Arial"/>
          <w:sz w:val="16"/>
          <w:szCs w:val="16"/>
          <w:color w:val="auto"/>
        </w:rPr>
        <w:t xml:space="preserve">restrictions and conditions imposed by any agreement relating to secured Indebtedness permitted by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if such restrictions and conditions apply only to the assets securing such Indebtedness;</w:t>
      </w:r>
    </w:p>
    <w:p>
      <w:pPr>
        <w:spacing w:after="0" w:line="222" w:lineRule="exact"/>
        <w:rPr>
          <w:rFonts w:ascii="Arial" w:cs="Arial" w:eastAsia="Arial" w:hAnsi="Arial"/>
          <w:sz w:val="16"/>
          <w:szCs w:val="16"/>
          <w:color w:val="auto"/>
        </w:rPr>
      </w:pPr>
    </w:p>
    <w:p>
      <w:pPr>
        <w:ind w:left="2740" w:hanging="788"/>
        <w:spacing w:after="0"/>
        <w:tabs>
          <w:tab w:leader="none" w:pos="2740" w:val="left"/>
        </w:tabs>
        <w:numPr>
          <w:ilvl w:val="1"/>
          <w:numId w:val="444"/>
        </w:numPr>
        <w:rPr>
          <w:rFonts w:ascii="Arial" w:cs="Arial" w:eastAsia="Arial" w:hAnsi="Arial"/>
          <w:sz w:val="16"/>
          <w:szCs w:val="16"/>
          <w:color w:val="auto"/>
        </w:rPr>
      </w:pPr>
      <w:r>
        <w:rPr>
          <w:rFonts w:ascii="Arial" w:cs="Arial" w:eastAsia="Arial" w:hAnsi="Arial"/>
          <w:sz w:val="16"/>
          <w:szCs w:val="16"/>
          <w:color w:val="auto"/>
        </w:rPr>
        <w:t>customary provisions in leases, subleases, licenses and other agreements restricting the assignment thereof; and</w:t>
      </w:r>
    </w:p>
    <w:p>
      <w:pPr>
        <w:spacing w:after="0" w:line="248" w:lineRule="exact"/>
        <w:rPr>
          <w:rFonts w:ascii="Arial" w:cs="Arial" w:eastAsia="Arial" w:hAnsi="Arial"/>
          <w:sz w:val="16"/>
          <w:szCs w:val="16"/>
          <w:color w:val="auto"/>
        </w:rPr>
      </w:pPr>
    </w:p>
    <w:p>
      <w:pPr>
        <w:jc w:val="both"/>
        <w:ind w:left="1300" w:firstLine="652"/>
        <w:spacing w:after="0" w:line="311" w:lineRule="auto"/>
        <w:tabs>
          <w:tab w:leader="none" w:pos="3079" w:val="left"/>
        </w:tabs>
        <w:numPr>
          <w:ilvl w:val="1"/>
          <w:numId w:val="444"/>
        </w:numPr>
        <w:rPr>
          <w:rFonts w:ascii="Arial" w:cs="Arial" w:eastAsia="Arial" w:hAnsi="Arial"/>
          <w:sz w:val="16"/>
          <w:szCs w:val="16"/>
          <w:color w:val="auto"/>
        </w:rPr>
      </w:pPr>
      <w:r>
        <w:rPr>
          <w:rFonts w:ascii="Arial" w:cs="Arial" w:eastAsia="Arial" w:hAnsi="Arial"/>
          <w:sz w:val="16"/>
          <w:szCs w:val="16"/>
          <w:color w:val="auto"/>
        </w:rPr>
        <w:t xml:space="preserve">restrictions imposed by agreements relating to Indebtedness of any Subsidiary in existence at the time such Subsidiary became a Subsidiary and otherwise permitted by </w:t>
      </w:r>
      <w:r>
        <w:rPr>
          <w:rFonts w:ascii="Arial" w:cs="Arial" w:eastAsia="Arial" w:hAnsi="Arial"/>
          <w:sz w:val="16"/>
          <w:szCs w:val="16"/>
          <w:u w:val="single" w:color="auto"/>
          <w:color w:val="auto"/>
        </w:rPr>
        <w:t>Section 6.01(g)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apply only to such Subsidiary and its assets (or any special purpose acquisition Subsidiary without material assets acquiring such Subsidiary pursuant to a merger).</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shall be deemed to modify the obligations of the Loan Parties under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or under the Collateral Documents.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7" w:name="page338"/>
    <w:bookmarkEnd w:id="337"/>
    <w:p>
      <w:pPr>
        <w:jc w:val="both"/>
        <w:ind w:left="640" w:right="20" w:firstLine="648"/>
        <w:spacing w:after="0" w:line="263" w:lineRule="auto"/>
        <w:rPr>
          <w:sz w:val="20"/>
          <w:szCs w:val="20"/>
          <w:color w:val="auto"/>
        </w:rPr>
      </w:pPr>
      <w:r>
        <w:rPr>
          <w:rFonts w:ascii="Arial" w:cs="Arial" w:eastAsia="Arial" w:hAnsi="Arial"/>
          <w:sz w:val="18"/>
          <w:szCs w:val="18"/>
          <w:color w:val="auto"/>
        </w:rPr>
        <w:t>SECTION 6.12. Fixed Charge Coverage Ratio. During any FCCR Test Period, the Borrowers will not permit the Fixed Charge Coverage Ratio as of the last day of any period of four fiscal quarters ending during such FCCR Test Period, to be less than 1.00 to 1.00.</w:t>
      </w:r>
    </w:p>
    <w:p>
      <w:pPr>
        <w:spacing w:after="0" w:line="184"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jc w:val="both"/>
        <w:ind w:left="640" w:firstLine="648"/>
        <w:spacing w:after="0" w:line="296" w:lineRule="auto"/>
        <w:rPr>
          <w:sz w:val="20"/>
          <w:szCs w:val="20"/>
          <w:color w:val="auto"/>
        </w:rPr>
      </w:pPr>
      <w:r>
        <w:rPr>
          <w:rFonts w:ascii="Arial" w:cs="Arial" w:eastAsia="Arial" w:hAnsi="Arial"/>
          <w:sz w:val="16"/>
          <w:szCs w:val="16"/>
          <w:color w:val="auto"/>
        </w:rPr>
        <w:t xml:space="preserve">SECTION 6.14. Depository Banks. Each Borrower and each Subsidiary will maintain the Administrative Agent as its principal depository bank, including for the maintenance of operating, administrative, cash management, collection activity and other deposit accounts for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Administrative Agent and the Lenders acknowledge and agree that the Borrowers and their Subsidiaries will not be required to maintain with the Administrative Agent any Excluded Accounts or any accounts governing controlled disbursement services provided by any financial institution other than the Administrative Agent.</w:t>
      </w:r>
    </w:p>
    <w:p>
      <w:pPr>
        <w:spacing w:after="0" w:line="16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225" w:lineRule="exact"/>
        <w:rPr>
          <w:sz w:val="20"/>
          <w:szCs w:val="20"/>
          <w:color w:val="auto"/>
        </w:rPr>
      </w:pPr>
    </w:p>
    <w:p>
      <w:pPr>
        <w:jc w:val="both"/>
        <w:ind w:left="1300" w:firstLine="640"/>
        <w:spacing w:after="0" w:line="263" w:lineRule="auto"/>
        <w:tabs>
          <w:tab w:leader="none" w:pos="2768"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3" w:lineRule="exact"/>
        <w:rPr>
          <w:rFonts w:ascii="Arial" w:cs="Arial" w:eastAsia="Arial" w:hAnsi="Arial"/>
          <w:sz w:val="18"/>
          <w:szCs w:val="18"/>
          <w:color w:val="auto"/>
        </w:rPr>
      </w:pPr>
    </w:p>
    <w:p>
      <w:pPr>
        <w:jc w:val="both"/>
        <w:ind w:left="1300" w:firstLine="640"/>
        <w:spacing w:after="0" w:line="311" w:lineRule="auto"/>
        <w:tabs>
          <w:tab w:leader="none" w:pos="2697"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any Borrower shall fail to pay any interest on any Loan or any fee or any other amount (other than an amount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Article) payable under this Agreement or any other Loan Document, when and as the same shall become due and payable, and such failure shall continue unremedied for a period of three (3) Business Days;</w:t>
      </w:r>
    </w:p>
    <w:p>
      <w:pPr>
        <w:spacing w:after="0" w:line="148" w:lineRule="exact"/>
        <w:rPr>
          <w:rFonts w:ascii="Arial" w:cs="Arial" w:eastAsia="Arial" w:hAnsi="Arial"/>
          <w:sz w:val="16"/>
          <w:szCs w:val="16"/>
          <w:color w:val="auto"/>
        </w:rPr>
      </w:pPr>
    </w:p>
    <w:p>
      <w:pPr>
        <w:jc w:val="both"/>
        <w:ind w:left="1300" w:firstLine="640"/>
        <w:spacing w:after="0" w:line="275" w:lineRule="auto"/>
        <w:tabs>
          <w:tab w:leader="none" w:pos="2809" w:val="left"/>
        </w:tabs>
        <w:numPr>
          <w:ilvl w:val="0"/>
          <w:numId w:val="445"/>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any Borrower or any other Loan Party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176" w:lineRule="exact"/>
        <w:rPr>
          <w:rFonts w:ascii="Arial" w:cs="Arial" w:eastAsia="Arial" w:hAnsi="Arial"/>
          <w:sz w:val="17"/>
          <w:szCs w:val="17"/>
          <w:color w:val="auto"/>
        </w:rPr>
      </w:pPr>
    </w:p>
    <w:p>
      <w:pPr>
        <w:ind w:left="1300" w:firstLine="640"/>
        <w:spacing w:after="0" w:line="277" w:lineRule="auto"/>
        <w:tabs>
          <w:tab w:leader="none" w:pos="3062"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any Loan Party shall fail to observe or perform any covenant, condition or agreement contained in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5.03</w:t>
      </w:r>
      <w:r>
        <w:rPr>
          <w:rFonts w:ascii="Arial" w:cs="Arial" w:eastAsia="Arial" w:hAnsi="Arial"/>
          <w:sz w:val="18"/>
          <w:szCs w:val="18"/>
          <w:color w:val="auto"/>
        </w:rPr>
        <w:t xml:space="preserve"> (with respect to a Borrower’s existence), </w:t>
      </w:r>
      <w:r>
        <w:rPr>
          <w:rFonts w:ascii="Arial" w:cs="Arial" w:eastAsia="Arial" w:hAnsi="Arial"/>
          <w:sz w:val="18"/>
          <w:szCs w:val="18"/>
          <w:u w:val="single" w:color="auto"/>
          <w:color w:val="auto"/>
        </w:rPr>
        <w:t>5.08</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300" w:firstLine="640"/>
        <w:spacing w:after="0" w:line="291" w:lineRule="auto"/>
        <w:tabs>
          <w:tab w:leader="none" w:pos="2903"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any Loan Party shall fail to observe or perform any covenant, condition or agreement contained in this Agreement (other than those which constitute a default under another Section of this Article), and such failure shall continue unremedied for a period of (i) five (5) days after the earlier of any Loan Party’s knowledge of such breach or notice thereof from the Administrative Agent (which notice will be given at the request of any Lender) if such breach relates to terms or provisions of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5.03</w:t>
      </w:r>
      <w:r>
        <w:rPr>
          <w:rFonts w:ascii="Arial" w:cs="Arial" w:eastAsia="Arial" w:hAnsi="Arial"/>
          <w:sz w:val="16"/>
          <w:szCs w:val="16"/>
          <w:color w:val="auto"/>
        </w:rPr>
        <w:t xml:space="preserve">, </w:t>
      </w:r>
      <w:r>
        <w:rPr>
          <w:rFonts w:ascii="Arial" w:cs="Arial" w:eastAsia="Arial" w:hAnsi="Arial"/>
          <w:sz w:val="16"/>
          <w:szCs w:val="16"/>
          <w:u w:val="single" w:color="auto"/>
          <w:color w:val="auto"/>
        </w:rPr>
        <w:t>5.04</w:t>
      </w:r>
      <w:r>
        <w:rPr>
          <w:rFonts w:ascii="Arial" w:cs="Arial" w:eastAsia="Arial" w:hAnsi="Arial"/>
          <w:sz w:val="16"/>
          <w:szCs w:val="16"/>
          <w:color w:val="auto"/>
        </w:rPr>
        <w:t xml:space="preserve">, </w:t>
      </w:r>
      <w:r>
        <w:rPr>
          <w:rFonts w:ascii="Arial" w:cs="Arial" w:eastAsia="Arial" w:hAnsi="Arial"/>
          <w:sz w:val="16"/>
          <w:szCs w:val="16"/>
          <w:u w:val="single" w:color="auto"/>
          <w:color w:val="auto"/>
        </w:rPr>
        <w:t>5.05</w:t>
      </w:r>
      <w:r>
        <w:rPr>
          <w:rFonts w:ascii="Arial" w:cs="Arial" w:eastAsia="Arial" w:hAnsi="Arial"/>
          <w:sz w:val="16"/>
          <w:szCs w:val="16"/>
          <w:color w:val="auto"/>
        </w:rPr>
        <w:t xml:space="preserve">, </w:t>
      </w:r>
      <w:r>
        <w:rPr>
          <w:rFonts w:ascii="Arial" w:cs="Arial" w:eastAsia="Arial" w:hAnsi="Arial"/>
          <w:sz w:val="16"/>
          <w:szCs w:val="16"/>
          <w:u w:val="single" w:color="auto"/>
          <w:color w:val="auto"/>
        </w:rPr>
        <w:t>5.07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5.09</w:t>
      </w:r>
      <w:r>
        <w:rPr>
          <w:rFonts w:ascii="Arial" w:cs="Arial" w:eastAsia="Arial" w:hAnsi="Arial"/>
          <w:sz w:val="16"/>
          <w:szCs w:val="16"/>
          <w:color w:val="auto"/>
        </w:rPr>
        <w:t xml:space="preserve"> of this Agreement or (ii) thirty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38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38" w:name="page339"/>
    <w:bookmarkEnd w:id="338"/>
    <w:p>
      <w:pPr>
        <w:jc w:val="both"/>
        <w:ind w:left="840" w:firstLine="640"/>
        <w:spacing w:after="0" w:line="311" w:lineRule="auto"/>
        <w:tabs>
          <w:tab w:leader="none" w:pos="2302" w:val="left"/>
        </w:tabs>
        <w:numPr>
          <w:ilvl w:val="0"/>
          <w:numId w:val="446"/>
        </w:numPr>
        <w:rPr>
          <w:rFonts w:ascii="Arial" w:cs="Arial" w:eastAsia="Arial" w:hAnsi="Arial"/>
          <w:sz w:val="16"/>
          <w:szCs w:val="16"/>
          <w:color w:val="auto"/>
        </w:rPr>
      </w:pPr>
      <w:r>
        <w:rPr>
          <w:rFonts w:ascii="Arial" w:cs="Arial" w:eastAsia="Arial" w:hAnsi="Arial"/>
          <w:sz w:val="16"/>
          <w:szCs w:val="16"/>
          <w:color w:val="auto"/>
        </w:rPr>
        <w:t>any Loan Party or any Material Subsidiary shall fail to make any payment (whether of principal or interest and regardless of amount) in respect of any Material Indebtedness of such Loan Party or Material Subsidiary, as applicable, when and as the same shall become due and payable, which is not cured within any applicable grace period therefor;</w:t>
      </w:r>
    </w:p>
    <w:p>
      <w:pPr>
        <w:spacing w:after="0" w:line="148" w:lineRule="exact"/>
        <w:rPr>
          <w:rFonts w:ascii="Arial" w:cs="Arial" w:eastAsia="Arial" w:hAnsi="Arial"/>
          <w:sz w:val="16"/>
          <w:szCs w:val="16"/>
          <w:color w:val="auto"/>
        </w:rPr>
      </w:pPr>
    </w:p>
    <w:p>
      <w:pPr>
        <w:jc w:val="both"/>
        <w:ind w:left="840" w:firstLine="640"/>
        <w:spacing w:after="0" w:line="267" w:lineRule="auto"/>
        <w:tabs>
          <w:tab w:leader="none" w:pos="2305" w:val="left"/>
        </w:tabs>
        <w:numPr>
          <w:ilvl w:val="0"/>
          <w:numId w:val="446"/>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that enables or permits, after giving effect to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thereof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exchange, repurchase, conversion or settlement with respect to any Permitted Convertible Notes, or satisfaction of any condition giving rise to or permitting the foregoing, pursuant to their terms unless such redemption, repurchase, conversion or settlement results from a default thereunder or an event of the type that constitutes an Event of Default or (vi) any early payment requirement or unwinding or termination with respect to any Permitted Call Spread Swap Agreement, or satisfaction of any condition giving rise to or permitting the foregoing, in accordance with the terms thereof where neither the Company nor any of its Affiliates is the “defaulting party” (or substantially equivalent term) under the terms of such Permitted Call Spread Swap Agreement;</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9" w:name="page340"/>
    <w:bookmarkEnd w:id="339"/>
    <w:p>
      <w:pPr>
        <w:ind w:left="2720" w:hanging="1240"/>
        <w:spacing w:after="0"/>
        <w:tabs>
          <w:tab w:leader="none" w:pos="2720" w:val="left"/>
        </w:tabs>
        <w:numPr>
          <w:ilvl w:val="1"/>
          <w:numId w:val="447"/>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w:t>
      </w:r>
    </w:p>
    <w:p>
      <w:pPr>
        <w:spacing w:after="0" w:line="34" w:lineRule="exact"/>
        <w:rPr>
          <w:rFonts w:ascii="Arial" w:cs="Arial" w:eastAsia="Arial" w:hAnsi="Arial"/>
          <w:sz w:val="17"/>
          <w:szCs w:val="17"/>
          <w:color w:val="auto"/>
        </w:rPr>
      </w:pPr>
    </w:p>
    <w:p>
      <w:pPr>
        <w:jc w:val="both"/>
        <w:ind w:left="840" w:hanging="8"/>
        <w:spacing w:after="0" w:line="292" w:lineRule="auto"/>
        <w:tabs>
          <w:tab w:leader="none" w:pos="1095" w:val="left"/>
        </w:tabs>
        <w:numPr>
          <w:ilvl w:val="0"/>
          <w:numId w:val="448"/>
        </w:numPr>
        <w:rPr>
          <w:rFonts w:ascii="Arial" w:cs="Arial" w:eastAsia="Arial" w:hAnsi="Arial"/>
          <w:sz w:val="16"/>
          <w:szCs w:val="16"/>
          <w:color w:val="auto"/>
        </w:rPr>
      </w:pPr>
      <w:r>
        <w:rPr>
          <w:rFonts w:ascii="Arial" w:cs="Arial" w:eastAsia="Arial" w:hAnsi="Arial"/>
          <w:sz w:val="16"/>
          <w:szCs w:val="16"/>
          <w:color w:val="auto"/>
        </w:rPr>
        <w:t>liquidation, reorganization or other relief in respect of any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Borrower or any Material Subsidiary or for a substantial part of its assets, and, in any such case, such proceeding or petition shall continue undismissed for sixty (60) days or an order or decree approving or ordering any of the foregoing shall be entered;</w:t>
      </w:r>
    </w:p>
    <w:p>
      <w:pPr>
        <w:spacing w:after="0" w:line="162" w:lineRule="exact"/>
        <w:rPr>
          <w:rFonts w:ascii="Arial" w:cs="Arial" w:eastAsia="Arial" w:hAnsi="Arial"/>
          <w:sz w:val="16"/>
          <w:szCs w:val="16"/>
          <w:color w:val="auto"/>
        </w:rPr>
      </w:pPr>
    </w:p>
    <w:p>
      <w:pPr>
        <w:jc w:val="both"/>
        <w:ind w:left="840" w:firstLine="640"/>
        <w:spacing w:after="0" w:line="291" w:lineRule="auto"/>
        <w:tabs>
          <w:tab w:leader="none" w:pos="2265" w:val="left"/>
        </w:tabs>
        <w:numPr>
          <w:ilvl w:val="1"/>
          <w:numId w:val="448"/>
        </w:numPr>
        <w:rPr>
          <w:rFonts w:ascii="Arial" w:cs="Arial" w:eastAsia="Arial" w:hAnsi="Arial"/>
          <w:sz w:val="16"/>
          <w:szCs w:val="16"/>
          <w:color w:val="auto"/>
        </w:rPr>
      </w:pPr>
      <w:r>
        <w:rPr>
          <w:rFonts w:ascii="Arial" w:cs="Arial" w:eastAsia="Arial" w:hAnsi="Arial"/>
          <w:sz w:val="16"/>
          <w:szCs w:val="16"/>
          <w:color w:val="auto"/>
        </w:rPr>
        <w:t xml:space="preserve">any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of this Article, (iii) apply for or consent to the appointment of a receiver, trustee, custodian, sequestrator, conservator or similar official for any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66" w:lineRule="exact"/>
        <w:rPr>
          <w:rFonts w:ascii="Arial" w:cs="Arial" w:eastAsia="Arial" w:hAnsi="Arial"/>
          <w:sz w:val="16"/>
          <w:szCs w:val="16"/>
          <w:color w:val="auto"/>
        </w:rPr>
      </w:pPr>
    </w:p>
    <w:p>
      <w:pPr>
        <w:ind w:left="840" w:firstLine="640"/>
        <w:spacing w:after="0" w:line="277" w:lineRule="auto"/>
        <w:tabs>
          <w:tab w:leader="none" w:pos="225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any Borrower or any Material Subsidiary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jc w:val="both"/>
        <w:ind w:left="840" w:firstLine="640"/>
        <w:spacing w:after="0" w:line="293" w:lineRule="auto"/>
        <w:tabs>
          <w:tab w:leader="none" w:pos="2318" w:val="left"/>
        </w:tabs>
        <w:numPr>
          <w:ilvl w:val="1"/>
          <w:numId w:val="448"/>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$15,000,000 (to the extent not paid, fully bonded or covered by a solvent and unaffiliated insurer that has not denied coverage) shall be rendered against any Loan Party or any Material Subsidiary or any combination thereof and the same shall remain undischarged for a period of sixty (60) consecutive days during which execution shall not be effectively stayed (by reason of pending appeal or otherwise), or any action shall be legally taken by a judgment creditor to attach or levy upon any assets of any Loan Party or any Material Subsidiary to enforce any such judgment and such action shall not have been stayed;</w:t>
      </w:r>
    </w:p>
    <w:p>
      <w:pPr>
        <w:spacing w:after="0" w:line="38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0" w:name="page341"/>
    <w:bookmarkEnd w:id="340"/>
    <w:p>
      <w:pPr>
        <w:ind w:left="1960" w:right="20" w:firstLine="640"/>
        <w:spacing w:after="0" w:line="277" w:lineRule="auto"/>
        <w:tabs>
          <w:tab w:leader="none" w:pos="357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ind w:left="3400" w:hanging="800"/>
        <w:spacing w:after="0"/>
        <w:tabs>
          <w:tab w:leader="none" w:pos="34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jc w:val="both"/>
        <w:ind w:left="1960" w:firstLine="640"/>
        <w:spacing w:after="0" w:line="301" w:lineRule="auto"/>
        <w:tabs>
          <w:tab w:leader="none" w:pos="3506"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the occurrence of any “default” or “</w:t>
      </w:r>
      <w:r>
        <w:rPr>
          <w:rFonts w:ascii="Arial" w:cs="Arial" w:eastAsia="Arial" w:hAnsi="Arial"/>
          <w:sz w:val="16"/>
          <w:szCs w:val="16"/>
          <w:u w:val="single" w:color="auto"/>
          <w:color w:val="auto"/>
        </w:rPr>
        <w:t>Event of Default</w:t>
      </w:r>
      <w:r>
        <w:rPr>
          <w:rFonts w:ascii="Arial" w:cs="Arial" w:eastAsia="Arial" w:hAnsi="Arial"/>
          <w:sz w:val="16"/>
          <w:szCs w:val="16"/>
          <w:color w:val="auto"/>
        </w:rPr>
        <w:t>”, as defined in any Loan Document (other than this Agreement), or the breach of any of the terms or provisions of any Loan Document (other than this Agreement), which default or breach continues beyond any period of grace therein provided (but if no specific grace period is provided therein, which default or breach continues beyond thirty (30) days after the earlier of knowledge of such default or breach or notice thereof);</w:t>
      </w:r>
    </w:p>
    <w:p>
      <w:pPr>
        <w:spacing w:after="0" w:line="157" w:lineRule="exact"/>
        <w:rPr>
          <w:rFonts w:ascii="Arial" w:cs="Arial" w:eastAsia="Arial" w:hAnsi="Arial"/>
          <w:sz w:val="16"/>
          <w:szCs w:val="16"/>
          <w:color w:val="auto"/>
        </w:rPr>
      </w:pPr>
    </w:p>
    <w:p>
      <w:pPr>
        <w:jc w:val="both"/>
        <w:ind w:left="1960" w:firstLine="640"/>
        <w:spacing w:after="0" w:line="272" w:lineRule="auto"/>
        <w:tabs>
          <w:tab w:leader="none" w:pos="3411" w:val="left"/>
        </w:tabs>
        <w:numPr>
          <w:ilvl w:val="0"/>
          <w:numId w:val="449"/>
        </w:numPr>
        <w:rPr>
          <w:rFonts w:ascii="Arial" w:cs="Arial" w:eastAsia="Arial" w:hAnsi="Arial"/>
          <w:sz w:val="17"/>
          <w:szCs w:val="17"/>
          <w:color w:val="auto"/>
        </w:rPr>
      </w:pPr>
      <w:r>
        <w:rPr>
          <w:rFonts w:ascii="Arial" w:cs="Arial" w:eastAsia="Arial" w:hAnsi="Arial"/>
          <w:sz w:val="17"/>
          <w:szCs w:val="17"/>
          <w:color w:val="auto"/>
        </w:rPr>
        <w:t>any Loan Document, after execution thereof and for any reason other than as expressly permitted hereunder or thereunder or in satisfaction in full of the Obligations, ceases to be valid, binding and enforceable against the Company or any other Loan Party party thereto in accordance with its terms in all material respects (or any Loan Party shall challenge the enforceability of any Loan Document or shall assert in writing, or engage in any action or inaction based on any such assertion, that any material provision of any of the Loan Documents has ceased to be or otherwise is not valid, binding and enforceable in accordance with its terms in any material respect, other than as expressly permitted hereunder or thereunder or the satisfaction in full in cash of the Obligations then due and payable); or</w:t>
      </w:r>
    </w:p>
    <w:p>
      <w:pPr>
        <w:spacing w:after="0" w:line="177" w:lineRule="exact"/>
        <w:rPr>
          <w:rFonts w:ascii="Arial" w:cs="Arial" w:eastAsia="Arial" w:hAnsi="Arial"/>
          <w:sz w:val="17"/>
          <w:szCs w:val="17"/>
          <w:color w:val="auto"/>
        </w:rPr>
      </w:pPr>
    </w:p>
    <w:p>
      <w:pPr>
        <w:jc w:val="both"/>
        <w:ind w:left="1960" w:firstLine="640"/>
        <w:spacing w:after="0" w:line="291" w:lineRule="auto"/>
        <w:tabs>
          <w:tab w:leader="none" w:pos="3371" w:val="left"/>
        </w:tabs>
        <w:numPr>
          <w:ilvl w:val="0"/>
          <w:numId w:val="449"/>
        </w:numPr>
        <w:rPr>
          <w:rFonts w:ascii="Arial" w:cs="Arial" w:eastAsia="Arial" w:hAnsi="Arial"/>
          <w:sz w:val="16"/>
          <w:szCs w:val="16"/>
          <w:color w:val="auto"/>
        </w:rPr>
      </w:pPr>
      <w:r>
        <w:rPr>
          <w:rFonts w:ascii="Arial" w:cs="Arial" w:eastAsia="Arial" w:hAnsi="Arial"/>
          <w:sz w:val="16"/>
          <w:szCs w:val="16"/>
          <w:color w:val="auto"/>
        </w:rPr>
        <w:t>except as permitted by the terms of any Collateral Document or this Agreement, (i) any Collateral Document shall for any reason fail to create or keep created a valid security interest in any material portion of the Collateral purported to be covered thereby, or (ii) other than as a result of the failure of the Administrative Agent to take any action within its control to maintain perfection of the Liens created in favor of the Administrative Agent for the benefit of the Secured Parties pursuant to the Loan Documents (excluding any action based on facts or circumstances for which the Administrative Agent has not been notified in accordance with the provisions of the Loan Documents), any Lien securing any material portion of the Secured Obligations shall cease to be a perfected Lien having the priority required by the Loan Documents;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then, and in every such event (other than an event with respect to any Borrower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this Article), and at any time thereafter during the continuance of such event, the Administrative Agent may, and at the request of the Required Lenders shall, by written notice to the Borrower Representative, take either or both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Borrowers accrued hereunder and under the other Loan Documents, shall become due and payable immediately, without presentment, demand, protest or other notice of any kind, all of which are hereby waived by the Borrowers and (iii) require cash collateral for the LC Exposure in accordance with </w:t>
      </w:r>
      <w:r>
        <w:rPr>
          <w:rFonts w:ascii="Arial" w:cs="Arial" w:eastAsia="Arial" w:hAnsi="Arial"/>
          <w:sz w:val="17"/>
          <w:szCs w:val="17"/>
          <w:u w:val="single" w:color="auto"/>
          <w:color w:val="auto"/>
        </w:rPr>
        <w:t>Section 2.06(j)</w:t>
      </w:r>
      <w:r>
        <w:rPr>
          <w:rFonts w:ascii="Arial" w:cs="Arial" w:eastAsia="Arial" w:hAnsi="Arial"/>
          <w:sz w:val="17"/>
          <w:szCs w:val="17"/>
          <w:color w:val="auto"/>
        </w:rPr>
        <w:t xml:space="preserve">; and in case of any event with respect to any Borrower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this Article, the Commitments shall automatically terminate and the principal of the Loans then outstanding and the cash collateral for the LC Exposure, together with accrued interest thereon and all fees and other Secured Obligations accrued hereunder and under the other Loan Documents, shall automatically become due and payable, without presentment, demand, protest or other notice of any kind, all of which are hereby waived by the Borrowers.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1" w:name="page342"/>
    <w:bookmarkEnd w:id="341"/>
    <w:p>
      <w:pPr>
        <w:jc w:val="center"/>
        <w:ind w:right="1100"/>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ind w:left="840"/>
        <w:spacing w:after="0"/>
        <w:tabs>
          <w:tab w:leader="none" w:pos="224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7"/>
          <w:szCs w:val="17"/>
          <w:color w:val="auto"/>
        </w:rPr>
        <w:t>Authorization and Action.</w:t>
      </w:r>
    </w:p>
    <w:p>
      <w:pPr>
        <w:spacing w:after="0" w:line="225" w:lineRule="exact"/>
        <w:rPr>
          <w:sz w:val="20"/>
          <w:szCs w:val="20"/>
          <w:color w:val="auto"/>
        </w:rPr>
      </w:pPr>
    </w:p>
    <w:p>
      <w:pPr>
        <w:jc w:val="both"/>
        <w:ind w:left="840" w:firstLine="640"/>
        <w:spacing w:after="0" w:line="269" w:lineRule="auto"/>
        <w:tabs>
          <w:tab w:leader="none" w:pos="2241" w:val="left"/>
        </w:tabs>
        <w:numPr>
          <w:ilvl w:val="0"/>
          <w:numId w:val="450"/>
        </w:numPr>
        <w:rPr>
          <w:rFonts w:ascii="Arial" w:cs="Arial" w:eastAsia="Arial" w:hAnsi="Arial"/>
          <w:sz w:val="17"/>
          <w:szCs w:val="17"/>
          <w:color w:val="auto"/>
        </w:rPr>
      </w:pPr>
      <w:r>
        <w:rPr>
          <w:rFonts w:ascii="Arial" w:cs="Arial" w:eastAsia="Arial" w:hAnsi="Arial"/>
          <w:sz w:val="17"/>
          <w:szCs w:val="17"/>
          <w:color w:val="auto"/>
        </w:rPr>
        <w:t>Each Lender, on behalf of itself and any of its Affiliates that are Secured Parties and the Issuing Bank hereby irrevocably appoints the entity named as Administrative Agent in the heading of this Agreement and its successors and assigns to serve as the administrative agent and collateral agent under the Loan Documents and each Lender and the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the Issuing Bank hereby grants to the Administrative Agent any required powers of attorney to execute and enforce any Collateral Document governed by the laws of such jurisdiction on such Lender’s or such Issuing Bank’s behalf. Without limiting the foregoing, each Lender and the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78" w:lineRule="exact"/>
        <w:rPr>
          <w:rFonts w:ascii="Arial" w:cs="Arial" w:eastAsia="Arial" w:hAnsi="Arial"/>
          <w:sz w:val="17"/>
          <w:szCs w:val="17"/>
          <w:color w:val="auto"/>
        </w:rPr>
      </w:pPr>
    </w:p>
    <w:p>
      <w:pPr>
        <w:jc w:val="both"/>
        <w:ind w:left="840" w:firstLine="640"/>
        <w:spacing w:after="0" w:line="284" w:lineRule="auto"/>
        <w:tabs>
          <w:tab w:leader="none" w:pos="2237" w:val="left"/>
        </w:tabs>
        <w:numPr>
          <w:ilvl w:val="0"/>
          <w:numId w:val="450"/>
        </w:numPr>
        <w:rPr>
          <w:rFonts w:ascii="Arial" w:cs="Arial" w:eastAsia="Arial" w:hAnsi="Arial"/>
          <w:sz w:val="16"/>
          <w:szCs w:val="16"/>
          <w:color w:val="auto"/>
        </w:rPr>
      </w:pPr>
      <w:r>
        <w:rPr>
          <w:rFonts w:ascii="Arial" w:cs="Arial" w:eastAsia="Arial" w:hAnsi="Arial"/>
          <w:sz w:val="16"/>
          <w:szCs w:val="16"/>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the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3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2" w:name="page343"/>
    <w:bookmarkEnd w:id="342"/>
    <w:p>
      <w:pPr>
        <w:jc w:val="both"/>
        <w:ind w:left="840" w:firstLine="640"/>
        <w:spacing w:after="0" w:line="259" w:lineRule="auto"/>
        <w:tabs>
          <w:tab w:leader="none" w:pos="2349" w:val="left"/>
        </w:tabs>
        <w:numPr>
          <w:ilvl w:val="1"/>
          <w:numId w:val="451"/>
        </w:numPr>
        <w:rPr>
          <w:rFonts w:ascii="Arial" w:cs="Arial" w:eastAsia="Arial" w:hAnsi="Arial"/>
          <w:sz w:val="18"/>
          <w:szCs w:val="18"/>
          <w:color w:val="auto"/>
        </w:rPr>
      </w:pPr>
      <w:r>
        <w:rPr>
          <w:rFonts w:ascii="Arial" w:cs="Arial" w:eastAsia="Arial" w:hAnsi="Arial"/>
          <w:sz w:val="18"/>
          <w:szCs w:val="18"/>
          <w:color w:val="auto"/>
        </w:rPr>
        <w:t>In performing its functions and duties hereunder and under the other Loan Documents, the Administrative Agent is acting solely on behalf of the Lenders and the Issuing Bank (except in limited circumstances expressly provided for herein relating to the maintenance of the Register), and its duties are entirely mechanical and administrative in nature. Without limiting the generality of the foregoing:</w:t>
      </w:r>
    </w:p>
    <w:p>
      <w:pPr>
        <w:spacing w:after="0" w:line="186" w:lineRule="exact"/>
        <w:rPr>
          <w:rFonts w:ascii="Arial" w:cs="Arial" w:eastAsia="Arial" w:hAnsi="Arial"/>
          <w:sz w:val="18"/>
          <w:szCs w:val="18"/>
          <w:color w:val="auto"/>
        </w:rPr>
      </w:pPr>
    </w:p>
    <w:p>
      <w:pPr>
        <w:jc w:val="both"/>
        <w:ind w:left="-460" w:firstLine="644"/>
        <w:spacing w:after="0" w:line="290" w:lineRule="auto"/>
        <w:tabs>
          <w:tab w:leader="none" w:pos="1114"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Administrative Agent does not assume and shall not be deemed to have assumed any obligation or duty or any other relationship as the agent, fiduciary or trustee of or for any Lender, Issuing Bank or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3" w:name="page344"/>
    <w:bookmarkEnd w:id="343"/>
    <w:p>
      <w:pPr>
        <w:ind w:left="660" w:firstLine="644"/>
        <w:spacing w:after="0" w:line="277" w:lineRule="auto"/>
        <w:tabs>
          <w:tab w:leader="none" w:pos="206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70" w:lineRule="exact"/>
        <w:rPr>
          <w:rFonts w:ascii="Arial" w:cs="Arial" w:eastAsia="Arial" w:hAnsi="Arial"/>
          <w:sz w:val="18"/>
          <w:szCs w:val="18"/>
          <w:color w:val="auto"/>
        </w:rPr>
      </w:pPr>
    </w:p>
    <w:p>
      <w:pPr>
        <w:jc w:val="both"/>
        <w:ind w:left="1960" w:firstLine="640"/>
        <w:spacing w:after="0" w:line="290" w:lineRule="auto"/>
        <w:tabs>
          <w:tab w:leader="none" w:pos="3519" w:val="left"/>
        </w:tabs>
        <w:numPr>
          <w:ilvl w:val="1"/>
          <w:numId w:val="453"/>
        </w:numPr>
        <w:rPr>
          <w:rFonts w:ascii="Arial" w:cs="Arial" w:eastAsia="Arial" w:hAnsi="Arial"/>
          <w:sz w:val="16"/>
          <w:szCs w:val="16"/>
          <w:color w:val="auto"/>
        </w:rPr>
      </w:pPr>
      <w:r>
        <w:rPr>
          <w:rFonts w:ascii="Arial" w:cs="Arial" w:eastAsia="Arial" w:hAnsi="Arial"/>
          <w:sz w:val="16"/>
          <w:szCs w:val="16"/>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65" w:lineRule="exact"/>
        <w:rPr>
          <w:rFonts w:ascii="Arial" w:cs="Arial" w:eastAsia="Arial" w:hAnsi="Arial"/>
          <w:sz w:val="16"/>
          <w:szCs w:val="16"/>
          <w:color w:val="auto"/>
        </w:rPr>
      </w:pPr>
    </w:p>
    <w:p>
      <w:pPr>
        <w:jc w:val="both"/>
        <w:ind w:left="1960" w:firstLine="640"/>
        <w:spacing w:after="0" w:line="263" w:lineRule="auto"/>
        <w:tabs>
          <w:tab w:leader="none" w:pos="3347" w:val="left"/>
        </w:tabs>
        <w:numPr>
          <w:ilvl w:val="1"/>
          <w:numId w:val="453"/>
        </w:numPr>
        <w:rPr>
          <w:rFonts w:ascii="Arial" w:cs="Arial" w:eastAsia="Arial" w:hAnsi="Arial"/>
          <w:sz w:val="18"/>
          <w:szCs w:val="18"/>
          <w:color w:val="auto"/>
        </w:rPr>
      </w:pPr>
      <w:r>
        <w:rPr>
          <w:rFonts w:ascii="Arial" w:cs="Arial" w:eastAsia="Arial" w:hAnsi="Arial"/>
          <w:sz w:val="18"/>
          <w:szCs w:val="18"/>
          <w:color w:val="auto"/>
        </w:rPr>
        <w:t>None of the Lead Arranger nor the Syndication Agent shall have any obligations or duties whatsoever in such capacity under this Agreement or any other Loan Document and shall incur no liability hereunder or thereunder in such capacity, but shall have the benefit of the indemnities provided for hereunder.</w:t>
      </w:r>
    </w:p>
    <w:p>
      <w:pPr>
        <w:spacing w:after="0" w:line="183" w:lineRule="exact"/>
        <w:rPr>
          <w:rFonts w:ascii="Arial" w:cs="Arial" w:eastAsia="Arial" w:hAnsi="Arial"/>
          <w:sz w:val="18"/>
          <w:szCs w:val="18"/>
          <w:color w:val="auto"/>
        </w:rPr>
      </w:pPr>
    </w:p>
    <w:p>
      <w:pPr>
        <w:jc w:val="both"/>
        <w:ind w:left="1960" w:firstLine="640"/>
        <w:spacing w:after="0" w:line="296" w:lineRule="auto"/>
        <w:tabs>
          <w:tab w:leader="none" w:pos="3368" w:val="left"/>
        </w:tabs>
        <w:numPr>
          <w:ilvl w:val="1"/>
          <w:numId w:val="453"/>
        </w:numPr>
        <w:rPr>
          <w:rFonts w:ascii="Arial" w:cs="Arial" w:eastAsia="Arial" w:hAnsi="Arial"/>
          <w:sz w:val="16"/>
          <w:szCs w:val="16"/>
          <w:color w:val="auto"/>
        </w:rPr>
      </w:pPr>
      <w:r>
        <w:rPr>
          <w:rFonts w:ascii="Arial" w:cs="Arial" w:eastAsia="Arial" w:hAnsi="Arial"/>
          <w:sz w:val="16"/>
          <w:szCs w:val="16"/>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61" w:lineRule="exact"/>
        <w:rPr>
          <w:sz w:val="20"/>
          <w:szCs w:val="20"/>
          <w:color w:val="auto"/>
        </w:rPr>
      </w:pPr>
    </w:p>
    <w:p>
      <w:pPr>
        <w:jc w:val="both"/>
        <w:ind w:left="660" w:firstLine="644"/>
        <w:spacing w:after="0" w:line="259" w:lineRule="auto"/>
        <w:tabs>
          <w:tab w:leader="none" w:pos="2193"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 and the Administrative Agent (including any claim under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allowed in such judicial proceeding; and</w:t>
      </w:r>
    </w:p>
    <w:p>
      <w:pPr>
        <w:spacing w:after="0" w:line="186" w:lineRule="exact"/>
        <w:rPr>
          <w:rFonts w:ascii="Arial" w:cs="Arial" w:eastAsia="Arial" w:hAnsi="Arial"/>
          <w:sz w:val="18"/>
          <w:szCs w:val="18"/>
          <w:color w:val="auto"/>
        </w:rPr>
      </w:pPr>
    </w:p>
    <w:p>
      <w:pPr>
        <w:ind w:left="2060" w:hanging="756"/>
        <w:spacing w:after="0"/>
        <w:tabs>
          <w:tab w:leader="none" w:pos="206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proceeding is hereby authorized by each Lender, the Issuing Bank and each other Secured Party to make such payments to the Administrative Agent and, in the event that the Administrative Agent shall consent to the making of such payments directly to the Lenders, the Issuing Bank or the other Secured Parties, to pay to the Administrative Agent any amount due to it, in its capacity as the Administrative Agent, under the Loan Documents (including under </w:t>
      </w:r>
      <w:r>
        <w:rPr>
          <w:rFonts w:ascii="Arial" w:cs="Arial" w:eastAsia="Arial" w:hAnsi="Arial"/>
          <w:sz w:val="17"/>
          <w:szCs w:val="17"/>
          <w:u w:val="single" w:color="auto"/>
          <w:color w:val="auto"/>
        </w:rPr>
        <w:t>Section 9.03</w:t>
      </w:r>
      <w:r>
        <w:rPr>
          <w:rFonts w:ascii="Arial" w:cs="Arial" w:eastAsia="Arial" w:hAnsi="Arial"/>
          <w:sz w:val="17"/>
          <w:szCs w:val="17"/>
          <w:color w:val="auto"/>
        </w:rPr>
        <w:t>).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4" w:name="page345"/>
    <w:bookmarkEnd w:id="344"/>
    <w:p>
      <w:pPr>
        <w:jc w:val="both"/>
        <w:ind w:left="840" w:firstLine="640"/>
        <w:spacing w:after="0" w:line="255" w:lineRule="auto"/>
        <w:tabs>
          <w:tab w:leader="none" w:pos="2399"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provisions of this Article are solely for the benefit of the Administrative Agent, the Lenders and the Issuing Bank, and, except solely to the extent of the Borrowers’ right to consent pursuant to and subject to the conditions set forth in this Article, no Borrower nor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92" w:lineRule="exact"/>
        <w:rPr>
          <w:sz w:val="20"/>
          <w:szCs w:val="20"/>
          <w:color w:val="auto"/>
        </w:rPr>
      </w:pPr>
    </w:p>
    <w:p>
      <w:pPr>
        <w:ind w:left="840"/>
        <w:spacing w:after="0"/>
        <w:tabs>
          <w:tab w:leader="none" w:pos="224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color w:val="auto"/>
        </w:rPr>
        <w:t>Administrative Agent’s Reliance, Indemnification, Etc.</w:t>
      </w:r>
    </w:p>
    <w:p>
      <w:pPr>
        <w:spacing w:after="0" w:line="225" w:lineRule="exact"/>
        <w:rPr>
          <w:sz w:val="20"/>
          <w:szCs w:val="20"/>
          <w:color w:val="auto"/>
        </w:rPr>
      </w:pPr>
    </w:p>
    <w:p>
      <w:pPr>
        <w:jc w:val="both"/>
        <w:ind w:left="840" w:firstLine="640"/>
        <w:spacing w:after="0" w:line="269" w:lineRule="auto"/>
        <w:tabs>
          <w:tab w:leader="none" w:pos="2389" w:val="left"/>
        </w:tabs>
        <w:numPr>
          <w:ilvl w:val="1"/>
          <w:numId w:val="456"/>
        </w:numPr>
        <w:rPr>
          <w:rFonts w:ascii="Arial" w:cs="Arial" w:eastAsia="Arial" w:hAnsi="Arial"/>
          <w:sz w:val="17"/>
          <w:szCs w:val="17"/>
          <w:color w:val="auto"/>
        </w:rPr>
      </w:pPr>
      <w:r>
        <w:rPr>
          <w:rFonts w:ascii="Arial" w:cs="Arial" w:eastAsia="Arial" w:hAnsi="Arial"/>
          <w:sz w:val="17"/>
          <w:szCs w:val="17"/>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w:t>
      </w:r>
    </w:p>
    <w:p>
      <w:pPr>
        <w:spacing w:after="0" w:line="178" w:lineRule="exact"/>
        <w:rPr>
          <w:rFonts w:ascii="Arial" w:cs="Arial" w:eastAsia="Arial" w:hAnsi="Arial"/>
          <w:sz w:val="17"/>
          <w:szCs w:val="17"/>
          <w:color w:val="auto"/>
        </w:rPr>
      </w:pPr>
    </w:p>
    <w:p>
      <w:pPr>
        <w:jc w:val="both"/>
        <w:ind w:left="840" w:firstLine="640"/>
        <w:spacing w:after="0" w:line="284" w:lineRule="auto"/>
        <w:tabs>
          <w:tab w:leader="none" w:pos="2372" w:val="left"/>
        </w:tabs>
        <w:numPr>
          <w:ilvl w:val="1"/>
          <w:numId w:val="456"/>
        </w:numPr>
        <w:rPr>
          <w:rFonts w:ascii="Arial" w:cs="Arial" w:eastAsia="Arial" w:hAnsi="Arial"/>
          <w:sz w:val="16"/>
          <w:szCs w:val="16"/>
          <w:color w:val="auto"/>
        </w:rPr>
      </w:pPr>
      <w:r>
        <w:rPr>
          <w:rFonts w:ascii="Arial" w:cs="Arial" w:eastAsia="Arial" w:hAnsi="Arial"/>
          <w:sz w:val="16"/>
          <w:szCs w:val="16"/>
          <w:color w:val="auto"/>
        </w:rPr>
        <w:t>The Administrative Agent shall be deemed not to have knowledge of any Default unless and until written notice thereof (stating that it is a “notice of default”) is given to the Administrative Agent by the Borrower Representative, a Lender or the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w:t>
      </w:r>
    </w:p>
    <w:p>
      <w:pPr>
        <w:spacing w:after="0" w:line="4" w:lineRule="exact"/>
        <w:rPr>
          <w:rFonts w:ascii="Arial" w:cs="Arial" w:eastAsia="Arial" w:hAnsi="Arial"/>
          <w:sz w:val="16"/>
          <w:szCs w:val="16"/>
          <w:color w:val="auto"/>
        </w:rPr>
      </w:pPr>
    </w:p>
    <w:p>
      <w:pPr>
        <w:jc w:val="both"/>
        <w:ind w:left="840" w:hanging="8"/>
        <w:spacing w:after="0" w:line="271" w:lineRule="auto"/>
        <w:tabs>
          <w:tab w:leader="none" w:pos="1186" w:val="left"/>
        </w:tabs>
        <w:numPr>
          <w:ilvl w:val="0"/>
          <w:numId w:val="457"/>
        </w:numPr>
        <w:rPr>
          <w:rFonts w:ascii="Arial" w:cs="Arial" w:eastAsia="Arial" w:hAnsi="Arial"/>
          <w:sz w:val="17"/>
          <w:szCs w:val="17"/>
          <w:color w:val="auto"/>
        </w:rPr>
      </w:pPr>
      <w:r>
        <w:rPr>
          <w:rFonts w:ascii="Arial" w:cs="Arial" w:eastAsia="Arial" w:hAnsi="Arial"/>
          <w:sz w:val="17"/>
          <w:szCs w:val="17"/>
          <w:color w:val="auto"/>
        </w:rPr>
        <w:t xml:space="preserve">the sufficiency, validity, enforceability, effectiveness or genuineness of any Loan Document or any other agreement, instrument or document,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5" w:name="page346"/>
    <w:bookmarkEnd w:id="345"/>
    <w:p>
      <w:pPr>
        <w:jc w:val="both"/>
        <w:ind w:left="840" w:firstLine="640"/>
        <w:spacing w:after="0" w:line="268" w:lineRule="auto"/>
        <w:tabs>
          <w:tab w:leader="none" w:pos="2308" w:val="left"/>
        </w:tabs>
        <w:numPr>
          <w:ilvl w:val="0"/>
          <w:numId w:val="458"/>
        </w:numPr>
        <w:rPr>
          <w:rFonts w:ascii="Arial" w:cs="Arial" w:eastAsia="Arial" w:hAnsi="Arial"/>
          <w:sz w:val="17"/>
          <w:szCs w:val="17"/>
          <w:color w:val="auto"/>
        </w:rPr>
      </w:pPr>
      <w:r>
        <w:rPr>
          <w:rFonts w:ascii="Arial" w:cs="Arial" w:eastAsia="Arial" w:hAnsi="Arial"/>
          <w:sz w:val="17"/>
          <w:szCs w:val="17"/>
          <w:color w:val="auto"/>
        </w:rPr>
        <w:t xml:space="preserve">Without limiting the foregoing, the Administrative Agent (i) may treat the payee of any promissory note as its holder until such promissory note has been assigned in accordance with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(ii) may rely on the Register to the extent set forth in </w:t>
      </w:r>
      <w:r>
        <w:rPr>
          <w:rFonts w:ascii="Arial" w:cs="Arial" w:eastAsia="Arial" w:hAnsi="Arial"/>
          <w:sz w:val="17"/>
          <w:szCs w:val="17"/>
          <w:u w:val="single" w:color="auto"/>
          <w:color w:val="auto"/>
        </w:rPr>
        <w:t>Section 9.04(b)</w:t>
      </w:r>
      <w:r>
        <w:rPr>
          <w:rFonts w:ascii="Arial" w:cs="Arial" w:eastAsia="Arial" w:hAnsi="Arial"/>
          <w:sz w:val="17"/>
          <w:szCs w:val="17"/>
          <w:color w:val="auto"/>
        </w:rPr>
        <w:t>,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80" w:lineRule="exact"/>
        <w:rPr>
          <w:sz w:val="20"/>
          <w:szCs w:val="20"/>
          <w:color w:val="auto"/>
        </w:rPr>
      </w:pPr>
    </w:p>
    <w:p>
      <w:pPr>
        <w:ind w:left="840"/>
        <w:spacing w:after="0"/>
        <w:tabs>
          <w:tab w:leader="none" w:pos="224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color w:val="auto"/>
        </w:rPr>
        <w:t>Posting of Communications.</w:t>
      </w:r>
    </w:p>
    <w:p>
      <w:pPr>
        <w:spacing w:after="0" w:line="225" w:lineRule="exact"/>
        <w:rPr>
          <w:sz w:val="20"/>
          <w:szCs w:val="20"/>
          <w:color w:val="auto"/>
        </w:rPr>
      </w:pPr>
    </w:p>
    <w:p>
      <w:pPr>
        <w:jc w:val="both"/>
        <w:ind w:left="840" w:firstLine="640"/>
        <w:spacing w:after="0" w:line="259" w:lineRule="auto"/>
        <w:tabs>
          <w:tab w:leader="none" w:pos="2659"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Borrowers agree that the Administrative Agent may, but shall not be obligated to, make any Communications available to the Lenders and the Issuing Bank by posting the Communications on IntraLinks™, DebtDomain, SyndTrak, ClearPar or any other electronic system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6" w:name="page347"/>
    <w:bookmarkEnd w:id="346"/>
    <w:p>
      <w:pPr>
        <w:jc w:val="both"/>
        <w:ind w:left="840" w:firstLine="640"/>
        <w:spacing w:after="0" w:line="289" w:lineRule="auto"/>
        <w:tabs>
          <w:tab w:leader="none" w:pos="2251" w:val="left"/>
        </w:tabs>
        <w:numPr>
          <w:ilvl w:val="0"/>
          <w:numId w:val="460"/>
        </w:numPr>
        <w:rPr>
          <w:rFonts w:ascii="Arial" w:cs="Arial" w:eastAsia="Arial" w:hAnsi="Arial"/>
          <w:sz w:val="16"/>
          <w:szCs w:val="16"/>
          <w:color w:val="auto"/>
        </w:rPr>
      </w:pPr>
      <w:r>
        <w:rPr>
          <w:rFonts w:ascii="Arial" w:cs="Arial" w:eastAsia="Arial" w:hAnsi="Arial"/>
          <w:sz w:val="16"/>
          <w:szCs w:val="16"/>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 and each Borrower hereby approves distribution of the Communications through the Approved Electronic Platform and understands and assumes the risks of such distribution.</w:t>
      </w:r>
    </w:p>
    <w:p>
      <w:pPr>
        <w:spacing w:after="0" w:line="166" w:lineRule="exact"/>
        <w:rPr>
          <w:rFonts w:ascii="Arial" w:cs="Arial" w:eastAsia="Arial" w:hAnsi="Arial"/>
          <w:sz w:val="16"/>
          <w:szCs w:val="16"/>
          <w:color w:val="auto"/>
        </w:rPr>
      </w:pPr>
    </w:p>
    <w:p>
      <w:pPr>
        <w:jc w:val="both"/>
        <w:ind w:left="840" w:firstLine="640"/>
        <w:spacing w:after="0" w:line="252" w:lineRule="auto"/>
        <w:tabs>
          <w:tab w:leader="none" w:pos="232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w:t>
      </w:r>
      <w:r>
        <w:rPr>
          <w:rFonts w:ascii="Arial" w:cs="Arial" w:eastAsia="Arial" w:hAnsi="Arial"/>
          <w:sz w:val="18"/>
          <w:szCs w:val="18"/>
          <w:u w:val="single" w:color="auto"/>
          <w:color w:val="auto"/>
        </w:rPr>
        <w:t>AS</w:t>
      </w:r>
      <w:r>
        <w:rPr>
          <w:rFonts w:ascii="Arial" w:cs="Arial" w:eastAsia="Arial" w:hAnsi="Arial"/>
          <w:sz w:val="18"/>
          <w:szCs w:val="18"/>
          <w:color w:val="auto"/>
        </w:rPr>
        <w:t xml:space="preserve"> </w:t>
      </w:r>
      <w:r>
        <w:rPr>
          <w:rFonts w:ascii="Arial" w:cs="Arial" w:eastAsia="Arial" w:hAnsi="Arial"/>
          <w:sz w:val="18"/>
          <w:szCs w:val="18"/>
          <w:u w:val="single" w:color="auto"/>
          <w:color w:val="auto"/>
        </w:rPr>
        <w:t>IS</w:t>
      </w:r>
      <w:r>
        <w:rPr>
          <w:rFonts w:ascii="Arial" w:cs="Arial" w:eastAsia="Arial" w:hAnsi="Arial"/>
          <w:sz w:val="18"/>
          <w:szCs w:val="18"/>
          <w:color w:val="auto"/>
        </w:rPr>
        <w:t>” AND “</w:t>
      </w:r>
      <w:r>
        <w:rPr>
          <w:rFonts w:ascii="Arial" w:cs="Arial" w:eastAsia="Arial" w:hAnsi="Arial"/>
          <w:sz w:val="18"/>
          <w:szCs w:val="18"/>
          <w:u w:val="single" w:color="auto"/>
          <w:color w:val="auto"/>
        </w:rPr>
        <w:t>AS AVAILABLE</w:t>
      </w:r>
      <w:r>
        <w:rPr>
          <w:rFonts w:ascii="Arial" w:cs="Arial" w:eastAsia="Arial" w:hAnsi="Arial"/>
          <w:sz w:val="18"/>
          <w:szCs w:val="18"/>
          <w:color w:val="auto"/>
        </w:rPr>
        <w:t>”.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LEAD ARRANGER, THE SYNDICATION AGENT OR ANY OF THEIR RESPECTIVE RELATED PARTIES (COLLECTIVELY, “</w:t>
      </w:r>
      <w:r>
        <w:rPr>
          <w:rFonts w:ascii="Arial" w:cs="Arial" w:eastAsia="Arial" w:hAnsi="Arial"/>
          <w:sz w:val="18"/>
          <w:szCs w:val="18"/>
          <w:u w:val="single" w:color="auto"/>
          <w:color w:val="auto"/>
        </w:rPr>
        <w:t>APPLICABLE PARTIES</w:t>
      </w:r>
      <w:r>
        <w:rPr>
          <w:rFonts w:ascii="Arial" w:cs="Arial" w:eastAsia="Arial" w:hAnsi="Arial"/>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200" w:lineRule="exact"/>
        <w:rPr>
          <w:sz w:val="20"/>
          <w:szCs w:val="20"/>
          <w:color w:val="auto"/>
        </w:rPr>
      </w:pP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7" w:name="page348"/>
    <w:bookmarkEnd w:id="347"/>
    <w:p>
      <w:pPr>
        <w:jc w:val="both"/>
        <w:ind w:right="400"/>
        <w:spacing w:after="0" w:line="286"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Communications</w:t>
      </w:r>
      <w:r>
        <w:rPr>
          <w:rFonts w:ascii="Arial" w:cs="Arial" w:eastAsia="Arial" w:hAnsi="Arial"/>
          <w:sz w:val="17"/>
          <w:szCs w:val="17"/>
          <w:i w:val="1"/>
          <w:iCs w:val="1"/>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Issuing Bank by means of electronic communications pursuant to this Section, including through an Approved Electronic Platform.</w:t>
      </w:r>
    </w:p>
    <w:p>
      <w:pPr>
        <w:spacing w:after="0" w:line="165" w:lineRule="exact"/>
        <w:rPr>
          <w:sz w:val="20"/>
          <w:szCs w:val="20"/>
          <w:color w:val="auto"/>
        </w:rPr>
      </w:pPr>
    </w:p>
    <w:p>
      <w:pPr>
        <w:jc w:val="both"/>
        <w:ind w:left="1960" w:firstLine="640"/>
        <w:spacing w:after="0" w:line="255" w:lineRule="auto"/>
        <w:tabs>
          <w:tab w:leader="none" w:pos="354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92" w:lineRule="exact"/>
        <w:rPr>
          <w:rFonts w:ascii="Arial" w:cs="Arial" w:eastAsia="Arial" w:hAnsi="Arial"/>
          <w:sz w:val="18"/>
          <w:szCs w:val="18"/>
          <w:color w:val="auto"/>
        </w:rPr>
      </w:pPr>
    </w:p>
    <w:p>
      <w:pPr>
        <w:jc w:val="both"/>
        <w:ind w:left="1960" w:firstLine="640"/>
        <w:spacing w:after="0" w:line="311" w:lineRule="auto"/>
        <w:tabs>
          <w:tab w:leader="none" w:pos="3374" w:val="left"/>
        </w:tabs>
        <w:numPr>
          <w:ilvl w:val="0"/>
          <w:numId w:val="461"/>
        </w:numPr>
        <w:rPr>
          <w:rFonts w:ascii="Arial" w:cs="Arial" w:eastAsia="Arial" w:hAnsi="Arial"/>
          <w:sz w:val="16"/>
          <w:szCs w:val="16"/>
          <w:color w:val="auto"/>
        </w:rPr>
      </w:pPr>
      <w:r>
        <w:rPr>
          <w:rFonts w:ascii="Arial" w:cs="Arial" w:eastAsia="Arial" w:hAnsi="Arial"/>
          <w:sz w:val="16"/>
          <w:szCs w:val="16"/>
          <w:color w:val="auto"/>
        </w:rPr>
        <w:t>Each of the Lenders, Issuing Bank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48" w:lineRule="exact"/>
        <w:rPr>
          <w:rFonts w:ascii="Arial" w:cs="Arial" w:eastAsia="Arial" w:hAnsi="Arial"/>
          <w:sz w:val="16"/>
          <w:szCs w:val="16"/>
          <w:color w:val="auto"/>
        </w:rPr>
      </w:pPr>
    </w:p>
    <w:p>
      <w:pPr>
        <w:ind w:left="1960" w:firstLine="640"/>
        <w:spacing w:after="0" w:line="308" w:lineRule="auto"/>
        <w:tabs>
          <w:tab w:leader="none" w:pos="3355" w:val="left"/>
        </w:tabs>
        <w:numPr>
          <w:ilvl w:val="0"/>
          <w:numId w:val="461"/>
        </w:numPr>
        <w:rPr>
          <w:rFonts w:ascii="Arial" w:cs="Arial" w:eastAsia="Arial" w:hAnsi="Arial"/>
          <w:sz w:val="17"/>
          <w:szCs w:val="17"/>
          <w:color w:val="auto"/>
        </w:rPr>
      </w:pPr>
      <w:r>
        <w:rPr>
          <w:rFonts w:ascii="Arial" w:cs="Arial" w:eastAsia="Arial" w:hAnsi="Arial"/>
          <w:sz w:val="17"/>
          <w:szCs w:val="17"/>
          <w:color w:val="auto"/>
        </w:rPr>
        <w:t>Nothing herein shall prejudice the right of the Administrative Agent, any Lender or Issuing Bank to give any notice or other communication pursuant to any Loan Document in any other manner specified in such Loan Document.</w:t>
      </w:r>
    </w:p>
    <w:p>
      <w:pPr>
        <w:spacing w:after="0" w:line="146" w:lineRule="exact"/>
        <w:rPr>
          <w:sz w:val="20"/>
          <w:szCs w:val="20"/>
          <w:color w:val="auto"/>
        </w:rPr>
      </w:pPr>
    </w:p>
    <w:p>
      <w:pPr>
        <w:jc w:val="both"/>
        <w:ind w:left="1300" w:firstLine="648"/>
        <w:spacing w:after="0" w:line="270" w:lineRule="auto"/>
        <w:rPr>
          <w:sz w:val="20"/>
          <w:szCs w:val="20"/>
          <w:color w:val="auto"/>
        </w:rPr>
      </w:pPr>
      <w:r>
        <w:rPr>
          <w:rFonts w:ascii="Arial" w:cs="Arial" w:eastAsia="Arial" w:hAnsi="Arial"/>
          <w:sz w:val="17"/>
          <w:szCs w:val="17"/>
          <w:color w:val="auto"/>
        </w:rPr>
        <w:t>SECTION 8.04. The Administrative Agent Individually.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8" w:name="page349"/>
    <w:bookmarkEnd w:id="348"/>
    <w:p>
      <w:pPr>
        <w:ind w:left="840"/>
        <w:spacing w:after="0"/>
        <w:tabs>
          <w:tab w:leader="none" w:pos="224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color w:val="auto"/>
        </w:rPr>
        <w:t>Successor Administrative Agent.</w:t>
      </w:r>
    </w:p>
    <w:p>
      <w:pPr>
        <w:spacing w:after="0" w:line="225" w:lineRule="exact"/>
        <w:rPr>
          <w:sz w:val="20"/>
          <w:szCs w:val="20"/>
          <w:color w:val="auto"/>
        </w:rPr>
      </w:pPr>
    </w:p>
    <w:p>
      <w:pPr>
        <w:jc w:val="both"/>
        <w:ind w:left="840" w:firstLine="640"/>
        <w:spacing w:after="0" w:line="268" w:lineRule="auto"/>
        <w:tabs>
          <w:tab w:leader="none" w:pos="243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The Administrative Agent may resign at any time by giving 30 days’ prior written notice thereof to the Lenders, the Issuing Bank and the Borrower Representative,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79" w:lineRule="exact"/>
        <w:rPr>
          <w:rFonts w:ascii="Arial" w:cs="Arial" w:eastAsia="Arial" w:hAnsi="Arial"/>
          <w:sz w:val="17"/>
          <w:szCs w:val="17"/>
          <w:color w:val="auto"/>
        </w:rPr>
      </w:pPr>
    </w:p>
    <w:p>
      <w:pPr>
        <w:jc w:val="both"/>
        <w:ind w:left="840" w:firstLine="640"/>
        <w:spacing w:after="0" w:line="284" w:lineRule="auto"/>
        <w:tabs>
          <w:tab w:leader="none" w:pos="2386"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Borrowers, whereupon, on the date of effectiveness of such resignation stated in such notice, (i) the retiring Administrative Agent shall be discharged from its duties and obligations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9" w:name="page350"/>
    <w:bookmarkEnd w:id="349"/>
    <w:p>
      <w:pPr>
        <w:ind w:left="840"/>
        <w:spacing w:after="0"/>
        <w:tabs>
          <w:tab w:leader="none" w:pos="224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Acknowledgements of Lenders and Issuing Bank.</w:t>
      </w:r>
    </w:p>
    <w:p>
      <w:pPr>
        <w:spacing w:after="0" w:line="225" w:lineRule="exact"/>
        <w:rPr>
          <w:sz w:val="20"/>
          <w:szCs w:val="20"/>
          <w:color w:val="auto"/>
        </w:rPr>
      </w:pPr>
    </w:p>
    <w:p>
      <w:pPr>
        <w:jc w:val="both"/>
        <w:ind w:left="840" w:firstLine="640"/>
        <w:spacing w:after="0" w:line="288" w:lineRule="auto"/>
        <w:tabs>
          <w:tab w:leader="none" w:pos="2308" w:val="left"/>
        </w:tabs>
        <w:numPr>
          <w:ilvl w:val="0"/>
          <w:numId w:val="463"/>
        </w:numPr>
        <w:rPr>
          <w:rFonts w:ascii="Arial" w:cs="Arial" w:eastAsia="Arial" w:hAnsi="Arial"/>
          <w:sz w:val="16"/>
          <w:szCs w:val="16"/>
          <w:color w:val="auto"/>
        </w:rPr>
      </w:pPr>
      <w:r>
        <w:rPr>
          <w:rFonts w:ascii="Arial" w:cs="Arial" w:eastAsia="Arial" w:hAnsi="Arial"/>
          <w:sz w:val="16"/>
          <w:szCs w:val="16"/>
          <w:color w:val="auto"/>
        </w:rPr>
        <w:t>Each Lender represents that it is engaged in making, acquiring or holding commercial loans in the ordinary course of its business and that it has, independently and without reliance upon the Administrative Agent, the Lead Arranger, the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the Lead Arranger, the Syndication Agent or any other Lender,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8" w:lineRule="exact"/>
        <w:rPr>
          <w:rFonts w:ascii="Arial" w:cs="Arial" w:eastAsia="Arial" w:hAnsi="Arial"/>
          <w:sz w:val="16"/>
          <w:szCs w:val="16"/>
          <w:color w:val="auto"/>
        </w:rPr>
      </w:pPr>
    </w:p>
    <w:p>
      <w:pPr>
        <w:jc w:val="both"/>
        <w:ind w:left="840" w:firstLine="640"/>
        <w:spacing w:after="0" w:line="273" w:lineRule="auto"/>
        <w:tabs>
          <w:tab w:leader="none" w:pos="244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0" w:name="page351"/>
    <w:bookmarkEnd w:id="350"/>
    <w:p>
      <w:pPr>
        <w:jc w:val="both"/>
        <w:ind w:left="840" w:firstLine="640"/>
        <w:spacing w:after="0" w:line="285" w:lineRule="auto"/>
        <w:tabs>
          <w:tab w:leader="none" w:pos="2349" w:val="left"/>
        </w:tabs>
        <w:numPr>
          <w:ilvl w:val="0"/>
          <w:numId w:val="464"/>
        </w:numPr>
        <w:rPr>
          <w:rFonts w:ascii="Arial" w:cs="Arial" w:eastAsia="Arial" w:hAnsi="Arial"/>
          <w:sz w:val="16"/>
          <w:szCs w:val="16"/>
          <w:color w:val="auto"/>
        </w:rPr>
      </w:pPr>
      <w:r>
        <w:rPr>
          <w:rFonts w:ascii="Arial" w:cs="Arial" w:eastAsia="Arial" w:hAnsi="Arial"/>
          <w:sz w:val="16"/>
          <w:szCs w:val="16"/>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a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74" w:lineRule="exact"/>
        <w:rPr>
          <w:sz w:val="20"/>
          <w:szCs w:val="20"/>
          <w:color w:val="auto"/>
        </w:rPr>
      </w:pPr>
    </w:p>
    <w:p>
      <w:pPr>
        <w:ind w:left="840"/>
        <w:spacing w:after="0"/>
        <w:tabs>
          <w:tab w:leader="none" w:pos="224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color w:val="auto"/>
        </w:rPr>
        <w:t>Collateral Matters.</w:t>
      </w:r>
    </w:p>
    <w:p>
      <w:pPr>
        <w:spacing w:after="0" w:line="225" w:lineRule="exact"/>
        <w:rPr>
          <w:sz w:val="20"/>
          <w:szCs w:val="20"/>
          <w:color w:val="auto"/>
        </w:rPr>
      </w:pPr>
    </w:p>
    <w:p>
      <w:pPr>
        <w:jc w:val="both"/>
        <w:ind w:left="840" w:firstLine="640"/>
        <w:spacing w:after="0" w:line="269" w:lineRule="auto"/>
        <w:tabs>
          <w:tab w:leader="none" w:pos="243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 xml:space="preserve">Except with respect to the exercise of setoff rights in accordance with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200" w:lineRule="exact"/>
        <w:rPr>
          <w:sz w:val="20"/>
          <w:szCs w:val="20"/>
          <w:color w:val="auto"/>
        </w:rPr>
      </w:pPr>
    </w:p>
    <w:p>
      <w:pPr>
        <w:spacing w:after="0" w:line="20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351" w:name="page352"/>
    <w:bookmarkEnd w:id="351"/>
    <w:p>
      <w:pPr>
        <w:jc w:val="both"/>
        <w:ind w:left="840" w:firstLine="640"/>
        <w:spacing w:after="0" w:line="271" w:lineRule="auto"/>
        <w:tabs>
          <w:tab w:leader="none" w:pos="2264" w:val="left"/>
        </w:tabs>
        <w:numPr>
          <w:ilvl w:val="0"/>
          <w:numId w:val="466"/>
        </w:numPr>
        <w:rPr>
          <w:rFonts w:ascii="Arial" w:cs="Arial" w:eastAsia="Arial" w:hAnsi="Arial"/>
          <w:sz w:val="17"/>
          <w:szCs w:val="17"/>
          <w:color w:val="auto"/>
        </w:rPr>
      </w:pPr>
      <w:r>
        <w:rPr>
          <w:rFonts w:ascii="Arial" w:cs="Arial" w:eastAsia="Arial" w:hAnsi="Arial"/>
          <w:sz w:val="17"/>
          <w:szCs w:val="17"/>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78" w:lineRule="exact"/>
        <w:rPr>
          <w:rFonts w:ascii="Arial" w:cs="Arial" w:eastAsia="Arial" w:hAnsi="Arial"/>
          <w:sz w:val="17"/>
          <w:szCs w:val="17"/>
          <w:color w:val="auto"/>
        </w:rPr>
      </w:pPr>
    </w:p>
    <w:p>
      <w:pPr>
        <w:jc w:val="both"/>
        <w:ind w:left="840" w:firstLine="640"/>
        <w:spacing w:after="0" w:line="272" w:lineRule="auto"/>
        <w:tabs>
          <w:tab w:leader="none" w:pos="2389"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The Secured Parties irrevocably authorize the Administrative Agent, at its option and in its discretion, to subordinate any Lien on any property granted to or held by the Administrative Agent under any Loan Document to the holder of any Lien on such property that is permitted by </w:t>
      </w:r>
      <w:r>
        <w:rPr>
          <w:rFonts w:ascii="Arial" w:cs="Arial" w:eastAsia="Arial" w:hAnsi="Arial"/>
          <w:sz w:val="17"/>
          <w:szCs w:val="17"/>
          <w:u w:val="single" w:color="auto"/>
          <w:color w:val="auto"/>
        </w:rPr>
        <w:t>Section 6.02(b)</w:t>
      </w:r>
      <w:r>
        <w:rPr>
          <w:rFonts w:ascii="Arial" w:cs="Arial" w:eastAsia="Arial" w:hAnsi="Arial"/>
          <w:sz w:val="17"/>
          <w:szCs w:val="17"/>
          <w:color w:val="auto"/>
        </w:rPr>
        <w: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39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2" w:name="page353"/>
    <w:bookmarkEnd w:id="352"/>
    <w:p>
      <w:pPr>
        <w:jc w:val="both"/>
        <w:ind w:left="180" w:firstLine="648"/>
        <w:spacing w:after="0" w:line="283" w:lineRule="auto"/>
        <w:rPr>
          <w:sz w:val="20"/>
          <w:szCs w:val="20"/>
          <w:color w:val="auto"/>
        </w:rPr>
      </w:pPr>
      <w:r>
        <w:rPr>
          <w:rFonts w:ascii="Arial" w:cs="Arial" w:eastAsia="Arial" w:hAnsi="Arial"/>
          <w:sz w:val="16"/>
          <w:szCs w:val="16"/>
          <w:color w:val="auto"/>
        </w:rPr>
        <w:t>SECTION 8.08.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w:t>
      </w:r>
    </w:p>
    <w:p>
      <w:pPr>
        <w:spacing w:after="0" w:line="1" w:lineRule="exact"/>
        <w:rPr>
          <w:sz w:val="20"/>
          <w:szCs w:val="20"/>
          <w:color w:val="auto"/>
        </w:rPr>
      </w:pPr>
    </w:p>
    <w:p>
      <w:pPr>
        <w:jc w:val="both"/>
        <w:ind w:left="180" w:firstLine="4"/>
        <w:spacing w:after="0" w:line="266" w:lineRule="auto"/>
        <w:tabs>
          <w:tab w:leader="none" w:pos="464" w:val="left"/>
        </w:tabs>
        <w:numPr>
          <w:ilvl w:val="0"/>
          <w:numId w:val="467"/>
        </w:numPr>
        <w:rPr>
          <w:rFonts w:ascii="Arial" w:cs="Arial" w:eastAsia="Arial" w:hAnsi="Arial"/>
          <w:sz w:val="17"/>
          <w:szCs w:val="17"/>
          <w:color w:val="auto"/>
        </w:rPr>
      </w:pPr>
      <w:r>
        <w:rPr>
          <w:rFonts w:ascii="Arial" w:cs="Arial" w:eastAsia="Arial" w:hAnsi="Arial"/>
          <w:sz w:val="17"/>
          <w:szCs w:val="17"/>
          <w:color w:val="auto"/>
        </w:rPr>
        <w:t>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87" w:lineRule="exact"/>
        <w:rPr>
          <w:sz w:val="20"/>
          <w:szCs w:val="20"/>
          <w:color w:val="auto"/>
        </w:rPr>
      </w:pPr>
    </w:p>
    <w:p>
      <w:pPr>
        <w:ind w:left="840"/>
        <w:spacing w:after="0"/>
        <w:tabs>
          <w:tab w:leader="none" w:pos="224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6"/>
          <w:szCs w:val="16"/>
          <w:color w:val="auto"/>
        </w:rPr>
        <w:t>Certain ERISA Matters.</w:t>
      </w:r>
    </w:p>
    <w:p>
      <w:pPr>
        <w:spacing w:after="0" w:line="225" w:lineRule="exact"/>
        <w:rPr>
          <w:sz w:val="20"/>
          <w:szCs w:val="20"/>
          <w:color w:val="auto"/>
        </w:rPr>
      </w:pPr>
    </w:p>
    <w:p>
      <w:pPr>
        <w:ind w:left="2320" w:hanging="840"/>
        <w:spacing w:after="0"/>
        <w:tabs>
          <w:tab w:leader="none" w:pos="2320" w:val="left"/>
        </w:tabs>
        <w:numPr>
          <w:ilvl w:val="2"/>
          <w:numId w:val="468"/>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w:t>
      </w:r>
    </w:p>
    <w:p>
      <w:pPr>
        <w:spacing w:after="0" w:line="46" w:lineRule="exact"/>
        <w:rPr>
          <w:rFonts w:ascii="Arial" w:cs="Arial" w:eastAsia="Arial" w:hAnsi="Arial"/>
          <w:sz w:val="16"/>
          <w:szCs w:val="16"/>
          <w:color w:val="auto"/>
        </w:rPr>
      </w:pPr>
    </w:p>
    <w:p>
      <w:pPr>
        <w:jc w:val="both"/>
        <w:ind w:left="840" w:hanging="8"/>
        <w:spacing w:after="0" w:line="302" w:lineRule="auto"/>
        <w:tabs>
          <w:tab w:leader="none" w:pos="1115" w:val="left"/>
        </w:tabs>
        <w:numPr>
          <w:ilvl w:val="1"/>
          <w:numId w:val="469"/>
        </w:numPr>
        <w:rPr>
          <w:rFonts w:ascii="Arial" w:cs="Arial" w:eastAsia="Arial" w:hAnsi="Arial"/>
          <w:sz w:val="16"/>
          <w:szCs w:val="16"/>
          <w:color w:val="auto"/>
        </w:rPr>
      </w:pPr>
      <w:r>
        <w:rPr>
          <w:rFonts w:ascii="Arial" w:cs="Arial" w:eastAsia="Arial" w:hAnsi="Arial"/>
          <w:sz w:val="16"/>
          <w:szCs w:val="16"/>
          <w:color w:val="auto"/>
        </w:rPr>
        <w:t>covenants, from the date such Person became a Lender party hereto to the date such Person ceases being a Lender party hereto, for the benefit of, the Administrative Agent, the Lead Arranger and their respective Affiliates, and not, for the avoidance of doubt, to or for the benefit of any Borrower or any other Loan Party, that at least one of the following is and will be true:</w:t>
      </w:r>
    </w:p>
    <w:p>
      <w:pPr>
        <w:spacing w:after="0" w:line="155" w:lineRule="exact"/>
        <w:rPr>
          <w:rFonts w:ascii="Arial" w:cs="Arial" w:eastAsia="Arial" w:hAnsi="Arial"/>
          <w:sz w:val="16"/>
          <w:szCs w:val="16"/>
          <w:color w:val="auto"/>
        </w:rPr>
      </w:pPr>
    </w:p>
    <w:p>
      <w:pPr>
        <w:ind w:left="-460" w:right="20" w:firstLine="644"/>
        <w:spacing w:after="0" w:line="277" w:lineRule="auto"/>
        <w:tabs>
          <w:tab w:leader="none" w:pos="10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38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3" w:name="page354"/>
    <w:bookmarkEnd w:id="353"/>
    <w:p>
      <w:pPr>
        <w:jc w:val="both"/>
        <w:ind w:left="-460" w:firstLine="644"/>
        <w:spacing w:after="0" w:line="273" w:lineRule="auto"/>
        <w:tabs>
          <w:tab w:leader="none" w:pos="1177"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7" w:lineRule="exact"/>
        <w:rPr>
          <w:rFonts w:ascii="Arial" w:cs="Arial" w:eastAsia="Arial" w:hAnsi="Arial"/>
          <w:sz w:val="17"/>
          <w:szCs w:val="17"/>
          <w:color w:val="auto"/>
        </w:rPr>
      </w:pPr>
    </w:p>
    <w:p>
      <w:pPr>
        <w:jc w:val="both"/>
        <w:ind w:left="-460" w:firstLine="644"/>
        <w:spacing w:after="0" w:line="254" w:lineRule="auto"/>
        <w:tabs>
          <w:tab w:leader="none" w:pos="103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w:t>
      </w:r>
      <w:r>
        <w:rPr>
          <w:rFonts w:ascii="Arial" w:cs="Arial" w:eastAsia="Arial" w:hAnsi="Arial"/>
          <w:sz w:val="18"/>
          <w:szCs w:val="18"/>
          <w:u w:val="single" w:color="auto"/>
          <w:color w:val="auto"/>
        </w:rPr>
        <w:t>Qualified Professional Asset Manager</w:t>
      </w:r>
      <w:r>
        <w:rPr>
          <w:rFonts w:ascii="Arial" w:cs="Arial" w:eastAsia="Arial" w:hAnsi="Arial"/>
          <w:sz w:val="18"/>
          <w:szCs w:val="18"/>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4" w:lineRule="exact"/>
        <w:rPr>
          <w:rFonts w:ascii="Arial" w:cs="Arial" w:eastAsia="Arial" w:hAnsi="Arial"/>
          <w:sz w:val="18"/>
          <w:szCs w:val="18"/>
          <w:color w:val="auto"/>
        </w:rPr>
      </w:pPr>
    </w:p>
    <w:p>
      <w:pPr>
        <w:ind w:left="-460" w:firstLine="644"/>
        <w:spacing w:after="0" w:line="277" w:lineRule="auto"/>
        <w:tabs>
          <w:tab w:leader="none" w:pos="1082" w:val="left"/>
        </w:tabs>
        <w:numPr>
          <w:ilvl w:val="0"/>
          <w:numId w:val="471"/>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left="840" w:firstLine="640"/>
        <w:spacing w:after="0" w:line="289" w:lineRule="auto"/>
        <w:tabs>
          <w:tab w:leader="none" w:pos="2305" w:val="left"/>
        </w:tabs>
        <w:numPr>
          <w:ilvl w:val="1"/>
          <w:numId w:val="471"/>
        </w:numPr>
        <w:rPr>
          <w:rFonts w:ascii="Arial" w:cs="Arial" w:eastAsia="Arial" w:hAnsi="Arial"/>
          <w:sz w:val="16"/>
          <w:szCs w:val="16"/>
          <w:color w:val="auto"/>
        </w:rPr>
      </w:pPr>
      <w:r>
        <w:rPr>
          <w:rFonts w:ascii="Arial" w:cs="Arial" w:eastAsia="Arial" w:hAnsi="Arial"/>
          <w:sz w:val="16"/>
          <w:szCs w:val="16"/>
          <w:color w:val="auto"/>
        </w:rPr>
        <w:t xml:space="preserve">In addition, unless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true with respect to a Lender or such Lender has not provided another representation, warranty and covenant as provided in </w:t>
      </w:r>
      <w:r>
        <w:rPr>
          <w:rFonts w:ascii="Arial" w:cs="Arial" w:eastAsia="Arial" w:hAnsi="Arial"/>
          <w:sz w:val="16"/>
          <w:szCs w:val="16"/>
          <w:u w:val="single" w:color="auto"/>
          <w:color w:val="auto"/>
        </w:rPr>
        <w:t>sub-clause (iv)</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any Borrower or any other Loan Party, that none of the Administrative Agent, the Lead Arranger, the Syndication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38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4" w:name="page355"/>
    <w:bookmarkEnd w:id="354"/>
    <w:p>
      <w:pPr>
        <w:jc w:val="both"/>
        <w:ind w:left="840" w:firstLine="640"/>
        <w:spacing w:after="0" w:line="287" w:lineRule="auto"/>
        <w:tabs>
          <w:tab w:leader="none" w:pos="2362"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The Administrative Agent, the Syndication Agent and the Lead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fees,term out premiums, banker’s acceptance fees, breakage or other early termination fees or fees similar to the foregoing.</w:t>
      </w:r>
    </w:p>
    <w:p>
      <w:pPr>
        <w:spacing w:after="0" w:line="172" w:lineRule="exact"/>
        <w:rPr>
          <w:sz w:val="20"/>
          <w:szCs w:val="20"/>
          <w:color w:val="auto"/>
        </w:rPr>
      </w:pPr>
    </w:p>
    <w:p>
      <w:pPr>
        <w:jc w:val="both"/>
        <w:ind w:left="180" w:firstLine="648"/>
        <w:spacing w:after="0" w:line="293" w:lineRule="auto"/>
        <w:rPr>
          <w:sz w:val="20"/>
          <w:szCs w:val="20"/>
          <w:color w:val="auto"/>
        </w:rPr>
      </w:pPr>
      <w:r>
        <w:rPr>
          <w:rFonts w:ascii="Arial" w:cs="Arial" w:eastAsia="Arial" w:hAnsi="Arial"/>
          <w:sz w:val="16"/>
          <w:szCs w:val="16"/>
          <w:color w:val="auto"/>
        </w:rPr>
        <w:t>SECTION 8.10. Flood Laws. JPMCB has adopted internal policies and procedures that address requirements placed on federally regulated lenders under the National Flood Insurance Reform Act of 1994 and related legislation (the “</w:t>
      </w:r>
      <w:r>
        <w:rPr>
          <w:rFonts w:ascii="Arial" w:cs="Arial" w:eastAsia="Arial" w:hAnsi="Arial"/>
          <w:sz w:val="16"/>
          <w:szCs w:val="16"/>
          <w:u w:val="single" w:color="auto"/>
          <w:color w:val="auto"/>
        </w:rPr>
        <w:t>Flood Laws</w:t>
      </w:r>
      <w:r>
        <w:rPr>
          <w:rFonts w:ascii="Arial" w:cs="Arial" w:eastAsia="Arial" w:hAnsi="Arial"/>
          <w:sz w:val="16"/>
          <w:szCs w:val="16"/>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6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840"/>
        <w:spacing w:after="0"/>
        <w:tabs>
          <w:tab w:leader="none" w:pos="22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jc w:val="both"/>
        <w:ind w:left="840" w:firstLine="640"/>
        <w:spacing w:after="0" w:line="259" w:lineRule="auto"/>
        <w:tabs>
          <w:tab w:leader="none" w:pos="2403" w:val="left"/>
        </w:tabs>
        <w:numPr>
          <w:ilvl w:val="1"/>
          <w:numId w:val="473"/>
        </w:numPr>
        <w:rPr>
          <w:rFonts w:ascii="Arial" w:cs="Arial" w:eastAsia="Arial" w:hAnsi="Arial"/>
          <w:sz w:val="18"/>
          <w:szCs w:val="18"/>
          <w:color w:val="auto"/>
        </w:rPr>
      </w:pPr>
      <w:r>
        <w:rPr>
          <w:rFonts w:ascii="Arial" w:cs="Arial" w:eastAsia="Arial" w:hAnsi="Arial"/>
          <w:sz w:val="18"/>
          <w:szCs w:val="18"/>
          <w:color w:val="auto"/>
        </w:rPr>
        <w:t xml:space="preserve">Except in the case of notices and other communications expressly permitted to be given by telephone or Electronic Systems (and subject in each case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facsimile, as follows:</w:t>
      </w:r>
    </w:p>
    <w:p>
      <w:pPr>
        <w:spacing w:after="0" w:line="186" w:lineRule="exact"/>
        <w:rPr>
          <w:rFonts w:ascii="Arial" w:cs="Arial" w:eastAsia="Arial" w:hAnsi="Arial"/>
          <w:sz w:val="18"/>
          <w:szCs w:val="18"/>
          <w:color w:val="auto"/>
        </w:rPr>
      </w:pPr>
    </w:p>
    <w:p>
      <w:pPr>
        <w:ind w:left="900" w:hanging="716"/>
        <w:spacing w:after="0"/>
        <w:tabs>
          <w:tab w:leader="none" w:pos="9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if to any Loan Party, to the Borrower Representative at: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Winnebago Industries, Inc.</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13200 Pioneer Trail, Suite 150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Eden Prairie, MN 55347</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Bert Jameson, Treasurer</w:t>
      </w:r>
    </w:p>
    <w:p>
      <w:pPr>
        <w:spacing w:after="0" w:line="211" w:lineRule="exact"/>
        <w:rPr>
          <w:sz w:val="20"/>
          <w:szCs w:val="20"/>
          <w:color w:val="auto"/>
        </w:rPr>
      </w:pPr>
    </w:p>
    <w:p>
      <w:pPr>
        <w:ind w:left="-460" w:firstLine="644"/>
        <w:spacing w:after="0" w:line="277" w:lineRule="auto"/>
        <w:tabs>
          <w:tab w:leader="none" w:pos="101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if to the Administrative Agent (other than for purposes of a notification of the DQ List), JPMCB in its capacity as an Issuing Bank or the Swingline Lender, to JPMCB at:</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 S. Dearborn St.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John Morrone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Facsimile No: (312) 548-1943</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5" w:name="page356"/>
    <w:bookmarkEnd w:id="355"/>
    <w:p>
      <w:pPr>
        <w:ind w:left="2120" w:hanging="816"/>
        <w:spacing w:after="0"/>
        <w:tabs>
          <w:tab w:leader="none" w:pos="212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if to the Administrative Agent for purposes of a notification of the DQ List, to JPMDQ_Contact@jpmorgan.com; and</w:t>
      </w:r>
    </w:p>
    <w:p>
      <w:pPr>
        <w:spacing w:after="0" w:line="236" w:lineRule="exact"/>
        <w:rPr>
          <w:rFonts w:ascii="Arial" w:cs="Arial" w:eastAsia="Arial" w:hAnsi="Arial"/>
          <w:sz w:val="17"/>
          <w:szCs w:val="17"/>
          <w:color w:val="auto"/>
        </w:rPr>
      </w:pPr>
    </w:p>
    <w:p>
      <w:pPr>
        <w:ind w:left="2100" w:hanging="796"/>
        <w:spacing w:after="0"/>
        <w:tabs>
          <w:tab w:leader="none" w:pos="210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if to any other Lender or Issuing Bank, to it at its address or facsimile number set forth in its Administrative Questionnaire.</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All such notices and other communications (i) sent by hand or overnight courier service, or mailed by certified or registered mail, shall be deemed to have been given when received, (ii) sent by facsimile shall be deemed to have been given when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not given during normal business hours of the recipient, such notice or communication shall be deemed to have been given at the opening of business on the next Business Day of the recipient, or (iii) delivered through Electronic Systems or Approved Electronic Platform, as applicable,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such paragraph.</w:t>
      </w:r>
    </w:p>
    <w:p>
      <w:pPr>
        <w:spacing w:after="0" w:line="188" w:lineRule="exact"/>
        <w:rPr>
          <w:sz w:val="20"/>
          <w:szCs w:val="20"/>
          <w:color w:val="auto"/>
        </w:rPr>
      </w:pPr>
    </w:p>
    <w:p>
      <w:pPr>
        <w:jc w:val="both"/>
        <w:ind w:left="1960" w:firstLine="640"/>
        <w:spacing w:after="0" w:line="254" w:lineRule="auto"/>
        <w:tabs>
          <w:tab w:leader="none" w:pos="3546" w:val="left"/>
        </w:tabs>
        <w:numPr>
          <w:ilvl w:val="0"/>
          <w:numId w:val="477"/>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Banks hereunder may be delivered or furnished by using Electronic Systems or Approved Electronic Systems, as applicable, or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 The Administrative Agent or the Company may, in its discretion, agree to accept notices and other communications to it hereunder by Electronic Systems or Approved Electronic Platforms, as applicable,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w:t>
      </w:r>
    </w:p>
    <w:p>
      <w:pPr>
        <w:spacing w:after="0" w:line="4" w:lineRule="exact"/>
        <w:rPr>
          <w:sz w:val="20"/>
          <w:szCs w:val="20"/>
          <w:color w:val="auto"/>
        </w:rPr>
      </w:pPr>
    </w:p>
    <w:p>
      <w:pPr>
        <w:ind w:firstLine="8"/>
        <w:spacing w:after="0" w:line="260" w:lineRule="auto"/>
        <w:tabs>
          <w:tab w:leader="none" w:pos="265" w:val="left"/>
        </w:tabs>
        <w:numPr>
          <w:ilvl w:val="0"/>
          <w:numId w:val="478"/>
        </w:numPr>
        <w:rPr>
          <w:rFonts w:ascii="Arial" w:cs="Arial" w:eastAsia="Arial" w:hAnsi="Arial"/>
          <w:sz w:val="18"/>
          <w:szCs w:val="18"/>
          <w:u w:val="single" w:color="auto"/>
          <w:color w:val="auto"/>
        </w:rPr>
      </w:pPr>
      <w:r>
        <w:rPr>
          <w:rFonts w:ascii="Arial" w:cs="Arial" w:eastAsia="Arial" w:hAnsi="Arial"/>
          <w:sz w:val="18"/>
          <w:szCs w:val="18"/>
          <w:color w:val="auto"/>
        </w:rPr>
        <w:t>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5" w:lineRule="exact"/>
        <w:rPr>
          <w:rFonts w:ascii="Arial" w:cs="Arial" w:eastAsia="Arial" w:hAnsi="Arial"/>
          <w:sz w:val="18"/>
          <w:szCs w:val="18"/>
          <w:u w:val="single" w:color="auto"/>
          <w:color w:val="auto"/>
        </w:rPr>
      </w:pPr>
    </w:p>
    <w:p>
      <w:pPr>
        <w:jc w:val="both"/>
        <w:ind w:left="1960" w:firstLine="640"/>
        <w:spacing w:after="0" w:line="311" w:lineRule="auto"/>
        <w:tabs>
          <w:tab w:leader="none" w:pos="3347" w:val="left"/>
        </w:tabs>
        <w:numPr>
          <w:ilvl w:val="1"/>
          <w:numId w:val="478"/>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 other parties hereto. Unless otherwise set forth herein, all notices and other communications given to any party hereto in accordance with the provisions of this Agreement shall be deemed to have been given on the date of receipt.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6" w:name="page357"/>
    <w:bookmarkEnd w:id="356"/>
    <w:p>
      <w:pPr>
        <w:ind w:left="840"/>
        <w:spacing w:after="0"/>
        <w:tabs>
          <w:tab w:leader="none" w:pos="224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Waivers; Amendments.</w:t>
      </w:r>
    </w:p>
    <w:p>
      <w:pPr>
        <w:spacing w:after="0" w:line="225" w:lineRule="exact"/>
        <w:rPr>
          <w:sz w:val="20"/>
          <w:szCs w:val="20"/>
          <w:color w:val="auto"/>
        </w:rPr>
      </w:pPr>
    </w:p>
    <w:p>
      <w:pPr>
        <w:jc w:val="both"/>
        <w:ind w:left="840" w:firstLine="640"/>
        <w:spacing w:after="0" w:line="269" w:lineRule="auto"/>
        <w:tabs>
          <w:tab w:leader="none" w:pos="2295" w:val="left"/>
        </w:tabs>
        <w:numPr>
          <w:ilvl w:val="1"/>
          <w:numId w:val="479"/>
        </w:numPr>
        <w:rPr>
          <w:rFonts w:ascii="Arial" w:cs="Arial" w:eastAsia="Arial" w:hAnsi="Arial"/>
          <w:sz w:val="17"/>
          <w:szCs w:val="17"/>
          <w:color w:val="auto"/>
        </w:rPr>
      </w:pPr>
      <w:r>
        <w:rPr>
          <w:rFonts w:ascii="Arial" w:cs="Arial" w:eastAsia="Arial" w:hAnsi="Arial"/>
          <w:sz w:val="17"/>
          <w:szCs w:val="17"/>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Borrower therefrom shall in any event be effective unless the same shall be permitted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1" w:lineRule="exact"/>
        <w:rPr>
          <w:rFonts w:ascii="Arial" w:cs="Arial" w:eastAsia="Arial" w:hAnsi="Arial"/>
          <w:sz w:val="17"/>
          <w:szCs w:val="17"/>
          <w:color w:val="auto"/>
        </w:rPr>
      </w:pPr>
    </w:p>
    <w:p>
      <w:pPr>
        <w:jc w:val="both"/>
        <w:ind w:left="840" w:firstLine="640"/>
        <w:spacing w:after="0" w:line="275" w:lineRule="auto"/>
        <w:tabs>
          <w:tab w:leader="none" w:pos="2359" w:val="left"/>
        </w:tabs>
        <w:numPr>
          <w:ilvl w:val="1"/>
          <w:numId w:val="479"/>
        </w:numPr>
        <w:rPr>
          <w:rFonts w:ascii="Arial" w:cs="Arial" w:eastAsia="Arial" w:hAnsi="Arial"/>
          <w:sz w:val="17"/>
          <w:szCs w:val="17"/>
          <w:color w:val="auto"/>
        </w:rPr>
      </w:pPr>
      <w:r>
        <w:rPr>
          <w:rFonts w:ascii="Arial" w:cs="Arial" w:eastAsia="Arial" w:hAnsi="Arial"/>
          <w:sz w:val="17"/>
          <w:szCs w:val="17"/>
          <w:color w:val="auto"/>
        </w:rPr>
        <w:t xml:space="preserve">Except as provided in the first sentence of </w:t>
      </w:r>
      <w:r>
        <w:rPr>
          <w:rFonts w:ascii="Arial" w:cs="Arial" w:eastAsia="Arial" w:hAnsi="Arial"/>
          <w:sz w:val="17"/>
          <w:szCs w:val="17"/>
          <w:u w:val="single" w:color="auto"/>
          <w:color w:val="auto"/>
        </w:rPr>
        <w:t>Section 2.09(f)</w:t>
      </w:r>
      <w:r>
        <w:rPr>
          <w:rFonts w:ascii="Arial" w:cs="Arial" w:eastAsia="Arial" w:hAnsi="Arial"/>
          <w:sz w:val="17"/>
          <w:szCs w:val="17"/>
          <w:color w:val="auto"/>
        </w:rPr>
        <w:t xml:space="preserve"> (with respect to any commitment increase), </w:t>
      </w:r>
      <w:r>
        <w:rPr>
          <w:rFonts w:ascii="Arial" w:cs="Arial" w:eastAsia="Arial" w:hAnsi="Arial"/>
          <w:sz w:val="17"/>
          <w:szCs w:val="17"/>
          <w:u w:val="single" w:color="auto"/>
          <w:color w:val="auto"/>
        </w:rPr>
        <w:t>Section 2.14(b)</w:t>
      </w:r>
      <w:r>
        <w:rPr>
          <w:rFonts w:ascii="Arial" w:cs="Arial" w:eastAsia="Arial" w:hAnsi="Arial"/>
          <w:sz w:val="17"/>
          <w:szCs w:val="17"/>
          <w:color w:val="auto"/>
        </w:rPr>
        <w:t xml:space="preserve"> with respect to an alternate rate of interest to the LIBO Rate or </w:t>
      </w:r>
      <w:r>
        <w:rPr>
          <w:rFonts w:ascii="Arial" w:cs="Arial" w:eastAsia="Arial" w:hAnsi="Arial"/>
          <w:sz w:val="17"/>
          <w:szCs w:val="17"/>
          <w:u w:val="single" w:color="auto"/>
          <w:color w:val="auto"/>
        </w:rPr>
        <w:t>Section 6.03(c)</w:t>
      </w:r>
      <w:r>
        <w:rPr>
          <w:rFonts w:ascii="Arial" w:cs="Arial" w:eastAsia="Arial" w:hAnsi="Arial"/>
          <w:sz w:val="17"/>
          <w:szCs w:val="17"/>
          <w:color w:val="auto"/>
        </w:rPr>
        <w:t xml:space="preserve"> with respect to changes in fiscal year,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agreement shall:</w:t>
      </w:r>
    </w:p>
    <w:p>
      <w:pPr>
        <w:spacing w:after="0" w:line="176" w:lineRule="exact"/>
        <w:rPr>
          <w:rFonts w:ascii="Arial" w:cs="Arial" w:eastAsia="Arial" w:hAnsi="Arial"/>
          <w:sz w:val="17"/>
          <w:szCs w:val="17"/>
          <w:color w:val="auto"/>
        </w:rPr>
      </w:pPr>
    </w:p>
    <w:p>
      <w:pPr>
        <w:jc w:val="both"/>
        <w:ind w:left="-460" w:firstLine="644"/>
        <w:spacing w:after="0" w:line="263" w:lineRule="auto"/>
        <w:tabs>
          <w:tab w:leader="none" w:pos="1114"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increase the Commitment of any Lender without the written consent of such Lender (including any such Lender that is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waiver of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the waiver of any Default or mandatory prepayment shall not constitute an increase of any Commitment of any Lender;</w:t>
      </w:r>
    </w:p>
    <w:p>
      <w:pPr>
        <w:spacing w:after="0" w:line="183" w:lineRule="exact"/>
        <w:rPr>
          <w:rFonts w:ascii="Arial" w:cs="Arial" w:eastAsia="Arial" w:hAnsi="Arial"/>
          <w:sz w:val="18"/>
          <w:szCs w:val="18"/>
          <w:color w:val="auto"/>
        </w:rPr>
      </w:pPr>
    </w:p>
    <w:p>
      <w:pPr>
        <w:jc w:val="both"/>
        <w:ind w:left="-460" w:firstLine="644"/>
        <w:spacing w:after="0" w:line="273" w:lineRule="auto"/>
        <w:tabs>
          <w:tab w:leader="none" w:pos="1069" w:val="left"/>
        </w:tabs>
        <w:numPr>
          <w:ilvl w:val="0"/>
          <w:numId w:val="480"/>
        </w:numPr>
        <w:rPr>
          <w:rFonts w:ascii="Arial" w:cs="Arial" w:eastAsia="Arial" w:hAnsi="Arial"/>
          <w:sz w:val="17"/>
          <w:szCs w:val="17"/>
          <w:color w:val="auto"/>
        </w:rPr>
      </w:pPr>
      <w:r>
        <w:rPr>
          <w:rFonts w:ascii="Arial" w:cs="Arial" w:eastAsia="Arial" w:hAnsi="Arial"/>
          <w:sz w:val="17"/>
          <w:szCs w:val="17"/>
          <w:color w:val="auto"/>
        </w:rPr>
        <w:t xml:space="preserve">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any amendment or modification of the financial covenants in this Agreement (or defined terms used in the financial covenants in this Agreement) shall not constitute a reduction in the rate of interest or fees for purposes of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and (y) only the consent of the Required Lenders shall be necessary to reduce or waive any obligation of the Borrowers to pay interest or any other amount at the applicable default rate set forth in </w:t>
      </w:r>
      <w:r>
        <w:rPr>
          <w:rFonts w:ascii="Arial" w:cs="Arial" w:eastAsia="Arial" w:hAnsi="Arial"/>
          <w:sz w:val="17"/>
          <w:szCs w:val="17"/>
          <w:u w:val="single" w:color="auto"/>
          <w:color w:val="auto"/>
        </w:rPr>
        <w:t>Section 2.13(c)</w:t>
      </w:r>
      <w:r>
        <w:rPr>
          <w:rFonts w:ascii="Arial" w:cs="Arial" w:eastAsia="Arial" w:hAnsi="Arial"/>
          <w:sz w:val="17"/>
          <w:szCs w:val="17"/>
          <w:color w:val="auto"/>
        </w:rPr>
        <w:t xml:space="preserve"> or to amend </w:t>
      </w:r>
      <w:r>
        <w:rPr>
          <w:rFonts w:ascii="Arial" w:cs="Arial" w:eastAsia="Arial" w:hAnsi="Arial"/>
          <w:sz w:val="17"/>
          <w:szCs w:val="17"/>
          <w:u w:val="single" w:color="auto"/>
          <w:color w:val="auto"/>
        </w:rPr>
        <w:t>Section 2.13(c)</w:t>
      </w:r>
      <w:r>
        <w:rPr>
          <w:rFonts w:ascii="Arial" w:cs="Arial" w:eastAsia="Arial" w:hAnsi="Arial"/>
          <w:sz w:val="17"/>
          <w:szCs w:val="17"/>
          <w:color w:val="auto"/>
        </w:rPr>
        <w:t>;</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7" w:name="page358"/>
    <w:bookmarkEnd w:id="357"/>
    <w:p>
      <w:pPr>
        <w:jc w:val="both"/>
        <w:ind w:left="660" w:firstLine="644"/>
        <w:spacing w:after="0" w:line="259" w:lineRule="auto"/>
        <w:tabs>
          <w:tab w:leader="none" w:pos="2158"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(including any such Lender that is a Defaulting Lender) directly affected thereby (other than with respect to the matters set forth in </w:t>
      </w:r>
      <w:r>
        <w:rPr>
          <w:rFonts w:ascii="Arial" w:cs="Arial" w:eastAsia="Arial" w:hAnsi="Arial"/>
          <w:sz w:val="18"/>
          <w:szCs w:val="18"/>
          <w:u w:val="single" w:color="auto"/>
          <w:color w:val="auto"/>
        </w:rPr>
        <w:t>clauses (ii)(x)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(ii)(y)</w:t>
      </w:r>
      <w:r>
        <w:rPr>
          <w:rFonts w:ascii="Arial" w:cs="Arial" w:eastAsia="Arial" w:hAnsi="Arial"/>
          <w:sz w:val="18"/>
          <w:szCs w:val="18"/>
          <w:color w:val="auto"/>
        </w:rPr>
        <w:t xml:space="preserve"> above);</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2323"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2.09(d)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or (d) in a manner that would alter the pro rata sharing of payments required thereby, without the written consent of each Lender (other than any Defaulting Lender);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071" w:val="left"/>
        </w:tabs>
        <w:numPr>
          <w:ilvl w:val="0"/>
          <w:numId w:val="481"/>
        </w:numPr>
        <w:rPr>
          <w:rFonts w:ascii="Arial" w:cs="Arial" w:eastAsia="Arial" w:hAnsi="Arial"/>
          <w:sz w:val="18"/>
          <w:szCs w:val="18"/>
          <w:color w:val="auto"/>
        </w:rPr>
      </w:pPr>
      <w:r>
        <w:rPr>
          <w:rFonts w:ascii="Arial" w:cs="Arial" w:eastAsia="Arial" w:hAnsi="Arial"/>
          <w:sz w:val="18"/>
          <w:szCs w:val="18"/>
          <w:color w:val="auto"/>
        </w:rPr>
        <w:t>change the definition of any Borrowing Base (or any defined terms used therein) in a manner that makes more credit available, increase the advance rates set forth in the definition of Borrowing Base or add new categories of eligible assets, in each case, without the written consent of each Lender (other than any Defaulting Lender);</w:t>
      </w:r>
    </w:p>
    <w:p>
      <w:pPr>
        <w:spacing w:after="0" w:line="183" w:lineRule="exact"/>
        <w:rPr>
          <w:rFonts w:ascii="Arial" w:cs="Arial" w:eastAsia="Arial" w:hAnsi="Arial"/>
          <w:sz w:val="18"/>
          <w:szCs w:val="18"/>
          <w:color w:val="auto"/>
        </w:rPr>
      </w:pPr>
    </w:p>
    <w:p>
      <w:pPr>
        <w:jc w:val="both"/>
        <w:ind w:left="660" w:firstLine="644"/>
        <w:spacing w:after="0" w:line="311" w:lineRule="auto"/>
        <w:tabs>
          <w:tab w:leader="none" w:pos="231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change any of the provisions of this Section or the definition of “</w:t>
      </w:r>
      <w:r>
        <w:rPr>
          <w:rFonts w:ascii="Arial" w:cs="Arial" w:eastAsia="Arial" w:hAnsi="Arial"/>
          <w:sz w:val="16"/>
          <w:szCs w:val="16"/>
          <w:u w:val="single" w:color="auto"/>
          <w:color w:val="auto"/>
        </w:rPr>
        <w:t>Required Lenders</w:t>
      </w:r>
      <w:r>
        <w:rPr>
          <w:rFonts w:ascii="Arial" w:cs="Arial" w:eastAsia="Arial" w:hAnsi="Arial"/>
          <w:sz w:val="16"/>
          <w:szCs w:val="16"/>
          <w:color w:val="auto"/>
        </w:rPr>
        <w:t>”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2252" w:val="left"/>
        </w:tabs>
        <w:numPr>
          <w:ilvl w:val="0"/>
          <w:numId w:val="481"/>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Loan Guaranty (except as otherwise permitted herein or in the other Loan Documents, including with respect to a sale, disposition or dissolution of a Loan Guarantor permitted herein), without the written consent of each Lender (other than any Defaulting Lender); or</w:t>
      </w:r>
    </w:p>
    <w:p>
      <w:pPr>
        <w:spacing w:after="0" w:line="183" w:lineRule="exact"/>
        <w:rPr>
          <w:rFonts w:ascii="Arial" w:cs="Arial" w:eastAsia="Arial" w:hAnsi="Arial"/>
          <w:sz w:val="18"/>
          <w:szCs w:val="18"/>
          <w:color w:val="auto"/>
        </w:rPr>
      </w:pPr>
    </w:p>
    <w:p>
      <w:pPr>
        <w:ind w:left="660" w:firstLine="644"/>
        <w:spacing w:after="0" w:line="277" w:lineRule="auto"/>
        <w:tabs>
          <w:tab w:leader="none" w:pos="2491"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this Section or in any Collateral Document, release all or substantially all of the Collateral, without the written consent of each Lender (other than any Defaulting Lender);</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shall require the consent of the Administrative Agent, each Issuing Bank and the Swingline Lender) and (B) no such agreement shall amend or modify the provisions of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any letter of credit application and any bilateral agreement between the Borrower Representative and the Issuing Bank regarding the Issuing Bank’s Issuing Bank Sublimit or the respective rights and obligations between any Borrower and the Issuing Bank in connection with the issuance of Letters of Credit without the prior written consent of the Administrative Agent and the Issuing Bank, respectively. The Administrative Agent may also amend the Commitment Schedule to reflect assignments entered into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8" w:name="page359"/>
    <w:bookmarkEnd w:id="358"/>
    <w:p>
      <w:pPr>
        <w:jc w:val="both"/>
        <w:ind w:left="840" w:firstLine="640"/>
        <w:spacing w:after="0" w:line="273" w:lineRule="auto"/>
        <w:tabs>
          <w:tab w:leader="none" w:pos="2241" w:val="left"/>
        </w:tabs>
        <w:numPr>
          <w:ilvl w:val="0"/>
          <w:numId w:val="482"/>
        </w:numPr>
        <w:rPr>
          <w:rFonts w:ascii="Arial" w:cs="Arial" w:eastAsia="Arial" w:hAnsi="Arial"/>
          <w:sz w:val="17"/>
          <w:szCs w:val="17"/>
          <w:color w:val="auto"/>
        </w:rPr>
      </w:pPr>
      <w:r>
        <w:rPr>
          <w:rFonts w:ascii="Arial" w:cs="Arial" w:eastAsia="Arial" w:hAnsi="Arial"/>
          <w:sz w:val="17"/>
          <w:szCs w:val="17"/>
          <w:color w:val="auto"/>
        </w:rPr>
        <w:t>Notwithstanding the foregoing, this Agreement and any other Loan Document may be amended (or amended and restated) with the written consent of the Required Lenders, the Administrative Agent and each Borrower (x) to add one or more credit facilities to this Agreement and to permit extensions of credit from time to time outstanding thereunder and the accrued interest and fees in respect thereof to share ratably in the benefits of this Agreement and the other Loan Documents with the Revolving Loans and the accrued interest and fees in respect thereof and (y) to include appropriately the Lenders holding such credit facilities in any determination of the Required Lenders and Lenders.</w:t>
      </w:r>
    </w:p>
    <w:p>
      <w:pPr>
        <w:spacing w:after="0" w:line="177" w:lineRule="exact"/>
        <w:rPr>
          <w:rFonts w:ascii="Arial" w:cs="Arial" w:eastAsia="Arial" w:hAnsi="Arial"/>
          <w:sz w:val="17"/>
          <w:szCs w:val="17"/>
          <w:color w:val="auto"/>
        </w:rPr>
      </w:pPr>
    </w:p>
    <w:p>
      <w:pPr>
        <w:jc w:val="both"/>
        <w:ind w:left="840" w:firstLine="640"/>
        <w:spacing w:after="0" w:line="284" w:lineRule="auto"/>
        <w:tabs>
          <w:tab w:leader="none" w:pos="2237" w:val="left"/>
        </w:tabs>
        <w:numPr>
          <w:ilvl w:val="0"/>
          <w:numId w:val="482"/>
        </w:numPr>
        <w:rPr>
          <w:rFonts w:ascii="Arial" w:cs="Arial" w:eastAsia="Arial" w:hAnsi="Arial"/>
          <w:sz w:val="16"/>
          <w:szCs w:val="16"/>
          <w:color w:val="auto"/>
        </w:rPr>
      </w:pPr>
      <w:r>
        <w:rPr>
          <w:rFonts w:ascii="Arial" w:cs="Arial" w:eastAsia="Arial" w:hAnsi="Arial"/>
          <w:sz w:val="16"/>
          <w:szCs w:val="16"/>
          <w:color w:val="auto"/>
        </w:rPr>
        <w:t xml:space="preserve">The Lenders and the Issuing Bank hereby irrevocably authorize the Administrative Agent, at its option and in its sole discretion, to release any Liens granted to the Administrative Agent by the Loan Parties on any Collateral (i) upon satisfaction of the Final Release Conditions,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(iii) constituting property leased to a Loan Party under a lease which has expired or been terminated in a transaction permitted under this Agreement, (iv) constituting Excluded Assets or (v) as required to effect any sale or other disposition of such Collateral in connection with any exercise of remedies of the Administrative Agent and the Lenders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Except as provided in the preceding sentence, the Administrative Agent will not release any Liens on Collateral without the prior written authorization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in its discretion, release its Liens on Collateral valued in the aggregate not in excess of $7,500,000 during any calendar year without the prior written authorization of the Required Lenders(it being agreed that the Administrative Agent may rely conclusively on one or more certificates of the Borrowers as to the value of any Collateral to be so released, without further inquiry). Any execution and delivery by the Administrative Agent of documents in connection with any such release shall be without recourse to or warranty by the Administrative Agent.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w:t>
      </w:r>
      <w:r>
        <w:rPr>
          <w:rFonts w:ascii="Arial" w:cs="Arial" w:eastAsia="Arial" w:hAnsi="Arial"/>
          <w:sz w:val="16"/>
          <w:szCs w:val="16"/>
          <w:u w:val="single" w:color="auto"/>
          <w:color w:val="auto"/>
        </w:rPr>
        <w:t>Section 6.02(e)</w:t>
      </w:r>
      <w:r>
        <w:rPr>
          <w:rFonts w:ascii="Arial" w:cs="Arial" w:eastAsia="Arial" w:hAnsi="Arial"/>
          <w:sz w:val="16"/>
          <w:szCs w:val="16"/>
          <w:color w:val="auto"/>
        </w:rPr>
        <w:t xml:space="preserve"> 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the holder of such other Indebtedness requires, as a condition to the extension of such credit, that the Liens on such assets granted to or held by the Administrative Agent under any Loan Document be released, to release the Administrative Agent’s Liens on such assets.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3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9" w:name="page360"/>
    <w:bookmarkEnd w:id="359"/>
    <w:p>
      <w:pPr>
        <w:jc w:val="both"/>
        <w:ind w:left="840" w:firstLine="640"/>
        <w:spacing w:after="0" w:line="284" w:lineRule="auto"/>
        <w:tabs>
          <w:tab w:leader="none" w:pos="2241"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Company may elect to replace a Non-Consenting Lender as a Lender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(ii) such Non-Consenting Lender shall have received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(2) an amount, if any, equal to the payment which would have been due to such Lender on the day of such replacement under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documents shall be without recourse to or warranty by the parties thereto.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0" w:name="page361"/>
    <w:bookmarkEnd w:id="360"/>
    <w:p>
      <w:pPr>
        <w:jc w:val="both"/>
        <w:ind w:left="840" w:firstLine="640"/>
        <w:spacing w:after="0" w:line="270" w:lineRule="auto"/>
        <w:tabs>
          <w:tab w:leader="none" w:pos="2437" w:val="left"/>
        </w:tabs>
        <w:numPr>
          <w:ilvl w:val="0"/>
          <w:numId w:val="484"/>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Administrative Agent may, with the consent of the Borrowers only, amend, modify or supplement this Agreement or any of the other Loan Documents (i) to correct, amend, resolve or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(iii) to effect the granting, perfection, protection, expansion or enhancement of any security interest in any Collateral or additional property to become Collateral for the benefit of the Secured Parties, (iv) to make administrative or operational changes not adverse to any Lender or (v) to add a guarantor or collateral or otherwise enhance the rights and benefits of the Lenders.</w:t>
      </w:r>
    </w:p>
    <w:p>
      <w:pPr>
        <w:spacing w:after="0" w:line="181" w:lineRule="exact"/>
        <w:rPr>
          <w:sz w:val="20"/>
          <w:szCs w:val="20"/>
          <w:color w:val="auto"/>
        </w:rPr>
      </w:pPr>
    </w:p>
    <w:p>
      <w:pPr>
        <w:ind w:left="840"/>
        <w:spacing w:after="0"/>
        <w:tabs>
          <w:tab w:leader="none" w:pos="224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Expenses; Indemnity; Damage Waiver.</w:t>
      </w:r>
    </w:p>
    <w:p>
      <w:pPr>
        <w:spacing w:after="0" w:line="225" w:lineRule="exact"/>
        <w:rPr>
          <w:sz w:val="20"/>
          <w:szCs w:val="20"/>
          <w:color w:val="auto"/>
        </w:rPr>
      </w:pPr>
    </w:p>
    <w:p>
      <w:pPr>
        <w:jc w:val="both"/>
        <w:ind w:left="840" w:firstLine="640"/>
        <w:spacing w:after="0" w:line="267" w:lineRule="auto"/>
        <w:tabs>
          <w:tab w:leader="none" w:pos="2349"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Loan Parties shall, jointly and severally, pay (i) all reasonable out-of-pocket expenses incurred by the Administrative Agent and the Lead Arranger and their respective Affiliates (including the reasonable and documented fees, disbursements and other charges of one primary counsel and one local counsel in each applicable jurisdiction for the Administrative Agent and the Lead Arranger and their respective Affiliates, in each case, for all such parties taken together) in connection with the syndication and distribution (including, without limitation, via the internet or through any Electronic System or Approved Electronic Platform)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out-of-pocket expenses incurred by the Administrative Agent, any Issuing Bank or any Lender (including the reasonable and documented fees, disbursements and other charges of one primary counsel and one local counsel in each applicable jurisdiction for the Administrative Agent, the Issuing Banks and the Lenders taken as a whole (and, in light of actual or potential conflicts of interest or the availability of different claims or defenses (as reasonably determined by the affected party), one additional firm of counsel to each group of similarly affected parties))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1" w:name="page362"/>
    <w:bookmarkEnd w:id="361"/>
    <w:p>
      <w:pPr>
        <w:jc w:val="both"/>
        <w:ind w:left="660" w:firstLine="644"/>
        <w:spacing w:after="0" w:line="263" w:lineRule="auto"/>
        <w:tabs>
          <w:tab w:leader="none" w:pos="207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 xml:space="preserve">subject to the limits set forth in </w:t>
      </w:r>
      <w:r>
        <w:rPr>
          <w:rFonts w:ascii="Arial" w:cs="Arial" w:eastAsia="Arial" w:hAnsi="Arial"/>
          <w:sz w:val="18"/>
          <w:szCs w:val="18"/>
          <w:u w:val="single" w:color="auto"/>
          <w:color w:val="auto"/>
        </w:rPr>
        <w:t>Sections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appraisals, field examinations and the preparation of Reports based on the fees charged by a third party retained by the Administrative Agent or the internally allocated fees for each Person employed by the Administrative Agent with respect to each appraisal and field examination;</w:t>
      </w:r>
    </w:p>
    <w:p>
      <w:pPr>
        <w:spacing w:after="0" w:line="183" w:lineRule="exact"/>
        <w:rPr>
          <w:rFonts w:ascii="Arial" w:cs="Arial" w:eastAsia="Arial" w:hAnsi="Arial"/>
          <w:sz w:val="18"/>
          <w:szCs w:val="18"/>
          <w:color w:val="auto"/>
        </w:rPr>
      </w:pPr>
    </w:p>
    <w:p>
      <w:pPr>
        <w:ind w:left="660" w:firstLine="644"/>
        <w:spacing w:after="0" w:line="277" w:lineRule="auto"/>
        <w:tabs>
          <w:tab w:leader="none" w:pos="206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background checks regarding senior management of the Loan Parties, as deemed necessary or appropriate in the sole discretion of the Administrative Agent;</w:t>
      </w:r>
    </w:p>
    <w:p>
      <w:pPr>
        <w:spacing w:after="0" w:line="170" w:lineRule="exact"/>
        <w:rPr>
          <w:rFonts w:ascii="Arial" w:cs="Arial" w:eastAsia="Arial" w:hAnsi="Arial"/>
          <w:sz w:val="18"/>
          <w:szCs w:val="18"/>
          <w:color w:val="auto"/>
        </w:rPr>
      </w:pPr>
    </w:p>
    <w:p>
      <w:pPr>
        <w:ind w:left="660" w:firstLine="644"/>
        <w:spacing w:after="0" w:line="308" w:lineRule="auto"/>
        <w:tabs>
          <w:tab w:leader="none" w:pos="2109" w:val="left"/>
        </w:tabs>
        <w:numPr>
          <w:ilvl w:val="0"/>
          <w:numId w:val="486"/>
        </w:numPr>
        <w:rPr>
          <w:rFonts w:ascii="Arial" w:cs="Arial" w:eastAsia="Arial" w:hAnsi="Arial"/>
          <w:sz w:val="17"/>
          <w:szCs w:val="17"/>
          <w:color w:val="auto"/>
        </w:rPr>
      </w:pPr>
      <w:r>
        <w:rPr>
          <w:rFonts w:ascii="Arial" w:cs="Arial" w:eastAsia="Arial" w:hAnsi="Arial"/>
          <w:sz w:val="17"/>
          <w:szCs w:val="17"/>
          <w:color w:val="auto"/>
        </w:rPr>
        <w:t>Other Taxes, fees and other charges for (A) lien and title searches and title insurance and (B) recording the Mortgages, filing financing statements and continuations, and other actions to perfect, protect, and continue the Administrative Agent’s Liens;</w:t>
      </w:r>
    </w:p>
    <w:p>
      <w:pPr>
        <w:spacing w:after="0" w:line="146" w:lineRule="exact"/>
        <w:rPr>
          <w:rFonts w:ascii="Arial" w:cs="Arial" w:eastAsia="Arial" w:hAnsi="Arial"/>
          <w:sz w:val="17"/>
          <w:szCs w:val="17"/>
          <w:color w:val="auto"/>
        </w:rPr>
      </w:pPr>
    </w:p>
    <w:p>
      <w:pPr>
        <w:ind w:left="2100" w:hanging="796"/>
        <w:spacing w:after="0"/>
        <w:tabs>
          <w:tab w:leader="none" w:pos="210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sums paid or incurred to take any action required of any Loan Party under the Loan Documents that such Loan Party fails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pay or take; and</w:t>
      </w:r>
    </w:p>
    <w:p>
      <w:pPr>
        <w:spacing w:after="0" w:line="210" w:lineRule="exact"/>
        <w:rPr>
          <w:rFonts w:ascii="Arial" w:cs="Arial" w:eastAsia="Arial" w:hAnsi="Arial"/>
          <w:sz w:val="16"/>
          <w:szCs w:val="16"/>
          <w:color w:val="auto"/>
        </w:rPr>
      </w:pPr>
    </w:p>
    <w:p>
      <w:pPr>
        <w:ind w:left="660" w:firstLine="644"/>
        <w:spacing w:after="0" w:line="277" w:lineRule="auto"/>
        <w:tabs>
          <w:tab w:leader="none" w:pos="196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forwarding loan proceeds, collecting checks and other items of payment, and establishing and maintaining the accounts and lock boxes, and costs and expenses of preserving and protecting the Collateral.</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All of the foregoing fees, costs and expenses may be charged to the Company as Revolving Loans or to another deposit account, all as described in </w:t>
      </w:r>
      <w:r>
        <w:rPr>
          <w:rFonts w:ascii="Arial" w:cs="Arial" w:eastAsia="Arial" w:hAnsi="Arial"/>
          <w:sz w:val="18"/>
          <w:szCs w:val="18"/>
          <w:u w:val="single" w:color="auto"/>
          <w:color w:val="auto"/>
        </w:rPr>
        <w:t>Section 2.18(c)</w:t>
      </w:r>
      <w:r>
        <w:rPr>
          <w:rFonts w:ascii="Arial" w:cs="Arial" w:eastAsia="Arial" w:hAnsi="Arial"/>
          <w:sz w:val="18"/>
          <w:szCs w:val="18"/>
          <w:color w:val="auto"/>
        </w:rPr>
        <w:t>.</w:t>
      </w:r>
    </w:p>
    <w:p>
      <w:pPr>
        <w:spacing w:after="0" w:line="170" w:lineRule="exact"/>
        <w:rPr>
          <w:sz w:val="20"/>
          <w:szCs w:val="20"/>
          <w:color w:val="auto"/>
        </w:rPr>
      </w:pPr>
    </w:p>
    <w:p>
      <w:pPr>
        <w:jc w:val="both"/>
        <w:ind w:left="1960" w:firstLine="640"/>
        <w:spacing w:after="0" w:line="284" w:lineRule="auto"/>
        <w:tabs>
          <w:tab w:leader="none" w:pos="3695"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Loan Parties shall, jointly and severally, indemnify the Administrative Agent, the Arranger, the Syndication Agent,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penalties, incremental taxes, liabilities and related expenses (including the reasonable and documented fees, charges and disbursements and other charges of (x) one primary counsel and one local counsel in each applicable jurisdiction, in each case for the Indemnitees taken as a whole and (y) one additional counsel for each affected Indemnitee in light of actual or potential conflicts of interest or the availability of different claims or defenses)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(iv) the failure of a Loan Party to deliver to the Administrative Agent the required receipts or other required documentary evidence with respect to a payment made by a Loan Party for Taxes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(v) any actual or prospective claim, litigation, investigation, arbitration or proceeding relating to any of the foregoing, whether or not such claim, litigation, investigation, arbitration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(x) the gross negligence or willful misconduct of such Indemnitee or (y) the material breach in bad faith by such Indemnitee of its express obligations under this Agreement pursuant to a claim initiated by the Company. This </w:t>
      </w:r>
      <w:r>
        <w:rPr>
          <w:rFonts w:ascii="Arial" w:cs="Arial" w:eastAsia="Arial" w:hAnsi="Arial"/>
          <w:sz w:val="16"/>
          <w:szCs w:val="16"/>
          <w:u w:val="single" w:color="auto"/>
          <w:color w:val="auto"/>
        </w:rPr>
        <w:t>Section 9.03(b)</w:t>
      </w:r>
      <w:r>
        <w:rPr>
          <w:rFonts w:ascii="Arial" w:cs="Arial" w:eastAsia="Arial" w:hAnsi="Arial"/>
          <w:sz w:val="16"/>
          <w:szCs w:val="16"/>
          <w:color w:val="auto"/>
        </w:rPr>
        <w:t xml:space="preserve"> shall not apply with respect to Taxes other than any Taxes that represent losses, claims or damages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2" w:name="page363"/>
    <w:bookmarkEnd w:id="362"/>
    <w:p>
      <w:pPr>
        <w:ind w:left="2380" w:hanging="900"/>
        <w:spacing w:after="0"/>
        <w:tabs>
          <w:tab w:leader="none" w:pos="2380" w:val="left"/>
        </w:tabs>
        <w:numPr>
          <w:ilvl w:val="1"/>
          <w:numId w:val="488"/>
        </w:numPr>
        <w:rPr>
          <w:rFonts w:ascii="Arial" w:cs="Arial" w:eastAsia="Arial" w:hAnsi="Arial"/>
          <w:sz w:val="16"/>
          <w:szCs w:val="16"/>
          <w:color w:val="auto"/>
        </w:rPr>
      </w:pPr>
      <w:r>
        <w:rPr>
          <w:rFonts w:ascii="Arial" w:cs="Arial" w:eastAsia="Arial" w:hAnsi="Arial"/>
          <w:sz w:val="16"/>
          <w:szCs w:val="16"/>
          <w:color w:val="auto"/>
        </w:rPr>
        <w:t xml:space="preserve">Each Lender severally agrees to pay any amount required to be paid by any Loan Party under </w:t>
      </w:r>
      <w:r>
        <w:rPr>
          <w:rFonts w:ascii="Arial" w:cs="Arial" w:eastAsia="Arial" w:hAnsi="Arial"/>
          <w:sz w:val="16"/>
          <w:szCs w:val="16"/>
          <w:u w:val="single" w:color="auto"/>
          <w:color w:val="auto"/>
        </w:rPr>
        <w:t>paragraph</w:t>
      </w:r>
    </w:p>
    <w:p>
      <w:pPr>
        <w:spacing w:after="0" w:line="46" w:lineRule="exact"/>
        <w:rPr>
          <w:rFonts w:ascii="Arial" w:cs="Arial" w:eastAsia="Arial" w:hAnsi="Arial"/>
          <w:sz w:val="16"/>
          <w:szCs w:val="16"/>
          <w:color w:val="auto"/>
        </w:rPr>
      </w:pPr>
    </w:p>
    <w:p>
      <w:pPr>
        <w:jc w:val="both"/>
        <w:ind w:left="840" w:hanging="8"/>
        <w:spacing w:after="0" w:line="284" w:lineRule="auto"/>
        <w:tabs>
          <w:tab w:leader="none" w:pos="1085" w:val="left"/>
        </w:tabs>
        <w:numPr>
          <w:ilvl w:val="0"/>
          <w:numId w:val="489"/>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to the Administrative Agent, each Issuing Bank and the Swingline Lender, and each Related Party of any of the foregoing Persons (each, an “</w:t>
      </w:r>
      <w:r>
        <w:rPr>
          <w:rFonts w:ascii="Arial" w:cs="Arial" w:eastAsia="Arial" w:hAnsi="Arial"/>
          <w:sz w:val="16"/>
          <w:szCs w:val="16"/>
          <w:u w:val="single" w:color="auto"/>
          <w:color w:val="auto"/>
        </w:rPr>
        <w:t>Agent Indemnitee</w:t>
      </w:r>
      <w:r>
        <w:rPr>
          <w:rFonts w:ascii="Arial" w:cs="Arial" w:eastAsia="Arial" w:hAnsi="Arial"/>
          <w:sz w:val="16"/>
          <w:szCs w:val="16"/>
          <w:color w:val="auto"/>
        </w:rPr>
        <w:t xml:space="preserve">”) (to the extent not reimbursed by a Loan Party and without limiting the obligation of any Loan Party to do so), ratably according to their respective Applicable Percentage in effect on the date on which indemnification is sought under this Section (or, if indemnification is sought after the date upon which the Commitments shall have terminated and the Loans shall have been paid in full, ratably in accordance with such Applicable Percentage immediately prior to such date), from and against any and all losses, claims, damages,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such Agent Indemnitee in its capacity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until satisfaction of the Final Release Conditions.</w:t>
      </w:r>
    </w:p>
    <w:p>
      <w:pPr>
        <w:spacing w:after="0" w:line="3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3" w:name="page364"/>
    <w:bookmarkEnd w:id="363"/>
    <w:p>
      <w:pPr>
        <w:jc w:val="both"/>
        <w:ind w:left="840" w:firstLine="640"/>
        <w:spacing w:after="0" w:line="287" w:lineRule="auto"/>
        <w:tabs>
          <w:tab w:leader="none" w:pos="2345" w:val="left"/>
        </w:tabs>
        <w:numPr>
          <w:ilvl w:val="0"/>
          <w:numId w:val="490"/>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no Loan Party shall assert, and each Loan Party hereby waives, any claim against any Indemnitee (i) for any damages arising from the use by others of information or other materials obtained through telecommunications, electronic or other information transmission systems (including the Internet) other than actual or direct damages that are determined by a court of competent jurisdiction by final and nonappealable judgment to have resulted from the gross negligence or willful misconduct of such Indemnitee or any of its Related Parties. To the extent permitted by applicable law, no Indemnitee shall assert against any Loan Party or its Related Parties and no Loan Party shall assert against any Indemnitee, and each Indemnitee and Loan Party hereby waives, any claim,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in this sentence shall limit the Company’s indemnity obligations to the extent set forth in </w:t>
      </w:r>
      <w:r>
        <w:rPr>
          <w:rFonts w:ascii="Arial" w:cs="Arial" w:eastAsia="Arial" w:hAnsi="Arial"/>
          <w:sz w:val="16"/>
          <w:szCs w:val="16"/>
          <w:u w:val="single" w:color="auto"/>
          <w:color w:val="auto"/>
        </w:rPr>
        <w:t>Section 9.03(b)</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2360" w:hanging="880"/>
        <w:spacing w:after="0"/>
        <w:tabs>
          <w:tab w:leader="none" w:pos="236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All amounts due under this Section shall be payable not later than fifteen (15) days after written demand</w:t>
      </w:r>
    </w:p>
    <w:p>
      <w:pPr>
        <w:spacing w:after="0" w:line="4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8"/>
          <w:szCs w:val="18"/>
          <w:color w:val="auto"/>
        </w:rPr>
        <w:t>therefor.</w:t>
      </w:r>
    </w:p>
    <w:p>
      <w:pPr>
        <w:spacing w:after="0" w:line="211" w:lineRule="exact"/>
        <w:rPr>
          <w:sz w:val="20"/>
          <w:szCs w:val="20"/>
          <w:color w:val="auto"/>
        </w:rPr>
      </w:pPr>
    </w:p>
    <w:p>
      <w:pPr>
        <w:ind w:left="840"/>
        <w:spacing w:after="0"/>
        <w:tabs>
          <w:tab w:leader="none" w:pos="22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color w:val="auto"/>
        </w:rPr>
        <w:t>Successors and Assigns.</w:t>
      </w:r>
    </w:p>
    <w:p>
      <w:pPr>
        <w:spacing w:after="0" w:line="225" w:lineRule="exact"/>
        <w:rPr>
          <w:sz w:val="20"/>
          <w:szCs w:val="20"/>
          <w:color w:val="auto"/>
        </w:rPr>
      </w:pPr>
    </w:p>
    <w:p>
      <w:pPr>
        <w:jc w:val="both"/>
        <w:ind w:left="840" w:firstLine="640"/>
        <w:spacing w:after="0" w:line="269" w:lineRule="auto"/>
        <w:tabs>
          <w:tab w:leader="none" w:pos="2227" w:val="left"/>
        </w:tabs>
        <w:numPr>
          <w:ilvl w:val="0"/>
          <w:numId w:val="491"/>
        </w:numPr>
        <w:rPr>
          <w:rFonts w:ascii="Arial" w:cs="Arial" w:eastAsia="Arial" w:hAnsi="Arial"/>
          <w:sz w:val="17"/>
          <w:szCs w:val="17"/>
          <w:color w:val="auto"/>
        </w:rPr>
      </w:pPr>
      <w:r>
        <w:rPr>
          <w:rFonts w:ascii="Arial" w:cs="Arial" w:eastAsia="Arial" w:hAnsi="Arial"/>
          <w:sz w:val="17"/>
          <w:szCs w:val="17"/>
          <w:color w:val="auto"/>
        </w:rPr>
        <w:t xml:space="preserve">The provisions of this Agreement shall be binding upon and inure to the benefit of the parties hereto and their respective successors and assigns permitted hereby (including any Affiliate of the relevant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relevant Issuing Bank that issues any Letter of Credit), Participants (to the extent provided in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200" w:lineRule="exact"/>
        <w:rPr>
          <w:sz w:val="20"/>
          <w:szCs w:val="20"/>
          <w:color w:val="auto"/>
        </w:rPr>
      </w:pPr>
    </w:p>
    <w:p>
      <w:pPr>
        <w:spacing w:after="0" w:line="20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4" w:name="page365"/>
    <w:bookmarkEnd w:id="364"/>
    <w:p>
      <w:pPr>
        <w:jc w:val="both"/>
        <w:ind w:left="840" w:firstLine="640"/>
        <w:spacing w:after="0" w:line="259" w:lineRule="auto"/>
        <w:tabs>
          <w:tab w:leader="none" w:pos="2426" w:val="left"/>
        </w:tabs>
        <w:numPr>
          <w:ilvl w:val="2"/>
          <w:numId w:val="492"/>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w:t>
      </w:r>
      <w:r>
        <w:rPr>
          <w:rFonts w:ascii="Arial" w:cs="Arial" w:eastAsia="Arial" w:hAnsi="Arial"/>
          <w:sz w:val="18"/>
          <w:szCs w:val="18"/>
          <w:u w:val="single" w:color="auto"/>
          <w:color w:val="auto"/>
        </w:rPr>
        <w:t>paragraph (b)(ii)</w:t>
      </w:r>
      <w:r>
        <w:rPr>
          <w:rFonts w:ascii="Arial" w:cs="Arial" w:eastAsia="Arial" w:hAnsi="Arial"/>
          <w:sz w:val="18"/>
          <w:szCs w:val="18"/>
          <w:color w:val="auto"/>
        </w:rPr>
        <w:t xml:space="preserve"> 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of:</w:t>
      </w:r>
    </w:p>
    <w:p>
      <w:pPr>
        <w:spacing w:after="0" w:line="186" w:lineRule="exact"/>
        <w:rPr>
          <w:rFonts w:ascii="Arial" w:cs="Arial" w:eastAsia="Arial" w:hAnsi="Arial"/>
          <w:sz w:val="18"/>
          <w:szCs w:val="18"/>
          <w:color w:val="auto"/>
        </w:rPr>
      </w:pPr>
    </w:p>
    <w:p>
      <w:pPr>
        <w:jc w:val="both"/>
        <w:ind w:left="180" w:firstLine="652"/>
        <w:spacing w:after="0" w:line="279" w:lineRule="auto"/>
        <w:tabs>
          <w:tab w:leader="none" w:pos="1739" w:val="left"/>
        </w:tabs>
        <w:numPr>
          <w:ilvl w:val="1"/>
          <w:numId w:val="493"/>
        </w:numPr>
        <w:rPr>
          <w:rFonts w:ascii="Arial" w:cs="Arial" w:eastAsia="Arial" w:hAnsi="Arial"/>
          <w:sz w:val="17"/>
          <w:szCs w:val="17"/>
          <w:color w:val="auto"/>
        </w:rPr>
      </w:pPr>
      <w:r>
        <w:rPr>
          <w:rFonts w:ascii="Arial" w:cs="Arial" w:eastAsia="Arial" w:hAnsi="Arial"/>
          <w:sz w:val="17"/>
          <w:szCs w:val="17"/>
          <w:color w:val="auto"/>
        </w:rPr>
        <w:t xml:space="preserve">the Borrower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Representative shall be deemed to have consented to any assignment unless it shall object thereto by written notice to the Administrative Agent within five (5) Business Days after having received notice thereof and (ii) no consent of the Borrower Representative shall be required for an assignment to a Lender, an Affiliate of a Lender, an Approved Fund or, if an Event of Default has occurred and is continuing, any other assignee;</w:t>
      </w:r>
    </w:p>
    <w:p>
      <w:pPr>
        <w:spacing w:after="0" w:line="171" w:lineRule="exact"/>
        <w:rPr>
          <w:rFonts w:ascii="Arial" w:cs="Arial" w:eastAsia="Arial" w:hAnsi="Arial"/>
          <w:sz w:val="17"/>
          <w:szCs w:val="17"/>
          <w:color w:val="auto"/>
        </w:rPr>
      </w:pPr>
    </w:p>
    <w:p>
      <w:pPr>
        <w:ind w:left="1620" w:hanging="788"/>
        <w:spacing w:after="0"/>
        <w:tabs>
          <w:tab w:leader="none" w:pos="162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225" w:lineRule="exact"/>
        <w:rPr>
          <w:rFonts w:ascii="Arial" w:cs="Arial" w:eastAsia="Arial" w:hAnsi="Arial"/>
          <w:sz w:val="18"/>
          <w:szCs w:val="18"/>
          <w:color w:val="auto"/>
        </w:rPr>
      </w:pPr>
    </w:p>
    <w:p>
      <w:pPr>
        <w:ind w:left="1620" w:hanging="788"/>
        <w:spacing w:after="0"/>
        <w:tabs>
          <w:tab w:leader="none" w:pos="162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each Issuing Bank; and</w:t>
      </w:r>
    </w:p>
    <w:p>
      <w:pPr>
        <w:spacing w:after="0" w:line="225" w:lineRule="exact"/>
        <w:rPr>
          <w:rFonts w:ascii="Arial" w:cs="Arial" w:eastAsia="Arial" w:hAnsi="Arial"/>
          <w:sz w:val="18"/>
          <w:szCs w:val="18"/>
          <w:color w:val="auto"/>
        </w:rPr>
      </w:pPr>
    </w:p>
    <w:p>
      <w:pPr>
        <w:ind w:left="1620" w:hanging="788"/>
        <w:spacing w:after="0"/>
        <w:tabs>
          <w:tab w:leader="none" w:pos="162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the Swingline Lender.</w:t>
      </w:r>
    </w:p>
    <w:p>
      <w:pPr>
        <w:spacing w:after="0" w:line="225" w:lineRule="exact"/>
        <w:rPr>
          <w:rFonts w:ascii="Arial" w:cs="Arial" w:eastAsia="Arial" w:hAnsi="Arial"/>
          <w:sz w:val="18"/>
          <w:szCs w:val="18"/>
          <w:color w:val="auto"/>
        </w:rPr>
      </w:pPr>
    </w:p>
    <w:p>
      <w:pPr>
        <w:ind w:left="940" w:hanging="756"/>
        <w:spacing w:after="0"/>
        <w:tabs>
          <w:tab w:leader="none" w:pos="9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jc w:val="both"/>
        <w:ind w:left="180" w:firstLine="652"/>
        <w:spacing w:after="0" w:line="255" w:lineRule="auto"/>
        <w:tabs>
          <w:tab w:leader="none" w:pos="1645" w:val="left"/>
        </w:tabs>
        <w:numPr>
          <w:ilvl w:val="1"/>
          <w:numId w:val="494"/>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Representative shall be required if an Event of Default has occurred and is continuing;</w:t>
      </w:r>
    </w:p>
    <w:p>
      <w:pPr>
        <w:spacing w:after="0" w:line="192" w:lineRule="exact"/>
        <w:rPr>
          <w:rFonts w:ascii="Arial" w:cs="Arial" w:eastAsia="Arial" w:hAnsi="Arial"/>
          <w:sz w:val="18"/>
          <w:szCs w:val="18"/>
          <w:color w:val="auto"/>
        </w:rPr>
      </w:pPr>
    </w:p>
    <w:p>
      <w:pPr>
        <w:ind w:left="180" w:right="20" w:firstLine="652"/>
        <w:spacing w:after="0" w:line="277" w:lineRule="auto"/>
        <w:tabs>
          <w:tab w:leader="none" w:pos="1608" w:val="left"/>
        </w:tabs>
        <w:numPr>
          <w:ilvl w:val="1"/>
          <w:numId w:val="494"/>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170" w:lineRule="exact"/>
        <w:rPr>
          <w:rFonts w:ascii="Arial" w:cs="Arial" w:eastAsia="Arial" w:hAnsi="Arial"/>
          <w:sz w:val="18"/>
          <w:szCs w:val="18"/>
          <w:color w:val="auto"/>
        </w:rPr>
      </w:pPr>
    </w:p>
    <w:p>
      <w:pPr>
        <w:jc w:val="both"/>
        <w:ind w:left="180" w:firstLine="652"/>
        <w:spacing w:after="0" w:line="253" w:lineRule="auto"/>
        <w:tabs>
          <w:tab w:leader="none" w:pos="1932" w:val="left"/>
        </w:tabs>
        <w:numPr>
          <w:ilvl w:val="1"/>
          <w:numId w:val="494"/>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(unless waived by the Administrative Agent), such fee to be paid by either the assigning Lender or the assignee Lender or shared between such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only one such processing and recordation fee shall be payable in the event of simultaneous assignments and delegations from any Lender or its Approved Funds to one or more other Approved Funds of such Lender and (2) with respect to any assignment and delegation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9.02(e)</w:t>
      </w:r>
      <w:r>
        <w:rPr>
          <w:rFonts w:ascii="Arial" w:cs="Arial" w:eastAsia="Arial" w:hAnsi="Arial"/>
          <w:sz w:val="18"/>
          <w:szCs w:val="18"/>
          <w:color w:val="auto"/>
        </w:rPr>
        <w:t>, the parties hereto agree that such assignment and delegation may be effected pursuant to an Assignment and Assumption executed by the Company, the Administrative Agent and the assignee and that the Lender required to make such assignment and delegation need not be a party thereto; and</w:t>
      </w: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5" w:name="page366"/>
    <w:bookmarkEnd w:id="365"/>
    <w:p>
      <w:pPr>
        <w:jc w:val="both"/>
        <w:ind w:left="1300" w:firstLine="652"/>
        <w:spacing w:after="0" w:line="301" w:lineRule="auto"/>
        <w:tabs>
          <w:tab w:leader="none" w:pos="2778" w:val="left"/>
        </w:tabs>
        <w:numPr>
          <w:ilvl w:val="0"/>
          <w:numId w:val="495"/>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 Administrative Questionnaire in which the assignee designates one or more credit contacts to whom all syndicate-level information (which may contain MNPI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9.04(b)</w:t>
      </w:r>
      <w:r>
        <w:rPr>
          <w:rFonts w:ascii="Arial" w:cs="Arial" w:eastAsia="Arial" w:hAnsi="Arial"/>
          <w:sz w:val="18"/>
          <w:szCs w:val="18"/>
          <w:color w:val="auto"/>
        </w:rPr>
        <w:t>, the terms “</w:t>
      </w:r>
      <w:r>
        <w:rPr>
          <w:rFonts w:ascii="Arial" w:cs="Arial" w:eastAsia="Arial" w:hAnsi="Arial"/>
          <w:sz w:val="18"/>
          <w:szCs w:val="18"/>
          <w:u w:val="single" w:color="auto"/>
          <w:color w:val="auto"/>
        </w:rPr>
        <w:t>Approved Fund</w:t>
      </w:r>
      <w:r>
        <w:rPr>
          <w:rFonts w:ascii="Arial" w:cs="Arial" w:eastAsia="Arial" w:hAnsi="Arial"/>
          <w:sz w:val="18"/>
          <w:szCs w:val="18"/>
          <w:color w:val="auto"/>
        </w:rPr>
        <w:t>” and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have the following meanings: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Institution</w:t>
      </w:r>
      <w:r>
        <w:rPr>
          <w:rFonts w:ascii="Arial" w:cs="Arial" w:eastAsia="Arial" w:hAnsi="Arial"/>
          <w:sz w:val="16"/>
          <w:szCs w:val="16"/>
          <w:color w:val="auto"/>
        </w:rPr>
        <w:t>” means (a) a natural person, (b) a Defaulting Lender or its Lender Parent, (c) the Borrowers, any of their Subsidiaries or any of their Affiliates, (d) a company, investment vehicle or trust for, or owned and operated for the primary benefit of, a natural person or relative(s) thereof or</w:t>
      </w:r>
    </w:p>
    <w:p>
      <w:pPr>
        <w:ind w:left="260" w:hanging="252"/>
        <w:spacing w:after="0"/>
        <w:tabs>
          <w:tab w:leader="none" w:pos="2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 Disqualified Lender.</w:t>
      </w:r>
    </w:p>
    <w:p>
      <w:pPr>
        <w:spacing w:after="0" w:line="210" w:lineRule="exact"/>
        <w:rPr>
          <w:rFonts w:ascii="Arial" w:cs="Arial" w:eastAsia="Arial" w:hAnsi="Arial"/>
          <w:sz w:val="18"/>
          <w:szCs w:val="18"/>
          <w:color w:val="auto"/>
        </w:rPr>
      </w:pPr>
    </w:p>
    <w:p>
      <w:pPr>
        <w:jc w:val="both"/>
        <w:ind w:left="660" w:firstLine="644"/>
        <w:spacing w:after="0" w:line="290" w:lineRule="auto"/>
        <w:tabs>
          <w:tab w:leader="none" w:pos="2253" w:val="left"/>
        </w:tabs>
        <w:numPr>
          <w:ilvl w:val="1"/>
          <w:numId w:val="496"/>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paragraph (b)(iv)</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w:t>
      </w:r>
    </w:p>
    <w:p>
      <w:pPr>
        <w:spacing w:after="0" w:line="165" w:lineRule="exact"/>
        <w:rPr>
          <w:rFonts w:ascii="Arial" w:cs="Arial" w:eastAsia="Arial" w:hAnsi="Arial"/>
          <w:sz w:val="16"/>
          <w:szCs w:val="16"/>
          <w:color w:val="auto"/>
        </w:rPr>
      </w:pPr>
    </w:p>
    <w:p>
      <w:pPr>
        <w:jc w:val="both"/>
        <w:ind w:left="660" w:firstLine="644"/>
        <w:spacing w:after="0" w:line="291" w:lineRule="auto"/>
        <w:tabs>
          <w:tab w:leader="none" w:pos="2283" w:val="left"/>
        </w:tabs>
        <w:numPr>
          <w:ilvl w:val="1"/>
          <w:numId w:val="496"/>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6" w:name="page367"/>
    <w:bookmarkEnd w:id="366"/>
    <w:p>
      <w:pPr>
        <w:ind w:left="1544" w:hanging="896"/>
        <w:spacing w:after="0"/>
        <w:tabs>
          <w:tab w:leader="none" w:pos="1544" w:val="left"/>
        </w:tabs>
        <w:numPr>
          <w:ilvl w:val="1"/>
          <w:numId w:val="497"/>
        </w:numPr>
        <w:rPr>
          <w:rFonts w:ascii="Arial" w:cs="Arial" w:eastAsia="Arial" w:hAnsi="Arial"/>
          <w:sz w:val="16"/>
          <w:szCs w:val="16"/>
          <w:color w:val="auto"/>
        </w:rPr>
      </w:pPr>
      <w:r>
        <w:rPr>
          <w:rFonts w:ascii="Arial" w:cs="Arial" w:eastAsia="Arial" w:hAnsi="Arial"/>
          <w:sz w:val="16"/>
          <w:szCs w:val="16"/>
          <w:color w:val="auto"/>
        </w:rPr>
        <w:t>Upon its receipt of (x) a duly completed Assignment and Assumption executed by an assigning Lender and an assignee or</w:t>
      </w:r>
    </w:p>
    <w:p>
      <w:pPr>
        <w:spacing w:after="0" w:line="46" w:lineRule="exact"/>
        <w:rPr>
          <w:rFonts w:ascii="Arial" w:cs="Arial" w:eastAsia="Arial" w:hAnsi="Arial"/>
          <w:sz w:val="16"/>
          <w:szCs w:val="16"/>
          <w:color w:val="auto"/>
        </w:rPr>
      </w:pPr>
    </w:p>
    <w:p>
      <w:pPr>
        <w:jc w:val="both"/>
        <w:ind w:left="4" w:hanging="4"/>
        <w:spacing w:after="0" w:line="268" w:lineRule="auto"/>
        <w:tabs>
          <w:tab w:leader="none" w:pos="284" w:val="left"/>
        </w:tabs>
        <w:numPr>
          <w:ilvl w:val="0"/>
          <w:numId w:val="498"/>
        </w:numPr>
        <w:rPr>
          <w:rFonts w:ascii="Arial" w:cs="Arial" w:eastAsia="Arial" w:hAnsi="Arial"/>
          <w:sz w:val="17"/>
          <w:szCs w:val="17"/>
          <w:color w:val="auto"/>
        </w:rPr>
      </w:pPr>
      <w:r>
        <w:rPr>
          <w:rFonts w:ascii="Arial" w:cs="Arial" w:eastAsia="Arial" w:hAnsi="Arial"/>
          <w:sz w:val="17"/>
          <w:szCs w:val="17"/>
          <w:color w:val="auto"/>
        </w:rPr>
        <w:t xml:space="preserve">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any written consent to such assignment required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the Administrative Agent shall accept such Assignment and Assumption and record the information contained therein in the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the assigning Lender or the assignee shall have failed to make any payment required to be made by it pursuant to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w:t>
      </w:r>
      <w:r>
        <w:rPr>
          <w:rFonts w:ascii="Arial" w:cs="Arial" w:eastAsia="Arial" w:hAnsi="Arial"/>
          <w:sz w:val="17"/>
          <w:szCs w:val="17"/>
          <w:u w:val="single" w:color="auto"/>
          <w:color w:val="auto"/>
        </w:rPr>
        <w:t>2.06(d)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2.07(b)</w:t>
      </w:r>
      <w:r>
        <w:rPr>
          <w:rFonts w:ascii="Arial" w:cs="Arial" w:eastAsia="Arial" w:hAnsi="Arial"/>
          <w:sz w:val="17"/>
          <w:szCs w:val="17"/>
          <w:color w:val="auto"/>
        </w:rPr>
        <w:t xml:space="preserve">, </w:t>
      </w:r>
      <w:r>
        <w:rPr>
          <w:rFonts w:ascii="Arial" w:cs="Arial" w:eastAsia="Arial" w:hAnsi="Arial"/>
          <w:sz w:val="17"/>
          <w:szCs w:val="17"/>
          <w:u w:val="single" w:color="auto"/>
          <w:color w:val="auto"/>
        </w:rPr>
        <w:t>2.18(d)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9.03(c)</w:t>
      </w:r>
      <w:r>
        <w:rPr>
          <w:rFonts w:ascii="Arial" w:cs="Arial" w:eastAsia="Arial" w:hAnsi="Arial"/>
          <w:sz w:val="17"/>
          <w:szCs w:val="17"/>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1" w:lineRule="exact"/>
        <w:rPr>
          <w:rFonts w:ascii="Arial" w:cs="Arial" w:eastAsia="Arial" w:hAnsi="Arial"/>
          <w:sz w:val="17"/>
          <w:szCs w:val="17"/>
          <w:color w:val="auto"/>
        </w:rPr>
      </w:pPr>
    </w:p>
    <w:p>
      <w:pPr>
        <w:jc w:val="both"/>
        <w:ind w:left="1304" w:firstLine="640"/>
        <w:spacing w:after="0" w:line="283" w:lineRule="auto"/>
        <w:tabs>
          <w:tab w:leader="none" w:pos="2772" w:val="left"/>
        </w:tabs>
        <w:numPr>
          <w:ilvl w:val="2"/>
          <w:numId w:val="498"/>
        </w:numPr>
        <w:rPr>
          <w:rFonts w:ascii="Arial" w:cs="Arial" w:eastAsia="Arial" w:hAnsi="Arial"/>
          <w:sz w:val="16"/>
          <w:szCs w:val="16"/>
          <w:color w:val="auto"/>
        </w:rPr>
      </w:pPr>
      <w:r>
        <w:rPr>
          <w:rFonts w:ascii="Arial" w:cs="Arial" w:eastAsia="Arial" w:hAnsi="Arial"/>
          <w:sz w:val="16"/>
          <w:szCs w:val="16"/>
          <w:color w:val="auto"/>
        </w:rPr>
        <w:t>Any Lender may, without the consent of, or notice to, any Borrower, the Administrative Agent, the Issuing Banks or the Swingline Lender,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other than an Ineligible Institution, in all or a portion of such Lender’s rights and obligations under this Agreement (including all or a portion of its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Each Lender that sells a participation agrees, at any Borrower’s request and expense, to use reasonable efforts to cooperate with such Borrower to effectuate the provisions of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with respect to any Participant. Each Borrower agrees that each Participant shall be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shall be delivered to the participating Lender and the information and documentation required under </w:t>
      </w:r>
      <w:r>
        <w:rPr>
          <w:rFonts w:ascii="Arial" w:cs="Arial" w:eastAsia="Arial" w:hAnsi="Arial"/>
          <w:sz w:val="16"/>
          <w:szCs w:val="16"/>
          <w:u w:val="single" w:color="auto"/>
          <w:color w:val="auto"/>
        </w:rPr>
        <w:t>2.17(g)</w:t>
      </w:r>
      <w:r>
        <w:rPr>
          <w:rFonts w:ascii="Arial" w:cs="Arial" w:eastAsia="Arial" w:hAnsi="Arial"/>
          <w:sz w:val="16"/>
          <w:szCs w:val="16"/>
          <w:color w:val="auto"/>
        </w:rPr>
        <w:t xml:space="preserve"> will be delivered to the Borrowers and the Administrative Agent))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(B) shall not be entitled to receive any greater payment under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provided such Participant agrees to be subject to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67" w:name="page368"/>
    <w:bookmarkEnd w:id="367"/>
    <w:p>
      <w:pPr>
        <w:jc w:val="both"/>
        <w:ind w:left="840" w:firstLine="640"/>
        <w:spacing w:after="0" w:line="257" w:lineRule="auto"/>
        <w:tabs>
          <w:tab w:leader="none" w:pos="2305" w:val="left"/>
        </w:tabs>
        <w:numPr>
          <w:ilvl w:val="0"/>
          <w:numId w:val="499"/>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8" w:name="page369"/>
    <w:bookmarkEnd w:id="368"/>
    <w:p>
      <w:pPr>
        <w:ind w:left="2684" w:hanging="740"/>
        <w:spacing w:after="0"/>
        <w:tabs>
          <w:tab w:leader="none" w:pos="2684" w:val="left"/>
        </w:tabs>
        <w:numPr>
          <w:ilvl w:val="2"/>
          <w:numId w:val="500"/>
        </w:numPr>
        <w:rPr>
          <w:rFonts w:ascii="Arial" w:cs="Arial" w:eastAsia="Arial" w:hAnsi="Arial"/>
          <w:sz w:val="18"/>
          <w:szCs w:val="18"/>
          <w:color w:val="auto"/>
        </w:rPr>
      </w:pPr>
      <w:r>
        <w:rPr>
          <w:rFonts w:ascii="Arial" w:cs="Arial" w:eastAsia="Arial" w:hAnsi="Arial"/>
          <w:sz w:val="18"/>
          <w:szCs w:val="18"/>
          <w:u w:val="single" w:color="auto"/>
          <w:color w:val="auto"/>
        </w:rPr>
        <w:t>Disqualified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83" w:lineRule="auto"/>
        <w:tabs>
          <w:tab w:leader="none" w:pos="1389" w:val="left"/>
        </w:tabs>
        <w:numPr>
          <w:ilvl w:val="1"/>
          <w:numId w:val="501"/>
        </w:numPr>
        <w:rPr>
          <w:rFonts w:ascii="Arial" w:cs="Arial" w:eastAsia="Arial" w:hAnsi="Arial"/>
          <w:sz w:val="16"/>
          <w:szCs w:val="16"/>
          <w:color w:val="auto"/>
        </w:rPr>
      </w:pPr>
      <w:r>
        <w:rPr>
          <w:rFonts w:ascii="Arial" w:cs="Arial" w:eastAsia="Arial" w:hAnsi="Arial"/>
          <w:sz w:val="16"/>
          <w:szCs w:val="16"/>
          <w:color w:val="auto"/>
        </w:rPr>
        <w:t>No assignment or participation shall be made to any Person that was a Disqualified Lender as of the date (the “</w:t>
      </w:r>
      <w:r>
        <w:rPr>
          <w:rFonts w:ascii="Arial" w:cs="Arial" w:eastAsia="Arial" w:hAnsi="Arial"/>
          <w:sz w:val="16"/>
          <w:szCs w:val="16"/>
          <w:u w:val="single" w:color="auto"/>
          <w:color w:val="auto"/>
        </w:rPr>
        <w:t>Trade Date</w:t>
      </w:r>
      <w:r>
        <w:rPr>
          <w:rFonts w:ascii="Arial" w:cs="Arial" w:eastAsia="Arial" w:hAnsi="Arial"/>
          <w:sz w:val="16"/>
          <w:szCs w:val="16"/>
          <w:color w:val="auto"/>
        </w:rPr>
        <w:t>”)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w:t>
      </w:r>
      <w:r>
        <w:rPr>
          <w:rFonts w:ascii="Arial" w:cs="Arial" w:eastAsia="Arial" w:hAnsi="Arial"/>
          <w:sz w:val="16"/>
          <w:szCs w:val="16"/>
          <w:u w:val="single" w:color="auto"/>
          <w:color w:val="auto"/>
        </w:rPr>
        <w:t>Disqualified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(x) such assignee or Participant shall not retroactively be disqualified from being a Lender or Participant and (y) the execution by the Company of an Assignment and Assumption with respect to such assignee will not by itself result in such assignee no longer being considered a Disqualified Lender. Any assignment or participation in violation of this </w:t>
      </w:r>
      <w:r>
        <w:rPr>
          <w:rFonts w:ascii="Arial" w:cs="Arial" w:eastAsia="Arial" w:hAnsi="Arial"/>
          <w:sz w:val="16"/>
          <w:szCs w:val="16"/>
          <w:u w:val="single" w:color="auto"/>
          <w:color w:val="auto"/>
        </w:rPr>
        <w:t>clause (e)(i)</w:t>
      </w:r>
      <w:r>
        <w:rPr>
          <w:rFonts w:ascii="Arial" w:cs="Arial" w:eastAsia="Arial" w:hAnsi="Arial"/>
          <w:sz w:val="16"/>
          <w:szCs w:val="16"/>
          <w:color w:val="auto"/>
        </w:rPr>
        <w:t xml:space="preserve"> shall not be void, but the other provisions of this </w:t>
      </w:r>
      <w:r>
        <w:rPr>
          <w:rFonts w:ascii="Arial" w:cs="Arial" w:eastAsia="Arial" w:hAnsi="Arial"/>
          <w:sz w:val="16"/>
          <w:szCs w:val="16"/>
          <w:u w:val="single" w:color="auto"/>
          <w:color w:val="auto"/>
        </w:rPr>
        <w:t>clause</w:t>
      </w:r>
    </w:p>
    <w:p>
      <w:pPr>
        <w:spacing w:after="0" w:line="5" w:lineRule="exact"/>
        <w:rPr>
          <w:rFonts w:ascii="Arial" w:cs="Arial" w:eastAsia="Arial" w:hAnsi="Arial"/>
          <w:sz w:val="16"/>
          <w:szCs w:val="16"/>
          <w:color w:val="auto"/>
        </w:rPr>
      </w:pPr>
    </w:p>
    <w:p>
      <w:pPr>
        <w:ind w:left="244" w:hanging="244"/>
        <w:spacing w:after="0"/>
        <w:tabs>
          <w:tab w:leader="none" w:pos="244" w:val="left"/>
        </w:tabs>
        <w:numPr>
          <w:ilvl w:val="0"/>
          <w:numId w:val="502"/>
        </w:numPr>
        <w:rPr>
          <w:rFonts w:ascii="Arial" w:cs="Arial" w:eastAsia="Arial" w:hAnsi="Arial"/>
          <w:sz w:val="18"/>
          <w:szCs w:val="18"/>
          <w:u w:val="single" w:color="auto"/>
          <w:color w:val="auto"/>
        </w:rPr>
      </w:pPr>
      <w:r>
        <w:rPr>
          <w:rFonts w:ascii="Arial" w:cs="Arial" w:eastAsia="Arial" w:hAnsi="Arial"/>
          <w:sz w:val="18"/>
          <w:szCs w:val="18"/>
          <w:color w:val="auto"/>
        </w:rPr>
        <w:t>shall apply.</w:t>
      </w:r>
    </w:p>
    <w:p>
      <w:pPr>
        <w:spacing w:after="0" w:line="210" w:lineRule="exact"/>
        <w:rPr>
          <w:rFonts w:ascii="Arial" w:cs="Arial" w:eastAsia="Arial" w:hAnsi="Arial"/>
          <w:sz w:val="18"/>
          <w:szCs w:val="18"/>
          <w:u w:val="single" w:color="auto"/>
          <w:color w:val="auto"/>
        </w:rPr>
      </w:pPr>
    </w:p>
    <w:p>
      <w:pPr>
        <w:jc w:val="both"/>
        <w:ind w:left="4" w:firstLine="644"/>
        <w:spacing w:after="0" w:line="272" w:lineRule="auto"/>
        <w:tabs>
          <w:tab w:leader="none" w:pos="1412" w:val="left"/>
        </w:tabs>
        <w:numPr>
          <w:ilvl w:val="1"/>
          <w:numId w:val="502"/>
        </w:numPr>
        <w:rPr>
          <w:rFonts w:ascii="Arial" w:cs="Arial" w:eastAsia="Arial" w:hAnsi="Arial"/>
          <w:sz w:val="17"/>
          <w:szCs w:val="17"/>
          <w:color w:val="auto"/>
        </w:rPr>
      </w:pPr>
      <w:r>
        <w:rPr>
          <w:rFonts w:ascii="Arial" w:cs="Arial" w:eastAsia="Arial" w:hAnsi="Arial"/>
          <w:sz w:val="17"/>
          <w:szCs w:val="17"/>
          <w:color w:val="auto"/>
        </w:rPr>
        <w:t xml:space="preserve">If any assignment or participation is made to any Disqualified Lender without the Company’s prior written consent in violation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or if any Person becomes a Disqualified Lender after the applicable Trade Date, the Company may, at its sole expense and effort, upon notice to the applicable Disqualified Lender and the Administrative Agent, require such Disqualified Lender to assign, without recourse (in accordance with and subject to the restrictions contained in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all of its interest, rights and obligations under this Agreement to one or more Persons (other than an Ineligible Institution) at the lesser of (x) the principal amount thereof and (y) the amount that such Disqualified Lender paid to acquire such interests, rights and obligations in each case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interest, accrued fees and all other amounts (other than principal amounts) payable to it hereunder.</w:t>
      </w:r>
    </w:p>
    <w:p>
      <w:pPr>
        <w:spacing w:after="0" w:line="177" w:lineRule="exact"/>
        <w:rPr>
          <w:sz w:val="20"/>
          <w:szCs w:val="20"/>
          <w:color w:val="auto"/>
        </w:rPr>
      </w:pPr>
    </w:p>
    <w:p>
      <w:pPr>
        <w:jc w:val="both"/>
        <w:ind w:left="4" w:firstLine="644"/>
        <w:spacing w:after="0" w:line="286" w:lineRule="auto"/>
        <w:tabs>
          <w:tab w:leader="none" w:pos="1691" w:val="left"/>
        </w:tabs>
        <w:numPr>
          <w:ilvl w:val="0"/>
          <w:numId w:val="50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Disqualified Lenders to whom an assignment or participation is made in violation of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(i) above (A) will not have the right to (x) receive information, reports or other materials provided to Lenders by the Company, the Administrative Agent or any other Lender, (y) attend or participate in meetings attended by the Lenders (or any of them) and the Administrative Agent, or (z) access any electronic site established for the Lenders or confidential communications from counsel to or financial advisors of the Administrative Agent or the Lenders and (B)(x)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each Disqualified Lender party hereto hereby agrees (1) not to vote on such plan of reorganization, (2) if such Disqualified Lender does vote on such plan of reorganization notwithstanding the restriction in the foregoing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w:t>
      </w:r>
      <w:r>
        <w:rPr>
          <w:rFonts w:ascii="Arial" w:cs="Arial" w:eastAsia="Arial" w:hAnsi="Arial"/>
          <w:sz w:val="16"/>
          <w:szCs w:val="16"/>
          <w:u w:val="single" w:color="auto"/>
          <w:color w:val="auto"/>
        </w:rPr>
        <w:t>clause (2)</w:t>
      </w:r>
      <w:r>
        <w:rPr>
          <w:rFonts w:ascii="Arial" w:cs="Arial" w:eastAsia="Arial" w:hAnsi="Arial"/>
          <w:sz w:val="16"/>
          <w:szCs w:val="16"/>
          <w:color w:val="auto"/>
        </w:rPr>
        <w:t>.</w:t>
      </w:r>
    </w:p>
    <w:p>
      <w:pPr>
        <w:spacing w:after="0" w:line="387"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69" w:name="page370"/>
    <w:bookmarkEnd w:id="369"/>
    <w:p>
      <w:pPr>
        <w:ind w:left="1584" w:hanging="936"/>
        <w:spacing w:after="0"/>
        <w:tabs>
          <w:tab w:leader="none" w:pos="1584" w:val="left"/>
        </w:tabs>
        <w:numPr>
          <w:ilvl w:val="1"/>
          <w:numId w:val="504"/>
        </w:numPr>
        <w:rPr>
          <w:rFonts w:ascii="Arial" w:cs="Arial" w:eastAsia="Arial" w:hAnsi="Arial"/>
          <w:sz w:val="16"/>
          <w:szCs w:val="16"/>
          <w:color w:val="auto"/>
        </w:rPr>
      </w:pPr>
      <w:r>
        <w:rPr>
          <w:rFonts w:ascii="Arial" w:cs="Arial" w:eastAsia="Arial" w:hAnsi="Arial"/>
          <w:sz w:val="16"/>
          <w:szCs w:val="16"/>
          <w:color w:val="auto"/>
        </w:rPr>
        <w:t>The Administrative Agent shall have the right, and the Company hereby expressly authorizes the Administrative Agent, to</w:t>
      </w:r>
    </w:p>
    <w:p>
      <w:pPr>
        <w:spacing w:after="0" w:line="46" w:lineRule="exact"/>
        <w:rPr>
          <w:rFonts w:ascii="Arial" w:cs="Arial" w:eastAsia="Arial" w:hAnsi="Arial"/>
          <w:sz w:val="16"/>
          <w:szCs w:val="16"/>
          <w:color w:val="auto"/>
        </w:rPr>
      </w:pPr>
    </w:p>
    <w:p>
      <w:pPr>
        <w:jc w:val="both"/>
        <w:ind w:left="4" w:hanging="4"/>
        <w:spacing w:after="0" w:line="281" w:lineRule="auto"/>
        <w:tabs>
          <w:tab w:leader="none" w:pos="306" w:val="left"/>
        </w:tabs>
        <w:numPr>
          <w:ilvl w:val="0"/>
          <w:numId w:val="505"/>
        </w:numPr>
        <w:rPr>
          <w:rFonts w:ascii="Arial" w:cs="Arial" w:eastAsia="Arial" w:hAnsi="Arial"/>
          <w:sz w:val="16"/>
          <w:szCs w:val="16"/>
          <w:color w:val="auto"/>
        </w:rPr>
      </w:pPr>
      <w:r>
        <w:rPr>
          <w:rFonts w:ascii="Arial" w:cs="Arial" w:eastAsia="Arial" w:hAnsi="Arial"/>
          <w:sz w:val="16"/>
          <w:szCs w:val="16"/>
          <w:color w:val="auto"/>
        </w:rPr>
        <w:t>post the list of Disqualified Lenders provided by the Company and any updates thereto from time to time (collectively, the “</w:t>
      </w:r>
      <w:r>
        <w:rPr>
          <w:rFonts w:ascii="Arial" w:cs="Arial" w:eastAsia="Arial" w:hAnsi="Arial"/>
          <w:sz w:val="16"/>
          <w:szCs w:val="16"/>
          <w:u w:val="single" w:color="auto"/>
          <w:color w:val="auto"/>
        </w:rPr>
        <w:t>DQ List</w:t>
      </w:r>
      <w:r>
        <w:rPr>
          <w:rFonts w:ascii="Arial" w:cs="Arial" w:eastAsia="Arial" w:hAnsi="Arial"/>
          <w:sz w:val="16"/>
          <w:szCs w:val="16"/>
          <w:color w:val="auto"/>
        </w:rPr>
        <w:t>”) on an Approved Electronic Platform, including that portion of such Approved Electronic Platform that is designated for “public side” Lenders and/or</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505"/>
        </w:numPr>
        <w:rPr>
          <w:rFonts w:ascii="Arial" w:cs="Arial" w:eastAsia="Arial" w:hAnsi="Arial"/>
          <w:sz w:val="18"/>
          <w:szCs w:val="18"/>
          <w:color w:val="auto"/>
        </w:rPr>
      </w:pPr>
      <w:r>
        <w:rPr>
          <w:rFonts w:ascii="Arial" w:cs="Arial" w:eastAsia="Arial" w:hAnsi="Arial"/>
          <w:sz w:val="18"/>
          <w:szCs w:val="18"/>
          <w:color w:val="auto"/>
        </w:rPr>
        <w:t>provide the DQ List to each Lender or potential Lender requesting the same.</w:t>
      </w:r>
    </w:p>
    <w:p>
      <w:pPr>
        <w:spacing w:after="0" w:line="210" w:lineRule="exact"/>
        <w:rPr>
          <w:rFonts w:ascii="Arial" w:cs="Arial" w:eastAsia="Arial" w:hAnsi="Arial"/>
          <w:sz w:val="18"/>
          <w:szCs w:val="18"/>
          <w:color w:val="auto"/>
        </w:rPr>
      </w:pPr>
    </w:p>
    <w:p>
      <w:pPr>
        <w:jc w:val="both"/>
        <w:ind w:left="4" w:firstLine="644"/>
        <w:spacing w:after="0" w:line="296" w:lineRule="auto"/>
        <w:tabs>
          <w:tab w:leader="none" w:pos="1550" w:val="left"/>
        </w:tabs>
        <w:numPr>
          <w:ilvl w:val="1"/>
          <w:numId w:val="505"/>
        </w:numPr>
        <w:rPr>
          <w:rFonts w:ascii="Arial" w:cs="Arial" w:eastAsia="Arial" w:hAnsi="Arial"/>
          <w:sz w:val="16"/>
          <w:szCs w:val="16"/>
          <w:color w:val="auto"/>
        </w:rPr>
      </w:pPr>
      <w:r>
        <w:rPr>
          <w:rFonts w:ascii="Arial" w:cs="Arial" w:eastAsia="Arial" w:hAnsi="Arial"/>
          <w:sz w:val="16"/>
          <w:szCs w:val="16"/>
          <w:color w:val="auto"/>
        </w:rPr>
        <w:t>The Administrative Agent and the Lenders shall not be responsible or have any liability for, or have any duty to ascertain, inquire into, monitor or enforce, compliance with the provisions hereof relating to Disqualified Lenders. Without limiting the generality of the foregoing, neither the Administrative Agent nor any Lender shall (x) be obligated to ascertain, monitor or inquire as to whether any other Lender or Participant or prospective Lender or Participant is a Disqualified Lender or (y) have any liability with respect to or arising out of any assignment or participation of Loans, or disclosure of confidential information, by any other Person to any Disqualified Lender.</w:t>
      </w:r>
    </w:p>
    <w:p>
      <w:pPr>
        <w:spacing w:after="0" w:line="161" w:lineRule="exact"/>
        <w:rPr>
          <w:sz w:val="20"/>
          <w:szCs w:val="20"/>
          <w:color w:val="auto"/>
        </w:rPr>
      </w:pPr>
    </w:p>
    <w:p>
      <w:pPr>
        <w:jc w:val="both"/>
        <w:ind w:left="644" w:firstLine="648"/>
        <w:spacing w:after="0" w:line="269" w:lineRule="auto"/>
        <w:rPr>
          <w:sz w:val="20"/>
          <w:szCs w:val="20"/>
          <w:color w:val="auto"/>
        </w:rPr>
      </w:pPr>
      <w:r>
        <w:rPr>
          <w:rFonts w:ascii="Arial" w:cs="Arial" w:eastAsia="Arial" w:hAnsi="Arial"/>
          <w:sz w:val="17"/>
          <w:szCs w:val="17"/>
          <w:color w:val="auto"/>
        </w:rPr>
        <w:t xml:space="preserve">SECTION 9.05. Survival.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Final Release Conditions have been satisfied. The provisions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85" w:lineRule="exact"/>
        <w:rPr>
          <w:sz w:val="20"/>
          <w:szCs w:val="20"/>
          <w:color w:val="auto"/>
        </w:rPr>
      </w:pPr>
    </w:p>
    <w:p>
      <w:pPr>
        <w:jc w:val="both"/>
        <w:ind w:left="644" w:firstLine="648"/>
        <w:spacing w:after="0" w:line="285" w:lineRule="auto"/>
        <w:rPr>
          <w:sz w:val="20"/>
          <w:szCs w:val="20"/>
          <w:color w:val="auto"/>
        </w:rPr>
      </w:pPr>
      <w:r>
        <w:rPr>
          <w:rFonts w:ascii="Arial" w:cs="Arial" w:eastAsia="Arial" w:hAnsi="Arial"/>
          <w:sz w:val="16"/>
          <w:szCs w:val="16"/>
          <w:color w:val="auto"/>
        </w:rPr>
        <w:t xml:space="preserve">SECTION 9.06. Counterparts; Integration; Effectiveness; Electronic Execution.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w:t>
      </w:r>
    </w:p>
    <w:p>
      <w:pPr>
        <w:spacing w:after="0" w:line="387"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70" w:name="page371"/>
    <w:bookmarkEnd w:id="370"/>
    <w:p>
      <w:pPr>
        <w:jc w:val="both"/>
        <w:ind w:left="180" w:firstLine="648"/>
        <w:spacing w:after="0" w:line="259" w:lineRule="auto"/>
        <w:rPr>
          <w:sz w:val="20"/>
          <w:szCs w:val="20"/>
          <w:color w:val="auto"/>
        </w:rPr>
      </w:pPr>
      <w:r>
        <w:rPr>
          <w:rFonts w:ascii="Arial" w:cs="Arial" w:eastAsia="Arial" w:hAnsi="Arial"/>
          <w:sz w:val="18"/>
          <w:szCs w:val="18"/>
          <w:color w:val="auto"/>
        </w:rPr>
        <w:t>SECTION 9.07. Severability.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jc w:val="both"/>
        <w:ind w:left="180" w:firstLine="648"/>
        <w:spacing w:after="0" w:line="283" w:lineRule="auto"/>
        <w:rPr>
          <w:sz w:val="20"/>
          <w:szCs w:val="20"/>
          <w:color w:val="auto"/>
        </w:rPr>
      </w:pPr>
      <w:r>
        <w:rPr>
          <w:rFonts w:ascii="Arial" w:cs="Arial" w:eastAsia="Arial" w:hAnsi="Arial"/>
          <w:sz w:val="16"/>
          <w:szCs w:val="16"/>
          <w:color w:val="auto"/>
        </w:rPr>
        <w:t xml:space="preserve">SECTION 9.08. Right of Setoff.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Agent,the Issuing Bank, and the Lenders, and</w:t>
      </w:r>
    </w:p>
    <w:p>
      <w:pPr>
        <w:spacing w:after="0" w:line="4" w:lineRule="exact"/>
        <w:rPr>
          <w:sz w:val="20"/>
          <w:szCs w:val="20"/>
          <w:color w:val="auto"/>
        </w:rPr>
      </w:pPr>
    </w:p>
    <w:p>
      <w:pPr>
        <w:jc w:val="both"/>
        <w:ind w:left="180" w:firstLine="4"/>
        <w:spacing w:after="0" w:line="270" w:lineRule="auto"/>
        <w:tabs>
          <w:tab w:leader="none" w:pos="454" w:val="left"/>
        </w:tabs>
        <w:numPr>
          <w:ilvl w:val="0"/>
          <w:numId w:val="506"/>
        </w:numPr>
        <w:rPr>
          <w:rFonts w:ascii="Arial" w:cs="Arial" w:eastAsia="Arial" w:hAnsi="Arial"/>
          <w:sz w:val="17"/>
          <w:szCs w:val="17"/>
          <w:color w:val="auto"/>
        </w:rPr>
      </w:pPr>
      <w:r>
        <w:rPr>
          <w:rFonts w:ascii="Arial" w:cs="Arial" w:eastAsia="Arial" w:hAnsi="Arial"/>
          <w:sz w:val="17"/>
          <w:szCs w:val="17"/>
          <w:color w:val="auto"/>
        </w:rPr>
        <w:t xml:space="preserve">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1" w:name="page372"/>
    <w:bookmarkEnd w:id="371"/>
    <w:p>
      <w:pPr>
        <w:ind w:left="840"/>
        <w:spacing w:after="0"/>
        <w:tabs>
          <w:tab w:leader="none" w:pos="224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color w:val="auto"/>
        </w:rPr>
        <w:t>Governing Law; Jurisdiction; Consent to Service of Process.</w:t>
      </w:r>
    </w:p>
    <w:p>
      <w:pPr>
        <w:spacing w:after="0" w:line="225" w:lineRule="exact"/>
        <w:rPr>
          <w:sz w:val="20"/>
          <w:szCs w:val="20"/>
          <w:color w:val="auto"/>
        </w:rPr>
      </w:pPr>
    </w:p>
    <w:p>
      <w:pPr>
        <w:jc w:val="both"/>
        <w:ind w:left="840" w:firstLine="640"/>
        <w:spacing w:after="0" w:line="263" w:lineRule="auto"/>
        <w:tabs>
          <w:tab w:leader="none" w:pos="245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Loan Documents (other than those containing a contrary express choice of law provision) shall be governed by and construed in accordance with the internal laws of the State of New York, but giving effect to federal laws applicable to national banks.</w:t>
      </w:r>
    </w:p>
    <w:p>
      <w:pPr>
        <w:spacing w:after="0" w:line="183" w:lineRule="exact"/>
        <w:rPr>
          <w:rFonts w:ascii="Arial" w:cs="Arial" w:eastAsia="Arial" w:hAnsi="Arial"/>
          <w:sz w:val="18"/>
          <w:szCs w:val="18"/>
          <w:color w:val="auto"/>
        </w:rPr>
      </w:pPr>
    </w:p>
    <w:p>
      <w:pPr>
        <w:jc w:val="both"/>
        <w:ind w:left="840" w:firstLine="640"/>
        <w:spacing w:after="0" w:line="257" w:lineRule="auto"/>
        <w:tabs>
          <w:tab w:leader="none" w:pos="24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87" w:lineRule="exact"/>
        <w:rPr>
          <w:rFonts w:ascii="Arial" w:cs="Arial" w:eastAsia="Arial" w:hAnsi="Arial"/>
          <w:sz w:val="18"/>
          <w:szCs w:val="18"/>
          <w:color w:val="auto"/>
        </w:rPr>
      </w:pPr>
    </w:p>
    <w:p>
      <w:pPr>
        <w:jc w:val="both"/>
        <w:ind w:left="840" w:firstLine="640"/>
        <w:spacing w:after="0" w:line="287" w:lineRule="auto"/>
        <w:tabs>
          <w:tab w:leader="none" w:pos="2308" w:val="left"/>
        </w:tabs>
        <w:numPr>
          <w:ilvl w:val="0"/>
          <w:numId w:val="507"/>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71" w:lineRule="exact"/>
        <w:rPr>
          <w:rFonts w:ascii="Arial" w:cs="Arial" w:eastAsia="Arial" w:hAnsi="Arial"/>
          <w:sz w:val="16"/>
          <w:szCs w:val="16"/>
          <w:color w:val="auto"/>
        </w:rPr>
      </w:pPr>
    </w:p>
    <w:p>
      <w:pPr>
        <w:jc w:val="both"/>
        <w:ind w:left="840" w:firstLine="640"/>
        <w:spacing w:after="0" w:line="257" w:lineRule="auto"/>
        <w:tabs>
          <w:tab w:leader="none" w:pos="24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2" w:name="page373"/>
    <w:bookmarkEnd w:id="372"/>
    <w:p>
      <w:pPr>
        <w:jc w:val="both"/>
        <w:ind w:left="840" w:firstLine="640"/>
        <w:spacing w:after="0" w:line="263" w:lineRule="auto"/>
        <w:tabs>
          <w:tab w:leader="none" w:pos="2227"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Nothing in this Agreement or any other Loan Document will affect the right of any party to this Agreement to serve process in any other manner permitted by law.</w:t>
      </w:r>
    </w:p>
    <w:p>
      <w:pPr>
        <w:spacing w:after="0" w:line="184" w:lineRule="exact"/>
        <w:rPr>
          <w:sz w:val="20"/>
          <w:szCs w:val="20"/>
          <w:color w:val="auto"/>
        </w:rPr>
      </w:pPr>
    </w:p>
    <w:p>
      <w:pPr>
        <w:jc w:val="both"/>
        <w:ind w:left="180" w:firstLine="648"/>
        <w:spacing w:after="0" w:line="270" w:lineRule="auto"/>
        <w:rPr>
          <w:sz w:val="20"/>
          <w:szCs w:val="20"/>
          <w:color w:val="auto"/>
        </w:rPr>
      </w:pPr>
      <w:r>
        <w:rPr>
          <w:rFonts w:ascii="Arial" w:cs="Arial" w:eastAsia="Arial" w:hAnsi="Arial"/>
          <w:sz w:val="17"/>
          <w:szCs w:val="17"/>
          <w:color w:val="auto"/>
        </w:rPr>
        <w:t>SECTION 9.10. WAIVER OF JURY TRIAL.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1"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SECTION 9.11. Headings.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4" w:lineRule="exact"/>
        <w:rPr>
          <w:sz w:val="20"/>
          <w:szCs w:val="20"/>
          <w:color w:val="auto"/>
        </w:rPr>
      </w:pPr>
    </w:p>
    <w:p>
      <w:pPr>
        <w:jc w:val="both"/>
        <w:ind w:left="180" w:firstLine="648"/>
        <w:spacing w:after="0" w:line="283" w:lineRule="auto"/>
        <w:rPr>
          <w:sz w:val="20"/>
          <w:szCs w:val="20"/>
          <w:color w:val="auto"/>
        </w:rPr>
      </w:pPr>
      <w:r>
        <w:rPr>
          <w:rFonts w:ascii="Arial" w:cs="Arial" w:eastAsia="Arial" w:hAnsi="Arial"/>
          <w:sz w:val="16"/>
          <w:szCs w:val="16"/>
          <w:color w:val="auto"/>
        </w:rPr>
        <w:t>SECTION 9.12. Confidentiality.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w:t>
      </w:r>
    </w:p>
    <w:p>
      <w:pPr>
        <w:spacing w:after="0" w:line="6" w:lineRule="exact"/>
        <w:rPr>
          <w:sz w:val="20"/>
          <w:szCs w:val="20"/>
          <w:color w:val="auto"/>
        </w:rPr>
      </w:pPr>
    </w:p>
    <w:p>
      <w:pPr>
        <w:jc w:val="both"/>
        <w:ind w:left="180" w:firstLine="4"/>
        <w:spacing w:after="0" w:line="284" w:lineRule="auto"/>
        <w:tabs>
          <w:tab w:leader="none" w:pos="436" w:val="left"/>
        </w:tabs>
        <w:numPr>
          <w:ilvl w:val="0"/>
          <w:numId w:val="509"/>
        </w:numPr>
        <w:rPr>
          <w:rFonts w:ascii="Arial" w:cs="Arial" w:eastAsia="Arial" w:hAnsi="Arial"/>
          <w:sz w:val="16"/>
          <w:szCs w:val="16"/>
          <w:color w:val="auto"/>
        </w:rPr>
      </w:pPr>
      <w:r>
        <w:rPr>
          <w:rFonts w:ascii="Arial" w:cs="Arial" w:eastAsia="Arial" w:hAnsi="Arial"/>
          <w:sz w:val="16"/>
          <w:szCs w:val="16"/>
          <w:color w:val="auto"/>
        </w:rPr>
        <w:t xml:space="preserve">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Arial" w:cs="Arial" w:eastAsia="Arial" w:hAnsi="Arial"/>
          <w:sz w:val="16"/>
          <w:szCs w:val="16"/>
          <w:u w:val="single" w:color="auto"/>
          <w:color w:val="auto"/>
        </w:rPr>
        <w:t>clause (f)</w:t>
      </w:r>
      <w:r>
        <w:rPr>
          <w:rFonts w:ascii="Arial" w:cs="Arial" w:eastAsia="Arial" w:hAnsi="Arial"/>
          <w:sz w:val="16"/>
          <w:szCs w:val="16"/>
          <w:color w:val="auto"/>
        </w:rPr>
        <w:t>) or (2) any actual or prospective counterparty (or its advisors) to any swap or derivative transaction relating to any Borrower and its obligations,(g) on a confidential basis to (1) any rating agency in connection with rating the Company or its Subsidiaries or the credit facilities provided for herein or (2) the CUSIP Service Bureau or any similar agency in connection with the issuance and monitoring of CUSIP numbers with respect to the credit facilities provided for herein, (h) with the consent of the Company or (i) to the extent such Information (1) becomes publicly available other than as a result of a breach of this Section or (2) becomes available to the Administrative Agent, the Issuing Banks or any Lender on a nonconfidential basis from a source other than the Company.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Company relating to the Company or its business, whether or not identified at the time of delivery as confidential, other than (x) any such information that is available to the Administrative Agent, any Issuing Bank or any Lender on a nonconfidential basis prior to disclosure by the Company, (y) any such information that is independently developed, discovered or arrived at by the Administrative Agent, any Issuing Bank or any Lender and (z) information pertaining to this Agreement routinely provided by arrangers to data service providers, including league table providers, that serve the lending industry;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8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3" w:name="page374"/>
    <w:bookmarkEnd w:id="373"/>
    <w:p>
      <w:pPr>
        <w:jc w:val="both"/>
        <w:ind w:firstLine="648"/>
        <w:spacing w:after="0" w:line="257" w:lineRule="auto"/>
        <w:rPr>
          <w:sz w:val="20"/>
          <w:szCs w:val="20"/>
          <w:color w:val="auto"/>
        </w:rPr>
      </w:pPr>
      <w:r>
        <w:rPr>
          <w:rFonts w:ascii="Arial" w:cs="Arial" w:eastAsia="Arial" w:hAnsi="Arial"/>
          <w:sz w:val="18"/>
          <w:szCs w:val="18"/>
          <w:color w:val="auto"/>
        </w:rPr>
        <w:t>EACH LENDER ACKNOWLEDGES THAT INFORMATION AS DEFINED IN THE IMMEDIATELY PRECEDING PARAGRAPH FURNISHED TO IT PURSUANT TO THIS AGREEMENT MAY INCLUDE MNPI CONCERNING THE COMPANY AND ITS RELATED PARTIES OR THEIR RESPECTIVE SECURITIES, AND CONFIRMS THAT IT HAS DEVELOPED COMPLIANCE PROCEDURES REGARDING THE USE OF MNPI AND THAT IT WILL HANDLE SUCH MNPI IN ACCORDANCE WITH THOSE PROCEDURES AND APPLICABLE LAW, INCLUDING FEDERAL AND STATE SECURITIES LAWS.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INFORMATION, INCLUDING REQUESTS FOR WAIVERS AND AMENDMENTS, FURNISHED BY THE COMPANY OR THE ADMINISTRATIVE AGENT PURSUANT TO, OR IN THE COURSE OF ADMINISTERING, THIS AGREEMENT WILL BE SYNDICATE-LEVEL INFORMATION, WHICH MAY CONTAIN MNPI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MNPI IN ACCORDANCE WITH ITS COMPLIANCE PROCEDURES AND APPLICABLE LAW.</w:t>
      </w:r>
    </w:p>
    <w:p>
      <w:pPr>
        <w:spacing w:after="0" w:line="178"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8"/>
          <w:szCs w:val="18"/>
          <w:color w:val="auto"/>
        </w:rPr>
        <w:t>SECTION 9.13. USA PATRIOT Act.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87" w:lineRule="exact"/>
        <w:rPr>
          <w:sz w:val="20"/>
          <w:szCs w:val="20"/>
          <w:color w:val="auto"/>
        </w:rPr>
      </w:pPr>
    </w:p>
    <w:p>
      <w:pPr>
        <w:jc w:val="both"/>
        <w:ind w:left="1300" w:firstLine="648"/>
        <w:spacing w:after="0" w:line="255" w:lineRule="auto"/>
        <w:rPr>
          <w:sz w:val="20"/>
          <w:szCs w:val="20"/>
          <w:color w:val="auto"/>
        </w:rPr>
      </w:pPr>
      <w:r>
        <w:rPr>
          <w:rFonts w:ascii="Arial" w:cs="Arial" w:eastAsia="Arial" w:hAnsi="Arial"/>
          <w:sz w:val="18"/>
          <w:szCs w:val="18"/>
          <w:color w:val="auto"/>
        </w:rPr>
        <w:t>SECTION 9.14. Several Obligations; Nonreliance; Violation of Law.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4" w:name="page375"/>
    <w:bookmarkEnd w:id="374"/>
    <w:p>
      <w:pPr>
        <w:jc w:val="both"/>
        <w:ind w:left="180" w:firstLine="648"/>
        <w:spacing w:after="0" w:line="263" w:lineRule="auto"/>
        <w:rPr>
          <w:sz w:val="20"/>
          <w:szCs w:val="20"/>
          <w:color w:val="auto"/>
        </w:rPr>
      </w:pPr>
      <w:r>
        <w:rPr>
          <w:rFonts w:ascii="Arial" w:cs="Arial" w:eastAsia="Arial" w:hAnsi="Arial"/>
          <w:sz w:val="18"/>
          <w:szCs w:val="18"/>
          <w:color w:val="auto"/>
        </w:rPr>
        <w:t>SECTION 9.15. Disclosure.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84" w:lineRule="exact"/>
        <w:rPr>
          <w:sz w:val="20"/>
          <w:szCs w:val="20"/>
          <w:color w:val="auto"/>
        </w:rPr>
      </w:pPr>
    </w:p>
    <w:p>
      <w:pPr>
        <w:jc w:val="both"/>
        <w:ind w:left="180" w:firstLine="648"/>
        <w:spacing w:after="0" w:line="255" w:lineRule="auto"/>
        <w:rPr>
          <w:sz w:val="20"/>
          <w:szCs w:val="20"/>
          <w:color w:val="auto"/>
        </w:rPr>
      </w:pPr>
      <w:r>
        <w:rPr>
          <w:rFonts w:ascii="Arial" w:cs="Arial" w:eastAsia="Arial" w:hAnsi="Arial"/>
          <w:sz w:val="18"/>
          <w:szCs w:val="18"/>
          <w:color w:val="auto"/>
        </w:rPr>
        <w:t>SECTION 9.16. Appointment for Perfection.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2" w:lineRule="exact"/>
        <w:rPr>
          <w:sz w:val="20"/>
          <w:szCs w:val="20"/>
          <w:color w:val="auto"/>
        </w:rPr>
      </w:pPr>
    </w:p>
    <w:p>
      <w:pPr>
        <w:jc w:val="both"/>
        <w:ind w:left="180" w:firstLine="648"/>
        <w:spacing w:after="0" w:line="270" w:lineRule="auto"/>
        <w:rPr>
          <w:sz w:val="20"/>
          <w:szCs w:val="20"/>
          <w:color w:val="auto"/>
        </w:rPr>
      </w:pPr>
      <w:r>
        <w:rPr>
          <w:rFonts w:ascii="Arial" w:cs="Arial" w:eastAsia="Arial" w:hAnsi="Arial"/>
          <w:sz w:val="17"/>
          <w:szCs w:val="17"/>
          <w:color w:val="auto"/>
        </w:rPr>
        <w:t>SECTION 9.17. Interest Rate Limitation.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81" w:lineRule="exact"/>
        <w:rPr>
          <w:sz w:val="20"/>
          <w:szCs w:val="20"/>
          <w:color w:val="auto"/>
        </w:rPr>
      </w:pPr>
    </w:p>
    <w:p>
      <w:pPr>
        <w:ind w:left="840"/>
        <w:spacing w:after="0"/>
        <w:tabs>
          <w:tab w:leader="none" w:pos="2240" w:val="left"/>
        </w:tabs>
        <w:rPr>
          <w:sz w:val="20"/>
          <w:szCs w:val="20"/>
          <w:color w:val="auto"/>
        </w:rPr>
      </w:pPr>
      <w:r>
        <w:rPr>
          <w:rFonts w:ascii="Arial" w:cs="Arial" w:eastAsia="Arial" w:hAnsi="Arial"/>
          <w:sz w:val="18"/>
          <w:szCs w:val="18"/>
          <w:color w:val="auto"/>
        </w:rPr>
        <w:t>SECTION 9.18.</w:t>
      </w:r>
      <w:r>
        <w:rPr>
          <w:sz w:val="20"/>
          <w:szCs w:val="20"/>
          <w:color w:val="auto"/>
        </w:rPr>
        <w:tab/>
      </w:r>
      <w:r>
        <w:rPr>
          <w:rFonts w:ascii="Arial" w:cs="Arial" w:eastAsia="Arial" w:hAnsi="Arial"/>
          <w:sz w:val="16"/>
          <w:szCs w:val="16"/>
          <w:color w:val="auto"/>
        </w:rPr>
        <w:t>Release of Loan Guarantors.</w:t>
      </w:r>
    </w:p>
    <w:p>
      <w:pPr>
        <w:spacing w:after="0" w:line="225" w:lineRule="exact"/>
        <w:rPr>
          <w:sz w:val="20"/>
          <w:szCs w:val="20"/>
          <w:color w:val="auto"/>
        </w:rPr>
      </w:pPr>
    </w:p>
    <w:p>
      <w:pPr>
        <w:jc w:val="both"/>
        <w:ind w:left="840" w:firstLine="640"/>
        <w:spacing w:after="0" w:line="254" w:lineRule="auto"/>
        <w:tabs>
          <w:tab w:leader="none" w:pos="237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A Loan Guarantor shall automatically be released from its obligations under the Loan Guaranty upon the consummation of any transaction permitted by this Agreement as a result of which such Loan Guarantor ceases to be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91" w:lineRule="exact"/>
        <w:rPr>
          <w:rFonts w:ascii="Arial" w:cs="Arial" w:eastAsia="Arial" w:hAnsi="Arial"/>
          <w:sz w:val="18"/>
          <w:szCs w:val="18"/>
          <w:color w:val="auto"/>
        </w:rPr>
      </w:pPr>
    </w:p>
    <w:p>
      <w:pPr>
        <w:jc w:val="both"/>
        <w:ind w:left="840" w:firstLine="640"/>
        <w:spacing w:after="0" w:line="279" w:lineRule="auto"/>
        <w:tabs>
          <w:tab w:leader="none" w:pos="2345" w:val="left"/>
        </w:tabs>
        <w:numPr>
          <w:ilvl w:val="0"/>
          <w:numId w:val="510"/>
        </w:numPr>
        <w:rPr>
          <w:rFonts w:ascii="Arial" w:cs="Arial" w:eastAsia="Arial" w:hAnsi="Arial"/>
          <w:sz w:val="17"/>
          <w:szCs w:val="17"/>
          <w:color w:val="auto"/>
        </w:rPr>
      </w:pPr>
      <w:r>
        <w:rPr>
          <w:rFonts w:ascii="Arial" w:cs="Arial" w:eastAsia="Arial" w:hAnsi="Arial"/>
          <w:sz w:val="17"/>
          <w:szCs w:val="17"/>
          <w:color w:val="auto"/>
        </w:rPr>
        <w:t xml:space="preserve">Further, the Administrative Agent may (and is hereby irrevocably authorized by each Lender to), upon the request of the Company, release any Loan Guarantor from its obligations under the Loan Guaranty if (i) such Loan Guarantor is no longer a Material Subsidiary or is otherwise not required pursuant to the terms of this Agreement to provide a Loan Guaranty or (ii) such release is approved, authorized or ratified by the requisite Lenders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38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375" w:name="page376"/>
    <w:bookmarkEnd w:id="375"/>
    <w:p>
      <w:pPr>
        <w:jc w:val="both"/>
        <w:ind w:left="840" w:firstLine="640"/>
        <w:spacing w:after="0" w:line="270" w:lineRule="auto"/>
        <w:tabs>
          <w:tab w:leader="none" w:pos="2389" w:val="left"/>
        </w:tabs>
        <w:numPr>
          <w:ilvl w:val="0"/>
          <w:numId w:val="511"/>
        </w:numPr>
        <w:rPr>
          <w:rFonts w:ascii="Arial" w:cs="Arial" w:eastAsia="Arial" w:hAnsi="Arial"/>
          <w:sz w:val="17"/>
          <w:szCs w:val="17"/>
          <w:color w:val="auto"/>
        </w:rPr>
      </w:pPr>
      <w:r>
        <w:rPr>
          <w:rFonts w:ascii="Arial" w:cs="Arial" w:eastAsia="Arial" w:hAnsi="Arial"/>
          <w:sz w:val="17"/>
          <w:szCs w:val="17"/>
          <w:color w:val="auto"/>
        </w:rPr>
        <w:t xml:space="preserve">At such time as (i) the principal and interest on the Loans, the fees, expenses and other amounts payable under the Loan Documents and the other Secured Obligations (other than Banking Services Obligations, Swap Agreement Obligations and Unliquidated Obligations, in each case, not then due and payable) shall have been paid in full in cash, (ii) the Commitments shall have been terminated, and (iii) no Letters of Credit shall be outstanding (or any outstanding Letters of Credit shall have been cash collateralized or backstopped pursuant to arrangements reasonably satisfactory to the Administrative Agent and the applicable Issuing Bank) (the conditions set forth in the preceding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collectively, the “</w:t>
      </w:r>
      <w:r>
        <w:rPr>
          <w:rFonts w:ascii="Arial" w:cs="Arial" w:eastAsia="Arial" w:hAnsi="Arial"/>
          <w:sz w:val="17"/>
          <w:szCs w:val="17"/>
          <w:u w:val="single" w:color="auto"/>
          <w:color w:val="auto"/>
        </w:rPr>
        <w:t>Final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Release Conditions</w:t>
      </w:r>
      <w:r>
        <w:rPr>
          <w:rFonts w:ascii="Arial" w:cs="Arial" w:eastAsia="Arial" w:hAnsi="Arial"/>
          <w:sz w:val="17"/>
          <w:szCs w:val="17"/>
          <w:color w:val="auto"/>
        </w:rPr>
        <w:t>”), the Loan Guaranty and all obligations (other than those expressly stated to survive such termination) of each Loan Guarantor thereunder shall automatically terminate, all without delivery of any instrument or performance of any act by any Person.</w:t>
      </w:r>
    </w:p>
    <w:p>
      <w:pPr>
        <w:spacing w:after="0" w:line="181" w:lineRule="exact"/>
        <w:rPr>
          <w:sz w:val="20"/>
          <w:szCs w:val="20"/>
          <w:color w:val="auto"/>
        </w:rPr>
      </w:pPr>
    </w:p>
    <w:p>
      <w:pPr>
        <w:jc w:val="both"/>
        <w:ind w:left="180" w:firstLine="648"/>
        <w:spacing w:after="0" w:line="296" w:lineRule="auto"/>
        <w:rPr>
          <w:sz w:val="20"/>
          <w:szCs w:val="20"/>
          <w:color w:val="auto"/>
        </w:rPr>
      </w:pPr>
      <w:r>
        <w:rPr>
          <w:rFonts w:ascii="Arial" w:cs="Arial" w:eastAsia="Arial" w:hAnsi="Arial"/>
          <w:sz w:val="16"/>
          <w:szCs w:val="16"/>
          <w:color w:val="auto"/>
        </w:rPr>
        <w:t xml:space="preserve">SECTION 9.19. Intercreditor Agreements. Without limiting the authority granted to the Administrative Agent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hereof, each Lender (and each Person that becomes a Lender hereunder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hereby authorizes and directs the Administrative Agent to enter into any Intercreditor Agreement on behalf of such Lender and agrees that the Administrative Agent may take such actions on its behalf as is contemplated by the terms of such Intercreditor Agreement. In the event of any conflict between the terms of any Intercreditor Agreement and this Agreement, the terms of such Intercreditor Agreement shall govern and control.</w:t>
      </w:r>
    </w:p>
    <w:p>
      <w:pPr>
        <w:spacing w:after="0" w:line="161" w:lineRule="exact"/>
        <w:rPr>
          <w:sz w:val="20"/>
          <w:szCs w:val="20"/>
          <w:color w:val="auto"/>
        </w:rPr>
      </w:pPr>
    </w:p>
    <w:p>
      <w:pPr>
        <w:jc w:val="both"/>
        <w:ind w:left="180" w:firstLine="648"/>
        <w:spacing w:after="0" w:line="254" w:lineRule="auto"/>
        <w:rPr>
          <w:sz w:val="20"/>
          <w:szCs w:val="20"/>
          <w:color w:val="auto"/>
        </w:rPr>
      </w:pPr>
      <w:r>
        <w:rPr>
          <w:rFonts w:ascii="Arial" w:cs="Arial" w:eastAsia="Arial" w:hAnsi="Arial"/>
          <w:sz w:val="18"/>
          <w:szCs w:val="18"/>
          <w:color w:val="auto"/>
        </w:rPr>
        <w:t>SECTION 9.20. Marketing Consent. The Borrowers hereby authorize JPMCB and its affiliates (collectively, the “</w:t>
      </w:r>
      <w:r>
        <w:rPr>
          <w:rFonts w:ascii="Arial" w:cs="Arial" w:eastAsia="Arial" w:hAnsi="Arial"/>
          <w:sz w:val="18"/>
          <w:szCs w:val="18"/>
          <w:u w:val="single" w:color="auto"/>
          <w:color w:val="auto"/>
        </w:rPr>
        <w:t>JPMCB</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at their respective sole expense, but without any prior approval by any Borrower, to include the Borrowers’ names and logos in advertising slicks posted on their internet sites, in pitchbooks or sent in mailings to prospective customers and to give such other publicity to this Agreement as each may from time to time determine in its sole discretion. Notwithstanding the foregoing, JPMCB Parties shall not publish the Borrowers’ names in a newspaper or magazine without obtaining the Borrowers’ prior written approval. The foregoing authorization shall remain in effect unless and until the Borrower Representative notifies JPMCB in writing that such authorization is revoked.</w:t>
      </w:r>
    </w:p>
    <w:p>
      <w:pPr>
        <w:spacing w:after="0" w:line="195" w:lineRule="exact"/>
        <w:rPr>
          <w:sz w:val="20"/>
          <w:szCs w:val="20"/>
          <w:color w:val="auto"/>
        </w:rPr>
      </w:pPr>
    </w:p>
    <w:p>
      <w:pPr>
        <w:jc w:val="both"/>
        <w:ind w:left="180" w:firstLine="648"/>
        <w:spacing w:after="0" w:line="301" w:lineRule="auto"/>
        <w:rPr>
          <w:sz w:val="20"/>
          <w:szCs w:val="20"/>
          <w:color w:val="auto"/>
        </w:rPr>
      </w:pPr>
      <w:r>
        <w:rPr>
          <w:rFonts w:ascii="Arial" w:cs="Arial" w:eastAsia="Arial" w:hAnsi="Arial"/>
          <w:sz w:val="16"/>
          <w:szCs w:val="16"/>
          <w:color w:val="auto"/>
        </w:rPr>
        <w:t>SECTION 9.21. Acknowledgement and Consent to Bail-In of EEA Financial Institutions.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57" w:lineRule="exact"/>
        <w:rPr>
          <w:sz w:val="20"/>
          <w:szCs w:val="20"/>
          <w:color w:val="auto"/>
        </w:rPr>
      </w:pPr>
    </w:p>
    <w:p>
      <w:pPr>
        <w:ind w:left="840" w:firstLine="640"/>
        <w:spacing w:after="0" w:line="308" w:lineRule="auto"/>
        <w:tabs>
          <w:tab w:leader="none" w:pos="2389"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an EEA Resolution Authority to any such liabilities arising hereunder which may be payable to it by any party hereto that is an EEA Financial Institution; and</w:t>
      </w:r>
    </w:p>
    <w:p>
      <w:pPr>
        <w:spacing w:after="0" w:line="36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6" w:name="page377"/>
    <w:bookmarkEnd w:id="376"/>
    <w:p>
      <w:pPr>
        <w:ind w:left="2220" w:hanging="740"/>
        <w:spacing w:after="0"/>
        <w:tabs>
          <w:tab w:leader="none" w:pos="222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900" w:hanging="716"/>
        <w:spacing w:after="0"/>
        <w:tabs>
          <w:tab w:leader="none" w:pos="9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460" w:firstLine="644"/>
        <w:spacing w:after="0" w:line="311" w:lineRule="auto"/>
        <w:tabs>
          <w:tab w:leader="none" w:pos="1218"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Arial" w:cs="Arial" w:eastAsia="Arial" w:hAnsi="Arial"/>
          <w:sz w:val="16"/>
          <w:szCs w:val="16"/>
          <w:color w:val="auto"/>
        </w:rPr>
      </w:pPr>
    </w:p>
    <w:p>
      <w:pPr>
        <w:ind w:left="-460" w:right="20" w:firstLine="644"/>
        <w:spacing w:after="0" w:line="277" w:lineRule="auto"/>
        <w:tabs>
          <w:tab w:leader="none" w:pos="106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left="840"/>
        <w:spacing w:after="0"/>
        <w:tabs>
          <w:tab w:leader="none" w:pos="2240" w:val="left"/>
        </w:tabs>
        <w:rPr>
          <w:sz w:val="20"/>
          <w:szCs w:val="20"/>
          <w:color w:val="auto"/>
        </w:rPr>
      </w:pPr>
      <w:r>
        <w:rPr>
          <w:rFonts w:ascii="Arial" w:cs="Arial" w:eastAsia="Arial" w:hAnsi="Arial"/>
          <w:sz w:val="18"/>
          <w:szCs w:val="18"/>
          <w:color w:val="auto"/>
        </w:rPr>
        <w:t>SECTION 9.22.</w:t>
      </w:r>
      <w:r>
        <w:rPr>
          <w:sz w:val="20"/>
          <w:szCs w:val="20"/>
          <w:color w:val="auto"/>
        </w:rPr>
        <w:tab/>
      </w:r>
      <w:r>
        <w:rPr>
          <w:rFonts w:ascii="Arial" w:cs="Arial" w:eastAsia="Arial" w:hAnsi="Arial"/>
          <w:sz w:val="16"/>
          <w:szCs w:val="16"/>
          <w:color w:val="auto"/>
        </w:rPr>
        <w:t>No Fiduciary Duty, etc.</w:t>
      </w:r>
    </w:p>
    <w:p>
      <w:pPr>
        <w:spacing w:after="0" w:line="225" w:lineRule="exact"/>
        <w:rPr>
          <w:sz w:val="20"/>
          <w:szCs w:val="20"/>
          <w:color w:val="auto"/>
        </w:rPr>
      </w:pPr>
    </w:p>
    <w:p>
      <w:pPr>
        <w:jc w:val="both"/>
        <w:ind w:left="840" w:firstLine="640"/>
        <w:spacing w:after="0" w:line="269" w:lineRule="auto"/>
        <w:tabs>
          <w:tab w:leader="none" w:pos="2308" w:val="left"/>
        </w:tabs>
        <w:numPr>
          <w:ilvl w:val="0"/>
          <w:numId w:val="515"/>
        </w:numPr>
        <w:rPr>
          <w:rFonts w:ascii="Arial" w:cs="Arial" w:eastAsia="Arial" w:hAnsi="Arial"/>
          <w:sz w:val="17"/>
          <w:szCs w:val="17"/>
          <w:color w:val="auto"/>
        </w:rPr>
      </w:pPr>
      <w:r>
        <w:rPr>
          <w:rFonts w:ascii="Arial" w:cs="Arial" w:eastAsia="Arial" w:hAnsi="Arial"/>
          <w:sz w:val="17"/>
          <w:szCs w:val="17"/>
          <w:color w:val="auto"/>
        </w:rPr>
        <w:t>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spacing w:after="0" w:line="181" w:lineRule="exact"/>
        <w:rPr>
          <w:rFonts w:ascii="Arial" w:cs="Arial" w:eastAsia="Arial" w:hAnsi="Arial"/>
          <w:sz w:val="17"/>
          <w:szCs w:val="17"/>
          <w:color w:val="auto"/>
        </w:rPr>
      </w:pPr>
    </w:p>
    <w:p>
      <w:pPr>
        <w:jc w:val="both"/>
        <w:ind w:left="840" w:firstLine="640"/>
        <w:spacing w:after="0" w:line="253" w:lineRule="auto"/>
        <w:tabs>
          <w:tab w:leader="none" w:pos="2413" w:val="left"/>
        </w:tabs>
        <w:numPr>
          <w:ilvl w:val="0"/>
          <w:numId w:val="515"/>
        </w:numPr>
        <w:rPr>
          <w:rFonts w:ascii="Arial" w:cs="Arial" w:eastAsia="Arial" w:hAnsi="Arial"/>
          <w:sz w:val="18"/>
          <w:szCs w:val="18"/>
          <w:color w:val="auto"/>
        </w:rPr>
      </w:pPr>
      <w:r>
        <w:rPr>
          <w:rFonts w:ascii="Arial" w:cs="Arial" w:eastAsia="Arial" w:hAnsi="Arial"/>
          <w:sz w:val="18"/>
          <w:szCs w:val="18"/>
          <w:color w:val="auto"/>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200" w:lineRule="exact"/>
        <w:rPr>
          <w:sz w:val="20"/>
          <w:szCs w:val="20"/>
          <w:color w:val="auto"/>
        </w:rPr>
      </w:pPr>
    </w:p>
    <w:p>
      <w:pPr>
        <w:spacing w:after="0" w:line="21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7" w:name="page378"/>
    <w:bookmarkEnd w:id="377"/>
    <w:p>
      <w:pPr>
        <w:jc w:val="both"/>
        <w:ind w:left="1960" w:firstLine="640"/>
        <w:spacing w:after="0" w:line="290" w:lineRule="auto"/>
        <w:tabs>
          <w:tab w:leader="none" w:pos="3361" w:val="left"/>
        </w:tabs>
        <w:numPr>
          <w:ilvl w:val="0"/>
          <w:numId w:val="516"/>
        </w:numPr>
        <w:rPr>
          <w:rFonts w:ascii="Arial" w:cs="Arial" w:eastAsia="Arial" w:hAnsi="Arial"/>
          <w:sz w:val="16"/>
          <w:szCs w:val="16"/>
          <w:color w:val="auto"/>
        </w:rPr>
      </w:pPr>
      <w:r>
        <w:rPr>
          <w:rFonts w:ascii="Arial" w:cs="Arial" w:eastAsia="Arial" w:hAnsi="Arial"/>
          <w:sz w:val="16"/>
          <w:szCs w:val="16"/>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165"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18"/>
          <w:szCs w:val="18"/>
          <w:color w:val="auto"/>
        </w:rPr>
        <w:t>SECTION 9.23. Acknowledgement Regarding Any Supported QFCs. To the extent that the Loan Documents provide support, through a guarantee or otherwise, for Swap Agreements or any other agreement or instrument that is a QFC (such support “</w:t>
      </w:r>
      <w:r>
        <w:rPr>
          <w:rFonts w:ascii="Arial" w:cs="Arial" w:eastAsia="Arial" w:hAnsi="Arial"/>
          <w:sz w:val="18"/>
          <w:szCs w:val="18"/>
          <w:u w:val="single" w:color="auto"/>
          <w:color w:val="auto"/>
        </w:rPr>
        <w:t>QFC</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8" w:name="page379"/>
    <w:bookmarkEnd w:id="378"/>
    <w:p>
      <w:pPr>
        <w:jc w:val="center"/>
        <w:ind w:right="1120"/>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Loan Guaranty</w:t>
      </w:r>
    </w:p>
    <w:p>
      <w:pPr>
        <w:spacing w:after="0" w:line="225" w:lineRule="exact"/>
        <w:rPr>
          <w:sz w:val="20"/>
          <w:szCs w:val="20"/>
          <w:color w:val="auto"/>
        </w:rPr>
      </w:pPr>
    </w:p>
    <w:p>
      <w:pPr>
        <w:jc w:val="both"/>
        <w:ind w:left="180" w:firstLine="648"/>
        <w:spacing w:after="0" w:line="286" w:lineRule="auto"/>
        <w:rPr>
          <w:sz w:val="20"/>
          <w:szCs w:val="20"/>
          <w:color w:val="auto"/>
        </w:rPr>
      </w:pPr>
      <w:r>
        <w:rPr>
          <w:rFonts w:ascii="Arial" w:cs="Arial" w:eastAsia="Arial" w:hAnsi="Arial"/>
          <w:sz w:val="16"/>
          <w:szCs w:val="16"/>
          <w:color w:val="auto"/>
        </w:rPr>
        <w:t>SECTION 10.01. Guaranty.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definition of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74" w:lineRule="exact"/>
        <w:rPr>
          <w:sz w:val="20"/>
          <w:szCs w:val="20"/>
          <w:color w:val="auto"/>
        </w:rPr>
      </w:pPr>
    </w:p>
    <w:p>
      <w:pPr>
        <w:jc w:val="both"/>
        <w:ind w:left="180" w:firstLine="648"/>
        <w:spacing w:after="0" w:line="279" w:lineRule="auto"/>
        <w:rPr>
          <w:sz w:val="20"/>
          <w:szCs w:val="20"/>
          <w:color w:val="auto"/>
        </w:rPr>
      </w:pPr>
      <w:r>
        <w:rPr>
          <w:rFonts w:ascii="Arial" w:cs="Arial" w:eastAsia="Arial" w:hAnsi="Arial"/>
          <w:sz w:val="17"/>
          <w:szCs w:val="17"/>
          <w:color w:val="auto"/>
        </w:rPr>
        <w:t>SECTION 10.02. Guaranty of Payment. This Loan Guaranty is a guaranty of payment and not of collection. Each Loan Guarantor waives any right to require the Administrative Agent, the Issuing Bank or any Lender to sue any Borrower, any Loan Guarantor, any other guarantor of, or any other Person obligated for, all or any part of the Guaranteed Obligations (each, an “</w:t>
      </w:r>
      <w:r>
        <w:rPr>
          <w:rFonts w:ascii="Arial" w:cs="Arial" w:eastAsia="Arial" w:hAnsi="Arial"/>
          <w:sz w:val="17"/>
          <w:szCs w:val="17"/>
          <w:u w:val="single" w:color="auto"/>
          <w:color w:val="auto"/>
        </w:rPr>
        <w:t>Obligated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or otherwise to enforce its payment against any collateral securing all or any part of the Guaranteed Obligations.</w:t>
      </w:r>
    </w:p>
    <w:p>
      <w:pPr>
        <w:spacing w:after="0" w:line="171" w:lineRule="exact"/>
        <w:rPr>
          <w:sz w:val="20"/>
          <w:szCs w:val="20"/>
          <w:color w:val="auto"/>
        </w:rPr>
      </w:pPr>
    </w:p>
    <w:p>
      <w:pPr>
        <w:ind w:left="840"/>
        <w:spacing w:after="0"/>
        <w:tabs>
          <w:tab w:leader="none" w:pos="234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color w:val="auto"/>
        </w:rPr>
        <w:t>No Discharge or Diminishment of Loan Guaranty.</w:t>
      </w:r>
    </w:p>
    <w:p>
      <w:pPr>
        <w:spacing w:after="0" w:line="225" w:lineRule="exact"/>
        <w:rPr>
          <w:sz w:val="20"/>
          <w:szCs w:val="20"/>
          <w:color w:val="auto"/>
        </w:rPr>
      </w:pPr>
    </w:p>
    <w:p>
      <w:pPr>
        <w:jc w:val="both"/>
        <w:ind w:left="840" w:firstLine="640"/>
        <w:spacing w:after="0" w:line="289" w:lineRule="auto"/>
        <w:tabs>
          <w:tab w:leader="none" w:pos="2241" w:val="left"/>
        </w:tabs>
        <w:numPr>
          <w:ilvl w:val="0"/>
          <w:numId w:val="517"/>
        </w:numPr>
        <w:rPr>
          <w:rFonts w:ascii="Arial" w:cs="Arial" w:eastAsia="Arial" w:hAnsi="Arial"/>
          <w:sz w:val="16"/>
          <w:szCs w:val="16"/>
          <w:color w:val="auto"/>
        </w:rPr>
      </w:pPr>
      <w:r>
        <w:rPr>
          <w:rFonts w:ascii="Arial" w:cs="Arial" w:eastAsia="Arial" w:hAnsi="Arial"/>
          <w:sz w:val="16"/>
          <w:szCs w:val="16"/>
          <w:color w:val="auto"/>
        </w:rPr>
        <w:t>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38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9" w:name="page380"/>
    <w:bookmarkEnd w:id="379"/>
    <w:p>
      <w:pPr>
        <w:jc w:val="both"/>
        <w:ind w:left="840" w:firstLine="640"/>
        <w:spacing w:after="0" w:line="259" w:lineRule="auto"/>
        <w:tabs>
          <w:tab w:leader="none" w:pos="238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86" w:lineRule="exact"/>
        <w:rPr>
          <w:rFonts w:ascii="Arial" w:cs="Arial" w:eastAsia="Arial" w:hAnsi="Arial"/>
          <w:sz w:val="18"/>
          <w:szCs w:val="18"/>
          <w:color w:val="auto"/>
        </w:rPr>
      </w:pPr>
    </w:p>
    <w:p>
      <w:pPr>
        <w:jc w:val="both"/>
        <w:ind w:left="840" w:firstLine="640"/>
        <w:spacing w:after="0" w:line="269" w:lineRule="auto"/>
        <w:tabs>
          <w:tab w:leader="none" w:pos="2497" w:val="left"/>
        </w:tabs>
        <w:numPr>
          <w:ilvl w:val="0"/>
          <w:numId w:val="518"/>
        </w:numPr>
        <w:rPr>
          <w:rFonts w:ascii="Arial" w:cs="Arial" w:eastAsia="Arial" w:hAnsi="Arial"/>
          <w:sz w:val="17"/>
          <w:szCs w:val="17"/>
          <w:color w:val="auto"/>
        </w:rPr>
      </w:pPr>
      <w:r>
        <w:rPr>
          <w:rFonts w:ascii="Arial" w:cs="Arial" w:eastAsia="Arial" w:hAnsi="Arial"/>
          <w:sz w:val="17"/>
          <w:szCs w:val="17"/>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182" w:lineRule="exact"/>
        <w:rPr>
          <w:sz w:val="20"/>
          <w:szCs w:val="20"/>
          <w:color w:val="auto"/>
        </w:rPr>
      </w:pPr>
    </w:p>
    <w:p>
      <w:pPr>
        <w:jc w:val="both"/>
        <w:ind w:left="180" w:firstLine="648"/>
        <w:spacing w:after="0" w:line="268" w:lineRule="auto"/>
        <w:rPr>
          <w:sz w:val="20"/>
          <w:szCs w:val="20"/>
          <w:color w:val="auto"/>
        </w:rPr>
      </w:pPr>
      <w:r>
        <w:rPr>
          <w:rFonts w:ascii="Arial" w:cs="Arial" w:eastAsia="Arial" w:hAnsi="Arial"/>
          <w:sz w:val="17"/>
          <w:szCs w:val="17"/>
          <w:color w:val="auto"/>
        </w:rPr>
        <w:t>SECTION 10.04. Defenses Waived.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39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0" w:name="page381"/>
    <w:bookmarkEnd w:id="380"/>
    <w:p>
      <w:pPr>
        <w:jc w:val="both"/>
        <w:ind w:left="180" w:firstLine="648"/>
        <w:spacing w:after="0" w:line="259" w:lineRule="auto"/>
        <w:rPr>
          <w:sz w:val="20"/>
          <w:szCs w:val="20"/>
          <w:color w:val="auto"/>
        </w:rPr>
      </w:pPr>
      <w:r>
        <w:rPr>
          <w:rFonts w:ascii="Arial" w:cs="Arial" w:eastAsia="Arial" w:hAnsi="Arial"/>
          <w:sz w:val="18"/>
          <w:szCs w:val="18"/>
          <w:color w:val="auto"/>
        </w:rPr>
        <w:t>SECTION 10.05. Rights of Subrogation.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187" w:lineRule="exact"/>
        <w:rPr>
          <w:sz w:val="20"/>
          <w:szCs w:val="20"/>
          <w:color w:val="auto"/>
        </w:rPr>
      </w:pPr>
    </w:p>
    <w:p>
      <w:pPr>
        <w:jc w:val="both"/>
        <w:ind w:left="180" w:firstLine="648"/>
        <w:spacing w:after="0" w:line="253" w:lineRule="auto"/>
        <w:rPr>
          <w:sz w:val="20"/>
          <w:szCs w:val="20"/>
          <w:color w:val="auto"/>
        </w:rPr>
      </w:pPr>
      <w:r>
        <w:rPr>
          <w:rFonts w:ascii="Arial" w:cs="Arial" w:eastAsia="Arial" w:hAnsi="Arial"/>
          <w:sz w:val="18"/>
          <w:szCs w:val="18"/>
          <w:color w:val="auto"/>
        </w:rPr>
        <w:t>SECTION 10.06. Reinstatement; Stay of Acceleration.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spacing w:after="0" w:line="196" w:lineRule="exact"/>
        <w:rPr>
          <w:sz w:val="20"/>
          <w:szCs w:val="20"/>
          <w:color w:val="auto"/>
        </w:rPr>
      </w:pPr>
    </w:p>
    <w:p>
      <w:pPr>
        <w:jc w:val="both"/>
        <w:ind w:left="180" w:firstLine="648"/>
        <w:spacing w:after="0" w:line="257" w:lineRule="auto"/>
        <w:rPr>
          <w:sz w:val="20"/>
          <w:szCs w:val="20"/>
          <w:color w:val="auto"/>
        </w:rPr>
      </w:pPr>
      <w:r>
        <w:rPr>
          <w:rFonts w:ascii="Arial" w:cs="Arial" w:eastAsia="Arial" w:hAnsi="Arial"/>
          <w:sz w:val="18"/>
          <w:szCs w:val="18"/>
          <w:color w:val="auto"/>
        </w:rPr>
        <w:t>SECTION 10.07. Information.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88" w:lineRule="exact"/>
        <w:rPr>
          <w:sz w:val="20"/>
          <w:szCs w:val="20"/>
          <w:color w:val="auto"/>
        </w:rPr>
      </w:pPr>
    </w:p>
    <w:p>
      <w:pPr>
        <w:jc w:val="both"/>
        <w:ind w:left="180" w:firstLine="648"/>
        <w:spacing w:after="0" w:line="254" w:lineRule="auto"/>
        <w:rPr>
          <w:sz w:val="20"/>
          <w:szCs w:val="20"/>
          <w:color w:val="auto"/>
        </w:rPr>
      </w:pPr>
      <w:r>
        <w:rPr>
          <w:rFonts w:ascii="Arial" w:cs="Arial" w:eastAsia="Arial" w:hAnsi="Arial"/>
          <w:sz w:val="18"/>
          <w:szCs w:val="18"/>
          <w:color w:val="auto"/>
        </w:rPr>
        <w:t xml:space="preserve">SECTION 10.08. Termination.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deemed to constitute a waiver of, or eliminate, limit, reduce or otherwise impair any rights or remedies the Administrative Agent or any Lender may have in respect of, any Default or Event of Default that shall exist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as a result of any such notice of termination.</w:t>
      </w:r>
    </w:p>
    <w:p>
      <w:pPr>
        <w:spacing w:after="0" w:line="192" w:lineRule="exact"/>
        <w:rPr>
          <w:sz w:val="20"/>
          <w:szCs w:val="20"/>
          <w:color w:val="auto"/>
        </w:rPr>
      </w:pPr>
    </w:p>
    <w:p>
      <w:pPr>
        <w:jc w:val="both"/>
        <w:ind w:left="180" w:firstLine="648"/>
        <w:spacing w:after="0" w:line="275" w:lineRule="auto"/>
        <w:rPr>
          <w:sz w:val="20"/>
          <w:szCs w:val="20"/>
          <w:color w:val="auto"/>
        </w:rPr>
      </w:pPr>
      <w:r>
        <w:rPr>
          <w:rFonts w:ascii="Arial" w:cs="Arial" w:eastAsia="Arial" w:hAnsi="Arial"/>
          <w:sz w:val="17"/>
          <w:szCs w:val="17"/>
          <w:color w:val="auto"/>
        </w:rPr>
        <w:t xml:space="preserve">SECTION 10.09. Taxes. Any obligation of any Borrower under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of this Agreement to pay any additional amounts to, or indemnify, any Lender, Issuing Bank, or the Administrative Agent for any Taxes that are required to be withheld or deducted from payments made to any Lender, Issuing Bank, or the Administrative Agent or to pay for, or indemnify any Lender, Issuing Bank, or the Administrative Agent for, any Other Taxes, shall apply mutatis mutandis (and without duplication) to each Loan Guarantor with respect to this Loan Guaranty and payments made with respect to Guaranteed Obligations.</w:t>
      </w:r>
    </w:p>
    <w:p>
      <w:pPr>
        <w:spacing w:after="0" w:line="39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1" w:name="page382"/>
    <w:bookmarkEnd w:id="381"/>
    <w:p>
      <w:pPr>
        <w:jc w:val="both"/>
        <w:ind w:left="180" w:firstLine="648"/>
        <w:spacing w:after="0" w:line="272" w:lineRule="auto"/>
        <w:rPr>
          <w:sz w:val="20"/>
          <w:szCs w:val="20"/>
          <w:color w:val="auto"/>
        </w:rPr>
      </w:pPr>
      <w:r>
        <w:rPr>
          <w:rFonts w:ascii="Arial" w:cs="Arial" w:eastAsia="Arial" w:hAnsi="Arial"/>
          <w:sz w:val="17"/>
          <w:szCs w:val="17"/>
          <w:color w:val="auto"/>
        </w:rPr>
        <w:t>SECTION 10.10. Maximum Liability.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77" w:lineRule="exact"/>
        <w:rPr>
          <w:sz w:val="20"/>
          <w:szCs w:val="20"/>
          <w:color w:val="auto"/>
        </w:rPr>
      </w:pPr>
    </w:p>
    <w:p>
      <w:pPr>
        <w:ind w:left="840"/>
        <w:spacing w:after="0"/>
        <w:tabs>
          <w:tab w:leader="none" w:pos="232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7"/>
          <w:szCs w:val="17"/>
          <w:color w:val="auto"/>
        </w:rPr>
        <w:t>Contribution.</w:t>
      </w:r>
    </w:p>
    <w:p>
      <w:pPr>
        <w:spacing w:after="0" w:line="225" w:lineRule="exact"/>
        <w:rPr>
          <w:sz w:val="20"/>
          <w:szCs w:val="20"/>
          <w:color w:val="auto"/>
        </w:rPr>
      </w:pPr>
    </w:p>
    <w:p>
      <w:pPr>
        <w:jc w:val="both"/>
        <w:ind w:left="840" w:firstLine="640"/>
        <w:spacing w:after="0" w:line="286" w:lineRule="auto"/>
        <w:tabs>
          <w:tab w:leader="none" w:pos="2484"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To the extent that any Loan Guarantor shall make a payment under this Loan Guaranty (a “</w:t>
      </w:r>
      <w:r>
        <w:rPr>
          <w:rFonts w:ascii="Arial" w:cs="Arial" w:eastAsia="Arial" w:hAnsi="Arial"/>
          <w:sz w:val="16"/>
          <w:szCs w:val="16"/>
          <w:u w:val="single" w:color="auto"/>
          <w:color w:val="auto"/>
        </w:rPr>
        <w:t>Guarantor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w:t>
      </w:r>
      <w:r>
        <w:rPr>
          <w:rFonts w:ascii="Arial" w:cs="Arial" w:eastAsia="Arial" w:hAnsi="Arial"/>
          <w:sz w:val="16"/>
          <w:szCs w:val="16"/>
          <w:u w:val="single" w:color="auto"/>
          <w:color w:val="auto"/>
        </w:rPr>
        <w:t>Allocable Amount</w:t>
      </w:r>
      <w:r>
        <w:rPr>
          <w:rFonts w:ascii="Arial" w:cs="Arial" w:eastAsia="Arial" w:hAnsi="Arial"/>
          <w:sz w:val="16"/>
          <w:szCs w:val="16"/>
          <w:color w:val="auto"/>
        </w:rPr>
        <w: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Issuing Bank, and this Agreement, the Swap Agreement Obligations and the Banking Services Obligations have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73" w:lineRule="exact"/>
        <w:rPr>
          <w:rFonts w:ascii="Arial" w:cs="Arial" w:eastAsia="Arial" w:hAnsi="Arial"/>
          <w:sz w:val="16"/>
          <w:szCs w:val="16"/>
          <w:color w:val="auto"/>
        </w:rPr>
      </w:pPr>
    </w:p>
    <w:p>
      <w:pPr>
        <w:jc w:val="both"/>
        <w:ind w:left="840" w:firstLine="640"/>
        <w:spacing w:after="0" w:line="296" w:lineRule="auto"/>
        <w:tabs>
          <w:tab w:leader="none" w:pos="2264" w:val="left"/>
        </w:tabs>
        <w:numPr>
          <w:ilvl w:val="0"/>
          <w:numId w:val="519"/>
        </w:numPr>
        <w:rPr>
          <w:rFonts w:ascii="Arial" w:cs="Arial" w:eastAsia="Arial" w:hAnsi="Arial"/>
          <w:sz w:val="16"/>
          <w:szCs w:val="16"/>
          <w:color w:val="auto"/>
        </w:rPr>
      </w:pPr>
      <w:r>
        <w:rPr>
          <w:rFonts w:ascii="Arial" w:cs="Arial" w:eastAsia="Arial" w:hAnsi="Arial"/>
          <w:sz w:val="16"/>
          <w:szCs w:val="16"/>
          <w:color w:val="auto"/>
        </w:rPr>
        <w:t>As of any date of determination, the “</w:t>
      </w:r>
      <w:r>
        <w:rPr>
          <w:rFonts w:ascii="Arial" w:cs="Arial" w:eastAsia="Arial" w:hAnsi="Arial"/>
          <w:sz w:val="16"/>
          <w:szCs w:val="16"/>
          <w:u w:val="single" w:color="auto"/>
          <w:color w:val="auto"/>
        </w:rPr>
        <w:t>Allocable Amount</w:t>
      </w:r>
      <w:r>
        <w:rPr>
          <w:rFonts w:ascii="Arial" w:cs="Arial" w:eastAsia="Arial" w:hAnsi="Arial"/>
          <w:sz w:val="16"/>
          <w:szCs w:val="16"/>
          <w:color w:val="auto"/>
        </w:rPr>
        <w: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3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2" w:name="page383"/>
    <w:bookmarkEnd w:id="382"/>
    <w:p>
      <w:pPr>
        <w:jc w:val="both"/>
        <w:ind w:left="840" w:firstLine="640"/>
        <w:spacing w:after="0" w:line="286" w:lineRule="auto"/>
        <w:tabs>
          <w:tab w:leader="none" w:pos="2254" w:val="left"/>
        </w:tabs>
        <w:numPr>
          <w:ilvl w:val="0"/>
          <w:numId w:val="520"/>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is intended only to define the relative rights of the Loan Guarantors, and nothing set forth in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is intended to or shall impair the obligations of the Loan Guarantors, jointly and severally, to pay any amounts as and when the same shall become due and payable in accordance with the terms of this Loan Guaranty.</w:t>
      </w:r>
    </w:p>
    <w:p>
      <w:pPr>
        <w:spacing w:after="0" w:line="165" w:lineRule="exact"/>
        <w:rPr>
          <w:rFonts w:ascii="Arial" w:cs="Arial" w:eastAsia="Arial" w:hAnsi="Arial"/>
          <w:sz w:val="17"/>
          <w:szCs w:val="17"/>
          <w:color w:val="auto"/>
        </w:rPr>
      </w:pPr>
    </w:p>
    <w:p>
      <w:pPr>
        <w:ind w:left="840" w:firstLine="640"/>
        <w:spacing w:after="0" w:line="277" w:lineRule="auto"/>
        <w:tabs>
          <w:tab w:leader="none" w:pos="2264"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Loan Guarantor or Loan Guarantors to which such contribution and indemnification is owing.</w:t>
      </w:r>
    </w:p>
    <w:p>
      <w:pPr>
        <w:spacing w:after="0" w:line="170" w:lineRule="exact"/>
        <w:rPr>
          <w:rFonts w:ascii="Arial" w:cs="Arial" w:eastAsia="Arial" w:hAnsi="Arial"/>
          <w:sz w:val="18"/>
          <w:szCs w:val="18"/>
          <w:color w:val="auto"/>
        </w:rPr>
      </w:pPr>
    </w:p>
    <w:p>
      <w:pPr>
        <w:ind w:left="840" w:firstLine="640"/>
        <w:spacing w:after="0" w:line="277" w:lineRule="auto"/>
        <w:tabs>
          <w:tab w:leader="none" w:pos="2241" w:val="left"/>
        </w:tabs>
        <w:numPr>
          <w:ilvl w:val="0"/>
          <w:numId w:val="520"/>
        </w:numPr>
        <w:rPr>
          <w:rFonts w:ascii="Arial" w:cs="Arial" w:eastAsia="Arial" w:hAnsi="Arial"/>
          <w:sz w:val="18"/>
          <w:szCs w:val="18"/>
          <w:color w:val="auto"/>
        </w:rPr>
      </w:pPr>
      <w:r>
        <w:rPr>
          <w:rFonts w:ascii="Arial" w:cs="Arial" w:eastAsia="Arial" w:hAnsi="Arial"/>
          <w:sz w:val="18"/>
          <w:szCs w:val="18"/>
          <w:color w:val="auto"/>
        </w:rPr>
        <w:t xml:space="preserve">The rights of the indemnifying Loan Guarantors against other Loan Guarantors under this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shall be exercisable upon satisfaction of the Final Release Conditions.</w:t>
      </w:r>
    </w:p>
    <w:p>
      <w:pPr>
        <w:spacing w:after="0" w:line="170" w:lineRule="exact"/>
        <w:rPr>
          <w:sz w:val="20"/>
          <w:szCs w:val="20"/>
          <w:color w:val="auto"/>
        </w:rPr>
      </w:pPr>
    </w:p>
    <w:p>
      <w:pPr>
        <w:jc w:val="both"/>
        <w:ind w:left="180" w:firstLine="648"/>
        <w:spacing w:after="0" w:line="257" w:lineRule="auto"/>
        <w:rPr>
          <w:sz w:val="20"/>
          <w:szCs w:val="20"/>
          <w:color w:val="auto"/>
        </w:rPr>
      </w:pPr>
      <w:r>
        <w:rPr>
          <w:rFonts w:ascii="Arial" w:cs="Arial" w:eastAsia="Arial" w:hAnsi="Arial"/>
          <w:sz w:val="18"/>
          <w:szCs w:val="18"/>
          <w:color w:val="auto"/>
        </w:rPr>
        <w:t xml:space="preserve">SECTION 10.12. Liability Cumulative. The liability of each Loan Party as a Loan Guarantor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8" w:lineRule="exact"/>
        <w:rPr>
          <w:sz w:val="20"/>
          <w:szCs w:val="20"/>
          <w:color w:val="auto"/>
        </w:rPr>
      </w:pPr>
    </w:p>
    <w:p>
      <w:pPr>
        <w:jc w:val="both"/>
        <w:ind w:left="180" w:firstLine="648"/>
        <w:spacing w:after="0" w:line="289" w:lineRule="auto"/>
        <w:rPr>
          <w:sz w:val="20"/>
          <w:szCs w:val="20"/>
          <w:color w:val="auto"/>
        </w:rPr>
      </w:pPr>
      <w:r>
        <w:rPr>
          <w:rFonts w:ascii="Arial" w:cs="Arial" w:eastAsia="Arial" w:hAnsi="Arial"/>
          <w:sz w:val="16"/>
          <w:szCs w:val="16"/>
          <w:color w:val="auto"/>
        </w:rPr>
        <w:t>SECTION 10.13. Keepwell.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Qualified ECP Guarantor shall only be liable under this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for the maximum amount of such liability that can be hereby incurred without rendering its obligations under this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otherwise under this Loan Guaranty voidable under applicable law relating to fraudulent conveyance or fraudulent transfer, and not for any greater amount). Except as otherwise provided herein, the obligations of each Qualified ECP Guarantor under this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shall remain in full force and effect until satisfaction of the Final Release Conditions. Each Qualified ECP Guarantor intends that this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constitute, and this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shall be deemed to constitute, a “keepwell, support, or other agreement” for the benefit of each other Loan Party for all purposes of Section 1a(18)(A)(v)(II) of the Commodity Exchange Act.</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The Borrower Representative</w:t>
      </w:r>
    </w:p>
    <w:p>
      <w:pPr>
        <w:spacing w:after="0" w:line="225" w:lineRule="exact"/>
        <w:rPr>
          <w:sz w:val="20"/>
          <w:szCs w:val="20"/>
          <w:color w:val="auto"/>
        </w:rPr>
      </w:pPr>
    </w:p>
    <w:p>
      <w:pPr>
        <w:jc w:val="both"/>
        <w:ind w:left="180" w:firstLine="648"/>
        <w:spacing w:after="0" w:line="288" w:lineRule="auto"/>
        <w:rPr>
          <w:sz w:val="20"/>
          <w:szCs w:val="20"/>
          <w:color w:val="auto"/>
        </w:rPr>
      </w:pPr>
      <w:r>
        <w:rPr>
          <w:rFonts w:ascii="Arial" w:cs="Arial" w:eastAsia="Arial" w:hAnsi="Arial"/>
          <w:sz w:val="16"/>
          <w:szCs w:val="16"/>
          <w:color w:val="auto"/>
        </w:rPr>
        <w:t>SECTION 11.01. Appointment; Nature of Relationship. The Company is hereby appointed by each of the Borrowers as its contractual representative (herein referred to as the “</w:t>
      </w:r>
      <w:r>
        <w:rPr>
          <w:rFonts w:ascii="Arial" w:cs="Arial" w:eastAsia="Arial" w:hAnsi="Arial"/>
          <w:sz w:val="16"/>
          <w:szCs w:val="16"/>
          <w:u w:val="single" w:color="auto"/>
          <w:color w:val="auto"/>
        </w:rPr>
        <w:t>Borrower Representative</w:t>
      </w:r>
      <w:r>
        <w:rPr>
          <w:rFonts w:ascii="Arial" w:cs="Arial" w:eastAsia="Arial" w:hAnsi="Arial"/>
          <w:sz w:val="16"/>
          <w:szCs w:val="16"/>
          <w:color w:val="auto"/>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Additionally, the Borrowers hereby appoint the Borrower Representative as their agent to receive all of the proceeds of the Loans in the Funding Account(s), at which time the Borrower Representative shall promptly disburse such Loans to the appropriate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Revolving Loan, such amount shall not cause the Borrowers to violate the Revolving Exposure Limitations. The Administrative Agent and the Lenders, and their respective officers, directors, agents or employees, shall not be liable to the Borrower Representative or any Borrower for any action taken or omitted to be taken by the Borrower Representative or the Borrowers pursuant to this </w:t>
      </w:r>
      <w:r>
        <w:rPr>
          <w:rFonts w:ascii="Arial" w:cs="Arial" w:eastAsia="Arial" w:hAnsi="Arial"/>
          <w:sz w:val="16"/>
          <w:szCs w:val="16"/>
          <w:u w:val="single" w:color="auto"/>
          <w:color w:val="auto"/>
        </w:rPr>
        <w:t>Section 11.01</w:t>
      </w:r>
      <w:r>
        <w:rPr>
          <w:rFonts w:ascii="Arial" w:cs="Arial" w:eastAsia="Arial" w:hAnsi="Arial"/>
          <w:sz w:val="16"/>
          <w:szCs w:val="16"/>
          <w:color w:val="auto"/>
        </w:rPr>
        <w:t>.</w:t>
      </w:r>
    </w:p>
    <w:p>
      <w:pPr>
        <w:spacing w:after="0" w:line="3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3" w:name="page384"/>
    <w:bookmarkEnd w:id="383"/>
    <w:p>
      <w:pPr>
        <w:jc w:val="both"/>
        <w:ind w:left="180" w:firstLine="648"/>
        <w:spacing w:after="0" w:line="301" w:lineRule="auto"/>
        <w:rPr>
          <w:sz w:val="20"/>
          <w:szCs w:val="20"/>
          <w:color w:val="auto"/>
        </w:rPr>
      </w:pPr>
      <w:r>
        <w:rPr>
          <w:rFonts w:ascii="Arial" w:cs="Arial" w:eastAsia="Arial" w:hAnsi="Arial"/>
          <w:sz w:val="16"/>
          <w:szCs w:val="16"/>
          <w:color w:val="auto"/>
        </w:rPr>
        <w:t>SECTION 11.02. Powers.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57"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auto"/>
        </w:rPr>
        <w:t>SECTION 11.03. Employment of Agents. The Borrower Representative may execute any of its duties as the Borrower Representative hereunder and under any other Loan Document by or through authorized officers.</w:t>
      </w:r>
    </w:p>
    <w:p>
      <w:pPr>
        <w:spacing w:after="0" w:line="170" w:lineRule="exact"/>
        <w:rPr>
          <w:sz w:val="20"/>
          <w:szCs w:val="20"/>
          <w:color w:val="auto"/>
        </w:rPr>
      </w:pPr>
    </w:p>
    <w:p>
      <w:pPr>
        <w:jc w:val="both"/>
        <w:ind w:left="180" w:firstLine="648"/>
        <w:spacing w:after="0" w:line="275" w:lineRule="auto"/>
        <w:rPr>
          <w:sz w:val="20"/>
          <w:szCs w:val="20"/>
          <w:color w:val="auto"/>
        </w:rPr>
      </w:pPr>
      <w:r>
        <w:rPr>
          <w:rFonts w:ascii="Arial" w:cs="Arial" w:eastAsia="Arial" w:hAnsi="Arial"/>
          <w:sz w:val="17"/>
          <w:szCs w:val="17"/>
          <w:color w:val="auto"/>
        </w:rPr>
        <w:t>SECTION 11.04. Notices.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pacing w:after="0" w:line="176"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SECTION 11.05. Successor Borrower Representative.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spacing w:after="0" w:line="184" w:lineRule="exact"/>
        <w:rPr>
          <w:sz w:val="20"/>
          <w:szCs w:val="20"/>
          <w:color w:val="auto"/>
        </w:rPr>
      </w:pPr>
    </w:p>
    <w:p>
      <w:pPr>
        <w:jc w:val="both"/>
        <w:ind w:left="180" w:firstLine="648"/>
        <w:spacing w:after="0" w:line="254" w:lineRule="auto"/>
        <w:rPr>
          <w:sz w:val="20"/>
          <w:szCs w:val="20"/>
          <w:color w:val="auto"/>
        </w:rPr>
      </w:pPr>
      <w:r>
        <w:rPr>
          <w:rFonts w:ascii="Arial" w:cs="Arial" w:eastAsia="Arial" w:hAnsi="Arial"/>
          <w:sz w:val="18"/>
          <w:szCs w:val="18"/>
          <w:color w:val="auto"/>
        </w:rPr>
        <w:t>SECTION 11.06. Execution of Loan Documents; Borrowing Base Certificate.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Aggregate Borrowing Base Certificate and the Borrowing Base Certificate of each Borrower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200" w:lineRule="exact"/>
        <w:rPr>
          <w:sz w:val="20"/>
          <w:szCs w:val="20"/>
          <w:color w:val="auto"/>
        </w:rPr>
      </w:pPr>
    </w:p>
    <w:p>
      <w:pPr>
        <w:spacing w:after="0" w:line="20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4" w:name="page385"/>
    <w:bookmarkEnd w:id="384"/>
    <w:p>
      <w:pPr>
        <w:jc w:val="both"/>
        <w:ind w:left="180" w:firstLine="648"/>
        <w:spacing w:after="0" w:line="257" w:lineRule="auto"/>
        <w:rPr>
          <w:sz w:val="20"/>
          <w:szCs w:val="20"/>
          <w:color w:val="auto"/>
        </w:rPr>
      </w:pPr>
      <w:r>
        <w:rPr>
          <w:rFonts w:ascii="Arial" w:cs="Arial" w:eastAsia="Arial" w:hAnsi="Arial"/>
          <w:sz w:val="18"/>
          <w:szCs w:val="18"/>
          <w:color w:val="auto"/>
        </w:rPr>
        <w:t>SECTION 11.07. Reporting.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Aggregate Borrowing Base Certificate and the Borrowing Base Certificate of each Borrower and Compliance Certificate required pursuant to the provisions of this Agreement.</w:t>
      </w:r>
    </w:p>
    <w:p>
      <w:pPr>
        <w:spacing w:after="0" w:line="18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5" w:name="page386"/>
    <w:bookmarkEnd w:id="385"/>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 –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6" w:name="page387"/>
    <w:bookmarkEnd w:id="386"/>
    <w:p>
      <w:pPr>
        <w:jc w:val="right"/>
        <w:ind w:right="979"/>
        <w:spacing w:after="0"/>
        <w:rPr>
          <w:sz w:val="20"/>
          <w:szCs w:val="20"/>
          <w:color w:val="auto"/>
        </w:rPr>
      </w:pPr>
      <w:r>
        <w:rPr>
          <w:rFonts w:ascii="Arial" w:cs="Arial" w:eastAsia="Arial" w:hAnsi="Arial"/>
          <w:sz w:val="18"/>
          <w:szCs w:val="18"/>
          <w:color w:val="auto"/>
        </w:rPr>
        <w:t>WINNEBAGO INDUSTRIES, INC., as Borrower</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33172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WINNEBAGO OF INDIANA, LLC, as Borrower</w:t>
      </w:r>
    </w:p>
    <w:p>
      <w:pPr>
        <w:spacing w:after="0" w:line="200" w:lineRule="exact"/>
        <w:rPr>
          <w:sz w:val="20"/>
          <w:szCs w:val="20"/>
          <w:color w:val="auto"/>
        </w:rPr>
      </w:pPr>
    </w:p>
    <w:p>
      <w:pPr>
        <w:spacing w:after="0" w:line="25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33172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GRAND DESIGN RV, LLC, as Borrower</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33172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Amended and Restated Credit Agreement –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87" w:name="page388"/>
    <w:bookmarkEnd w:id="387"/>
    <w:p>
      <w:pPr>
        <w:ind w:left="4400"/>
        <w:spacing w:after="0"/>
        <w:rPr>
          <w:sz w:val="20"/>
          <w:szCs w:val="20"/>
          <w:color w:val="auto"/>
        </w:rPr>
      </w:pPr>
      <w:r>
        <w:rPr>
          <w:rFonts w:ascii="Arial" w:cs="Arial" w:eastAsia="Arial" w:hAnsi="Arial"/>
          <w:sz w:val="18"/>
          <w:szCs w:val="18"/>
          <w:color w:val="auto"/>
        </w:rPr>
        <w:t>NEWMAR CORPORATION, as Borrower</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33172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OCTAVIUS CORPORATION, as Loan Guarantor</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331724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Amended and Restated Credit Agreement –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88" w:name="page389"/>
    <w:bookmarkEnd w:id="388"/>
    <w:p>
      <w:pPr>
        <w:ind w:left="4400"/>
        <w:spacing w:after="0"/>
        <w:rPr>
          <w:sz w:val="20"/>
          <w:szCs w:val="20"/>
          <w:color w:val="auto"/>
        </w:rPr>
      </w:pPr>
      <w:r>
        <w:rPr>
          <w:rFonts w:ascii="Arial" w:cs="Arial" w:eastAsia="Arial" w:hAnsi="Arial"/>
          <w:sz w:val="18"/>
          <w:szCs w:val="18"/>
          <w:color w:val="auto"/>
        </w:rPr>
        <w:t>JPMORGAN CHASE BANK, N.A., individually as</w:t>
      </w:r>
    </w:p>
    <w:p>
      <w:pPr>
        <w:spacing w:after="0" w:line="23" w:lineRule="exact"/>
        <w:rPr>
          <w:sz w:val="20"/>
          <w:szCs w:val="20"/>
          <w:color w:val="auto"/>
        </w:rPr>
      </w:pPr>
    </w:p>
    <w:p>
      <w:pPr>
        <w:ind w:left="4400"/>
        <w:spacing w:after="0" w:line="260" w:lineRule="auto"/>
        <w:rPr>
          <w:sz w:val="20"/>
          <w:szCs w:val="20"/>
          <w:color w:val="auto"/>
        </w:rPr>
      </w:pPr>
      <w:r>
        <w:rPr>
          <w:rFonts w:ascii="Arial" w:cs="Arial" w:eastAsia="Arial" w:hAnsi="Arial"/>
          <w:sz w:val="18"/>
          <w:szCs w:val="18"/>
          <w:color w:val="auto"/>
        </w:rPr>
        <w:t>a Lender, as Swingline Lender, as an Issuing Bank and as Administrative Agent</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331724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[Signature Page to Amended and Restated Credit Agreement –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60"/>
          </w:cols>
          <w:pgMar w:left="1440" w:top="908" w:right="799" w:bottom="1440" w:gutter="0" w:footer="0" w:header="0"/>
        </w:sectPr>
      </w:pPr>
    </w:p>
    <w:bookmarkStart w:id="389" w:name="page390"/>
    <w:bookmarkEnd w:id="389"/>
    <w:tbl>
      <w:tblPr>
        <w:tblLayout w:type="fixed"/>
        <w:tblInd w:w="1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0" w:type="dxa"/>
            <w:vAlign w:val="bottom"/>
            <w:gridSpan w:val="4"/>
          </w:tcPr>
          <w:p>
            <w:pPr>
              <w:jc w:val="right"/>
              <w:ind w:right="4500"/>
              <w:spacing w:after="0"/>
              <w:rPr>
                <w:sz w:val="20"/>
                <w:szCs w:val="20"/>
                <w:color w:val="auto"/>
              </w:rPr>
            </w:pPr>
            <w:r>
              <w:rPr>
                <w:rFonts w:ascii="Arial" w:cs="Arial" w:eastAsia="Arial" w:hAnsi="Arial"/>
                <w:sz w:val="18"/>
                <w:szCs w:val="18"/>
                <w:color w:val="auto"/>
              </w:rPr>
              <w:t>COMMITMENT SCHEDULE</w:t>
            </w:r>
          </w:p>
        </w:tc>
      </w:tr>
      <w:tr>
        <w:trPr>
          <w:trHeight w:val="216"/>
        </w:trPr>
        <w:tc>
          <w:tcPr>
            <w:tcW w:w="2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r>
      <w:tr>
        <w:trPr>
          <w:trHeight w:val="169"/>
        </w:trPr>
        <w:tc>
          <w:tcPr>
            <w:tcW w:w="2460" w:type="dxa"/>
            <w:vAlign w:val="bottom"/>
            <w:tcBorders>
              <w:left w:val="single" w:sz="8" w:color="auto"/>
            </w:tcBorders>
          </w:tcPr>
          <w:p>
            <w:pPr>
              <w:spacing w:after="0"/>
              <w:rPr>
                <w:sz w:val="14"/>
                <w:szCs w:val="14"/>
                <w:color w:val="auto"/>
              </w:rPr>
            </w:pPr>
          </w:p>
        </w:tc>
        <w:tc>
          <w:tcPr>
            <w:tcW w:w="1380" w:type="dxa"/>
            <w:vAlign w:val="bottom"/>
            <w:gridSpan w:val="2"/>
          </w:tcPr>
          <w:p>
            <w:pPr>
              <w:spacing w:after="0" w:line="169" w:lineRule="exact"/>
              <w:rPr>
                <w:sz w:val="20"/>
                <w:szCs w:val="20"/>
                <w:color w:val="auto"/>
              </w:rPr>
            </w:pPr>
            <w:r>
              <w:rPr>
                <w:rFonts w:ascii="Arial" w:cs="Arial" w:eastAsia="Arial" w:hAnsi="Arial"/>
                <w:sz w:val="18"/>
                <w:szCs w:val="18"/>
                <w:color w:val="auto"/>
              </w:rPr>
              <w:t>LENDER</w:t>
            </w:r>
          </w:p>
        </w:tc>
        <w:tc>
          <w:tcPr>
            <w:tcW w:w="1800" w:type="dxa"/>
            <w:vAlign w:val="bottom"/>
            <w:tcBorders>
              <w:right w:val="single" w:sz="8" w:color="auto"/>
            </w:tcBorders>
          </w:tcPr>
          <w:p>
            <w:pPr>
              <w:spacing w:after="0"/>
              <w:rPr>
                <w:sz w:val="14"/>
                <w:szCs w:val="14"/>
                <w:color w:val="auto"/>
              </w:rPr>
            </w:pPr>
          </w:p>
        </w:tc>
        <w:tc>
          <w:tcPr>
            <w:tcW w:w="5600" w:type="dxa"/>
            <w:vAlign w:val="bottom"/>
            <w:tcBorders>
              <w:right w:val="single" w:sz="8" w:color="auto"/>
            </w:tcBorders>
            <w:gridSpan w:val="3"/>
          </w:tcPr>
          <w:p>
            <w:pPr>
              <w:jc w:val="right"/>
              <w:ind w:right="2140"/>
              <w:spacing w:after="0" w:line="169" w:lineRule="exact"/>
              <w:rPr>
                <w:sz w:val="20"/>
                <w:szCs w:val="20"/>
                <w:color w:val="auto"/>
              </w:rPr>
            </w:pPr>
            <w:r>
              <w:rPr>
                <w:rFonts w:ascii="Arial" w:cs="Arial" w:eastAsia="Arial" w:hAnsi="Arial"/>
                <w:sz w:val="18"/>
                <w:szCs w:val="18"/>
                <w:color w:val="auto"/>
              </w:rPr>
              <w:t>COMMITMENTS</w:t>
            </w:r>
          </w:p>
        </w:tc>
      </w:tr>
      <w:tr>
        <w:trPr>
          <w:trHeight w:val="20"/>
        </w:trPr>
        <w:tc>
          <w:tcPr>
            <w:tcW w:w="246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384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JPMORGAN CHASE BANK, N.A.</w:t>
            </w:r>
          </w:p>
        </w:tc>
        <w:tc>
          <w:tcPr>
            <w:tcW w:w="18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$92,500,000</w:t>
            </w:r>
          </w:p>
        </w:tc>
      </w:tr>
      <w:tr>
        <w:trPr>
          <w:trHeight w:val="209"/>
        </w:trPr>
        <w:tc>
          <w:tcPr>
            <w:tcW w:w="384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BMO HARRIS BANK N.A.</w:t>
            </w:r>
          </w:p>
        </w:tc>
        <w:tc>
          <w:tcPr>
            <w:tcW w:w="18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$60,000,000</w:t>
            </w:r>
          </w:p>
        </w:tc>
      </w:tr>
      <w:tr>
        <w:trPr>
          <w:trHeight w:val="209"/>
        </w:trPr>
        <w:tc>
          <w:tcPr>
            <w:tcW w:w="384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GOLDMAN SACHS BANK USA</w:t>
            </w:r>
          </w:p>
        </w:tc>
        <w:tc>
          <w:tcPr>
            <w:tcW w:w="18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$40,000,000</w:t>
            </w:r>
          </w:p>
        </w:tc>
      </w:tr>
      <w:tr>
        <w:trPr>
          <w:trHeight w:val="210"/>
        </w:trPr>
        <w:tc>
          <w:tcPr>
            <w:tcW w:w="384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AGGREGATE COMMITMENTS</w:t>
            </w:r>
          </w:p>
        </w:tc>
        <w:tc>
          <w:tcPr>
            <w:tcW w:w="18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$192,500,000</w:t>
            </w:r>
          </w:p>
        </w:tc>
      </w:tr>
      <w:tr>
        <w:trPr>
          <w:trHeight w:val="425"/>
        </w:trPr>
        <w:tc>
          <w:tcPr>
            <w:tcW w:w="2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color w:val="auto"/>
        </w:rPr>
        <w:t>Insert name of Assignor</w:t>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Credit Agreement identified below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(the rights and obligations sold and assigned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Assignor.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1.</w:t>
            </w:r>
          </w:p>
        </w:tc>
        <w:tc>
          <w:tcPr>
            <w:tcW w:w="2540" w:type="dxa"/>
            <w:vAlign w:val="bottom"/>
          </w:tcPr>
          <w:p>
            <w:pPr>
              <w:ind w:left="260"/>
              <w:spacing w:after="0"/>
              <w:rPr>
                <w:sz w:val="20"/>
                <w:szCs w:val="20"/>
                <w:color w:val="auto"/>
              </w:rPr>
            </w:pPr>
            <w:r>
              <w:rPr>
                <w:rFonts w:ascii="Arial" w:cs="Arial" w:eastAsia="Arial" w:hAnsi="Arial"/>
                <w:sz w:val="18"/>
                <w:szCs w:val="18"/>
                <w:color w:val="auto"/>
              </w:rPr>
              <w:t>Assignor:</w:t>
            </w:r>
          </w:p>
        </w:tc>
        <w:tc>
          <w:tcPr>
            <w:tcW w:w="7760" w:type="dxa"/>
            <w:vAlign w:val="bottom"/>
          </w:tcPr>
          <w:p>
            <w:pPr>
              <w:ind w:left="660"/>
              <w:spacing w:after="0"/>
              <w:rPr>
                <w:sz w:val="20"/>
                <w:szCs w:val="20"/>
                <w:color w:val="auto"/>
              </w:rPr>
            </w:pPr>
            <w:r>
              <w:rPr>
                <w:rFonts w:ascii="Arial" w:cs="Arial" w:eastAsia="Arial" w:hAnsi="Arial"/>
                <w:sz w:val="18"/>
                <w:szCs w:val="18"/>
                <w:color w:val="auto"/>
              </w:rPr>
              <w:t>_____________________________</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2540" w:type="dxa"/>
            <w:vAlign w:val="bottom"/>
          </w:tcPr>
          <w:p>
            <w:pPr>
              <w:ind w:left="260"/>
              <w:spacing w:after="0"/>
              <w:rPr>
                <w:sz w:val="20"/>
                <w:szCs w:val="20"/>
                <w:color w:val="auto"/>
              </w:rPr>
            </w:pPr>
            <w:r>
              <w:rPr>
                <w:rFonts w:ascii="Arial" w:cs="Arial" w:eastAsia="Arial" w:hAnsi="Arial"/>
                <w:sz w:val="18"/>
                <w:szCs w:val="18"/>
                <w:color w:val="auto"/>
              </w:rPr>
              <w:t>Assignee:</w:t>
            </w:r>
          </w:p>
        </w:tc>
        <w:tc>
          <w:tcPr>
            <w:tcW w:w="7760" w:type="dxa"/>
            <w:vAlign w:val="bottom"/>
          </w:tcPr>
          <w:p>
            <w:pPr>
              <w:ind w:left="660"/>
              <w:spacing w:after="0"/>
              <w:rPr>
                <w:sz w:val="20"/>
                <w:szCs w:val="20"/>
                <w:color w:val="auto"/>
              </w:rPr>
            </w:pPr>
            <w:r>
              <w:rPr>
                <w:rFonts w:ascii="Arial" w:cs="Arial" w:eastAsia="Arial" w:hAnsi="Arial"/>
                <w:sz w:val="18"/>
                <w:szCs w:val="18"/>
                <w:color w:val="auto"/>
              </w:rPr>
              <w:t>_____________________________</w:t>
            </w:r>
          </w:p>
        </w:tc>
      </w:tr>
      <w:tr>
        <w:trPr>
          <w:trHeight w:val="595"/>
        </w:trPr>
        <w:tc>
          <w:tcPr>
            <w:tcW w:w="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760" w:type="dxa"/>
            <w:vAlign w:val="bottom"/>
          </w:tcPr>
          <w:p>
            <w:pPr>
              <w:ind w:left="660"/>
              <w:spacing w:after="0"/>
              <w:rPr>
                <w:sz w:val="20"/>
                <w:szCs w:val="20"/>
                <w:color w:val="auto"/>
              </w:rPr>
            </w:pPr>
            <w:r>
              <w:rPr>
                <w:rFonts w:ascii="Arial" w:cs="Arial" w:eastAsia="Arial" w:hAnsi="Arial"/>
                <w:sz w:val="18"/>
                <w:szCs w:val="18"/>
                <w:color w:val="auto"/>
              </w:rPr>
              <w:t>[and is an Affiliate/Approved Fund of [identify Lender]</w:t>
            </w:r>
            <w:r>
              <w:rPr>
                <w:rFonts w:ascii="Arial" w:cs="Arial" w:eastAsia="Arial" w:hAnsi="Arial"/>
                <w:sz w:val="29"/>
                <w:szCs w:val="29"/>
                <w:color w:val="auto"/>
                <w:vertAlign w:val="superscript"/>
              </w:rPr>
              <w:t>1</w:t>
            </w:r>
            <w:r>
              <w:rPr>
                <w:rFonts w:ascii="Arial" w:cs="Arial" w:eastAsia="Arial" w:hAnsi="Arial"/>
                <w:sz w:val="18"/>
                <w:szCs w:val="18"/>
                <w:color w:val="auto"/>
              </w:rPr>
              <w:t>]</w:t>
            </w:r>
          </w:p>
        </w:tc>
      </w:tr>
      <w:tr>
        <w:trPr>
          <w:trHeight w:val="295"/>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3.</w:t>
            </w:r>
          </w:p>
        </w:tc>
        <w:tc>
          <w:tcPr>
            <w:tcW w:w="2540" w:type="dxa"/>
            <w:vAlign w:val="bottom"/>
          </w:tcPr>
          <w:p>
            <w:pPr>
              <w:ind w:left="260"/>
              <w:spacing w:after="0"/>
              <w:rPr>
                <w:sz w:val="20"/>
                <w:szCs w:val="20"/>
                <w:color w:val="auto"/>
              </w:rPr>
            </w:pPr>
            <w:r>
              <w:rPr>
                <w:rFonts w:ascii="Arial" w:cs="Arial" w:eastAsia="Arial" w:hAnsi="Arial"/>
                <w:sz w:val="18"/>
                <w:szCs w:val="18"/>
                <w:color w:val="auto"/>
              </w:rPr>
              <w:t>Borrowers:</w:t>
            </w:r>
          </w:p>
        </w:tc>
        <w:tc>
          <w:tcPr>
            <w:tcW w:w="7760" w:type="dxa"/>
            <w:vAlign w:val="bottom"/>
          </w:tcPr>
          <w:p>
            <w:pPr>
              <w:ind w:left="660"/>
              <w:spacing w:after="0"/>
              <w:rPr>
                <w:sz w:val="20"/>
                <w:szCs w:val="20"/>
                <w:color w:val="auto"/>
              </w:rPr>
            </w:pPr>
            <w:r>
              <w:rPr>
                <w:rFonts w:ascii="Arial" w:cs="Arial" w:eastAsia="Arial" w:hAnsi="Arial"/>
                <w:sz w:val="18"/>
                <w:szCs w:val="18"/>
                <w:color w:val="auto"/>
                <w:w w:val="95"/>
              </w:rPr>
              <w:t>Winnebago Industries, Inc., Winnebago of Indiana, LLC, Grand Design RV, LLC and Newmar</w:t>
            </w:r>
          </w:p>
        </w:tc>
      </w:tr>
      <w:tr>
        <w:trPr>
          <w:trHeight w:val="230"/>
        </w:trPr>
        <w:tc>
          <w:tcPr>
            <w:tcW w:w="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760" w:type="dxa"/>
            <w:vAlign w:val="bottom"/>
          </w:tcPr>
          <w:p>
            <w:pPr>
              <w:ind w:left="660"/>
              <w:spacing w:after="0"/>
              <w:rPr>
                <w:sz w:val="20"/>
                <w:szCs w:val="20"/>
                <w:color w:val="auto"/>
              </w:rPr>
            </w:pPr>
            <w:r>
              <w:rPr>
                <w:rFonts w:ascii="Arial" w:cs="Arial" w:eastAsia="Arial" w:hAnsi="Arial"/>
                <w:sz w:val="18"/>
                <w:szCs w:val="18"/>
                <w:color w:val="auto"/>
              </w:rPr>
              <w:t>Corporation</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4.</w:t>
            </w:r>
          </w:p>
        </w:tc>
        <w:tc>
          <w:tcPr>
            <w:tcW w:w="2540" w:type="dxa"/>
            <w:vAlign w:val="bottom"/>
          </w:tcPr>
          <w:p>
            <w:pPr>
              <w:ind w:left="260"/>
              <w:spacing w:after="0"/>
              <w:rPr>
                <w:sz w:val="20"/>
                <w:szCs w:val="20"/>
                <w:color w:val="auto"/>
              </w:rPr>
            </w:pPr>
            <w:r>
              <w:rPr>
                <w:rFonts w:ascii="Arial" w:cs="Arial" w:eastAsia="Arial" w:hAnsi="Arial"/>
                <w:sz w:val="18"/>
                <w:szCs w:val="18"/>
                <w:color w:val="auto"/>
              </w:rPr>
              <w:t>Administrative Agent:</w:t>
            </w:r>
          </w:p>
        </w:tc>
        <w:tc>
          <w:tcPr>
            <w:tcW w:w="7760" w:type="dxa"/>
            <w:vAlign w:val="bottom"/>
          </w:tcPr>
          <w:p>
            <w:pPr>
              <w:ind w:left="660"/>
              <w:spacing w:after="0"/>
              <w:rPr>
                <w:sz w:val="20"/>
                <w:szCs w:val="20"/>
                <w:color w:val="auto"/>
              </w:rPr>
            </w:pPr>
            <w:r>
              <w:rPr>
                <w:rFonts w:ascii="Arial" w:cs="Arial" w:eastAsia="Arial" w:hAnsi="Arial"/>
                <w:sz w:val="18"/>
                <w:szCs w:val="18"/>
                <w:color w:val="auto"/>
              </w:rPr>
              <w:t>JPMorgan Chase Bank, N.A., as the administrative agent under the Credit Agreement</w:t>
            </w:r>
          </w:p>
        </w:tc>
      </w:tr>
      <w:tr>
        <w:trPr>
          <w:trHeight w:val="418"/>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5.</w:t>
            </w:r>
          </w:p>
        </w:tc>
        <w:tc>
          <w:tcPr>
            <w:tcW w:w="2540" w:type="dxa"/>
            <w:vAlign w:val="bottom"/>
          </w:tcPr>
          <w:p>
            <w:pPr>
              <w:ind w:left="260"/>
              <w:spacing w:after="0"/>
              <w:rPr>
                <w:sz w:val="20"/>
                <w:szCs w:val="20"/>
                <w:color w:val="auto"/>
              </w:rPr>
            </w:pPr>
            <w:r>
              <w:rPr>
                <w:rFonts w:ascii="Arial" w:cs="Arial" w:eastAsia="Arial" w:hAnsi="Arial"/>
                <w:sz w:val="18"/>
                <w:szCs w:val="18"/>
                <w:color w:val="auto"/>
              </w:rPr>
              <w:t>Credit Agreement:</w:t>
            </w:r>
          </w:p>
        </w:tc>
        <w:tc>
          <w:tcPr>
            <w:tcW w:w="7760" w:type="dxa"/>
            <w:vAlign w:val="bottom"/>
          </w:tcPr>
          <w:p>
            <w:pPr>
              <w:ind w:left="660"/>
              <w:spacing w:after="0"/>
              <w:rPr>
                <w:sz w:val="20"/>
                <w:szCs w:val="20"/>
                <w:color w:val="auto"/>
              </w:rPr>
            </w:pPr>
            <w:r>
              <w:rPr>
                <w:rFonts w:ascii="Arial" w:cs="Arial" w:eastAsia="Arial" w:hAnsi="Arial"/>
                <w:sz w:val="18"/>
                <w:szCs w:val="18"/>
                <w:color w:val="auto"/>
                <w:w w:val="92"/>
              </w:rPr>
              <w:t>The Amended and Restated Credit Agreement dated as of October 22, 2019 among Winnebago</w:t>
            </w:r>
          </w:p>
        </w:tc>
      </w:tr>
      <w:tr>
        <w:trPr>
          <w:trHeight w:val="230"/>
        </w:trPr>
        <w:tc>
          <w:tcPr>
            <w:tcW w:w="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760" w:type="dxa"/>
            <w:vAlign w:val="bottom"/>
          </w:tcPr>
          <w:p>
            <w:pPr>
              <w:ind w:left="660"/>
              <w:spacing w:after="0"/>
              <w:rPr>
                <w:sz w:val="20"/>
                <w:szCs w:val="20"/>
                <w:color w:val="auto"/>
              </w:rPr>
            </w:pPr>
            <w:r>
              <w:rPr>
                <w:rFonts w:ascii="Arial" w:cs="Arial" w:eastAsia="Arial" w:hAnsi="Arial"/>
                <w:sz w:val="18"/>
                <w:szCs w:val="18"/>
                <w:color w:val="auto"/>
                <w:w w:val="91"/>
              </w:rPr>
              <w:t>Industries, Inc., Winnebago of Indiana, LLC, Grand Design RV, LLC and Newmar Corporation, as</w:t>
            </w:r>
          </w:p>
        </w:tc>
      </w:tr>
    </w:tbl>
    <w:p>
      <w:pPr>
        <w:ind w:left="3620" w:right="460"/>
        <w:spacing w:after="0" w:line="260" w:lineRule="auto"/>
        <w:rPr>
          <w:sz w:val="20"/>
          <w:szCs w:val="20"/>
          <w:color w:val="auto"/>
        </w:rPr>
      </w:pPr>
      <w:r>
        <w:rPr>
          <w:rFonts w:ascii="Arial" w:cs="Arial" w:eastAsia="Arial" w:hAnsi="Arial"/>
          <w:sz w:val="18"/>
          <w:szCs w:val="18"/>
          <w:color w:val="auto"/>
        </w:rPr>
        <w:t>Borrowers, the other Loan Parties from time to time parties thereto, the Lenders parties thereto, and 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830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8" w:lineRule="exact"/>
        <w:rPr>
          <w:sz w:val="20"/>
          <w:szCs w:val="20"/>
          <w:color w:val="auto"/>
        </w:rPr>
      </w:pPr>
    </w:p>
    <w:p>
      <w:pPr>
        <w:ind w:left="120" w:hanging="112"/>
        <w:spacing w:after="0"/>
        <w:tabs>
          <w:tab w:leader="none" w:pos="120" w:val="left"/>
        </w:tabs>
        <w:numPr>
          <w:ilvl w:val="0"/>
          <w:numId w:val="521"/>
        </w:numPr>
        <w:rPr>
          <w:rFonts w:ascii="Arial" w:cs="Arial" w:eastAsia="Arial" w:hAnsi="Arial"/>
          <w:sz w:val="30"/>
          <w:szCs w:val="30"/>
          <w:color w:val="auto"/>
          <w:vertAlign w:val="superscript"/>
        </w:rPr>
      </w:pPr>
      <w:r>
        <w:rPr>
          <w:rFonts w:ascii="Arial" w:cs="Arial" w:eastAsia="Arial" w:hAnsi="Arial"/>
          <w:sz w:val="18"/>
          <w:szCs w:val="18"/>
          <w:color w:val="auto"/>
        </w:rPr>
        <w:t>Select as applicable.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91" w:name="page392"/>
    <w:bookmarkEnd w:id="391"/>
    <w:tbl>
      <w:tblPr>
        <w:tblLayout w:type="fixed"/>
        <w:tblInd w:w="1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6.</w:t>
            </w:r>
          </w:p>
        </w:tc>
        <w:tc>
          <w:tcPr>
            <w:tcW w:w="2780" w:type="dxa"/>
            <w:vAlign w:val="bottom"/>
          </w:tcPr>
          <w:p>
            <w:pPr>
              <w:ind w:left="820"/>
              <w:spacing w:after="0"/>
              <w:rPr>
                <w:sz w:val="20"/>
                <w:szCs w:val="20"/>
                <w:color w:val="auto"/>
              </w:rPr>
            </w:pPr>
            <w:r>
              <w:rPr>
                <w:rFonts w:ascii="Arial" w:cs="Arial" w:eastAsia="Arial" w:hAnsi="Arial"/>
                <w:sz w:val="18"/>
                <w:szCs w:val="18"/>
                <w:color w:val="auto"/>
              </w:rPr>
              <w:t>Assigned Interest:</w:t>
            </w:r>
          </w:p>
        </w:tc>
        <w:tc>
          <w:tcPr>
            <w:tcW w:w="292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29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Amount of</w:t>
            </w:r>
          </w:p>
        </w:tc>
        <w:tc>
          <w:tcPr>
            <w:tcW w:w="53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Percentage Assigned</w:t>
            </w:r>
          </w:p>
        </w:tc>
      </w:tr>
      <w:tr>
        <w:trPr>
          <w:trHeight w:val="219"/>
        </w:trPr>
        <w:tc>
          <w:tcPr>
            <w:tcW w:w="180" w:type="dxa"/>
            <w:vAlign w:val="bottom"/>
            <w:tcBorders>
              <w:left w:val="single" w:sz="8" w:color="auto"/>
            </w:tcBorders>
          </w:tcPr>
          <w:p>
            <w:pPr>
              <w:spacing w:after="0"/>
              <w:rPr>
                <w:sz w:val="19"/>
                <w:szCs w:val="19"/>
                <w:color w:val="auto"/>
              </w:rPr>
            </w:pPr>
          </w:p>
        </w:tc>
        <w:tc>
          <w:tcPr>
            <w:tcW w:w="278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Aggregate Amount of</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Commitment/</w:t>
            </w:r>
          </w:p>
        </w:tc>
        <w:tc>
          <w:tcPr>
            <w:tcW w:w="5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of</w:t>
            </w:r>
          </w:p>
        </w:tc>
      </w:tr>
      <w:tr>
        <w:trPr>
          <w:trHeight w:val="267"/>
        </w:trPr>
        <w:tc>
          <w:tcPr>
            <w:tcW w:w="180" w:type="dxa"/>
            <w:vAlign w:val="bottom"/>
            <w:tcBorders>
              <w:left w:val="single" w:sz="8" w:color="auto"/>
              <w:bottom w:val="single" w:sz="8" w:color="auto"/>
            </w:tcBorders>
          </w:tcPr>
          <w:p>
            <w:pPr>
              <w:spacing w:after="0"/>
              <w:rPr>
                <w:sz w:val="23"/>
                <w:szCs w:val="23"/>
                <w:color w:val="auto"/>
              </w:rPr>
            </w:pPr>
          </w:p>
        </w:tc>
        <w:tc>
          <w:tcPr>
            <w:tcW w:w="278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Commitment/Loans for all Lenders</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Loans Assigned</w:t>
            </w:r>
          </w:p>
        </w:tc>
        <w:tc>
          <w:tcPr>
            <w:tcW w:w="5360" w:type="dxa"/>
            <w:vAlign w:val="bottom"/>
            <w:tcBorders>
              <w:bottom w:val="single" w:sz="8" w:color="auto"/>
              <w:right w:val="single" w:sz="8" w:color="auto"/>
            </w:tcBorders>
          </w:tcPr>
          <w:p>
            <w:pPr>
              <w:jc w:val="center"/>
              <w:spacing w:after="0" w:line="267" w:lineRule="exact"/>
              <w:rPr>
                <w:sz w:val="20"/>
                <w:szCs w:val="20"/>
                <w:color w:val="auto"/>
              </w:rPr>
            </w:pPr>
            <w:r>
              <w:rPr>
                <w:rFonts w:ascii="Arial" w:cs="Arial" w:eastAsia="Arial" w:hAnsi="Arial"/>
                <w:sz w:val="18"/>
                <w:szCs w:val="18"/>
                <w:color w:val="auto"/>
                <w:w w:val="91"/>
              </w:rPr>
              <w:t>Commitment/Loans</w:t>
            </w:r>
            <w:r>
              <w:rPr>
                <w:rFonts w:ascii="Arial" w:cs="Arial" w:eastAsia="Arial" w:hAnsi="Arial"/>
                <w:sz w:val="29"/>
                <w:szCs w:val="29"/>
                <w:color w:val="auto"/>
                <w:w w:val="91"/>
                <w:vertAlign w:val="superscript"/>
              </w:rPr>
              <w:t>2</w:t>
            </w:r>
          </w:p>
        </w:tc>
      </w:tr>
      <w:tr>
        <w:trPr>
          <w:trHeight w:val="210"/>
        </w:trPr>
        <w:tc>
          <w:tcPr>
            <w:tcW w:w="1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ind w:right="2758"/>
              <w:spacing w:after="0"/>
              <w:rPr>
                <w:sz w:val="20"/>
                <w:szCs w:val="20"/>
                <w:color w:val="auto"/>
              </w:rPr>
            </w:pPr>
            <w:r>
              <w:rPr>
                <w:rFonts w:ascii="Arial" w:cs="Arial" w:eastAsia="Arial" w:hAnsi="Arial"/>
                <w:sz w:val="15"/>
                <w:szCs w:val="15"/>
                <w:color w:val="auto"/>
                <w:w w:val="71"/>
              </w:rPr>
              <w:t>$</w:t>
            </w:r>
          </w:p>
        </w:tc>
        <w:tc>
          <w:tcPr>
            <w:tcW w:w="5360" w:type="dxa"/>
            <w:vAlign w:val="bottom"/>
            <w:tcBorders>
              <w:bottom w:val="single" w:sz="8" w:color="auto"/>
              <w:right w:val="single" w:sz="8" w:color="auto"/>
            </w:tcBorders>
          </w:tcPr>
          <w:p>
            <w:pPr>
              <w:jc w:val="right"/>
              <w:ind w:right="5130"/>
              <w:spacing w:after="0"/>
              <w:rPr>
                <w:sz w:val="20"/>
                <w:szCs w:val="20"/>
                <w:color w:val="auto"/>
              </w:rPr>
            </w:pPr>
            <w:r>
              <w:rPr>
                <w:rFonts w:ascii="Arial" w:cs="Arial" w:eastAsia="Arial" w:hAnsi="Arial"/>
                <w:sz w:val="18"/>
                <w:szCs w:val="18"/>
                <w:color w:val="auto"/>
                <w:w w:val="74"/>
              </w:rPr>
              <w:t>%</w:t>
            </w:r>
          </w:p>
        </w:tc>
      </w:tr>
      <w:tr>
        <w:trPr>
          <w:trHeight w:val="209"/>
        </w:trPr>
        <w:tc>
          <w:tcPr>
            <w:tcW w:w="1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ind w:right="2758"/>
              <w:spacing w:after="0"/>
              <w:rPr>
                <w:sz w:val="20"/>
                <w:szCs w:val="20"/>
                <w:color w:val="auto"/>
              </w:rPr>
            </w:pPr>
            <w:r>
              <w:rPr>
                <w:rFonts w:ascii="Arial" w:cs="Arial" w:eastAsia="Arial" w:hAnsi="Arial"/>
                <w:sz w:val="15"/>
                <w:szCs w:val="15"/>
                <w:color w:val="auto"/>
                <w:w w:val="71"/>
              </w:rPr>
              <w:t>$</w:t>
            </w:r>
          </w:p>
        </w:tc>
        <w:tc>
          <w:tcPr>
            <w:tcW w:w="5360" w:type="dxa"/>
            <w:vAlign w:val="bottom"/>
            <w:tcBorders>
              <w:bottom w:val="single" w:sz="8" w:color="auto"/>
              <w:right w:val="single" w:sz="8" w:color="auto"/>
            </w:tcBorders>
          </w:tcPr>
          <w:p>
            <w:pPr>
              <w:jc w:val="right"/>
              <w:ind w:right="5130"/>
              <w:spacing w:after="0"/>
              <w:rPr>
                <w:sz w:val="20"/>
                <w:szCs w:val="20"/>
                <w:color w:val="auto"/>
              </w:rPr>
            </w:pPr>
            <w:r>
              <w:rPr>
                <w:rFonts w:ascii="Arial" w:cs="Arial" w:eastAsia="Arial" w:hAnsi="Arial"/>
                <w:sz w:val="18"/>
                <w:szCs w:val="18"/>
                <w:color w:val="auto"/>
                <w:w w:val="74"/>
              </w:rPr>
              <w:t>%</w:t>
            </w:r>
          </w:p>
        </w:tc>
      </w:tr>
      <w:tr>
        <w:trPr>
          <w:trHeight w:val="209"/>
        </w:trPr>
        <w:tc>
          <w:tcPr>
            <w:tcW w:w="1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ind w:right="2758"/>
              <w:spacing w:after="0"/>
              <w:rPr>
                <w:sz w:val="20"/>
                <w:szCs w:val="20"/>
                <w:color w:val="auto"/>
              </w:rPr>
            </w:pPr>
            <w:r>
              <w:rPr>
                <w:rFonts w:ascii="Arial" w:cs="Arial" w:eastAsia="Arial" w:hAnsi="Arial"/>
                <w:sz w:val="15"/>
                <w:szCs w:val="15"/>
                <w:color w:val="auto"/>
                <w:w w:val="71"/>
              </w:rPr>
              <w:t>$</w:t>
            </w:r>
          </w:p>
        </w:tc>
        <w:tc>
          <w:tcPr>
            <w:tcW w:w="5360" w:type="dxa"/>
            <w:vAlign w:val="bottom"/>
            <w:tcBorders>
              <w:bottom w:val="single" w:sz="8" w:color="auto"/>
              <w:right w:val="single" w:sz="8" w:color="auto"/>
            </w:tcBorders>
          </w:tcPr>
          <w:p>
            <w:pPr>
              <w:jc w:val="right"/>
              <w:ind w:right="513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Effective Date: _____________ ___, 20___ [TO BE INSERTED BY ADMINISTRATIVE AGENT AND WHICH SHALL BE THE EFFECTIVE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OF RECORDATION OF TRANSFER IN THE REGISTER THEREFOR.]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200" w:right="3860" w:hanging="5192"/>
        <w:spacing w:after="0" w:line="618" w:lineRule="auto"/>
        <w:tabs>
          <w:tab w:leader="none" w:pos="131" w:val="left"/>
        </w:tabs>
        <w:numPr>
          <w:ilvl w:val="0"/>
          <w:numId w:val="522"/>
        </w:numPr>
        <w:rPr>
          <w:rFonts w:ascii="Arial" w:cs="Arial" w:eastAsia="Arial" w:hAnsi="Arial"/>
          <w:sz w:val="30"/>
          <w:szCs w:val="30"/>
          <w:color w:val="auto"/>
          <w:vertAlign w:val="superscript"/>
        </w:rPr>
      </w:pPr>
      <w:r>
        <w:rPr>
          <w:rFonts w:ascii="Arial" w:cs="Arial" w:eastAsia="Arial" w:hAnsi="Arial"/>
          <w:sz w:val="18"/>
          <w:szCs w:val="18"/>
          <w:color w:val="auto"/>
        </w:rPr>
        <w:t>Set forth, to at least 9 decimals, as a percentage of the Commitment/Loans of all Lenders thereunder. 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2" w:name="page393"/>
    <w:bookmarkEnd w:id="392"/>
    <w:p>
      <w:pPr>
        <w:ind w:left="5640"/>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OF ASSIGNOR]</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OF ASSIGNEE]</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color w:val="auto"/>
        </w:rPr>
        <w:t>JPMORGAN CHASE BANK, N.A.,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 Issuing Bank and Swingline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9"/>
          <w:szCs w:val="29"/>
          <w:color w:val="auto"/>
          <w:vertAlign w:val="superscript"/>
        </w:rPr>
        <w:t>3</w:t>
      </w:r>
    </w:p>
    <w:p>
      <w:pPr>
        <w:spacing w:after="0" w:line="356"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200" w:right="1859" w:hanging="5192"/>
        <w:spacing w:after="0" w:line="618" w:lineRule="auto"/>
        <w:tabs>
          <w:tab w:leader="none" w:pos="131" w:val="left"/>
        </w:tabs>
        <w:numPr>
          <w:ilvl w:val="0"/>
          <w:numId w:val="523"/>
        </w:numPr>
        <w:rPr>
          <w:rFonts w:ascii="Arial" w:cs="Arial" w:eastAsia="Arial" w:hAnsi="Arial"/>
          <w:sz w:val="30"/>
          <w:szCs w:val="30"/>
          <w:color w:val="auto"/>
          <w:vertAlign w:val="superscript"/>
        </w:rPr>
      </w:pPr>
      <w:r>
        <w:rPr>
          <w:rFonts w:ascii="Arial" w:cs="Arial" w:eastAsia="Arial" w:hAnsi="Arial"/>
          <w:sz w:val="18"/>
          <w:szCs w:val="18"/>
          <w:color w:val="auto"/>
        </w:rPr>
        <w:t>To be added only if the consent of the Borrower Representative is required by the terms of the Credit Agreement. 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95" w:name="page396"/>
    <w:bookmarkEnd w:id="395"/>
    <w:p>
      <w:pPr>
        <w:ind w:left="10500"/>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380" w:hanging="724"/>
        <w:spacing w:after="0"/>
        <w:tabs>
          <w:tab w:leader="none" w:pos="1380"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any Loan Document.</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the Lead Arranger or any other Lender or any of their respective Related Parties,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Lead Arranger, the Syndication Agent, the Assignor or any other Lender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1" w:lineRule="exact"/>
        <w:rPr>
          <w:sz w:val="20"/>
          <w:szCs w:val="20"/>
          <w:color w:val="auto"/>
        </w:rPr>
      </w:pPr>
    </w:p>
    <w:p>
      <w:pPr>
        <w:jc w:val="both"/>
        <w:ind w:firstLine="656"/>
        <w:spacing w:after="0" w:line="263" w:lineRule="auto"/>
        <w:tabs>
          <w:tab w:leader="none" w:pos="1543"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96" w:name="page397"/>
    <w:bookmarkEnd w:id="396"/>
    <w:p>
      <w:pPr>
        <w:jc w:val="both"/>
        <w:ind w:left="-20" w:firstLine="656"/>
        <w:spacing w:after="0" w:line="255" w:lineRule="auto"/>
        <w:tabs>
          <w:tab w:leader="none" w:pos="1496"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97" w:name="page398"/>
    <w:bookmarkEnd w:id="397"/>
    <w:p>
      <w:pPr>
        <w:jc w:val="center"/>
        <w:ind w:right="19"/>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BORROWING BASE CERTIFICATE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color w:val="auto"/>
        </w:rPr>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AGGREGATE BORROWING BASE CERTIFICATE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CERTIFICATE</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The Lenders parties to the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Agreement Described Below</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Compliance Certificate is furnished pursuant to that certain Amended and Restated Credit Agreement, dated as of October 22, 2019 (as amended, restated, supplemented or otherwise modified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among Winnebago Industries, Inc. (the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Representative</w:t>
      </w:r>
      <w:r>
        <w:rPr>
          <w:rFonts w:ascii="Arial" w:cs="Arial" w:eastAsia="Arial" w:hAnsi="Arial"/>
          <w:sz w:val="17"/>
          <w:szCs w:val="17"/>
          <w:color w:val="auto"/>
        </w:rPr>
        <w:t>”), Winnebago of Indiana, LLC, Grand Design RV, LLC and Newmar Corporation, as Borrowers (the “</w:t>
      </w:r>
      <w:r>
        <w:rPr>
          <w:rFonts w:ascii="Arial" w:cs="Arial" w:eastAsia="Arial" w:hAnsi="Arial"/>
          <w:sz w:val="17"/>
          <w:szCs w:val="17"/>
          <w:u w:val="single" w:color="auto"/>
          <w:color w:val="auto"/>
        </w:rPr>
        <w:t>Borrowers</w:t>
      </w:r>
      <w:r>
        <w:rPr>
          <w:rFonts w:ascii="Arial" w:cs="Arial" w:eastAsia="Arial" w:hAnsi="Arial"/>
          <w:sz w:val="17"/>
          <w:szCs w:val="17"/>
          <w:color w:val="auto"/>
        </w:rPr>
        <w:t>”), the other Loan Parties from time to time party thereto, the Lenders from time to time party thereto and JPMorgan Chase Bank, N.A., as Administrative Agent. Unless otherwise defined herein, capitalized terms used in this Compliance Certificate have the meanings ascribed thereto in the Agreement.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HEREBY CERTIFIES, ON ITS BEHALF AND ON BEHALF OF THE BORROWERS, SOLELY IN SUCH PERSON’S CAPACITY AS AN OFFICER OF THE COMPANY AND NOT IN AN INDIVIDUAL CAPACITY, THAT:</w:t>
      </w:r>
    </w:p>
    <w:p>
      <w:pPr>
        <w:spacing w:after="0" w:line="170" w:lineRule="exact"/>
        <w:rPr>
          <w:sz w:val="20"/>
          <w:szCs w:val="20"/>
          <w:color w:val="auto"/>
        </w:rPr>
      </w:pPr>
    </w:p>
    <w:p>
      <w:pPr>
        <w:ind w:left="1380" w:hanging="724"/>
        <w:spacing w:after="0"/>
        <w:tabs>
          <w:tab w:leader="none" w:pos="138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I am the duly elected [__________] of the Borrower Representative;</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39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 [for quarterly or monthly financial statements add: and such financial statements present fairly in all material respects the financial condition and results of operations of the Borrowers and their consolidated Subsidiaries on a consolidated basis in accordance with GAAP consistently applied, subject to normal year-end audit adjustments and the absence of footnotes];</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417" w:val="left"/>
        </w:tabs>
        <w:numPr>
          <w:ilvl w:val="1"/>
          <w:numId w:val="527"/>
        </w:numPr>
        <w:rPr>
          <w:rFonts w:ascii="Arial" w:cs="Arial" w:eastAsia="Arial" w:hAnsi="Arial"/>
          <w:sz w:val="18"/>
          <w:szCs w:val="18"/>
          <w:color w:val="auto"/>
        </w:rPr>
      </w:pPr>
      <w:r>
        <w:rPr>
          <w:rFonts w:ascii="Arial" w:cs="Arial" w:eastAsia="Arial" w:hAnsi="Arial"/>
          <w:sz w:val="18"/>
          <w:szCs w:val="18"/>
          <w:color w:val="auto"/>
        </w:rPr>
        <w:t>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Agreement;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417" w:val="left"/>
        </w:tabs>
        <w:numPr>
          <w:ilvl w:val="1"/>
          <w:numId w:val="527"/>
        </w:numPr>
        <w:rPr>
          <w:rFonts w:ascii="Arial" w:cs="Arial" w:eastAsia="Arial" w:hAnsi="Arial"/>
          <w:sz w:val="18"/>
          <w:szCs w:val="18"/>
          <w:color w:val="auto"/>
        </w:rPr>
      </w:pPr>
      <w:r>
        <w:rPr>
          <w:rFonts w:ascii="Arial" w:cs="Arial" w:eastAsia="Arial" w:hAnsi="Arial"/>
          <w:sz w:val="18"/>
          <w:szCs w:val="18"/>
          <w:color w:val="auto"/>
        </w:rPr>
        <w:t>I hereby certify that no Loan Party has changed (i) its name, (ii) its chief executive office, (iii) principal place of business, (iv) the type of entity it is or (v) its state of incorporation or organization without having given the Administrative Agent the notice required by Section 4.15 of the Security Agreement;</w:t>
      </w:r>
    </w:p>
    <w:p>
      <w:pPr>
        <w:spacing w:after="0" w:line="183" w:lineRule="exact"/>
        <w:rPr>
          <w:rFonts w:ascii="Arial" w:cs="Arial" w:eastAsia="Arial" w:hAnsi="Arial"/>
          <w:sz w:val="18"/>
          <w:szCs w:val="18"/>
          <w:color w:val="auto"/>
        </w:rPr>
      </w:pPr>
    </w:p>
    <w:p>
      <w:pPr>
        <w:ind w:firstLine="656"/>
        <w:spacing w:after="0" w:line="277" w:lineRule="auto"/>
        <w:tabs>
          <w:tab w:leader="none" w:pos="1458" w:val="left"/>
        </w:tabs>
        <w:numPr>
          <w:ilvl w:val="1"/>
          <w:numId w:val="527"/>
        </w:numPr>
        <w:rPr>
          <w:rFonts w:ascii="Arial" w:cs="Arial" w:eastAsia="Arial" w:hAnsi="Arial"/>
          <w:sz w:val="18"/>
          <w:szCs w:val="18"/>
          <w:color w:val="auto"/>
        </w:rPr>
      </w:pPr>
      <w:r>
        <w:rPr>
          <w:rFonts w:ascii="Arial" w:cs="Arial" w:eastAsia="Arial" w:hAnsi="Arial"/>
          <w:sz w:val="18"/>
          <w:szCs w:val="18"/>
          <w:color w:val="auto"/>
        </w:rPr>
        <w:t>Schedule I attached hereto sets forth financial data and computations evidencing the Borrowers’ compliance with certain covenants of the Agreement, all of which data and computations are true, complete and correct;</w:t>
      </w:r>
    </w:p>
    <w:p>
      <w:pPr>
        <w:spacing w:after="0" w:line="170" w:lineRule="exact"/>
        <w:rPr>
          <w:rFonts w:ascii="Arial" w:cs="Arial" w:eastAsia="Arial" w:hAnsi="Arial"/>
          <w:sz w:val="18"/>
          <w:szCs w:val="18"/>
          <w:color w:val="auto"/>
        </w:rPr>
      </w:pPr>
    </w:p>
    <w:p>
      <w:pPr>
        <w:ind w:left="1680" w:hanging="1024"/>
        <w:spacing w:after="0"/>
        <w:tabs>
          <w:tab w:leader="none" w:pos="1680" w:val="left"/>
        </w:tabs>
        <w:numPr>
          <w:ilvl w:val="1"/>
          <w:numId w:val="527"/>
        </w:numPr>
        <w:rPr>
          <w:rFonts w:ascii="Arial" w:cs="Arial" w:eastAsia="Arial" w:hAnsi="Arial"/>
          <w:sz w:val="17"/>
          <w:szCs w:val="17"/>
          <w:color w:val="auto"/>
        </w:rPr>
      </w:pPr>
      <w:r>
        <w:rPr>
          <w:rFonts w:ascii="Arial" w:cs="Arial" w:eastAsia="Arial" w:hAnsi="Arial"/>
          <w:sz w:val="17"/>
          <w:szCs w:val="17"/>
          <w:color w:val="auto"/>
        </w:rPr>
        <w:t>Schedule II hereto sets forth the computations necessary to determine the Applicable Rate commencing on the date that is five</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Business Days after the date this certificate is delivered; 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annual or quarterly financial statements add:</w:t>
      </w:r>
    </w:p>
    <w:p>
      <w:pPr>
        <w:spacing w:after="0" w:line="229" w:lineRule="exact"/>
        <w:rPr>
          <w:sz w:val="20"/>
          <w:szCs w:val="20"/>
          <w:color w:val="auto"/>
        </w:rPr>
      </w:pPr>
    </w:p>
    <w:p>
      <w:pPr>
        <w:ind w:firstLine="656"/>
        <w:spacing w:after="0" w:line="277" w:lineRule="auto"/>
        <w:tabs>
          <w:tab w:leader="none" w:pos="1482" w:val="left"/>
        </w:tabs>
        <w:numPr>
          <w:ilvl w:val="0"/>
          <w:numId w:val="529"/>
        </w:numPr>
        <w:rPr>
          <w:rFonts w:ascii="Arial" w:cs="Arial" w:eastAsia="Arial" w:hAnsi="Arial"/>
          <w:sz w:val="18"/>
          <w:szCs w:val="18"/>
          <w:color w:val="auto"/>
        </w:rPr>
      </w:pPr>
      <w:r>
        <w:rPr>
          <w:rFonts w:ascii="Arial" w:cs="Arial" w:eastAsia="Arial" w:hAnsi="Arial"/>
          <w:sz w:val="18"/>
          <w:szCs w:val="18"/>
          <w:color w:val="auto"/>
        </w:rPr>
        <w:t>Schedule III hereto sets forth the computations necessary to determine the average daily Total Commitment Utilization for the period referenced in paragraph 2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0" w:name="page401"/>
    <w:bookmarkEnd w:id="400"/>
    <w:p>
      <w:pPr>
        <w:jc w:val="both"/>
        <w:ind w:firstLine="648"/>
        <w:spacing w:after="0" w:line="263" w:lineRule="auto"/>
        <w:rPr>
          <w:sz w:val="20"/>
          <w:szCs w:val="20"/>
          <w:color w:val="auto"/>
        </w:rPr>
      </w:pPr>
      <w:r>
        <w:rPr>
          <w:rFonts w:ascii="Arial" w:cs="Arial" w:eastAsia="Arial" w:hAnsi="Arial"/>
          <w:sz w:val="18"/>
          <w:szCs w:val="18"/>
          <w:color w:val="auto"/>
        </w:rPr>
        <w:t xml:space="preserve">Described below are the exceptions, if any, to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by listing, in detail, the (i) nature of the condition or event, the period during which it has existed and the action which the Borrowers have taken, are taking, or propose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262890</wp:posOffset>
            </wp:positionV>
            <wp:extent cx="564070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64070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408305</wp:posOffset>
            </wp:positionV>
            <wp:extent cx="564070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64070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554355</wp:posOffset>
            </wp:positionV>
            <wp:extent cx="564070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certifications, together with the computations set forth in Schedule I and Schedule II hereto and the financial statements delivered with this Certificate in support hereof, are made and delivered this ___ day of __________, 20__.</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WINNEBAGO INDUSTRIES, INC., as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Borrower Representative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1" w:name="page402"/>
    <w:bookmarkEnd w:id="401"/>
    <w:p>
      <w:pPr>
        <w:jc w:val="center"/>
        <w:ind w:right="-19"/>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LIST OF CLOSING DOCUMENTS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OF INDIANA,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DESIGN RV,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NEWMAR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ABL CREDIT FACILITY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October 22, 2019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LIST OF CLOSING DOCUMENTS</w:t>
      </w:r>
      <w:r>
        <w:rPr>
          <w:rFonts w:ascii="Arial" w:cs="Arial" w:eastAsia="Arial" w:hAnsi="Arial"/>
          <w:sz w:val="29"/>
          <w:szCs w:val="29"/>
          <w:color w:val="auto"/>
          <w:vertAlign w:val="superscript"/>
        </w:rPr>
        <w:t>4</w:t>
      </w:r>
    </w:p>
    <w:p>
      <w:pPr>
        <w:spacing w:after="0" w:line="131" w:lineRule="exact"/>
        <w:rPr>
          <w:sz w:val="20"/>
          <w:szCs w:val="20"/>
          <w:color w:val="auto"/>
        </w:rPr>
      </w:pPr>
    </w:p>
    <w:p>
      <w:pPr>
        <w:ind w:left="5120" w:hanging="720"/>
        <w:spacing w:after="0"/>
        <w:tabs>
          <w:tab w:leader="none" w:pos="5120" w:val="left"/>
        </w:tabs>
        <w:numPr>
          <w:ilvl w:val="1"/>
          <w:numId w:val="530"/>
        </w:numPr>
        <w:rPr>
          <w:rFonts w:ascii="Arial" w:cs="Arial" w:eastAsia="Arial" w:hAnsi="Arial"/>
          <w:sz w:val="18"/>
          <w:szCs w:val="18"/>
          <w:color w:val="auto"/>
        </w:rPr>
      </w:pPr>
      <w:r>
        <w:rPr>
          <w:rFonts w:ascii="Arial" w:cs="Arial" w:eastAsia="Arial" w:hAnsi="Arial"/>
          <w:sz w:val="18"/>
          <w:szCs w:val="18"/>
          <w:b w:val="1"/>
          <w:bCs w:val="1"/>
          <w:color w:val="auto"/>
        </w:rPr>
        <w:t>LOAN DOCUMENTS</w:t>
      </w:r>
    </w:p>
    <w:p>
      <w:pPr>
        <w:spacing w:after="0" w:line="225" w:lineRule="exact"/>
        <w:rPr>
          <w:rFonts w:ascii="Arial" w:cs="Arial" w:eastAsia="Arial" w:hAnsi="Arial"/>
          <w:sz w:val="18"/>
          <w:szCs w:val="18"/>
          <w:color w:val="auto"/>
        </w:rPr>
      </w:pPr>
    </w:p>
    <w:p>
      <w:pPr>
        <w:jc w:val="both"/>
        <w:ind w:firstLine="656"/>
        <w:spacing w:after="0" w:line="277" w:lineRule="auto"/>
        <w:tabs>
          <w:tab w:leader="none" w:pos="1367" w:val="left"/>
        </w:tabs>
        <w:numPr>
          <w:ilvl w:val="0"/>
          <w:numId w:val="531"/>
        </w:numPr>
        <w:rPr>
          <w:rFonts w:ascii="Arial" w:cs="Arial" w:eastAsia="Arial" w:hAnsi="Arial"/>
          <w:sz w:val="17"/>
          <w:szCs w:val="17"/>
          <w:color w:val="auto"/>
        </w:rPr>
      </w:pPr>
      <w:r>
        <w:rPr>
          <w:rFonts w:ascii="Arial" w:cs="Arial" w:eastAsia="Arial" w:hAnsi="Arial"/>
          <w:sz w:val="17"/>
          <w:szCs w:val="17"/>
          <w:color w:val="auto"/>
        </w:rPr>
        <w:t xml:space="preserve">Amended and Restated Credit Agreement (the </w:t>
      </w:r>
      <w:r>
        <w:rPr>
          <w:rFonts w:ascii="Arial" w:cs="Arial" w:eastAsia="Arial" w:hAnsi="Arial"/>
          <w:sz w:val="17"/>
          <w:szCs w:val="17"/>
          <w:b w:val="1"/>
          <w:bCs w:val="1"/>
          <w:color w:val="auto"/>
        </w:rPr>
        <w:t>“Credit Agreement”</w:t>
      </w:r>
      <w:r>
        <w:rPr>
          <w:rFonts w:ascii="Arial" w:cs="Arial" w:eastAsia="Arial" w:hAnsi="Arial"/>
          <w:sz w:val="17"/>
          <w:szCs w:val="17"/>
          <w:color w:val="auto"/>
        </w:rPr>
        <w:t xml:space="preserve">) by and among Winnebago Industries, Inc., an Indiana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Winnebago of Indiana, LLC, Grand Design RV, LLC and Newmar Corporation, as Borrowers (the </w:t>
      </w:r>
      <w:r>
        <w:rPr>
          <w:rFonts w:ascii="Arial" w:cs="Arial" w:eastAsia="Arial" w:hAnsi="Arial"/>
          <w:sz w:val="17"/>
          <w:szCs w:val="17"/>
          <w:b w:val="1"/>
          <w:bCs w:val="1"/>
          <w:color w:val="auto"/>
        </w:rPr>
        <w:t>“Borrowers”</w:t>
      </w:r>
      <w:r>
        <w:rPr>
          <w:rFonts w:ascii="Arial" w:cs="Arial" w:eastAsia="Arial" w:hAnsi="Arial"/>
          <w:sz w:val="17"/>
          <w:szCs w:val="17"/>
          <w:color w:val="auto"/>
        </w:rPr>
        <w:t xml:space="preserve">), the other Loan Parties from time to time parties thereto, the institutions from time to time parties thereto as Lenders (the </w:t>
      </w:r>
      <w:r>
        <w:rPr>
          <w:rFonts w:ascii="Arial" w:cs="Arial" w:eastAsia="Arial" w:hAnsi="Arial"/>
          <w:sz w:val="17"/>
          <w:szCs w:val="17"/>
          <w:b w:val="1"/>
          <w:bCs w:val="1"/>
          <w:color w:val="auto"/>
        </w:rPr>
        <w:t>“Lenders”</w:t>
      </w:r>
      <w:r>
        <w:rPr>
          <w:rFonts w:ascii="Arial" w:cs="Arial" w:eastAsia="Arial" w:hAnsi="Arial"/>
          <w:sz w:val="17"/>
          <w:szCs w:val="17"/>
          <w:color w:val="auto"/>
        </w:rPr>
        <w:t>) and JPMorgan Chase Bank, N.A. (</w:t>
      </w:r>
      <w:r>
        <w:rPr>
          <w:rFonts w:ascii="Arial" w:cs="Arial" w:eastAsia="Arial" w:hAnsi="Arial"/>
          <w:sz w:val="17"/>
          <w:szCs w:val="17"/>
          <w:b w:val="1"/>
          <w:bCs w:val="1"/>
          <w:color w:val="auto"/>
        </w:rPr>
        <w:t>“JPMorgan”</w:t>
      </w:r>
      <w:r>
        <w:rPr>
          <w:rFonts w:ascii="Arial" w:cs="Arial" w:eastAsia="Arial" w:hAnsi="Arial"/>
          <w:sz w:val="17"/>
          <w:szCs w:val="17"/>
          <w:color w:val="auto"/>
        </w:rPr>
        <w:t xml:space="preserve">), in its capacity as Administrative Agent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evidencing an asset-based revolving credit facility to the Borrowers from the Lenders in an initial aggregate principal amount of $192,500,000.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760" w:type="dxa"/>
            <w:vAlign w:val="bottom"/>
          </w:tcPr>
          <w:p>
            <w:pPr>
              <w:ind w:left="2780"/>
              <w:spacing w:after="0"/>
              <w:rPr>
                <w:sz w:val="20"/>
                <w:szCs w:val="20"/>
                <w:color w:val="auto"/>
              </w:rPr>
            </w:pPr>
            <w:r>
              <w:rPr>
                <w:rFonts w:ascii="Arial" w:cs="Arial" w:eastAsia="Arial" w:hAnsi="Arial"/>
                <w:sz w:val="18"/>
                <w:szCs w:val="18"/>
                <w:color w:val="auto"/>
              </w:rPr>
              <w:t>SCHEDULES</w:t>
            </w:r>
          </w:p>
        </w:tc>
      </w:tr>
      <w:tr>
        <w:trPr>
          <w:trHeight w:val="432"/>
        </w:trPr>
        <w:tc>
          <w:tcPr>
            <w:tcW w:w="2320" w:type="dxa"/>
            <w:vAlign w:val="bottom"/>
            <w:gridSpan w:val="4"/>
          </w:tcPr>
          <w:p>
            <w:pPr>
              <w:ind w:left="660"/>
              <w:spacing w:after="0"/>
              <w:rPr>
                <w:sz w:val="20"/>
                <w:szCs w:val="20"/>
                <w:color w:val="auto"/>
              </w:rPr>
            </w:pPr>
            <w:r>
              <w:rPr>
                <w:rFonts w:ascii="Arial" w:cs="Arial" w:eastAsia="Arial" w:hAnsi="Arial"/>
                <w:sz w:val="18"/>
                <w:szCs w:val="18"/>
                <w:color w:val="auto"/>
                <w:w w:val="90"/>
              </w:rPr>
              <w:t>Commitment Schedule</w:t>
            </w:r>
          </w:p>
        </w:tc>
        <w:tc>
          <w:tcPr>
            <w:tcW w:w="4760" w:type="dxa"/>
            <w:vAlign w:val="bottom"/>
          </w:tcPr>
          <w:p>
            <w:pPr>
              <w:spacing w:after="0"/>
              <w:rPr>
                <w:sz w:val="24"/>
                <w:szCs w:val="24"/>
                <w:color w:val="auto"/>
              </w:rPr>
            </w:pPr>
          </w:p>
        </w:tc>
      </w:tr>
      <w:tr>
        <w:trPr>
          <w:trHeight w:val="418"/>
        </w:trPr>
        <w:tc>
          <w:tcPr>
            <w:tcW w:w="1820" w:type="dxa"/>
            <w:vAlign w:val="bottom"/>
            <w:gridSpan w:val="3"/>
          </w:tcPr>
          <w:p>
            <w:pPr>
              <w:jc w:val="center"/>
              <w:ind w:left="450"/>
              <w:spacing w:after="0"/>
              <w:rPr>
                <w:sz w:val="20"/>
                <w:szCs w:val="20"/>
                <w:color w:val="auto"/>
              </w:rPr>
            </w:pPr>
            <w:r>
              <w:rPr>
                <w:rFonts w:ascii="Arial" w:cs="Arial" w:eastAsia="Arial" w:hAnsi="Arial"/>
                <w:sz w:val="18"/>
                <w:szCs w:val="18"/>
                <w:b w:val="1"/>
                <w:bCs w:val="1"/>
                <w:i w:val="1"/>
                <w:iCs w:val="1"/>
                <w:color w:val="auto"/>
                <w:w w:val="86"/>
              </w:rPr>
              <w:t>Schedule 3.15</w:t>
            </w:r>
          </w:p>
        </w:tc>
        <w:tc>
          <w:tcPr>
            <w:tcW w:w="5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w:t>
            </w:r>
          </w:p>
        </w:tc>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Capitalization and Subsidiaries</w:t>
            </w:r>
          </w:p>
        </w:tc>
      </w:tr>
      <w:tr>
        <w:trPr>
          <w:trHeight w:val="216"/>
        </w:trPr>
        <w:tc>
          <w:tcPr>
            <w:tcW w:w="1820" w:type="dxa"/>
            <w:vAlign w:val="bottom"/>
            <w:gridSpan w:val="3"/>
          </w:tcPr>
          <w:p>
            <w:pPr>
              <w:jc w:val="center"/>
              <w:ind w:left="450"/>
              <w:spacing w:after="0"/>
              <w:rPr>
                <w:sz w:val="20"/>
                <w:szCs w:val="20"/>
                <w:color w:val="auto"/>
              </w:rPr>
            </w:pPr>
            <w:r>
              <w:rPr>
                <w:rFonts w:ascii="Arial" w:cs="Arial" w:eastAsia="Arial" w:hAnsi="Arial"/>
                <w:sz w:val="18"/>
                <w:szCs w:val="18"/>
                <w:b w:val="1"/>
                <w:bCs w:val="1"/>
                <w:i w:val="1"/>
                <w:iCs w:val="1"/>
                <w:color w:val="auto"/>
                <w:w w:val="86"/>
              </w:rPr>
              <w:t>Schedule 3.18</w:t>
            </w:r>
          </w:p>
        </w:tc>
        <w:tc>
          <w:tcPr>
            <w:tcW w:w="5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w:t>
            </w:r>
          </w:p>
        </w:tc>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Insurance</w:t>
            </w:r>
          </w:p>
        </w:tc>
      </w:tr>
      <w:tr>
        <w:trPr>
          <w:trHeight w:val="216"/>
        </w:trPr>
        <w:tc>
          <w:tcPr>
            <w:tcW w:w="1820" w:type="dxa"/>
            <w:vAlign w:val="bottom"/>
            <w:gridSpan w:val="3"/>
          </w:tcPr>
          <w:p>
            <w:pPr>
              <w:jc w:val="center"/>
              <w:ind w:left="450"/>
              <w:spacing w:after="0"/>
              <w:rPr>
                <w:sz w:val="20"/>
                <w:szCs w:val="20"/>
                <w:color w:val="auto"/>
              </w:rPr>
            </w:pPr>
            <w:r>
              <w:rPr>
                <w:rFonts w:ascii="Arial" w:cs="Arial" w:eastAsia="Arial" w:hAnsi="Arial"/>
                <w:sz w:val="18"/>
                <w:szCs w:val="18"/>
                <w:b w:val="1"/>
                <w:bCs w:val="1"/>
                <w:i w:val="1"/>
                <w:iCs w:val="1"/>
                <w:color w:val="auto"/>
                <w:w w:val="86"/>
              </w:rPr>
              <w:t>Schedule 6.01</w:t>
            </w:r>
          </w:p>
        </w:tc>
        <w:tc>
          <w:tcPr>
            <w:tcW w:w="5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w:t>
            </w:r>
          </w:p>
        </w:tc>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Existing Indebtedness</w:t>
            </w:r>
          </w:p>
        </w:tc>
      </w:tr>
      <w:tr>
        <w:trPr>
          <w:trHeight w:val="216"/>
        </w:trPr>
        <w:tc>
          <w:tcPr>
            <w:tcW w:w="1820" w:type="dxa"/>
            <w:vAlign w:val="bottom"/>
            <w:gridSpan w:val="3"/>
          </w:tcPr>
          <w:p>
            <w:pPr>
              <w:jc w:val="center"/>
              <w:ind w:left="450"/>
              <w:spacing w:after="0"/>
              <w:rPr>
                <w:sz w:val="20"/>
                <w:szCs w:val="20"/>
                <w:color w:val="auto"/>
              </w:rPr>
            </w:pPr>
            <w:r>
              <w:rPr>
                <w:rFonts w:ascii="Arial" w:cs="Arial" w:eastAsia="Arial" w:hAnsi="Arial"/>
                <w:sz w:val="18"/>
                <w:szCs w:val="18"/>
                <w:b w:val="1"/>
                <w:bCs w:val="1"/>
                <w:i w:val="1"/>
                <w:iCs w:val="1"/>
                <w:color w:val="auto"/>
                <w:w w:val="86"/>
              </w:rPr>
              <w:t>Schedule 6.02</w:t>
            </w:r>
          </w:p>
        </w:tc>
        <w:tc>
          <w:tcPr>
            <w:tcW w:w="5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w:t>
            </w:r>
          </w:p>
        </w:tc>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Existing Liens</w:t>
            </w:r>
          </w:p>
        </w:tc>
      </w:tr>
      <w:tr>
        <w:trPr>
          <w:trHeight w:val="216"/>
        </w:trPr>
        <w:tc>
          <w:tcPr>
            <w:tcW w:w="1820" w:type="dxa"/>
            <w:vAlign w:val="bottom"/>
            <w:gridSpan w:val="3"/>
          </w:tcPr>
          <w:p>
            <w:pPr>
              <w:jc w:val="center"/>
              <w:ind w:left="450"/>
              <w:spacing w:after="0"/>
              <w:rPr>
                <w:sz w:val="20"/>
                <w:szCs w:val="20"/>
                <w:color w:val="auto"/>
              </w:rPr>
            </w:pPr>
            <w:r>
              <w:rPr>
                <w:rFonts w:ascii="Arial" w:cs="Arial" w:eastAsia="Arial" w:hAnsi="Arial"/>
                <w:sz w:val="18"/>
                <w:szCs w:val="18"/>
                <w:b w:val="1"/>
                <w:bCs w:val="1"/>
                <w:i w:val="1"/>
                <w:iCs w:val="1"/>
                <w:color w:val="auto"/>
                <w:w w:val="86"/>
              </w:rPr>
              <w:t>Schedule 6.04</w:t>
            </w:r>
          </w:p>
        </w:tc>
        <w:tc>
          <w:tcPr>
            <w:tcW w:w="5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w:t>
            </w:r>
          </w:p>
        </w:tc>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Existing Investments</w:t>
            </w:r>
          </w:p>
        </w:tc>
      </w:tr>
      <w:tr>
        <w:trPr>
          <w:trHeight w:val="216"/>
        </w:trPr>
        <w:tc>
          <w:tcPr>
            <w:tcW w:w="1820" w:type="dxa"/>
            <w:vAlign w:val="bottom"/>
            <w:gridSpan w:val="3"/>
          </w:tcPr>
          <w:p>
            <w:pPr>
              <w:jc w:val="center"/>
              <w:ind w:left="450"/>
              <w:spacing w:after="0"/>
              <w:rPr>
                <w:sz w:val="20"/>
                <w:szCs w:val="20"/>
                <w:color w:val="auto"/>
              </w:rPr>
            </w:pPr>
            <w:r>
              <w:rPr>
                <w:rFonts w:ascii="Arial" w:cs="Arial" w:eastAsia="Arial" w:hAnsi="Arial"/>
                <w:sz w:val="18"/>
                <w:szCs w:val="18"/>
                <w:b w:val="1"/>
                <w:bCs w:val="1"/>
                <w:i w:val="1"/>
                <w:iCs w:val="1"/>
                <w:color w:val="auto"/>
                <w:w w:val="86"/>
              </w:rPr>
              <w:t>Schedule 6.05</w:t>
            </w:r>
          </w:p>
        </w:tc>
        <w:tc>
          <w:tcPr>
            <w:tcW w:w="5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w:t>
            </w:r>
          </w:p>
        </w:tc>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Dispositions</w:t>
            </w:r>
          </w:p>
        </w:tc>
      </w:tr>
      <w:tr>
        <w:trPr>
          <w:trHeight w:val="216"/>
        </w:trPr>
        <w:tc>
          <w:tcPr>
            <w:tcW w:w="1820" w:type="dxa"/>
            <w:vAlign w:val="bottom"/>
            <w:gridSpan w:val="3"/>
          </w:tcPr>
          <w:p>
            <w:pPr>
              <w:jc w:val="center"/>
              <w:ind w:left="450"/>
              <w:spacing w:after="0"/>
              <w:rPr>
                <w:sz w:val="20"/>
                <w:szCs w:val="20"/>
                <w:color w:val="auto"/>
              </w:rPr>
            </w:pPr>
            <w:r>
              <w:rPr>
                <w:rFonts w:ascii="Arial" w:cs="Arial" w:eastAsia="Arial" w:hAnsi="Arial"/>
                <w:sz w:val="18"/>
                <w:szCs w:val="18"/>
                <w:b w:val="1"/>
                <w:bCs w:val="1"/>
                <w:i w:val="1"/>
                <w:iCs w:val="1"/>
                <w:color w:val="auto"/>
                <w:w w:val="86"/>
              </w:rPr>
              <w:t>Schedule 6.08</w:t>
            </w:r>
          </w:p>
        </w:tc>
        <w:tc>
          <w:tcPr>
            <w:tcW w:w="5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w:t>
            </w:r>
          </w:p>
        </w:tc>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Transactions with Affiliates</w:t>
            </w:r>
          </w:p>
        </w:tc>
      </w:tr>
      <w:tr>
        <w:trPr>
          <w:trHeight w:val="230"/>
        </w:trPr>
        <w:tc>
          <w:tcPr>
            <w:tcW w:w="1820" w:type="dxa"/>
            <w:vAlign w:val="bottom"/>
            <w:gridSpan w:val="3"/>
          </w:tcPr>
          <w:p>
            <w:pPr>
              <w:jc w:val="center"/>
              <w:ind w:left="430"/>
              <w:spacing w:after="0"/>
              <w:rPr>
                <w:sz w:val="20"/>
                <w:szCs w:val="20"/>
                <w:color w:val="auto"/>
              </w:rPr>
            </w:pPr>
            <w:r>
              <w:rPr>
                <w:rFonts w:ascii="Arial" w:cs="Arial" w:eastAsia="Arial" w:hAnsi="Arial"/>
                <w:sz w:val="18"/>
                <w:szCs w:val="18"/>
                <w:b w:val="1"/>
                <w:bCs w:val="1"/>
                <w:i w:val="1"/>
                <w:iCs w:val="1"/>
                <w:color w:val="auto"/>
                <w:w w:val="84"/>
              </w:rPr>
              <w:t>Schedule 6.11</w:t>
            </w:r>
          </w:p>
        </w:tc>
        <w:tc>
          <w:tcPr>
            <w:tcW w:w="5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w:t>
            </w:r>
          </w:p>
        </w:tc>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Restrictive Agreements</w:t>
            </w:r>
          </w:p>
        </w:tc>
      </w:tr>
      <w:tr>
        <w:trPr>
          <w:trHeight w:val="432"/>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60" w:type="dxa"/>
            <w:vAlign w:val="bottom"/>
          </w:tcPr>
          <w:p>
            <w:pPr>
              <w:ind w:left="2900"/>
              <w:spacing w:after="0"/>
              <w:rPr>
                <w:sz w:val="20"/>
                <w:szCs w:val="20"/>
                <w:color w:val="auto"/>
              </w:rPr>
            </w:pPr>
            <w:r>
              <w:rPr>
                <w:rFonts w:ascii="Arial" w:cs="Arial" w:eastAsia="Arial" w:hAnsi="Arial"/>
                <w:sz w:val="18"/>
                <w:szCs w:val="18"/>
                <w:color w:val="auto"/>
              </w:rPr>
              <w:t>EXHIBITS</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Exhibit A</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780" w:type="dxa"/>
            <w:vAlign w:val="bottom"/>
            <w:gridSpan w:val="3"/>
          </w:tcPr>
          <w:p>
            <w:pPr>
              <w:ind w:left="8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B</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Form of Borrowing Base Certificate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C</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D</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780" w:type="dxa"/>
            <w:vAlign w:val="bottom"/>
            <w:gridSpan w:val="3"/>
          </w:tcPr>
          <w:p>
            <w:pPr>
              <w:ind w:left="140"/>
              <w:spacing w:after="0"/>
              <w:rPr>
                <w:sz w:val="20"/>
                <w:szCs w:val="20"/>
                <w:color w:val="auto"/>
              </w:rPr>
            </w:pPr>
            <w:r>
              <w:rPr>
                <w:rFonts w:ascii="Arial" w:cs="Arial" w:eastAsia="Arial" w:hAnsi="Arial"/>
                <w:sz w:val="18"/>
                <w:szCs w:val="18"/>
                <w:color w:val="auto"/>
              </w:rPr>
              <w:t>List of Closing Documents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E</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5780" w:type="dxa"/>
            <w:vAlign w:val="bottom"/>
            <w:gridSpan w:val="3"/>
          </w:tcPr>
          <w:p>
            <w:pPr>
              <w:ind w:left="160"/>
              <w:spacing w:after="0"/>
              <w:rPr>
                <w:sz w:val="20"/>
                <w:szCs w:val="20"/>
                <w:color w:val="auto"/>
              </w:rPr>
            </w:pPr>
            <w:r>
              <w:rPr>
                <w:rFonts w:ascii="Arial" w:cs="Arial" w:eastAsia="Arial" w:hAnsi="Arial"/>
                <w:sz w:val="18"/>
                <w:szCs w:val="18"/>
                <w:color w:val="auto"/>
              </w:rPr>
              <w:t>Form of Joinder Agreement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F-1</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5780" w:type="dxa"/>
            <w:vAlign w:val="bottom"/>
            <w:gridSpan w:val="3"/>
          </w:tcPr>
          <w:p>
            <w:pPr>
              <w:ind w:left="160"/>
              <w:spacing w:after="0"/>
              <w:rPr>
                <w:sz w:val="20"/>
                <w:szCs w:val="20"/>
                <w:color w:val="auto"/>
              </w:rPr>
            </w:pPr>
            <w:r>
              <w:rPr>
                <w:rFonts w:ascii="Arial" w:cs="Arial" w:eastAsia="Arial" w:hAnsi="Arial"/>
                <w:sz w:val="18"/>
                <w:szCs w:val="18"/>
                <w:color w:val="auto"/>
                <w:w w:val="95"/>
              </w:rPr>
              <w:t>Form of U.S. Tax Certificate (Foreign Lenders That Are Not Partnerships)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F-2</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5780" w:type="dxa"/>
            <w:vAlign w:val="bottom"/>
            <w:gridSpan w:val="3"/>
          </w:tcPr>
          <w:p>
            <w:pPr>
              <w:ind w:left="160"/>
              <w:spacing w:after="0"/>
              <w:rPr>
                <w:sz w:val="20"/>
                <w:szCs w:val="20"/>
                <w:color w:val="auto"/>
              </w:rPr>
            </w:pPr>
            <w:r>
              <w:rPr>
                <w:rFonts w:ascii="Arial" w:cs="Arial" w:eastAsia="Arial" w:hAnsi="Arial"/>
                <w:sz w:val="18"/>
                <w:szCs w:val="18"/>
                <w:color w:val="auto"/>
                <w:w w:val="91"/>
              </w:rPr>
              <w:t>Form of U.S. Tax Certificate (Foreign Participants That Are Not Partnerships)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F-3</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5780" w:type="dxa"/>
            <w:vAlign w:val="bottom"/>
            <w:gridSpan w:val="3"/>
          </w:tcPr>
          <w:p>
            <w:pPr>
              <w:ind w:left="160"/>
              <w:spacing w:after="0"/>
              <w:rPr>
                <w:sz w:val="20"/>
                <w:szCs w:val="20"/>
                <w:color w:val="auto"/>
              </w:rPr>
            </w:pPr>
            <w:r>
              <w:rPr>
                <w:rFonts w:ascii="Arial" w:cs="Arial" w:eastAsia="Arial" w:hAnsi="Arial"/>
                <w:sz w:val="18"/>
                <w:szCs w:val="18"/>
                <w:color w:val="auto"/>
                <w:w w:val="96"/>
              </w:rPr>
              <w:t>Form of U.S. Tax Certificate (Foreign Participants That Are Partnerships)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F-4</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5780" w:type="dxa"/>
            <w:vAlign w:val="bottom"/>
            <w:gridSpan w:val="3"/>
          </w:tcPr>
          <w:p>
            <w:pPr>
              <w:ind w:left="160"/>
              <w:spacing w:after="0"/>
              <w:rPr>
                <w:sz w:val="20"/>
                <w:szCs w:val="20"/>
                <w:color w:val="auto"/>
              </w:rPr>
            </w:pPr>
            <w:r>
              <w:rPr>
                <w:rFonts w:ascii="Arial" w:cs="Arial" w:eastAsia="Arial" w:hAnsi="Arial"/>
                <w:sz w:val="18"/>
                <w:szCs w:val="18"/>
                <w:color w:val="auto"/>
              </w:rPr>
              <w:t>Form of U.S. Tax Certificate (Foreign Lenders That Are Partnerships)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G-1</w:t>
            </w:r>
          </w:p>
        </w:tc>
        <w:tc>
          <w:tcPr>
            <w:tcW w:w="380" w:type="dxa"/>
            <w:vAlign w:val="bottom"/>
          </w:tcPr>
          <w:p>
            <w:pPr>
              <w:jc w:val="center"/>
              <w:ind w:left="50"/>
              <w:spacing w:after="0"/>
              <w:rPr>
                <w:sz w:val="20"/>
                <w:szCs w:val="20"/>
                <w:color w:val="auto"/>
              </w:rPr>
            </w:pPr>
            <w:r>
              <w:rPr>
                <w:rFonts w:ascii="Arial" w:cs="Arial" w:eastAsia="Arial" w:hAnsi="Arial"/>
                <w:sz w:val="18"/>
                <w:szCs w:val="18"/>
                <w:color w:val="auto"/>
                <w:w w:val="79"/>
              </w:rPr>
              <w:t>–</w:t>
            </w:r>
          </w:p>
        </w:tc>
        <w:tc>
          <w:tcPr>
            <w:tcW w:w="5780" w:type="dxa"/>
            <w:vAlign w:val="bottom"/>
            <w:gridSpan w:val="3"/>
          </w:tcPr>
          <w:p>
            <w:pPr>
              <w:ind w:left="200"/>
              <w:spacing w:after="0"/>
              <w:rPr>
                <w:sz w:val="20"/>
                <w:szCs w:val="20"/>
                <w:color w:val="auto"/>
              </w:rPr>
            </w:pPr>
            <w:r>
              <w:rPr>
                <w:rFonts w:ascii="Arial" w:cs="Arial" w:eastAsia="Arial" w:hAnsi="Arial"/>
                <w:sz w:val="18"/>
                <w:szCs w:val="18"/>
                <w:color w:val="auto"/>
              </w:rPr>
              <w:t>Form of Borrowing Request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Exhibit G-2</w:t>
            </w:r>
          </w:p>
        </w:tc>
        <w:tc>
          <w:tcPr>
            <w:tcW w:w="380" w:type="dxa"/>
            <w:vAlign w:val="bottom"/>
          </w:tcPr>
          <w:p>
            <w:pPr>
              <w:jc w:val="center"/>
              <w:ind w:left="50"/>
              <w:spacing w:after="0"/>
              <w:rPr>
                <w:sz w:val="20"/>
                <w:szCs w:val="20"/>
                <w:color w:val="auto"/>
              </w:rPr>
            </w:pPr>
            <w:r>
              <w:rPr>
                <w:rFonts w:ascii="Arial" w:cs="Arial" w:eastAsia="Arial" w:hAnsi="Arial"/>
                <w:sz w:val="18"/>
                <w:szCs w:val="18"/>
                <w:color w:val="auto"/>
                <w:w w:val="79"/>
              </w:rPr>
              <w:t>–</w:t>
            </w:r>
          </w:p>
        </w:tc>
        <w:tc>
          <w:tcPr>
            <w:tcW w:w="5780" w:type="dxa"/>
            <w:vAlign w:val="bottom"/>
            <w:gridSpan w:val="3"/>
          </w:tcPr>
          <w:p>
            <w:pPr>
              <w:ind w:left="200"/>
              <w:spacing w:after="0"/>
              <w:rPr>
                <w:sz w:val="20"/>
                <w:szCs w:val="20"/>
                <w:color w:val="auto"/>
              </w:rPr>
            </w:pPr>
            <w:r>
              <w:rPr>
                <w:rFonts w:ascii="Arial" w:cs="Arial" w:eastAsia="Arial" w:hAnsi="Arial"/>
                <w:sz w:val="18"/>
                <w:szCs w:val="18"/>
                <w:color w:val="auto"/>
              </w:rPr>
              <w:t>Form of Interest Election Request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9" w:lineRule="exact"/>
        <w:rPr>
          <w:sz w:val="20"/>
          <w:szCs w:val="20"/>
          <w:color w:val="auto"/>
        </w:rPr>
      </w:pPr>
    </w:p>
    <w:p>
      <w:pPr>
        <w:ind w:right="380" w:firstLine="8"/>
        <w:spacing w:after="0" w:line="194" w:lineRule="auto"/>
        <w:tabs>
          <w:tab w:leader="none" w:pos="120" w:val="left"/>
        </w:tabs>
        <w:numPr>
          <w:ilvl w:val="0"/>
          <w:numId w:val="532"/>
        </w:numPr>
        <w:rPr>
          <w:rFonts w:ascii="Arial" w:cs="Arial" w:eastAsia="Arial" w:hAnsi="Arial"/>
          <w:sz w:val="30"/>
          <w:szCs w:val="30"/>
          <w:color w:val="auto"/>
          <w:vertAlign w:val="superscript"/>
        </w:rPr>
      </w:pPr>
      <w:r>
        <w:rPr>
          <w:rFonts w:ascii="Arial" w:cs="Arial" w:eastAsia="Arial" w:hAnsi="Arial"/>
          <w:sz w:val="18"/>
          <w:szCs w:val="18"/>
          <w:color w:val="auto"/>
        </w:rPr>
        <w:t>Each capitalized term used herein and not defined herein shall have the meaning assigned to such term in the above-defined Credit Agreement. Items appearing in bold and italics shall be prepared and/or provided by the Company and/or Company’s counsel.</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2" w:name="page403"/>
    <w:bookmarkEnd w:id="402"/>
    <w:p>
      <w:pPr>
        <w:ind w:left="1460" w:hanging="804"/>
        <w:spacing w:after="0"/>
        <w:tabs>
          <w:tab w:leader="none" w:pos="146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Notes executed by the Borrowers in favor of each of the Lenders, if any, which has requested a note pursuant to Section 2.10(e)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Credit Agreement.</w:t>
      </w:r>
    </w:p>
    <w:p>
      <w:pPr>
        <w:spacing w:after="0" w:line="210" w:lineRule="exact"/>
        <w:rPr>
          <w:rFonts w:ascii="Arial" w:cs="Arial" w:eastAsia="Arial" w:hAnsi="Arial"/>
          <w:sz w:val="16"/>
          <w:szCs w:val="16"/>
          <w:color w:val="auto"/>
        </w:rPr>
      </w:pPr>
    </w:p>
    <w:p>
      <w:pPr>
        <w:ind w:firstLine="656"/>
        <w:spacing w:after="0" w:line="342" w:lineRule="auto"/>
        <w:tabs>
          <w:tab w:leader="none" w:pos="1369" w:val="left"/>
        </w:tabs>
        <w:numPr>
          <w:ilvl w:val="0"/>
          <w:numId w:val="533"/>
        </w:numPr>
        <w:rPr>
          <w:rFonts w:ascii="Arial" w:cs="Arial" w:eastAsia="Arial" w:hAnsi="Arial"/>
          <w:sz w:val="16"/>
          <w:szCs w:val="16"/>
          <w:color w:val="auto"/>
        </w:rPr>
      </w:pPr>
      <w:r>
        <w:rPr>
          <w:rFonts w:ascii="Arial" w:cs="Arial" w:eastAsia="Arial" w:hAnsi="Arial"/>
          <w:sz w:val="16"/>
          <w:szCs w:val="16"/>
          <w:color w:val="auto"/>
        </w:rPr>
        <w:t>Amended and Restated Pledge and Security Agreement executed by the Loan Parties in favor of the Administrative Agent, together with pledged instruments and allonges, stock certificates, stock powers executed in blank, pledge instructions and acknowledgments, as appropriate.</w:t>
      </w:r>
    </w:p>
    <w:p>
      <w:pPr>
        <w:spacing w:after="0" w:line="123" w:lineRule="exact"/>
        <w:rPr>
          <w:rFonts w:ascii="Arial" w:cs="Arial" w:eastAsia="Arial" w:hAnsi="Arial"/>
          <w:sz w:val="16"/>
          <w:szCs w:val="16"/>
          <w:color w:val="auto"/>
        </w:rPr>
      </w:pPr>
    </w:p>
    <w:p>
      <w:pPr>
        <w:ind w:firstLine="656"/>
        <w:spacing w:after="0" w:line="277" w:lineRule="auto"/>
        <w:tabs>
          <w:tab w:leader="none" w:pos="154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Confirmatory Grant of Security Interest in United States Patents made by certain of the Loan Parties in favor of the Administrative Agent for the benefit of the Secured Parties.</w:t>
      </w:r>
    </w:p>
    <w:p>
      <w:pPr>
        <w:spacing w:after="0" w:line="170" w:lineRule="exact"/>
        <w:rPr>
          <w:sz w:val="20"/>
          <w:szCs w:val="20"/>
          <w:color w:val="auto"/>
        </w:rPr>
      </w:pPr>
    </w:p>
    <w:p>
      <w:pPr>
        <w:ind w:left="660"/>
        <w:spacing w:after="0"/>
        <w:tabs>
          <w:tab w:leader="none" w:pos="2060" w:val="left"/>
          <w:tab w:leader="none" w:pos="2580" w:val="left"/>
        </w:tabs>
        <w:rPr>
          <w:sz w:val="20"/>
          <w:szCs w:val="20"/>
          <w:color w:val="auto"/>
        </w:rPr>
      </w:pPr>
      <w:r>
        <w:rPr>
          <w:rFonts w:ascii="Arial" w:cs="Arial" w:eastAsia="Arial" w:hAnsi="Arial"/>
          <w:sz w:val="18"/>
          <w:szCs w:val="18"/>
          <w:color w:val="auto"/>
        </w:rPr>
        <w:t>Schedule 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Registered Patents; Patent Applications; Other Patents</w:t>
      </w:r>
    </w:p>
    <w:p>
      <w:pPr>
        <w:spacing w:after="0" w:line="225" w:lineRule="exact"/>
        <w:rPr>
          <w:sz w:val="20"/>
          <w:szCs w:val="20"/>
          <w:color w:val="auto"/>
        </w:rPr>
      </w:pPr>
    </w:p>
    <w:p>
      <w:pPr>
        <w:ind w:firstLine="656"/>
        <w:spacing w:after="0" w:line="277" w:lineRule="auto"/>
        <w:tabs>
          <w:tab w:leader="none" w:pos="141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Confirmatory Grant of Security Interest in United States Trademarks made by certain of the Loan Parties in favor of the Administrative Agent for the benefit of the Secured Parties.</w:t>
      </w:r>
    </w:p>
    <w:p>
      <w:pPr>
        <w:spacing w:after="0" w:line="170" w:lineRule="exact"/>
        <w:rPr>
          <w:sz w:val="20"/>
          <w:szCs w:val="20"/>
          <w:color w:val="auto"/>
        </w:rPr>
      </w:pPr>
    </w:p>
    <w:p>
      <w:pPr>
        <w:ind w:left="660"/>
        <w:spacing w:after="0"/>
        <w:tabs>
          <w:tab w:leader="none" w:pos="2060" w:val="left"/>
          <w:tab w:leader="none" w:pos="2580" w:val="left"/>
        </w:tabs>
        <w:rPr>
          <w:sz w:val="20"/>
          <w:szCs w:val="20"/>
          <w:color w:val="auto"/>
        </w:rPr>
      </w:pPr>
      <w:r>
        <w:rPr>
          <w:rFonts w:ascii="Arial" w:cs="Arial" w:eastAsia="Arial" w:hAnsi="Arial"/>
          <w:sz w:val="18"/>
          <w:szCs w:val="18"/>
          <w:color w:val="auto"/>
        </w:rPr>
        <w:t>Schedule 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Registered Trademarks; Trademark and Service Mark Applications; Other Trademarks</w:t>
      </w:r>
    </w:p>
    <w:p>
      <w:pPr>
        <w:spacing w:after="0" w:line="225" w:lineRule="exact"/>
        <w:rPr>
          <w:sz w:val="20"/>
          <w:szCs w:val="20"/>
          <w:color w:val="auto"/>
        </w:rPr>
      </w:pPr>
    </w:p>
    <w:p>
      <w:pPr>
        <w:jc w:val="both"/>
        <w:ind w:firstLine="656"/>
        <w:spacing w:after="0" w:line="263" w:lineRule="auto"/>
        <w:tabs>
          <w:tab w:leader="none" w:pos="14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Certificates of Insurance listing the Administrative Agent as (x) lender loss payee for the property and casualty insurance policies of the initial Loan Parties, together with long-form lender loss payable endorsements, as appropriate, and (y) additional insured with respect to the liability insurance of the Loan Parties, together with additional insured endorsements.</w:t>
      </w:r>
    </w:p>
    <w:p>
      <w:pPr>
        <w:spacing w:after="0" w:line="179" w:lineRule="exact"/>
        <w:rPr>
          <w:rFonts w:ascii="Arial" w:cs="Arial" w:eastAsia="Arial" w:hAnsi="Arial"/>
          <w:sz w:val="18"/>
          <w:szCs w:val="18"/>
          <w:color w:val="auto"/>
        </w:rPr>
      </w:pPr>
    </w:p>
    <w:p>
      <w:pPr>
        <w:ind w:left="5180" w:hanging="711"/>
        <w:spacing w:after="0"/>
        <w:tabs>
          <w:tab w:leader="none" w:pos="5180" w:val="left"/>
        </w:tabs>
        <w:numPr>
          <w:ilvl w:val="2"/>
          <w:numId w:val="535"/>
        </w:numPr>
        <w:rPr>
          <w:rFonts w:ascii="Arial" w:cs="Arial" w:eastAsia="Arial" w:hAnsi="Arial"/>
          <w:sz w:val="18"/>
          <w:szCs w:val="18"/>
          <w:color w:val="auto"/>
        </w:rPr>
      </w:pPr>
      <w:r>
        <w:rPr>
          <w:rFonts w:ascii="Arial" w:cs="Arial" w:eastAsia="Arial" w:hAnsi="Arial"/>
          <w:sz w:val="18"/>
          <w:szCs w:val="18"/>
          <w:b w:val="1"/>
          <w:bCs w:val="1"/>
          <w:color w:val="auto"/>
        </w:rPr>
        <w:t>UCC DOCUMENTS</w:t>
      </w:r>
    </w:p>
    <w:p>
      <w:pPr>
        <w:spacing w:after="0" w:line="229" w:lineRule="exact"/>
        <w:rPr>
          <w:rFonts w:ascii="Arial" w:cs="Arial" w:eastAsia="Arial" w:hAnsi="Arial"/>
          <w:sz w:val="18"/>
          <w:szCs w:val="18"/>
          <w:color w:val="auto"/>
        </w:rPr>
      </w:pPr>
    </w:p>
    <w:p>
      <w:pPr>
        <w:ind w:left="1380" w:hanging="724"/>
        <w:spacing w:after="0"/>
        <w:tabs>
          <w:tab w:leader="none" w:pos="138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UCC, tax lien and name variation search reports naming each Loan Party from the appropriate offices in relevant jurisdictions.</w:t>
      </w:r>
    </w:p>
    <w:p>
      <w:pPr>
        <w:spacing w:after="0" w:line="236" w:lineRule="exact"/>
        <w:rPr>
          <w:rFonts w:ascii="Arial" w:cs="Arial" w:eastAsia="Arial" w:hAnsi="Arial"/>
          <w:sz w:val="17"/>
          <w:szCs w:val="17"/>
          <w:color w:val="auto"/>
        </w:rPr>
      </w:pPr>
    </w:p>
    <w:p>
      <w:pPr>
        <w:ind w:firstLine="656"/>
        <w:spacing w:after="0" w:line="277" w:lineRule="auto"/>
        <w:tabs>
          <w:tab w:leader="none" w:pos="1373" w:val="left"/>
        </w:tabs>
        <w:numPr>
          <w:ilvl w:val="0"/>
          <w:numId w:val="535"/>
        </w:numPr>
        <w:rPr>
          <w:rFonts w:ascii="Arial" w:cs="Arial" w:eastAsia="Arial" w:hAnsi="Arial"/>
          <w:sz w:val="18"/>
          <w:szCs w:val="18"/>
          <w:color w:val="auto"/>
        </w:rPr>
      </w:pPr>
      <w:r>
        <w:rPr>
          <w:rFonts w:ascii="Arial" w:cs="Arial" w:eastAsia="Arial" w:hAnsi="Arial"/>
          <w:sz w:val="18"/>
          <w:szCs w:val="18"/>
          <w:color w:val="auto"/>
        </w:rPr>
        <w:t>UCC financing statements naming each Loan Party as debtor and the Administrative Agent as secured party as filed with the appropriate offices in applicable jurisdictions.</w:t>
      </w:r>
    </w:p>
    <w:p>
      <w:pPr>
        <w:spacing w:after="0" w:line="166" w:lineRule="exact"/>
        <w:rPr>
          <w:rFonts w:ascii="Arial" w:cs="Arial" w:eastAsia="Arial" w:hAnsi="Arial"/>
          <w:sz w:val="18"/>
          <w:szCs w:val="18"/>
          <w:color w:val="auto"/>
        </w:rPr>
      </w:pPr>
    </w:p>
    <w:p>
      <w:pPr>
        <w:ind w:left="4800" w:hanging="704"/>
        <w:spacing w:after="0"/>
        <w:tabs>
          <w:tab w:leader="none" w:pos="4800" w:val="left"/>
        </w:tabs>
        <w:numPr>
          <w:ilvl w:val="1"/>
          <w:numId w:val="535"/>
        </w:numPr>
        <w:rPr>
          <w:rFonts w:ascii="Arial" w:cs="Arial" w:eastAsia="Arial" w:hAnsi="Arial"/>
          <w:sz w:val="18"/>
          <w:szCs w:val="18"/>
          <w:color w:val="auto"/>
        </w:rPr>
      </w:pPr>
      <w:r>
        <w:rPr>
          <w:rFonts w:ascii="Arial" w:cs="Arial" w:eastAsia="Arial" w:hAnsi="Arial"/>
          <w:sz w:val="18"/>
          <w:szCs w:val="18"/>
          <w:b w:val="1"/>
          <w:bCs w:val="1"/>
          <w:color w:val="auto"/>
        </w:rPr>
        <w:t>CORPORATE DOCUMENTS</w:t>
      </w:r>
    </w:p>
    <w:p>
      <w:pPr>
        <w:spacing w:after="0" w:line="229" w:lineRule="exact"/>
        <w:rPr>
          <w:rFonts w:ascii="Arial" w:cs="Arial" w:eastAsia="Arial" w:hAnsi="Arial"/>
          <w:sz w:val="18"/>
          <w:szCs w:val="18"/>
          <w:color w:val="auto"/>
        </w:rPr>
      </w:pPr>
    </w:p>
    <w:p>
      <w:pPr>
        <w:jc w:val="both"/>
        <w:ind w:firstLine="656"/>
        <w:spacing w:after="0" w:line="291" w:lineRule="auto"/>
        <w:tabs>
          <w:tab w:leader="none" w:pos="1413" w:val="left"/>
        </w:tabs>
        <w:numPr>
          <w:ilvl w:val="0"/>
          <w:numId w:val="535"/>
        </w:numPr>
        <w:rPr>
          <w:rFonts w:ascii="Arial" w:cs="Arial" w:eastAsia="Arial" w:hAnsi="Arial"/>
          <w:sz w:val="16"/>
          <w:szCs w:val="16"/>
          <w:color w:val="auto"/>
        </w:rPr>
      </w:pPr>
      <w:r>
        <w:rPr>
          <w:rFonts w:ascii="Arial" w:cs="Arial" w:eastAsia="Arial" w:hAnsi="Arial"/>
          <w:sz w:val="16"/>
          <w:szCs w:val="16"/>
          <w:color w:val="auto"/>
        </w:rPr>
        <w:t>Certificate of the Secretary or an Assistant Secretary of each Loan Party certifying (i) that there have been no changes in the Certificate of Incorporation or other charter document of such Loan Party, as attached thereto and as certified as of a recent date by the Secretary of State (or analogous governmental entity) of the jurisdiction of its organization, since the date of the certification thereof by such governmental entity, (ii) the By-Laws or other applicable organizational document, as attached thereto, of such Loan Party as in effect on the date of such certification, (iii) resolutions of the Board of Directors or other governing body of such Loan Party authorizing the execution, delivery and performance of each Loan Document to which it is a party and (iv) the names and true signatures of the incumbent officers of each Loan Party authorized to sign the Loan Documents to which it is a party, and (in the case of each Borrower) authorized to request a Borrowing or the issuance of a Letter of Credit under the Credit Agreement.</w:t>
      </w:r>
    </w:p>
    <w:p>
      <w:pPr>
        <w:spacing w:after="0" w:line="166" w:lineRule="exact"/>
        <w:rPr>
          <w:rFonts w:ascii="Arial" w:cs="Arial" w:eastAsia="Arial" w:hAnsi="Arial"/>
          <w:sz w:val="16"/>
          <w:szCs w:val="16"/>
          <w:color w:val="auto"/>
        </w:rPr>
      </w:pPr>
    </w:p>
    <w:p>
      <w:pPr>
        <w:ind w:firstLine="656"/>
        <w:spacing w:after="0" w:line="277" w:lineRule="auto"/>
        <w:tabs>
          <w:tab w:leader="none" w:pos="1501" w:val="left"/>
        </w:tabs>
        <w:numPr>
          <w:ilvl w:val="0"/>
          <w:numId w:val="535"/>
        </w:numPr>
        <w:rPr>
          <w:rFonts w:ascii="Arial" w:cs="Arial" w:eastAsia="Arial" w:hAnsi="Arial"/>
          <w:sz w:val="18"/>
          <w:szCs w:val="18"/>
          <w:color w:val="auto"/>
        </w:rPr>
      </w:pPr>
      <w:r>
        <w:rPr>
          <w:rFonts w:ascii="Arial" w:cs="Arial" w:eastAsia="Arial" w:hAnsi="Arial"/>
          <w:sz w:val="18"/>
          <w:szCs w:val="18"/>
          <w:color w:val="auto"/>
        </w:rPr>
        <w:t>Good Standing Certificate (or analogous documentation if applicable) for each Loan Party from the Secretary of State (or analogous governmental entity) of the jurisdiction of its organization, to the extent generally available in such jurisdiction.</w:t>
      </w:r>
    </w:p>
    <w:p>
      <w:pPr>
        <w:spacing w:after="0" w:line="166" w:lineRule="exact"/>
        <w:rPr>
          <w:rFonts w:ascii="Arial" w:cs="Arial" w:eastAsia="Arial" w:hAnsi="Arial"/>
          <w:sz w:val="18"/>
          <w:szCs w:val="18"/>
          <w:color w:val="auto"/>
        </w:rPr>
      </w:pPr>
    </w:p>
    <w:p>
      <w:pPr>
        <w:ind w:left="5540" w:hanging="718"/>
        <w:spacing w:after="0"/>
        <w:tabs>
          <w:tab w:leader="none" w:pos="5540" w:val="left"/>
        </w:tabs>
        <w:numPr>
          <w:ilvl w:val="3"/>
          <w:numId w:val="535"/>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229" w:lineRule="exact"/>
        <w:rPr>
          <w:rFonts w:ascii="Arial" w:cs="Arial" w:eastAsia="Arial" w:hAnsi="Arial"/>
          <w:sz w:val="18"/>
          <w:szCs w:val="18"/>
          <w:color w:val="auto"/>
        </w:rPr>
      </w:pPr>
    </w:p>
    <w:p>
      <w:pPr>
        <w:jc w:val="both"/>
        <w:ind w:firstLine="656"/>
        <w:spacing w:after="0" w:line="263" w:lineRule="auto"/>
        <w:tabs>
          <w:tab w:leader="none" w:pos="1581" w:val="left"/>
        </w:tabs>
        <w:numPr>
          <w:ilvl w:val="0"/>
          <w:numId w:val="535"/>
        </w:numPr>
        <w:rPr>
          <w:rFonts w:ascii="Arial" w:cs="Arial" w:eastAsia="Arial" w:hAnsi="Arial"/>
          <w:sz w:val="18"/>
          <w:szCs w:val="18"/>
          <w:color w:val="auto"/>
        </w:rPr>
      </w:pPr>
      <w:r>
        <w:rPr>
          <w:rFonts w:ascii="Arial" w:cs="Arial" w:eastAsia="Arial" w:hAnsi="Arial"/>
          <w:sz w:val="18"/>
          <w:szCs w:val="18"/>
          <w:color w:val="auto"/>
        </w:rPr>
        <w:t>Favorable written opinion (addressed to the Administrative Agent and the Lenders and dated the Effective Date) of Faegre Baker Daniels, counsel for the Loan Parties, covering such matters relating to the Loan Parties, the Loan Documents or the Transactions as the Administrative Agent shall reasonably request. The Company hereby requests such counsel to deliver such opinion.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3" w:name="page404"/>
    <w:bookmarkEnd w:id="403"/>
    <w:p>
      <w:pPr>
        <w:ind w:left="3840" w:hanging="696"/>
        <w:spacing w:after="0"/>
        <w:tabs>
          <w:tab w:leader="none" w:pos="3840" w:val="left"/>
        </w:tabs>
        <w:numPr>
          <w:ilvl w:val="2"/>
          <w:numId w:val="536"/>
        </w:numPr>
        <w:rPr>
          <w:rFonts w:ascii="Arial" w:cs="Arial" w:eastAsia="Arial" w:hAnsi="Arial"/>
          <w:sz w:val="18"/>
          <w:szCs w:val="18"/>
          <w:color w:val="auto"/>
        </w:rPr>
      </w:pPr>
      <w:r>
        <w:rPr>
          <w:rFonts w:ascii="Arial" w:cs="Arial" w:eastAsia="Arial" w:hAnsi="Arial"/>
          <w:sz w:val="18"/>
          <w:szCs w:val="18"/>
          <w:b w:val="1"/>
          <w:bCs w:val="1"/>
          <w:color w:val="auto"/>
        </w:rPr>
        <w:t>CLOSING CERTIFICATES AND MISCELLANEOUS</w:t>
      </w:r>
    </w:p>
    <w:p>
      <w:pPr>
        <w:spacing w:after="0" w:line="229" w:lineRule="exact"/>
        <w:rPr>
          <w:rFonts w:ascii="Arial" w:cs="Arial" w:eastAsia="Arial" w:hAnsi="Arial"/>
          <w:sz w:val="18"/>
          <w:szCs w:val="18"/>
          <w:color w:val="auto"/>
        </w:rPr>
      </w:pPr>
    </w:p>
    <w:p>
      <w:pPr>
        <w:jc w:val="both"/>
        <w:ind w:firstLine="656"/>
        <w:spacing w:after="0" w:line="291" w:lineRule="auto"/>
        <w:tabs>
          <w:tab w:leader="none" w:pos="1380" w:val="left"/>
        </w:tabs>
        <w:numPr>
          <w:ilvl w:val="1"/>
          <w:numId w:val="537"/>
        </w:numPr>
        <w:rPr>
          <w:rFonts w:ascii="Arial" w:cs="Arial" w:eastAsia="Arial" w:hAnsi="Arial"/>
          <w:sz w:val="16"/>
          <w:szCs w:val="16"/>
          <w:color w:val="auto"/>
        </w:rPr>
      </w:pPr>
      <w:r>
        <w:rPr>
          <w:rFonts w:ascii="Arial" w:cs="Arial" w:eastAsia="Arial" w:hAnsi="Arial"/>
          <w:sz w:val="16"/>
          <w:szCs w:val="16"/>
          <w:color w:val="auto"/>
        </w:rPr>
        <w:t>A Certificate signed by the President, a Vice President or a Financial Officer of the Company certifying that: (i) no Default has occurred and is continuing, (ii) setting forth reasonably detailed calculations demonstrating pro forma compliance with Section 6.12 of the Credit Agreement,</w:t>
      </w:r>
    </w:p>
    <w:p>
      <w:pPr>
        <w:jc w:val="both"/>
        <w:ind w:firstLine="8"/>
        <w:spacing w:after="0" w:line="292" w:lineRule="auto"/>
        <w:tabs>
          <w:tab w:leader="none" w:pos="327" w:val="left"/>
        </w:tabs>
        <w:numPr>
          <w:ilvl w:val="0"/>
          <w:numId w:val="538"/>
        </w:numPr>
        <w:rPr>
          <w:rFonts w:ascii="Arial" w:cs="Arial" w:eastAsia="Arial" w:hAnsi="Arial"/>
          <w:sz w:val="16"/>
          <w:szCs w:val="16"/>
          <w:color w:val="auto"/>
        </w:rPr>
      </w:pPr>
      <w:r>
        <w:rPr>
          <w:rFonts w:ascii="Arial" w:cs="Arial" w:eastAsia="Arial" w:hAnsi="Arial"/>
          <w:sz w:val="16"/>
          <w:szCs w:val="16"/>
          <w:color w:val="auto"/>
        </w:rPr>
        <w:t>stating that the representations and warranties contained in Article III of the Credit Agreement are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or warranty that is qualified by materiality, Material Adverse Effect or similar language is true and correct in all respects) on and as of the Effective Date, except to the extent that such representations and warranties specifically refer to an earlier date, in which case they are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or warranty that is qualified by materiality, Material Adverse Effect or similar language are true and correct in all respects) as of such earlier date and (iv) stating that the Borrower is in compliance with the Revolving Exposure Limitations.</w:t>
      </w:r>
    </w:p>
    <w:p>
      <w:pPr>
        <w:spacing w:after="0" w:line="162" w:lineRule="exact"/>
        <w:rPr>
          <w:rFonts w:ascii="Arial" w:cs="Arial" w:eastAsia="Arial" w:hAnsi="Arial"/>
          <w:sz w:val="16"/>
          <w:szCs w:val="16"/>
          <w:color w:val="auto"/>
        </w:rPr>
      </w:pPr>
    </w:p>
    <w:p>
      <w:pPr>
        <w:ind w:firstLine="656"/>
        <w:spacing w:after="0" w:line="277" w:lineRule="auto"/>
        <w:tabs>
          <w:tab w:leader="none" w:pos="1517" w:val="left"/>
        </w:tabs>
        <w:numPr>
          <w:ilvl w:val="1"/>
          <w:numId w:val="538"/>
        </w:numPr>
        <w:rPr>
          <w:rFonts w:ascii="Arial" w:cs="Arial" w:eastAsia="Arial" w:hAnsi="Arial"/>
          <w:sz w:val="18"/>
          <w:szCs w:val="18"/>
          <w:color w:val="auto"/>
        </w:rPr>
      </w:pPr>
      <w:r>
        <w:rPr>
          <w:rFonts w:ascii="Arial" w:cs="Arial" w:eastAsia="Arial" w:hAnsi="Arial"/>
          <w:sz w:val="18"/>
          <w:szCs w:val="18"/>
          <w:color w:val="auto"/>
        </w:rPr>
        <w:t xml:space="preserve">A Solvency Certificate of the chief financial officer of the Company substantially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certifying that the Company and its Subsidiaries, on a consolidated basis after giving effect to the Transactions, are solvent.</w:t>
      </w:r>
    </w:p>
    <w:p>
      <w:pPr>
        <w:spacing w:after="0" w:line="170" w:lineRule="exact"/>
        <w:rPr>
          <w:rFonts w:ascii="Arial" w:cs="Arial" w:eastAsia="Arial" w:hAnsi="Arial"/>
          <w:sz w:val="18"/>
          <w:szCs w:val="18"/>
          <w:color w:val="auto"/>
        </w:rPr>
      </w:pPr>
    </w:p>
    <w:p>
      <w:pPr>
        <w:ind w:firstLine="656"/>
        <w:spacing w:after="0" w:line="277" w:lineRule="auto"/>
        <w:tabs>
          <w:tab w:leader="none" w:pos="139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An Aggregate Borrowing Base Certificate and a Borrowing Base Certificate for each Borrower, in each case, prepared as of the last day of the most recent month ended at least twenty (20) calendar days prior to the Effective Date.</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Funding Account Notice.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4" w:name="page405"/>
    <w:bookmarkEnd w:id="404"/>
    <w:p>
      <w:pPr>
        <w:ind w:left="9720"/>
        <w:spacing w:after="0"/>
        <w:rPr>
          <w:sz w:val="20"/>
          <w:szCs w:val="20"/>
          <w:color w:val="auto"/>
        </w:rPr>
      </w:pPr>
      <w:r>
        <w:rPr>
          <w:rFonts w:ascii="Arial" w:cs="Arial" w:eastAsia="Arial" w:hAnsi="Arial"/>
          <w:sz w:val="17"/>
          <w:szCs w:val="17"/>
          <w:color w:val="auto"/>
        </w:rPr>
        <w:t>Annex I to Exhibit 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SOLVENCY CERTIFICATE</w:t>
      </w:r>
    </w:p>
    <w:p>
      <w:pPr>
        <w:spacing w:after="0" w:line="225"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[__________], 20[__]</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This Solvency Certificate is being executed and delivered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of the Amended and Restated Credit Agreement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October 22, 2019, among Winnebago Industries,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loan parties party thereto from time to time, the lenders party thereto from time to time and JPMorgan Chase Bank, N.A., as the administrative agent; the terms defined therein being used herein as therein defined.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 the chief financial officer of the Company, solely in such capacity and not in an individual capacity, hereby certify that I am the</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chief financial officer of the Company and that I am generally familiar with the businesses and assets of the Company and its Subsidiaries (taken as a whole), I have made such other investigations and inquiries as I have deemed appropriate and I am duly authorized to execute this Solvency Certificate on behalf of the Company pursuant to the Credit Agreement.</w:t>
      </w:r>
    </w:p>
    <w:p>
      <w:pPr>
        <w:spacing w:after="0" w:line="19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 further certify, solely in my capacity as chief financial officer of the Company, and not in my individual capacity, as of the date hereof and after giving effect to the Transactions and the incurrence of the indebtedness and obligations being incurred in connection with the Credit Agreement and the Transactions on the date hereof, that, with respect to the Company and its Subsidiaries on a consolidated basis, (a) the sum of the liabilities of the Company and its Subsidiaries, taken as a whole, does not exceed the present fair saleable value of the assets of the Company and its Subsidiaries, taken as a whole;</w:t>
      </w:r>
    </w:p>
    <w:p>
      <w:pPr>
        <w:spacing w:after="0" w:line="1" w:lineRule="exact"/>
        <w:rPr>
          <w:sz w:val="20"/>
          <w:szCs w:val="20"/>
          <w:color w:val="auto"/>
        </w:rPr>
      </w:pPr>
    </w:p>
    <w:p>
      <w:pPr>
        <w:jc w:val="both"/>
        <w:ind w:firstLine="8"/>
        <w:spacing w:after="0" w:line="270" w:lineRule="auto"/>
        <w:tabs>
          <w:tab w:leader="none" w:pos="284" w:val="left"/>
        </w:tabs>
        <w:numPr>
          <w:ilvl w:val="0"/>
          <w:numId w:val="539"/>
        </w:numPr>
        <w:rPr>
          <w:rFonts w:ascii="Arial" w:cs="Arial" w:eastAsia="Arial" w:hAnsi="Arial"/>
          <w:sz w:val="17"/>
          <w:szCs w:val="17"/>
          <w:color w:val="auto"/>
        </w:rPr>
      </w:pPr>
      <w:r>
        <w:rPr>
          <w:rFonts w:ascii="Arial" w:cs="Arial" w:eastAsia="Arial" w:hAnsi="Arial"/>
          <w:sz w:val="17"/>
          <w:szCs w:val="17"/>
          <w:color w:val="auto"/>
        </w:rPr>
        <w:t>the capital of the Company and its Subsidiaries, taken as a whole, is not unreasonably small in relation to the business of the Company and its Subsidiaries, taken as a whole, contemplated on the date hereof and (c)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5" w:name="page406"/>
    <w:bookmarkEnd w:id="405"/>
    <w:p>
      <w:pPr>
        <w:spacing w:after="0"/>
        <w:rPr>
          <w:sz w:val="20"/>
          <w:szCs w:val="20"/>
          <w:color w:val="auto"/>
        </w:rPr>
      </w:pPr>
      <w:r>
        <w:rPr>
          <w:rFonts w:ascii="Arial" w:cs="Arial" w:eastAsia="Arial" w:hAnsi="Arial"/>
          <w:sz w:val="16"/>
          <w:szCs w:val="16"/>
          <w:color w:val="auto"/>
        </w:rPr>
        <w:t>IN WITNESS WHEREOF, I have executed this Solvency Certificate on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Exhibit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406" w:name="page407"/>
    <w:bookmarkEnd w:id="406"/>
    <w:p>
      <w:pPr>
        <w:jc w:val="center"/>
        <w:ind w:right="-19"/>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JOINDER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JOINDER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[__________], 20__, is entered into between [__________], a [__________] (the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Subsidiary</w:t>
      </w:r>
      <w:r>
        <w:rPr>
          <w:rFonts w:ascii="Arial" w:cs="Arial" w:eastAsia="Arial" w:hAnsi="Arial"/>
          <w:sz w:val="17"/>
          <w:szCs w:val="17"/>
          <w:color w:val="auto"/>
        </w:rPr>
        <w:t>”) and JPMORGAN CHASE BANK, N.A., in its capacity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under that certain Amended and Restated Credit Agreement dated as of October 22, 2019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Winnebago Industries, Inc., Winnebago of Indiana, LLC, Grand Design RV, LLC and Newmar Corporation, as Borrowers (the “</w:t>
      </w:r>
      <w:r>
        <w:rPr>
          <w:rFonts w:ascii="Arial" w:cs="Arial" w:eastAsia="Arial" w:hAnsi="Arial"/>
          <w:sz w:val="17"/>
          <w:szCs w:val="17"/>
          <w:u w:val="single" w:color="auto"/>
          <w:color w:val="auto"/>
        </w:rPr>
        <w:t>Borrowers</w:t>
      </w:r>
      <w:r>
        <w:rPr>
          <w:rFonts w:ascii="Arial" w:cs="Arial" w:eastAsia="Arial" w:hAnsi="Arial"/>
          <w:sz w:val="17"/>
          <w:szCs w:val="17"/>
          <w:color w:val="auto"/>
        </w:rPr>
        <w:t>”), the other Loan Parties party thereto, the Lenders party thereto and the Administrative Agent for the Lenders. All capitalized terms used herein and not otherwise defined herein shall have the meanings set forth in the Credit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New Subsidiary and the Administrative Agent, for the benefit of the Lenders, hereby agree as follows:</w:t>
      </w:r>
    </w:p>
    <w:p>
      <w:pPr>
        <w:spacing w:after="0" w:line="225" w:lineRule="exact"/>
        <w:rPr>
          <w:sz w:val="20"/>
          <w:szCs w:val="20"/>
          <w:color w:val="auto"/>
        </w:rPr>
      </w:pPr>
    </w:p>
    <w:p>
      <w:pPr>
        <w:jc w:val="both"/>
        <w:ind w:firstLine="656"/>
        <w:spacing w:after="0" w:line="286" w:lineRule="auto"/>
        <w:tabs>
          <w:tab w:leader="none" w:pos="1455" w:val="left"/>
        </w:tabs>
        <w:numPr>
          <w:ilvl w:val="0"/>
          <w:numId w:val="540"/>
        </w:numPr>
        <w:rPr>
          <w:rFonts w:ascii="Arial" w:cs="Arial" w:eastAsia="Arial" w:hAnsi="Arial"/>
          <w:sz w:val="16"/>
          <w:szCs w:val="16"/>
          <w:color w:val="auto"/>
        </w:rPr>
      </w:pPr>
      <w:r>
        <w:rPr>
          <w:rFonts w:ascii="Arial" w:cs="Arial" w:eastAsia="Arial" w:hAnsi="Arial"/>
          <w:sz w:val="16"/>
          <w:szCs w:val="16"/>
          <w:color w:val="auto"/>
        </w:rPr>
        <w:t xml:space="preserve">The New Subsidiary hereby acknowledges, agrees and confirms that, by its execution of this Agreement, the New Subsidiary will be deemed to be a Loan Party under the Credit Agreement and a </w:t>
      </w:r>
      <w:r>
        <w:rPr>
          <w:rFonts w:ascii="Arial" w:cs="Arial" w:eastAsia="Arial" w:hAnsi="Arial"/>
          <w:sz w:val="16"/>
          <w:szCs w:val="16"/>
          <w:b w:val="1"/>
          <w:bCs w:val="1"/>
          <w:color w:val="auto"/>
        </w:rPr>
        <w:t>“Loan Guarantor”</w:t>
      </w:r>
      <w:r>
        <w:rPr>
          <w:rFonts w:ascii="Arial" w:cs="Arial" w:eastAsia="Arial" w:hAnsi="Arial"/>
          <w:sz w:val="16"/>
          <w:szCs w:val="16"/>
          <w:color w:val="auto"/>
        </w:rPr>
        <w:t xml:space="preserve">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Sections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170" w:lineRule="exact"/>
        <w:rPr>
          <w:rFonts w:ascii="Arial" w:cs="Arial" w:eastAsia="Arial" w:hAnsi="Arial"/>
          <w:sz w:val="16"/>
          <w:szCs w:val="16"/>
          <w:color w:val="auto"/>
        </w:rPr>
      </w:pPr>
    </w:p>
    <w:p>
      <w:pPr>
        <w:ind w:firstLine="656"/>
        <w:spacing w:after="0" w:line="308" w:lineRule="auto"/>
        <w:tabs>
          <w:tab w:leader="none" w:pos="1596" w:val="left"/>
        </w:tabs>
        <w:numPr>
          <w:ilvl w:val="0"/>
          <w:numId w:val="540"/>
        </w:numPr>
        <w:rPr>
          <w:rFonts w:ascii="Arial" w:cs="Arial" w:eastAsia="Arial" w:hAnsi="Arial"/>
          <w:sz w:val="17"/>
          <w:szCs w:val="17"/>
          <w:color w:val="auto"/>
        </w:rPr>
      </w:pPr>
      <w:r>
        <w:rPr>
          <w:rFonts w:ascii="Arial" w:cs="Arial" w:eastAsia="Arial" w:hAnsi="Arial"/>
          <w:sz w:val="17"/>
          <w:szCs w:val="17"/>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address of the New Subsidiary for purposes of Section 9.01 of the Credit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288925</wp:posOffset>
            </wp:positionV>
            <wp:extent cx="288861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434975</wp:posOffset>
            </wp:positionV>
            <wp:extent cx="288861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580390</wp:posOffset>
            </wp:positionV>
            <wp:extent cx="28886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7" w:name="page408"/>
    <w:bookmarkEnd w:id="407"/>
    <w:p>
      <w:pPr>
        <w:ind w:right="20" w:firstLine="656"/>
        <w:spacing w:after="0" w:line="277" w:lineRule="auto"/>
        <w:tabs>
          <w:tab w:leader="none" w:pos="1471"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The New Subsidiary hereby waives acceptance by the Administrative Agent and the Lenders of the guaranty by the New Subsidiary upon the execution of this Agreement by the New Subsidiary.</w:t>
      </w:r>
    </w:p>
    <w:p>
      <w:pPr>
        <w:spacing w:after="0" w:line="170" w:lineRule="exact"/>
        <w:rPr>
          <w:rFonts w:ascii="Arial" w:cs="Arial" w:eastAsia="Arial" w:hAnsi="Arial"/>
          <w:sz w:val="18"/>
          <w:szCs w:val="18"/>
          <w:color w:val="auto"/>
        </w:rPr>
      </w:pPr>
    </w:p>
    <w:p>
      <w:pPr>
        <w:ind w:firstLine="656"/>
        <w:spacing w:after="0" w:line="277" w:lineRule="auto"/>
        <w:tabs>
          <w:tab w:leader="none" w:pos="1358"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so executed and delivered shall be an original, but all of which shall constitute one and the same instrument.</w:t>
      </w:r>
    </w:p>
    <w:p>
      <w:pPr>
        <w:spacing w:after="0" w:line="170" w:lineRule="exact"/>
        <w:rPr>
          <w:rFonts w:ascii="Arial" w:cs="Arial" w:eastAsia="Arial" w:hAnsi="Arial"/>
          <w:sz w:val="18"/>
          <w:szCs w:val="18"/>
          <w:color w:val="auto"/>
        </w:rPr>
      </w:pPr>
    </w:p>
    <w:p>
      <w:pPr>
        <w:ind w:firstLine="656"/>
        <w:spacing w:after="0" w:line="277" w:lineRule="auto"/>
        <w:tabs>
          <w:tab w:leader="none" w:pos="150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HEREUNDER SHALL BE GOVERNED BY AND CONSTRUED AND INTERPRETED IN ACCORDANCE WITH THE LAWS OF THE STATE OF NEW YORK.</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8" w:name="page409"/>
    <w:bookmarkEnd w:id="408"/>
    <w:p>
      <w:pPr>
        <w:ind w:left="4520"/>
        <w:spacing w:after="0"/>
        <w:rPr>
          <w:sz w:val="20"/>
          <w:szCs w:val="20"/>
          <w:color w:val="auto"/>
        </w:rPr>
      </w:pPr>
      <w:r>
        <w:rPr>
          <w:rFonts w:ascii="Arial" w:cs="Arial" w:eastAsia="Arial" w:hAnsi="Arial"/>
          <w:sz w:val="18"/>
          <w:szCs w:val="18"/>
          <w:color w:val="auto"/>
        </w:rPr>
        <w:t>[NEW SUBSIDIARY]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Acknowledged and accepted:</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JPMORGAN CHASE BANK, N.A., as</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color w:val="auto"/>
        </w:rPr>
        <w:t>EXHIBIT F-1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the Amended and Restated Credit Agreement dated as of October 22, 2019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Winnebago Industries, Inc., Winnebago of Indiana, LLC, Grand Design RV, LLC and Newmar Corporation as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the other Loan Parties party thereto,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has furnished the Administrative Agent and the Borrowers with a certificate of its non-U.S. Person status on IRS Form W-8BEN or IRS Form W-8BEN-E.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color w:val="auto"/>
        </w:rPr>
        <w:t>EXHIBIT F-2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the Amended and Restated Credit Agreement dated as of October 22, 2019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Winnebago Industries, Inc., Winnebago of Indiana, LLC, Grand Design RV, LLC and Newmar Corporation, as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the other Loan Parties party thereto,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w:t>
      </w:r>
    </w:p>
    <w:p>
      <w:pPr>
        <w:ind w:right="20" w:firstLine="8"/>
        <w:spacing w:after="0" w:line="260" w:lineRule="auto"/>
        <w:tabs>
          <w:tab w:leader="none" w:pos="335"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it is not a ten percent shareholder of any Borrower within the meaning of Section 871(h)(3)(B) of the Code and (iv) it is not a controlled foreign corporation related to any Borrower as described in Section 881(c)(3)(C) of the Code.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color w:val="auto"/>
        </w:rPr>
        <w:t>EXHIBIT F-3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the Amended and Restated Credit Agreement dated as of October 22, 2019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Winnebago Industries, Inc., Winnebago of Indiana, LLC, Grand Design RV, LLC and Newmar Corporation, as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the other Loan Parties party thereto,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color w:val="auto"/>
        </w:rPr>
        <w:t>EXHIBIT F-4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the Amended and Restated Credit Agreement dated as of October 22, 2019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Winnebago Industries, Inc., Winnebago of Indiana, LLC, Grand Design RV, LLC and Newmar Corporation, as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the other Loan Parties party thereto, the Lenders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has furnished the Administrative Agent and the Borrowers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color w:val="auto"/>
        </w:rPr>
        <w:t>EXHIBIT G-1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BORROWING REQUEST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S. Dearborn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John Morrone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(312) 548-1943</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 Winnebago Industries, Inc.</w:t>
      </w:r>
    </w:p>
    <w:p>
      <w:pPr>
        <w:spacing w:after="0" w:line="225" w:lineRule="exact"/>
        <w:rPr>
          <w:sz w:val="20"/>
          <w:szCs w:val="20"/>
          <w:color w:val="auto"/>
        </w:rPr>
      </w:pPr>
    </w:p>
    <w:p>
      <w:pPr>
        <w:ind w:left="10780"/>
        <w:spacing w:after="0"/>
        <w:rPr>
          <w:sz w:val="20"/>
          <w:szCs w:val="20"/>
          <w:color w:val="auto"/>
        </w:rPr>
      </w:pPr>
      <w:r>
        <w:rPr>
          <w:rFonts w:ascii="Arial" w:cs="Arial" w:eastAsia="Arial" w:hAnsi="Arial"/>
          <w:sz w:val="17"/>
          <w:szCs w:val="17"/>
          <w:color w:val="auto"/>
        </w:rPr>
        <w:t>[Date]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Reference is hereby made to the Amended and Restated Credit Agreement dated as of October 22, 2019 (as the same may be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Winnebago Industries, Inc. (the “</w:t>
      </w:r>
      <w:r>
        <w:rPr>
          <w:rFonts w:ascii="Arial" w:cs="Arial" w:eastAsia="Arial" w:hAnsi="Arial"/>
          <w:sz w:val="16"/>
          <w:szCs w:val="16"/>
          <w:u w:val="single" w:color="auto"/>
          <w:color w:val="auto"/>
        </w:rPr>
        <w:t>Borrower Representative</w:t>
      </w:r>
      <w:r>
        <w:rPr>
          <w:rFonts w:ascii="Arial" w:cs="Arial" w:eastAsia="Arial" w:hAnsi="Arial"/>
          <w:sz w:val="16"/>
          <w:szCs w:val="16"/>
          <w:color w:val="auto"/>
        </w:rPr>
        <w:t>”), Winnebago of Indiana, LLC, Grand Design RV, LLC and Newmar Corporation, as Borrowers (the “</w:t>
      </w:r>
      <w:r>
        <w:rPr>
          <w:rFonts w:ascii="Arial" w:cs="Arial" w:eastAsia="Arial" w:hAnsi="Arial"/>
          <w:sz w:val="16"/>
          <w:szCs w:val="16"/>
          <w:u w:val="single" w:color="auto"/>
          <w:color w:val="auto"/>
        </w:rPr>
        <w:t>Borrowers</w:t>
      </w:r>
      <w:r>
        <w:rPr>
          <w:rFonts w:ascii="Arial" w:cs="Arial" w:eastAsia="Arial" w:hAnsi="Arial"/>
          <w:sz w:val="16"/>
          <w:szCs w:val="16"/>
          <w:color w:val="auto"/>
        </w:rPr>
        <w:t>”), the other Loan Parties from time to time party thereto, the Lenders from time to time party thereto and JPMorgan Chase Bank, N.A., as administrative agent (in such capacity,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xml:space="preserve">”). Capitalized terms used but not defined herein shall have the meanings assigned to such terms in the Credit Agreement. The Borrower Representative hereby gives you notice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of the Credit Agreement that it requests a Borrowing under the Credit Agreement, and in that connection the Borrower Representative specifies the following information with respect to such Borrowing requested hereby:</w:t>
      </w:r>
    </w:p>
    <w:p>
      <w:pPr>
        <w:spacing w:after="0" w:line="166" w:lineRule="exact"/>
        <w:rPr>
          <w:sz w:val="20"/>
          <w:szCs w:val="20"/>
          <w:color w:val="auto"/>
        </w:rPr>
      </w:pPr>
    </w:p>
    <w:p>
      <w:pPr>
        <w:ind w:left="1340" w:hanging="684"/>
        <w:spacing w:after="0"/>
        <w:tabs>
          <w:tab w:leader="none" w:pos="13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Name of the applicable Borrower: __________</w:t>
      </w:r>
    </w:p>
    <w:p>
      <w:pPr>
        <w:spacing w:after="0" w:line="228" w:lineRule="exact"/>
        <w:rPr>
          <w:rFonts w:ascii="Arial" w:cs="Arial" w:eastAsia="Arial" w:hAnsi="Arial"/>
          <w:sz w:val="18"/>
          <w:szCs w:val="18"/>
          <w:color w:val="auto"/>
        </w:rPr>
      </w:pPr>
    </w:p>
    <w:p>
      <w:pPr>
        <w:ind w:left="1320" w:hanging="664"/>
        <w:spacing w:after="0"/>
        <w:tabs>
          <w:tab w:leader="none" w:pos="132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Aggregate principal amount of Borrowing:</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__________</w:t>
      </w:r>
    </w:p>
    <w:p>
      <w:pPr>
        <w:spacing w:after="0" w:line="135" w:lineRule="exact"/>
        <w:rPr>
          <w:rFonts w:ascii="Arial" w:cs="Arial" w:eastAsia="Arial" w:hAnsi="Arial"/>
          <w:sz w:val="18"/>
          <w:szCs w:val="18"/>
          <w:color w:val="auto"/>
        </w:rPr>
      </w:pPr>
    </w:p>
    <w:p>
      <w:pPr>
        <w:ind w:left="1340" w:hanging="684"/>
        <w:spacing w:after="0"/>
        <w:tabs>
          <w:tab w:leader="none" w:pos="13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Date of Borrowing (which shall be a Business Day): __________</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Type of Borrowing (ABR or Eurodollar): __________</w:t>
      </w:r>
    </w:p>
    <w:p>
      <w:pPr>
        <w:spacing w:after="0" w:line="228" w:lineRule="exact"/>
        <w:rPr>
          <w:rFonts w:ascii="Arial" w:cs="Arial" w:eastAsia="Arial" w:hAnsi="Arial"/>
          <w:sz w:val="18"/>
          <w:szCs w:val="18"/>
          <w:color w:val="auto"/>
        </w:rPr>
      </w:pPr>
    </w:p>
    <w:p>
      <w:pPr>
        <w:ind w:left="1340" w:hanging="684"/>
        <w:spacing w:after="0"/>
        <w:tabs>
          <w:tab w:leader="none" w:pos="13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Interest Period and the last day thereof (if a Eurodollar Borrowing):</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__________</w:t>
      </w:r>
    </w:p>
    <w:p>
      <w:pPr>
        <w:spacing w:after="0" w:line="13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Location and number of the Borrower’s account or any other account agreed upon by the Administrative Agent and the Borrower to which proceeds of Borrowing are to be disbursed: 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6" w:lineRule="exact"/>
        <w:rPr>
          <w:sz w:val="20"/>
          <w:szCs w:val="20"/>
          <w:color w:val="auto"/>
        </w:rPr>
      </w:pPr>
    </w:p>
    <w:p>
      <w:pPr>
        <w:ind w:left="120" w:hanging="112"/>
        <w:spacing w:after="0"/>
        <w:tabs>
          <w:tab w:leader="none" w:pos="120" w:val="left"/>
        </w:tabs>
        <w:numPr>
          <w:ilvl w:val="0"/>
          <w:numId w:val="544"/>
        </w:numPr>
        <w:rPr>
          <w:rFonts w:ascii="Arial" w:cs="Arial" w:eastAsia="Arial" w:hAnsi="Arial"/>
          <w:sz w:val="30"/>
          <w:szCs w:val="30"/>
          <w:color w:val="auto"/>
          <w:vertAlign w:val="superscript"/>
        </w:rPr>
      </w:pPr>
      <w:r>
        <w:rPr>
          <w:rFonts w:ascii="Arial" w:cs="Arial" w:eastAsia="Arial" w:hAnsi="Arial"/>
          <w:sz w:val="18"/>
          <w:szCs w:val="18"/>
          <w:color w:val="auto"/>
        </w:rPr>
        <w:t xml:space="preserve">Not less than applicable amounts specified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6" w:lineRule="exact"/>
        <w:rPr>
          <w:sz w:val="20"/>
          <w:szCs w:val="20"/>
          <w:color w:val="auto"/>
        </w:rPr>
      </w:pPr>
    </w:p>
    <w:p>
      <w:pPr>
        <w:ind w:left="5200" w:right="3860" w:hanging="5192"/>
        <w:spacing w:after="0" w:line="618" w:lineRule="auto"/>
        <w:tabs>
          <w:tab w:leader="none" w:pos="131" w:val="left"/>
        </w:tabs>
        <w:numPr>
          <w:ilvl w:val="0"/>
          <w:numId w:val="545"/>
        </w:numPr>
        <w:rPr>
          <w:rFonts w:ascii="Arial" w:cs="Arial" w:eastAsia="Arial" w:hAnsi="Arial"/>
          <w:sz w:val="30"/>
          <w:szCs w:val="30"/>
          <w:color w:val="auto"/>
          <w:vertAlign w:val="superscript"/>
        </w:rPr>
      </w:pPr>
      <w:r>
        <w:rPr>
          <w:rFonts w:ascii="Arial" w:cs="Arial" w:eastAsia="Arial" w:hAnsi="Arial"/>
          <w:sz w:val="18"/>
          <w:szCs w:val="18"/>
          <w:color w:val="auto"/>
        </w:rPr>
        <w:t>Which must comply with the definition of “Interest Period” and end not later than the Maturity Date. Exhibit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4" w:name="page415"/>
    <w:bookmarkEnd w:id="414"/>
    <w:p>
      <w:pPr>
        <w:ind w:firstLine="648"/>
        <w:spacing w:after="0" w:line="214" w:lineRule="auto"/>
        <w:rPr>
          <w:sz w:val="20"/>
          <w:szCs w:val="20"/>
          <w:color w:val="auto"/>
        </w:rPr>
      </w:pPr>
      <w:r>
        <w:rPr>
          <w:rFonts w:ascii="Arial" w:cs="Arial" w:eastAsia="Arial" w:hAnsi="Arial"/>
          <w:sz w:val="18"/>
          <w:szCs w:val="18"/>
          <w:color w:val="auto"/>
        </w:rPr>
        <w:t xml:space="preserve">The undersigned hereby represents and warrants that the conditions to lending specified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and]</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of the Credit Agreement are satisfied as of the date hereof.</w:t>
      </w:r>
    </w:p>
    <w:p>
      <w:pPr>
        <w:spacing w:after="0" w:line="20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as the Borrower Representative</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20" w:hanging="112"/>
        <w:spacing w:after="0"/>
        <w:tabs>
          <w:tab w:leader="none" w:pos="120" w:val="left"/>
        </w:tabs>
        <w:numPr>
          <w:ilvl w:val="0"/>
          <w:numId w:val="546"/>
        </w:numPr>
        <w:rPr>
          <w:rFonts w:ascii="Arial" w:cs="Arial" w:eastAsia="Arial" w:hAnsi="Arial"/>
          <w:sz w:val="30"/>
          <w:szCs w:val="30"/>
          <w:color w:val="auto"/>
          <w:vertAlign w:val="superscript"/>
        </w:rPr>
      </w:pPr>
      <w:r>
        <w:rPr>
          <w:rFonts w:ascii="Arial" w:cs="Arial" w:eastAsia="Arial" w:hAnsi="Arial"/>
          <w:sz w:val="18"/>
          <w:szCs w:val="18"/>
          <w:color w:val="auto"/>
        </w:rPr>
        <w:t>To be included only for Borrowings on the Effective Date.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color w:val="auto"/>
        </w:rPr>
        <w:t>EXHIBIT G-2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INTEREST ELECTION REQUEST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S. Dearborn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John Morrone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(312) 548-1943</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 Winnebago Industries, Inc.</w:t>
      </w:r>
    </w:p>
    <w:p>
      <w:pPr>
        <w:spacing w:after="0" w:line="225" w:lineRule="exact"/>
        <w:rPr>
          <w:sz w:val="20"/>
          <w:szCs w:val="20"/>
          <w:color w:val="auto"/>
        </w:rPr>
      </w:pPr>
    </w:p>
    <w:p>
      <w:pPr>
        <w:ind w:left="10780"/>
        <w:spacing w:after="0"/>
        <w:rPr>
          <w:sz w:val="20"/>
          <w:szCs w:val="20"/>
          <w:color w:val="auto"/>
        </w:rPr>
      </w:pPr>
      <w:r>
        <w:rPr>
          <w:rFonts w:ascii="Arial" w:cs="Arial" w:eastAsia="Arial" w:hAnsi="Arial"/>
          <w:sz w:val="17"/>
          <w:szCs w:val="17"/>
          <w:color w:val="auto"/>
        </w:rPr>
        <w:t>[Date]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Reference is hereby made to the Amended and Restated Credit Agreement dated as of October 22, 2019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Winnebago Industries, Inc. (the “</w:t>
      </w:r>
      <w:r>
        <w:rPr>
          <w:rFonts w:ascii="Arial" w:cs="Arial" w:eastAsia="Arial" w:hAnsi="Arial"/>
          <w:sz w:val="18"/>
          <w:szCs w:val="18"/>
          <w:u w:val="single" w:color="auto"/>
          <w:color w:val="auto"/>
        </w:rPr>
        <w:t>Borrower Representative</w:t>
      </w:r>
      <w:r>
        <w:rPr>
          <w:rFonts w:ascii="Arial" w:cs="Arial" w:eastAsia="Arial" w:hAnsi="Arial"/>
          <w:sz w:val="18"/>
          <w:szCs w:val="18"/>
          <w:color w:val="auto"/>
        </w:rPr>
        <w:t>”), Winnebago of Indiana, LLC, Grand Design RV, LLC and Newmar Corporation, as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the other Loan Parties from time to time party thereto, the Lenders from time to time party thereto and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xml:space="preserve">”). Capitalized terms used but not defined herein shall have the meanings assigned to such terms in the Credit Agreement. The Borrower Representative hereby gives you notice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of the Credit Agreement that it requests to [convert][continue] an existing Borrowing under the Credit Agreement, and in that connection the Borrower specifies the following information with respect to such [conversion][continuation] requested hereby:</w:t>
      </w:r>
    </w:p>
    <w:p>
      <w:pPr>
        <w:spacing w:after="0" w:line="192" w:lineRule="exact"/>
        <w:rPr>
          <w:sz w:val="20"/>
          <w:szCs w:val="20"/>
          <w:color w:val="auto"/>
        </w:rPr>
      </w:pPr>
    </w:p>
    <w:p>
      <w:pPr>
        <w:ind w:left="1300" w:hanging="644"/>
        <w:spacing w:after="0"/>
        <w:tabs>
          <w:tab w:leader="none" w:pos="13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Name of Borrower: __________</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List date, Type, Class, principal amount and Interest Period (if applicable) of existing Borrowing: __________</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Aggregate principal amount of resulting Borrowing: __________</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Effective date of interest election (which shall be a Business Day): __________</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Type of Borrowing (ABR or Eurodollar): __________</w:t>
      </w:r>
    </w:p>
    <w:p>
      <w:pPr>
        <w:spacing w:after="0" w:line="204" w:lineRule="exact"/>
        <w:rPr>
          <w:rFonts w:ascii="Arial" w:cs="Arial" w:eastAsia="Arial" w:hAnsi="Arial"/>
          <w:sz w:val="18"/>
          <w:szCs w:val="18"/>
          <w:color w:val="auto"/>
        </w:rPr>
      </w:pPr>
    </w:p>
    <w:p>
      <w:pPr>
        <w:ind w:left="1300" w:hanging="644"/>
        <w:spacing w:after="0"/>
        <w:tabs>
          <w:tab w:leader="none" w:pos="1300" w:val="left"/>
        </w:tabs>
        <w:numPr>
          <w:ilvl w:val="0"/>
          <w:numId w:val="547"/>
        </w:numPr>
        <w:rPr>
          <w:rFonts w:ascii="Arial" w:cs="Arial" w:eastAsia="Arial" w:hAnsi="Arial"/>
          <w:sz w:val="36"/>
          <w:szCs w:val="36"/>
          <w:color w:val="auto"/>
          <w:vertAlign w:val="superscript"/>
        </w:rPr>
      </w:pPr>
      <w:r>
        <w:rPr>
          <w:rFonts w:ascii="Arial" w:cs="Arial" w:eastAsia="Arial" w:hAnsi="Arial"/>
          <w:sz w:val="18"/>
          <w:szCs w:val="18"/>
          <w:color w:val="auto"/>
        </w:rPr>
        <w:t>Interest Period and the last day thereof (if a Eurodollar Borrowing):</w:t>
      </w:r>
      <w:r>
        <w:rPr>
          <w:rFonts w:ascii="Arial" w:cs="Arial" w:eastAsia="Arial" w:hAnsi="Arial"/>
          <w:sz w:val="29"/>
          <w:szCs w:val="29"/>
          <w:color w:val="auto"/>
          <w:vertAlign w:val="superscript"/>
        </w:rPr>
        <w:t>8</w:t>
      </w:r>
      <w:r>
        <w:rPr>
          <w:rFonts w:ascii="Arial" w:cs="Arial" w:eastAsia="Arial" w:hAnsi="Arial"/>
          <w:sz w:val="18"/>
          <w:szCs w:val="18"/>
          <w:color w:val="auto"/>
        </w:rPr>
        <w:t xml:space="preserve"> __________</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8</w:t>
      </w:r>
      <w:r>
        <w:rPr>
          <w:rFonts w:ascii="Arial" w:cs="Arial" w:eastAsia="Arial" w:hAnsi="Arial"/>
          <w:sz w:val="18"/>
          <w:szCs w:val="18"/>
          <w:color w:val="auto"/>
        </w:rPr>
        <w:t>Which must comply with the definition of “Interest Period” and end not later than the Maturity Date.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6" w:name="page417"/>
    <w:bookmarkEnd w:id="416"/>
    <w:p>
      <w:pPr>
        <w:ind w:left="44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WINNEBAGO INDUSTRIES, INC.</w:t>
      </w:r>
    </w:p>
    <w:p>
      <w:pPr>
        <w:spacing w:after="0" w:line="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 Borrower Representative</w:t>
      </w:r>
    </w:p>
    <w:p>
      <w:pPr>
        <w:spacing w:after="0" w:line="2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17" w:name="page418"/>
    <w:bookmarkEnd w:id="417"/>
    <w:p>
      <w:pPr>
        <w:jc w:val="center"/>
        <w:ind w:right="-11"/>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Schedule 6.05</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Dispositions</w:t>
      </w:r>
    </w:p>
    <w:p>
      <w:pPr>
        <w:spacing w:after="0" w:line="229" w:lineRule="exact"/>
        <w:rPr>
          <w:sz w:val="20"/>
          <w:szCs w:val="20"/>
          <w:color w:val="auto"/>
        </w:rPr>
      </w:pPr>
    </w:p>
    <w:p>
      <w:pPr>
        <w:ind w:left="-8" w:firstLine="8"/>
        <w:spacing w:after="0" w:line="277" w:lineRule="auto"/>
        <w:tabs>
          <w:tab w:leader="none" w:pos="172" w:val="left"/>
        </w:tabs>
        <w:numPr>
          <w:ilvl w:val="0"/>
          <w:numId w:val="548"/>
        </w:numPr>
        <w:rPr>
          <w:rFonts w:ascii="Arial" w:cs="Arial" w:eastAsia="Arial" w:hAnsi="Arial"/>
          <w:sz w:val="18"/>
          <w:szCs w:val="18"/>
          <w:color w:val="auto"/>
        </w:rPr>
      </w:pPr>
      <w:r>
        <w:rPr>
          <w:rFonts w:ascii="Arial" w:cs="Arial" w:eastAsia="Arial" w:hAnsi="Arial"/>
          <w:sz w:val="18"/>
          <w:szCs w:val="18"/>
          <w:color w:val="auto"/>
        </w:rPr>
        <w:t>Proposed redemption of one or more of the Company or its Subsidiaries’ corporation owned life insurance policies to the extent such amounts are held in trust for the payment of employee benefits.</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548"/>
        </w:numPr>
        <w:rPr>
          <w:rFonts w:ascii="Arial" w:cs="Arial" w:eastAsia="Arial" w:hAnsi="Arial"/>
          <w:sz w:val="18"/>
          <w:szCs w:val="18"/>
          <w:color w:val="auto"/>
        </w:rPr>
      </w:pPr>
      <w:r>
        <w:rPr>
          <w:rFonts w:ascii="Arial" w:cs="Arial" w:eastAsia="Arial" w:hAnsi="Arial"/>
          <w:sz w:val="18"/>
          <w:szCs w:val="18"/>
          <w:color w:val="auto"/>
        </w:rPr>
        <w:t>Disposition of real property owned by the Company in Junction City, Oregon.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713232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31" w:right="359" w:bottom="1440" w:gutter="0" w:footer="0" w:header="0"/>
        </w:sectPr>
      </w:pPr>
    </w:p>
    <w:bookmarkStart w:id="418" w:name="page419"/>
    <w:bookmarkEnd w:id="418"/>
    <w:p>
      <w:pPr>
        <w:jc w:val="right"/>
        <w:ind w:right="4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Intercreditor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8, 2020, among JPMorgan Chase Bank, N.A., as Administrative Agent (in such capacity, with its successors and assigns in such capacity, and as more specifically defined below, the “</w:t>
      </w:r>
      <w:r>
        <w:rPr>
          <w:rFonts w:ascii="Arial" w:cs="Arial" w:eastAsia="Arial" w:hAnsi="Arial"/>
          <w:sz w:val="18"/>
          <w:szCs w:val="18"/>
          <w:u w:val="single" w:color="auto"/>
          <w:color w:val="auto"/>
        </w:rPr>
        <w:t>Existing ABL Representative</w:t>
      </w:r>
      <w:r>
        <w:rPr>
          <w:rFonts w:ascii="Arial" w:cs="Arial" w:eastAsia="Arial" w:hAnsi="Arial"/>
          <w:sz w:val="18"/>
          <w:szCs w:val="18"/>
          <w:color w:val="auto"/>
        </w:rPr>
        <w:t>”) for the ABL Secured Parties (as defined below), U.S. Bank National Association as collateral trustee for the Fixed Asset Secured Parties (as defined below) (together with its successors and assigns in such capacity, the “</w:t>
      </w:r>
      <w:r>
        <w:rPr>
          <w:rFonts w:ascii="Arial" w:cs="Arial" w:eastAsia="Arial" w:hAnsi="Arial"/>
          <w:sz w:val="18"/>
          <w:szCs w:val="18"/>
          <w:u w:val="single" w:color="auto"/>
          <w:color w:val="auto"/>
        </w:rPr>
        <w:t>Collateral Trustee</w:t>
      </w:r>
      <w:r>
        <w:rPr>
          <w:rFonts w:ascii="Arial" w:cs="Arial" w:eastAsia="Arial" w:hAnsi="Arial"/>
          <w:sz w:val="18"/>
          <w:szCs w:val="18"/>
          <w:color w:val="auto"/>
        </w:rPr>
        <w:t>”) and each additional representative from time to time party thereto and each of the Loan Parties (as defined below) party hereto.</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WHEREAS Winnebago Industries, Inc., an Iowa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Winnebago of Indiana, LLC, an Iowa limited liability company (“</w:t>
      </w:r>
      <w:r>
        <w:rPr>
          <w:rFonts w:ascii="Arial" w:cs="Arial" w:eastAsia="Arial" w:hAnsi="Arial"/>
          <w:sz w:val="16"/>
          <w:szCs w:val="16"/>
          <w:u w:val="single" w:color="auto"/>
          <w:color w:val="auto"/>
        </w:rPr>
        <w:t>WGO of Indiana</w:t>
      </w:r>
      <w:r>
        <w:rPr>
          <w:rFonts w:ascii="Arial" w:cs="Arial" w:eastAsia="Arial" w:hAnsi="Arial"/>
          <w:sz w:val="16"/>
          <w:szCs w:val="16"/>
          <w:color w:val="auto"/>
        </w:rPr>
        <w:t>”), Grand Design RV, LLC, an Indiana limited liability company (“</w:t>
      </w:r>
      <w:r>
        <w:rPr>
          <w:rFonts w:ascii="Arial" w:cs="Arial" w:eastAsia="Arial" w:hAnsi="Arial"/>
          <w:sz w:val="16"/>
          <w:szCs w:val="16"/>
          <w:u w:val="single" w:color="auto"/>
          <w:color w:val="auto"/>
        </w:rPr>
        <w:t>Grand Design</w:t>
      </w:r>
      <w:r>
        <w:rPr>
          <w:rFonts w:ascii="Arial" w:cs="Arial" w:eastAsia="Arial" w:hAnsi="Arial"/>
          <w:sz w:val="16"/>
          <w:szCs w:val="16"/>
          <w:color w:val="auto"/>
        </w:rPr>
        <w:t>”), Newmar Corporation, an Indiana corporation (“</w:t>
      </w:r>
      <w:r>
        <w:rPr>
          <w:rFonts w:ascii="Arial" w:cs="Arial" w:eastAsia="Arial" w:hAnsi="Arial"/>
          <w:sz w:val="16"/>
          <w:szCs w:val="16"/>
          <w:u w:val="single" w:color="auto"/>
          <w:color w:val="auto"/>
        </w:rPr>
        <w:t>Newmar</w:t>
      </w:r>
      <w:r>
        <w:rPr>
          <w:rFonts w:ascii="Arial" w:cs="Arial" w:eastAsia="Arial" w:hAnsi="Arial"/>
          <w:sz w:val="16"/>
          <w:szCs w:val="16"/>
          <w:color w:val="auto"/>
        </w:rPr>
        <w:t>”; the Company, WGO of Indiana, Grand Design and Newmar are collectively referred to herein as the “</w:t>
      </w:r>
      <w:r>
        <w:rPr>
          <w:rFonts w:ascii="Arial" w:cs="Arial" w:eastAsia="Arial" w:hAnsi="Arial"/>
          <w:sz w:val="16"/>
          <w:szCs w:val="16"/>
          <w:u w:val="single" w:color="auto"/>
          <w:color w:val="auto"/>
        </w:rPr>
        <w:t>Borrowers</w:t>
      </w:r>
      <w:r>
        <w:rPr>
          <w:rFonts w:ascii="Arial" w:cs="Arial" w:eastAsia="Arial" w:hAnsi="Arial"/>
          <w:sz w:val="16"/>
          <w:szCs w:val="16"/>
          <w:color w:val="auto"/>
        </w:rPr>
        <w:t>”), the other Loan Parties party thereto, the ABL Representative and certain financial institutions and other entities are parties to the Amended and Restated Credit Agreement, dated as of October 22, 2019, as amended on November 15, 2019 and further amended as of the date hereof (the “</w:t>
      </w:r>
      <w:r>
        <w:rPr>
          <w:rFonts w:ascii="Arial" w:cs="Arial" w:eastAsia="Arial" w:hAnsi="Arial"/>
          <w:sz w:val="16"/>
          <w:szCs w:val="16"/>
          <w:u w:val="single" w:color="auto"/>
          <w:color w:val="auto"/>
        </w:rPr>
        <w:t>Existing ABL Agreement</w:t>
      </w:r>
      <w:r>
        <w:rPr>
          <w:rFonts w:ascii="Arial" w:cs="Arial" w:eastAsia="Arial" w:hAnsi="Arial"/>
          <w:sz w:val="16"/>
          <w:szCs w:val="16"/>
          <w:color w:val="auto"/>
        </w:rPr>
        <w:t>”), pursuant to which such financial institutions and other entities have agreed to make loans and extend other financial accommodations to the Borrowers;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the Company is issuing senior secured notes under the Notes Indenture (as defined below) for the purposes of refinancing in full the obligations under that certain Loan Agreement, dated as of November 8, 2016, among Octavius Corporation, a Delaware corporation, the other Loan Parties party thereto, JPMorgan Chase Bank, N.A., as Administrative Agent and the financial institutions party thereto from time to time;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Loan Parties have granted to the ABL Representative security interests and liens in the Collateral (as defined below) as security for payment and performance of the ABL Obligations (as defined below);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Loan Parties have granted to the Collateral Trustee security interests and liens in the Collateral as security for payment and performance of the Notes Obligations (as defined below).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herein contained and other good and valuable consideration, the existence and sufficiency of which is expressly recognized by all of the parties hereto, the parties agree as follows:</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i w:val="1"/>
          <w:iCs w:val="1"/>
          <w:u w:val="single" w:color="auto"/>
          <w:color w:val="auto"/>
        </w:rPr>
        <w:t>Section 1.</w:t>
      </w:r>
      <w:r>
        <w:rPr>
          <w:sz w:val="20"/>
          <w:szCs w:val="20"/>
          <w:color w:val="auto"/>
        </w:rPr>
        <w:tab/>
      </w:r>
      <w:r>
        <w:rPr>
          <w:rFonts w:ascii="Arial" w:cs="Arial" w:eastAsia="Arial" w:hAnsi="Arial"/>
          <w:sz w:val="16"/>
          <w:szCs w:val="16"/>
          <w:i w:val="1"/>
          <w:iCs w:val="1"/>
          <w:color w:val="auto"/>
        </w:rPr>
        <w:t>Definitions; Rules of Construction.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UCC Definitions</w:t>
      </w:r>
      <w:r>
        <w:rPr>
          <w:rFonts w:ascii="Arial" w:cs="Arial" w:eastAsia="Arial" w:hAnsi="Arial"/>
          <w:sz w:val="17"/>
          <w:szCs w:val="17"/>
          <w:color w:val="auto"/>
        </w:rPr>
        <w:t>. The following terms which are defined in the Uniform Commercial Code are used herein as so defined: Accounts, Chattel Paper, Commercial Tort Claims, Deposit Accounts, Documents, Equipment, General Intangibles, Goods, Instruments, Inventory, Investment Property, Letter of Credit, Letter of Credit Rights, Payment Intangibles, Records, Securities Account and Supporting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9" w:name="page420"/>
    <w:bookmarkEnd w:id="419"/>
    <w:p>
      <w:pPr>
        <w:jc w:val="both"/>
        <w:ind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and not otherwise defined herein have the meanings set forth in the Collateral Trust Agreement as in effect on the date hereof. The following terms, as used herein, have the following meanings: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Agreement</w:t>
      </w:r>
      <w:r>
        <w:rPr>
          <w:rFonts w:ascii="Arial" w:cs="Arial" w:eastAsia="Arial" w:hAnsi="Arial"/>
          <w:sz w:val="17"/>
          <w:szCs w:val="17"/>
          <w:color w:val="auto"/>
        </w:rPr>
        <w:t>” means the collective reference to (a) the Existing ABL Agreement, (b) any Additional ABL Agreement and (c) any other credit agreement, loan agreement, note agreement, promissory note, indenture or other agreement or instrument evidencing or governing the terms of any indebtedness or other financial accommodation that has been incurred to extend, replace, refinance or refund in whole or in part the indebtedness and other obligations outstanding under the Existing ABL Agreement (regardless of whether such replacement, refunding or refinancing is a “working capital” facility, asset-based facility or otherwise), any Additional ABL Agreement or any other agreement or instrument referred to in this clause (c) unless such agreement or instrument expressly provides that it is not intended to be and is not an ABL Agreement hereunder (a “</w:t>
      </w:r>
      <w:r>
        <w:rPr>
          <w:rFonts w:ascii="Arial" w:cs="Arial" w:eastAsia="Arial" w:hAnsi="Arial"/>
          <w:sz w:val="17"/>
          <w:szCs w:val="17"/>
          <w:u w:val="single" w:color="auto"/>
          <w:color w:val="auto"/>
        </w:rPr>
        <w:t>Replacement ABL Agreement</w:t>
      </w:r>
      <w:r>
        <w:rPr>
          <w:rFonts w:ascii="Arial" w:cs="Arial" w:eastAsia="Arial" w:hAnsi="Arial"/>
          <w:sz w:val="17"/>
          <w:szCs w:val="17"/>
          <w:color w:val="auto"/>
        </w:rPr>
        <w:t>”). Any reference to the ABL Agreement hereunder shall be deemed a reference to any ABL Agreement then extant.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Creditors</w:t>
      </w:r>
      <w:r>
        <w:rPr>
          <w:rFonts w:ascii="Arial" w:cs="Arial" w:eastAsia="Arial" w:hAnsi="Arial"/>
          <w:sz w:val="18"/>
          <w:szCs w:val="18"/>
          <w:color w:val="auto"/>
        </w:rPr>
        <w:t>” means, collectively, the “Lenders” and the “Secured Parties”, each as defined in any ABL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DIP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Documents</w:t>
      </w:r>
      <w:r>
        <w:rPr>
          <w:rFonts w:ascii="Arial" w:cs="Arial" w:eastAsia="Arial" w:hAnsi="Arial"/>
          <w:sz w:val="18"/>
          <w:szCs w:val="18"/>
          <w:color w:val="auto"/>
        </w:rPr>
        <w:t>” means the ABL Agreement, each ABL Security Document, each ABL Guarantee and each other “Loan Document” as defined in the ABL Agreement (other than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means all Collateral consisting of the following:</w:t>
      </w:r>
    </w:p>
    <w:p>
      <w:pPr>
        <w:spacing w:after="0" w:line="225" w:lineRule="exact"/>
        <w:rPr>
          <w:sz w:val="20"/>
          <w:szCs w:val="20"/>
          <w:color w:val="auto"/>
        </w:rPr>
      </w:pPr>
    </w:p>
    <w:p>
      <w:pPr>
        <w:ind w:left="1960" w:hanging="656"/>
        <w:spacing w:after="0"/>
        <w:tabs>
          <w:tab w:leader="none" w:pos="19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all Accounts and Credit Card Receivables;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all cash and cash equivalents;</w:t>
      </w:r>
    </w:p>
    <w:p>
      <w:pPr>
        <w:spacing w:after="0" w:line="225" w:lineRule="exact"/>
        <w:rPr>
          <w:rFonts w:ascii="Arial" w:cs="Arial" w:eastAsia="Arial" w:hAnsi="Arial"/>
          <w:sz w:val="18"/>
          <w:szCs w:val="18"/>
          <w:color w:val="auto"/>
        </w:rPr>
      </w:pPr>
    </w:p>
    <w:p>
      <w:pPr>
        <w:jc w:val="both"/>
        <w:ind w:left="1960" w:hanging="656"/>
        <w:spacing w:after="0" w:line="287" w:lineRule="auto"/>
        <w:tabs>
          <w:tab w:leader="none" w:pos="196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 xml:space="preserve">to the extent evidencing or governing any of the items referred to in the preceding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w:t>
      </w:r>
      <w:r>
        <w:rPr>
          <w:rFonts w:ascii="Arial" w:cs="Arial" w:eastAsia="Arial" w:hAnsi="Arial"/>
          <w:sz w:val="16"/>
          <w:szCs w:val="16"/>
          <w:color w:val="auto"/>
        </w:rPr>
        <w:t xml:space="preserve">, all Chattel Paper, Documents, Instruments, General Intangibles and Securities Accounts related thereto; provided that to the extent any of the foregoing also relates to Fixed Asset Priority Collateral only that portion related to the items referred to in the preceding </w:t>
      </w:r>
      <w:r>
        <w:rPr>
          <w:rFonts w:ascii="Arial" w:cs="Arial" w:eastAsia="Arial" w:hAnsi="Arial"/>
          <w:sz w:val="16"/>
          <w:szCs w:val="16"/>
          <w:u w:val="single" w:color="auto"/>
          <w:color w:val="auto"/>
        </w:rPr>
        <w:t>clauses</w:t>
      </w:r>
    </w:p>
    <w:p>
      <w:pPr>
        <w:spacing w:after="0" w:line="2"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w:t>
      </w:r>
      <w:r>
        <w:rPr>
          <w:rFonts w:ascii="Arial" w:cs="Arial" w:eastAsia="Arial" w:hAnsi="Arial"/>
          <w:sz w:val="18"/>
          <w:szCs w:val="18"/>
          <w:color w:val="auto"/>
        </w:rPr>
        <w:t xml:space="preserve"> shall be included in the ABL Priority Collateral;</w:t>
      </w:r>
    </w:p>
    <w:p>
      <w:pPr>
        <w:spacing w:after="0" w:line="210" w:lineRule="exact"/>
        <w:rPr>
          <w:rFonts w:ascii="Arial" w:cs="Arial" w:eastAsia="Arial" w:hAnsi="Arial"/>
          <w:sz w:val="16"/>
          <w:szCs w:val="16"/>
          <w:color w:val="auto"/>
        </w:rPr>
      </w:pPr>
    </w:p>
    <w:p>
      <w:pPr>
        <w:ind w:left="1960" w:hanging="656"/>
        <w:spacing w:after="0" w:line="277" w:lineRule="auto"/>
        <w:tabs>
          <w:tab w:leader="none" w:pos="19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all books and records relating to the foregoing (including without limitation all books, databases, customer lists and records, whether tangible or electronic which contain any information relating to any of the foregoing);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0" w:name="page421"/>
    <w:bookmarkEnd w:id="420"/>
    <w:p>
      <w:pPr>
        <w:jc w:val="both"/>
        <w:ind w:left="1960" w:hanging="656"/>
        <w:spacing w:after="0" w:line="263" w:lineRule="auto"/>
        <w:tabs>
          <w:tab w:leader="none" w:pos="19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all Proceeds of and Supporting Obligations, including, without limitation, Letter of Credit Rights, with respect to any of the foregoing and all collateral security and guarantees given by any Person in favor of any Loan Party with respect to any of the foregoing.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Guarantee</w:t>
      </w:r>
      <w:r>
        <w:rPr>
          <w:rFonts w:ascii="Arial" w:cs="Arial" w:eastAsia="Arial" w:hAnsi="Arial"/>
          <w:sz w:val="18"/>
          <w:szCs w:val="18"/>
          <w:color w:val="auto"/>
        </w:rPr>
        <w:t>” means any guarantee by any Loan Party of any or all of the ABL Obligations.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Intercreditor Agreement</w:t>
      </w:r>
      <w:r>
        <w:rPr>
          <w:rFonts w:ascii="Arial" w:cs="Arial" w:eastAsia="Arial" w:hAnsi="Arial"/>
          <w:sz w:val="18"/>
          <w:szCs w:val="18"/>
          <w:color w:val="auto"/>
        </w:rPr>
        <w:t>” means an intercreditor (or similar) agreement among the Existing ABL Representative, certain Loan Parties party thereto and any representative and/or agent in respect of any Additional ABL Agreement, as such agreement is amended, supplemented or otherwise modified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Lien</w:t>
      </w:r>
      <w:r>
        <w:rPr>
          <w:rFonts w:ascii="Arial" w:cs="Arial" w:eastAsia="Arial" w:hAnsi="Arial"/>
          <w:sz w:val="18"/>
          <w:szCs w:val="18"/>
          <w:color w:val="auto"/>
        </w:rPr>
        <w:t>” means any Lien created by the ABL Security Documents.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Obligations</w:t>
      </w:r>
      <w:r>
        <w:rPr>
          <w:rFonts w:ascii="Arial" w:cs="Arial" w:eastAsia="Arial" w:hAnsi="Arial"/>
          <w:sz w:val="17"/>
          <w:szCs w:val="17"/>
          <w:color w:val="auto"/>
        </w:rPr>
        <w:t>” means (a) all principal of and interest (including without limitation any Post-Petition Interest) and premium (if any) on all loans made pursuant to any ABL Agreement or any ABL DIP Financing by the ABL Creditors, (b) all reimbursement obligations (if any) and interest thereon (including without limitation any Post-Petition Interest) with respect to any letter of credit or similar instruments issued pursuant to the ABL Agreement, (c) all Swap Obligations, (d) all Banking Services Obligations and (e) all guarantee obligations, indemnities, fees, expenses and other amounts payable by the Loan Parties from time to time pursuant to the ABL Documents, in each case whether or not allowed or allowable in an Insolvency Proceeding. To the extent any payment with respect to any ABL Obligation (whether by or on behalf of any Loan Party, as Proceeds of security, enforcement of any right of setoff or otherwise, including pursuant to any settlement entered into by an ABL Secured Party or a Fixed Asset Secured Party in its discretion) is declared to be a fraudulent conveyance or a preference in any respect, set aside or required to be paid to a debtor in possession, any Fixed Asset Secured Party, receiver or similar Person, then the obligation or part thereof originally intended to be satisfied shall, for the purposes of this Agreement and the rights and obligations of the ABL Secured Parties and the Fixed Asset Secured Parties, be deemed to be reinstated and outstanding as if such payment had not occurred.</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Obligations Payment Date</w:t>
      </w:r>
      <w:r>
        <w:rPr>
          <w:rFonts w:ascii="Arial" w:cs="Arial" w:eastAsia="Arial" w:hAnsi="Arial"/>
          <w:sz w:val="16"/>
          <w:szCs w:val="16"/>
          <w:color w:val="auto"/>
        </w:rPr>
        <w:t>” means the first date on which (a) all of the ABL Obligations (other than those that constitute Unasserted Contingent Obligations) have been indefeasibly paid in cash in full (or cash collateralized or defeased in accordance with the terms of the ABL Documents), (b) all commitments to extend credit under the ABL Documents have been terminated, (c) there are no outstanding letters of credit or similar instruments issued under the ABL Documents (other than such as have been cash collateralized or defeased in accordance with the terms of the ABL Documents), and (d) so long as the Fixed Asset Obligations Payment Date shall not have occurred, the ABL Representative has delivered a written notice to the Collateral Trustee stating that the events described in clauses (a), (b) and (c) have occurred to the satisfaction of the ABL Secured Parties.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Post-Petition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Representative</w:t>
      </w:r>
      <w:r>
        <w:rPr>
          <w:rFonts w:ascii="Arial" w:cs="Arial" w:eastAsia="Arial" w:hAnsi="Arial"/>
          <w:sz w:val="18"/>
          <w:szCs w:val="18"/>
          <w:color w:val="auto"/>
        </w:rPr>
        <w:t>” means, (a) in the case of the Existing ABL Agreement, the Existing ABL Representative and (b) in the case of any Additional ABL Agreement or any Replacement ABL Agreement, the ABL Representative shall be the Person identified as such in such Agreement and in the applicable Joinder Agreement, together with its successors in such capacity.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1" w:name="page422"/>
    <w:bookmarkEnd w:id="4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Secured Parties</w:t>
      </w:r>
      <w:r>
        <w:rPr>
          <w:rFonts w:ascii="Arial" w:cs="Arial" w:eastAsia="Arial" w:hAnsi="Arial"/>
          <w:sz w:val="18"/>
          <w:szCs w:val="18"/>
          <w:color w:val="auto"/>
        </w:rPr>
        <w:t>” means the ABL Representative, the ABL Creditors and any other holders of the ABL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Security Documents</w:t>
      </w:r>
      <w:r>
        <w:rPr>
          <w:rFonts w:ascii="Arial" w:cs="Arial" w:eastAsia="Arial" w:hAnsi="Arial"/>
          <w:sz w:val="18"/>
          <w:szCs w:val="18"/>
          <w:color w:val="auto"/>
        </w:rPr>
        <w:t>” means the “Collateral Documents” (or similar term) as defined in any ABL Agreement, and any other documents that are designated under any ABL Agreement as “ABL Security Documents” for purposes of this Agreement.</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Access Period</w:t>
      </w:r>
      <w:r>
        <w:rPr>
          <w:rFonts w:ascii="Arial" w:cs="Arial" w:eastAsia="Arial" w:hAnsi="Arial"/>
          <w:sz w:val="16"/>
          <w:szCs w:val="16"/>
          <w:color w:val="auto"/>
        </w:rPr>
        <w:t xml:space="preserve">” means, with respect to each parcel or item of Fixed Asset Priority Collateral, the period, following the commencement of any Enforcement Action, which begins on the earlier of (a) the day on which the Designated ABL Representative provides the Collateral Trustee with the notice of its election to obtain access to such parcel or item of Fixed Asset Priority Collateral pursuant to </w:t>
      </w:r>
      <w:r>
        <w:rPr>
          <w:rFonts w:ascii="Arial" w:cs="Arial" w:eastAsia="Arial" w:hAnsi="Arial"/>
          <w:sz w:val="16"/>
          <w:szCs w:val="16"/>
          <w:u w:val="single" w:color="auto"/>
          <w:color w:val="auto"/>
        </w:rPr>
        <w:t>Section 3.4(c)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fifth Business Day after the Collateral Trustee provides the Designated ABL Representative with notice that the Collateral Trustee (or its agent) has obtained possession or control of such parcel or item of Fixed Asset Priority Collateral and ends on the earliest of (i) the day which is 180 days after the date (the “</w:t>
      </w:r>
      <w:r>
        <w:rPr>
          <w:rFonts w:ascii="Arial" w:cs="Arial" w:eastAsia="Arial" w:hAnsi="Arial"/>
          <w:sz w:val="16"/>
          <w:szCs w:val="16"/>
          <w:u w:val="single" w:color="auto"/>
          <w:color w:val="auto"/>
        </w:rPr>
        <w:t>Initial Access Date</w:t>
      </w:r>
      <w:r>
        <w:rPr>
          <w:rFonts w:ascii="Arial" w:cs="Arial" w:eastAsia="Arial" w:hAnsi="Arial"/>
          <w:sz w:val="16"/>
          <w:szCs w:val="16"/>
          <w:color w:val="auto"/>
        </w:rPr>
        <w:t>”) on which the Designated ABL Representative initially obtains the ability to take physical possession of, remove or otherwise control physical access to, or actually uses, such parcel or item of Fixed Asset Priority Collateral plus such number of days, if any, after the Initial Access Date that it is stayed or otherwise prohibited by law or court order from exercising remedies with respect to associated ABL Priority Collateral, (ii) the date on which all or substantially all of the ABL Priority Collateral associated with such parcel or item of Fixed Asset Priority Collateral is sold, collected or liquidated, (iii) the ABL Obligations Payment Date and (iv) the date on which the default which resulted in such Enforcement Action has been cured or waived in writing.</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ABL Agreement</w:t>
      </w:r>
      <w:r>
        <w:rPr>
          <w:rFonts w:ascii="Arial" w:cs="Arial" w:eastAsia="Arial" w:hAnsi="Arial"/>
          <w:sz w:val="18"/>
          <w:szCs w:val="18"/>
          <w:color w:val="auto"/>
        </w:rPr>
        <w:t xml:space="preserve">” means any agreement for the incurrence of additional indebtedness that is (a) secured by the ABL Priority Collateral on a basis senior to the Fixed Asset Obligations, (b) is permitted to be so secured by the Existing ABL Agreement and the Fixed Asset Documents, (c) has been designated by the Company as an Additional ABL Agreement in accordance with </w:t>
      </w:r>
      <w:r>
        <w:rPr>
          <w:rFonts w:ascii="Arial" w:cs="Arial" w:eastAsia="Arial" w:hAnsi="Arial"/>
          <w:sz w:val="18"/>
          <w:szCs w:val="18"/>
          <w:u w:val="single" w:color="auto"/>
          <w:color w:val="auto"/>
        </w:rPr>
        <w:t>Section 10.5(c)</w:t>
      </w:r>
      <w:r>
        <w:rPr>
          <w:rFonts w:ascii="Arial" w:cs="Arial" w:eastAsia="Arial" w:hAnsi="Arial"/>
          <w:sz w:val="18"/>
          <w:szCs w:val="18"/>
          <w:color w:val="auto"/>
        </w:rPr>
        <w:t xml:space="preserve"> hereof and (d) such designation has been approved by the Existing ABL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Fixed Asset Debt</w:t>
      </w:r>
      <w:r>
        <w:rPr>
          <w:rFonts w:ascii="Arial" w:cs="Arial" w:eastAsia="Arial" w:hAnsi="Arial"/>
          <w:sz w:val="18"/>
          <w:szCs w:val="18"/>
          <w:color w:val="auto"/>
        </w:rPr>
        <w:t>” has the meaning given to the term Additional Permitted Notes Debt in the Collateral Trust Agreement; provided, however, that such Additional Fixed Asset Debt was permitted to be incurred by the ABL Agreement at the time such obligations are designated as Additional Fixed Asset Debt in accordance with the Collateral Trust Agreement.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 Obligations</w:t>
      </w:r>
      <w:r>
        <w:rPr>
          <w:rFonts w:ascii="Arial" w:cs="Arial" w:eastAsia="Arial" w:hAnsi="Arial"/>
          <w:sz w:val="17"/>
          <w:szCs w:val="17"/>
          <w:color w:val="auto"/>
        </w:rPr>
        <w:t xml:space="preserve">” means all obligations of the Company and its subsidiaries owed to any ABL Secured Party (or any of its affiliates) in respect of treasury management services (including, without limitation, controlled disbursement, automated clearinghouse transactions, return items, overdrafts and interstate depository network services), credit card services, stored valued card services, merchant processing services, other cash management services, equipment leasing and equipment 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“Banking Services Obligations” shall include, without limitation, all “Banking Services Obligations” (as defined in the Existing ABL Agreement as in effect on the date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2" w:name="page423"/>
    <w:bookmarkEnd w:id="4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(11 U.S.C. §101 et seq.).</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has the meaning set forth in the first WHEREAS clause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commercial banks in New York City are authorized or required by law to remain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collectively, all property upon which a Lien is granted pursuant to the Security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first WHEREAS clause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Security Document</w:t>
      </w:r>
      <w:r>
        <w:rPr>
          <w:rFonts w:ascii="Arial" w:cs="Arial" w:eastAsia="Arial" w:hAnsi="Arial"/>
          <w:sz w:val="18"/>
          <w:szCs w:val="18"/>
          <w:color w:val="auto"/>
        </w:rPr>
        <w:t>” means, in relation to any Senior Collateral subject to any Senior Security Document, that Junior Security Document (if any) that creates a security interest in the same Senior Collateral, granted by the same Loan Party, as applicable.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Trust Agreement</w:t>
      </w:r>
      <w:r>
        <w:rPr>
          <w:rFonts w:ascii="Arial" w:cs="Arial" w:eastAsia="Arial" w:hAnsi="Arial"/>
          <w:sz w:val="18"/>
          <w:szCs w:val="18"/>
          <w:color w:val="auto"/>
        </w:rPr>
        <w:t>” means the Collateral Trust Agreement, dated as of the date hereof, among the Collateral Trustee, each Loan Party and other Permitted Collateral Trustee (as defined therein) from time to time party thereto, as it may be amended, modified, supplemented or restated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Trustee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with respect to any Person, all of such Person’s right, title, and interest in and to the following: (a) all copyrights, rights and interests in copyrights, works protectable by copyright,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Card Issuer</w:t>
      </w:r>
      <w:r>
        <w:rPr>
          <w:rFonts w:ascii="Arial" w:cs="Arial" w:eastAsia="Arial" w:hAnsi="Arial"/>
          <w:sz w:val="17"/>
          <w:szCs w:val="17"/>
          <w:color w:val="auto"/>
        </w:rPr>
        <w:t>” shall mean any Person who issues or whose members issue credit cards, including, without limitation, MasterCard or VISA bank credit or debit cards or other bank credit or debit cards issued through MasterCard International, Inc., Visa, U.S.A., Inc. or Visa International and American Express, Discover, Diners Club, Carte Blanche and other non-bank credit or debit cards, including, without limitation, credit or debit cards issued by or through American Express Travel Related Services Company, Inc., and Novus Services, Inc.</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Card Processor</w:t>
      </w:r>
      <w:r>
        <w:rPr>
          <w:rFonts w:ascii="Arial" w:cs="Arial" w:eastAsia="Arial" w:hAnsi="Arial"/>
          <w:sz w:val="18"/>
          <w:szCs w:val="18"/>
          <w:color w:val="auto"/>
        </w:rPr>
        <w:t>” shall mean any servicing or processing agent or any factor or financial intermediary who facilitates, services, processes or manages the credit authorization, billing transfer and/or payment procedures with respect to any Loan Party’s sales transactions involving credit card or debit card purchases by customers using credit cards or debit cards issued by any Credit Card Issuer.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3" w:name="page424"/>
    <w:bookmarkEnd w:id="42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Card Receivable”</w:t>
      </w:r>
      <w:r>
        <w:rPr>
          <w:rFonts w:ascii="Arial" w:cs="Arial" w:eastAsia="Arial" w:hAnsi="Arial"/>
          <w:sz w:val="18"/>
          <w:szCs w:val="18"/>
          <w:color w:val="auto"/>
        </w:rPr>
        <w:t xml:space="preserve"> means each Payment Intangible, together with all income, payments and proceeds thereof, owed by a Credit Card Issuer or Credit Card Processor to a Loan Party resulting from charges by a customer of a Loan Party on credit or debit cards issued by such Credit Card Issuer in connection with the sale of Inventory by a Loan Party, or services performed by a Loan Party.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Document</w:t>
      </w:r>
      <w:r>
        <w:rPr>
          <w:rFonts w:ascii="Arial" w:cs="Arial" w:eastAsia="Arial" w:hAnsi="Arial"/>
          <w:sz w:val="18"/>
          <w:szCs w:val="18"/>
          <w:color w:val="auto"/>
        </w:rPr>
        <w:t>” means, collectively, the ABL Documents and the Fixed Asset Documents.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ABL Representative</w:t>
      </w:r>
      <w:r>
        <w:rPr>
          <w:rFonts w:ascii="Arial" w:cs="Arial" w:eastAsia="Arial" w:hAnsi="Arial"/>
          <w:sz w:val="18"/>
          <w:szCs w:val="18"/>
          <w:color w:val="auto"/>
        </w:rPr>
        <w:t>” means (a) if at any time there is only one Series of ABL Obligations outstanding, the ABL Representative for such Series and (b) if clause (a) does not apply, the “Applicable Collateral Agent” (or similar term) as defined in the ABL Intercreditor Agreement at such time. As of the date hereof, the Designated ABL Representative is the Existing ABL Representative.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Senior Representative</w:t>
      </w:r>
      <w:r>
        <w:rPr>
          <w:rFonts w:ascii="Arial" w:cs="Arial" w:eastAsia="Arial" w:hAnsi="Arial"/>
          <w:sz w:val="18"/>
          <w:szCs w:val="18"/>
          <w:color w:val="auto"/>
        </w:rPr>
        <w:t>” means (a) with respect to any ABL Priority Collateral, the Designated ABL Representative and (b) with respect to any Fixed Asset Priority Collateral, the Collateral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Enforcement Action</w:t>
      </w:r>
      <w:r>
        <w:rPr>
          <w:rFonts w:ascii="Arial" w:cs="Arial" w:eastAsia="Arial" w:hAnsi="Arial"/>
          <w:sz w:val="17"/>
          <w:szCs w:val="17"/>
          <w:color w:val="auto"/>
        </w:rPr>
        <w:t>” means, with respect to the ABL Obligations or the Fixed Asset Obligations, the exercise of any rights and remedies with respect to any Collateral securing such obligations or the commencement or prosecution of enforcement of any of the rights and remedies with respect to any Collateral under, as applicable, the ABL Documents or the Fixed Asset Documents, or applicable law, including without limitation the exercise of any rights of set-off or recoupment, and the exercise of any rights or remedies of a secured creditor under the Uniform Commercial Code of any applicable jurisdiction or under the Bankruptcy Code, with the understanding that the commencement and continuation of a Cash Dominion Period (as defined in the ABL Security Documents) by itself shall not constitute an Enforcement Action.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ABL Agreement</w:t>
      </w:r>
      <w:r>
        <w:rPr>
          <w:rFonts w:ascii="Arial" w:cs="Arial" w:eastAsia="Arial" w:hAnsi="Arial"/>
          <w:sz w:val="18"/>
          <w:szCs w:val="18"/>
          <w:color w:val="auto"/>
        </w:rPr>
        <w:t>” has the meaning set forth in the first WHEREAS clause of this Agreement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ABL Representative</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Asset Representative</w:t>
      </w:r>
      <w:r>
        <w:rPr>
          <w:rFonts w:ascii="Arial" w:cs="Arial" w:eastAsia="Arial" w:hAnsi="Arial"/>
          <w:sz w:val="18"/>
          <w:szCs w:val="18"/>
          <w:color w:val="auto"/>
        </w:rPr>
        <w:t>” means the Collateral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Asset Documents</w:t>
      </w:r>
      <w:r>
        <w:rPr>
          <w:rFonts w:ascii="Arial" w:cs="Arial" w:eastAsia="Arial" w:hAnsi="Arial"/>
          <w:sz w:val="18"/>
          <w:szCs w:val="18"/>
          <w:color w:val="auto"/>
        </w:rPr>
        <w:t>” means the Priority Lien Documents and the Parity Lien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Asset DIP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Asset Lien</w:t>
      </w:r>
      <w:r>
        <w:rPr>
          <w:rFonts w:ascii="Arial" w:cs="Arial" w:eastAsia="Arial" w:hAnsi="Arial"/>
          <w:sz w:val="18"/>
          <w:szCs w:val="18"/>
          <w:color w:val="auto"/>
        </w:rPr>
        <w:t>” means any Lien created by the Fixed Asset Security Documents.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4" w:name="page425"/>
    <w:bookmarkEnd w:id="424"/>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Asset Obligations</w:t>
      </w:r>
      <w:r>
        <w:rPr>
          <w:rFonts w:ascii="Arial" w:cs="Arial" w:eastAsia="Arial" w:hAnsi="Arial"/>
          <w:sz w:val="16"/>
          <w:szCs w:val="16"/>
          <w:color w:val="auto"/>
        </w:rPr>
        <w:t>” means Priority Lien Notes Obligations and all Parity Lien Notes Obligations (in each case as defined in the Collateral Trust Agreement); provided that in the case of any Additional Fixed Asset Debt such Additional Fixed Asset Debt was permitted to be incurred by the ABL Agreement at the time such obligations are designated as Additional Fixed Asset Debt in accordance with the Collateral Trust Agreement.</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Asset Obligations Payment Date</w:t>
      </w:r>
      <w:r>
        <w:rPr>
          <w:rFonts w:ascii="Arial" w:cs="Arial" w:eastAsia="Arial" w:hAnsi="Arial"/>
          <w:sz w:val="18"/>
          <w:szCs w:val="18"/>
          <w:color w:val="auto"/>
        </w:rPr>
        <w:t>” means the first date on which (a) all Fixed Asset Obligations (other than those that constitute Unasserted Contingent Obligations) have been indefeasibly paid in cash in full, (b) all commitments to extend credit under the Fixed Asset Documents have been terminated, and (c) so long as the ABL Obligations Payment Date shall not have occurred, the Fixed Asset Representative has delivered a written notice to the Designated ABL Representative stating that the events described in clauses (a) and (b) have occurred to the satisfaction of the Fixed Asset Secured Parties.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Asset Post-Petition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Asset Priority Collateral</w:t>
      </w:r>
      <w:r>
        <w:rPr>
          <w:rFonts w:ascii="Arial" w:cs="Arial" w:eastAsia="Arial" w:hAnsi="Arial"/>
          <w:sz w:val="16"/>
          <w:szCs w:val="16"/>
          <w:color w:val="auto"/>
        </w:rPr>
        <w:t xml:space="preserve">” means all Collateral (other than the ABL Priority Collateral) and all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“Fixed Asset Priority Collateral” shall not include Proceeds from the disposition of any Fixed Asset Priority Collateral that otherwise constitute ABL Priority Collateral (such as, but not limited to, cash proceeds) to the extent such Proceeds are not required to be applied to the mandatory prepayment of the Fixed Asset Obligations pursuant to the Fixed Asset Documents, unless such Proceeds either (x) arise from a disposition of Fixed Asset Priority Collateral resulting from an Enforcement Action taken by the Fixed Asset Secured Parties permitted by this Agreement or (y) are deposited in a segregated cash collateral account with the Fixed Asset Representative (in its capacity as Fixed Asset Representative under the Fixed Asset Documents) to the extent required by the Fixed Asset Documents. If such Proceeds are required to be applied to the mandatory prepayment of the Fixed Asset Obligations or arise from a disposition of Fixed Asset Priority Collateral resulting from an Enforcement Action, such Proceeds shall not be included in the ABL Priority Collateral (notwithstanding anything in the definition thereof to the contrary, including anything in the definition of Accounts to the contrary, but subject to Section 4.1) and shall be Fixed Asset Priority Collateral, but otherwise such Proceeds will constitute ABL Priority Collateral.</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Asset Secured Parties</w:t>
      </w:r>
      <w:r>
        <w:rPr>
          <w:rFonts w:ascii="Arial" w:cs="Arial" w:eastAsia="Arial" w:hAnsi="Arial"/>
          <w:sz w:val="18"/>
          <w:szCs w:val="18"/>
          <w:color w:val="auto"/>
        </w:rPr>
        <w:t>” means the Permitted Notes Secured Parties (as defined in the Collateral Trust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Asset Security Documents</w:t>
      </w:r>
      <w:r>
        <w:rPr>
          <w:rFonts w:ascii="Arial" w:cs="Arial" w:eastAsia="Arial" w:hAnsi="Arial"/>
          <w:sz w:val="18"/>
          <w:szCs w:val="18"/>
          <w:color w:val="auto"/>
        </w:rPr>
        <w:t>” means the Priority Lien Collateral Documents and the Parity Lien Collateral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 Design</w:t>
      </w:r>
      <w:r>
        <w:rPr>
          <w:rFonts w:ascii="Arial" w:cs="Arial" w:eastAsia="Arial" w:hAnsi="Arial"/>
          <w:sz w:val="18"/>
          <w:szCs w:val="18"/>
          <w:color w:val="auto"/>
        </w:rPr>
        <w:t>” has the meaning set forth in the first WHEREAS clause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Access Date</w:t>
      </w:r>
      <w:r>
        <w:rPr>
          <w:rFonts w:ascii="Arial" w:cs="Arial" w:eastAsia="Arial" w:hAnsi="Arial"/>
          <w:sz w:val="18"/>
          <w:szCs w:val="18"/>
          <w:color w:val="auto"/>
        </w:rPr>
        <w:t>” has the meaning set forth in the definition of “Access Period”.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any proceeding in respect of bankruptcy, insolvency, winding up, receivership, dissolution or assignment for the benefit of creditors, in each of the foregoing events whether under the Bankruptcy Code or any similar federal, state or foreign bankruptcy, insolvency, reorganization, receivership or similar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5" w:name="page426"/>
    <w:bookmarkEnd w:id="425"/>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the collective reference to all rights, priorities and privileges relating to intellectual property, whether arising under United States, multinational or foreign laws or otherwise, including, without limitation, the Copyrights, the Patents, the Trademarks, the Trade Secrets and the Licenses, and all rights to sue at law or in equity for any infringement thereof, including the right to receive all proceeds and damages therefrom.</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in the case of any additional Loan Party becoming a party hereto pursuant to Section 10.15, a joinder agreement substantially in the form of Annex I, and (b) in the case of any ABL Representative described in clause (b) of the definition thereof such ABL Representative becoming a party hereto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 a joinder agreement substantially in the form of Annex II.</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Collateral</w:t>
      </w:r>
      <w:r>
        <w:rPr>
          <w:rFonts w:ascii="Arial" w:cs="Arial" w:eastAsia="Arial" w:hAnsi="Arial"/>
          <w:sz w:val="18"/>
          <w:szCs w:val="18"/>
          <w:color w:val="auto"/>
        </w:rPr>
        <w:t>” means, with respect to any Junior Secured Party, any Collateral on which it has a Junior Lien.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Documents</w:t>
      </w:r>
      <w:r>
        <w:rPr>
          <w:rFonts w:ascii="Arial" w:cs="Arial" w:eastAsia="Arial" w:hAnsi="Arial"/>
          <w:sz w:val="18"/>
          <w:szCs w:val="18"/>
          <w:color w:val="auto"/>
        </w:rPr>
        <w:t>” means, collectively, with respect to any Junior Obligations, any provision pertaining to such Junior Obligation in any Debt Document or any other document, instrument or certificate evidencing or delivered in connection with such Junior Obligation.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Liens</w:t>
      </w:r>
      <w:r>
        <w:rPr>
          <w:rFonts w:ascii="Arial" w:cs="Arial" w:eastAsia="Arial" w:hAnsi="Arial"/>
          <w:sz w:val="18"/>
          <w:szCs w:val="18"/>
          <w:color w:val="auto"/>
        </w:rPr>
        <w:t>” means (a) with respect to any ABL Priority Collateral, all Liens securing the Fixed Asset Obligations and (b) with respect to any Fixed Asset Priority Collateral, all Liens securing the ABL Obligations.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Obligations</w:t>
      </w:r>
      <w:r>
        <w:rPr>
          <w:rFonts w:ascii="Arial" w:cs="Arial" w:eastAsia="Arial" w:hAnsi="Arial"/>
          <w:sz w:val="18"/>
          <w:szCs w:val="18"/>
          <w:color w:val="auto"/>
        </w:rPr>
        <w:t>” means (a) with respect to any ABL Priority Collateral, all Fixed Asset Obligations and (b) with respect to any Fixed Asset Priority Collateral, all ABL Obligations.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Representative</w:t>
      </w:r>
      <w:r>
        <w:rPr>
          <w:rFonts w:ascii="Arial" w:cs="Arial" w:eastAsia="Arial" w:hAnsi="Arial"/>
          <w:sz w:val="18"/>
          <w:szCs w:val="18"/>
          <w:color w:val="auto"/>
        </w:rPr>
        <w:t>” means (a) with respect to any ABL Obligations or any ABL Priority Collateral, the Fixed Asset Representative and (b) with respect to any Fixed Asset Obligations or any Fixed Asset Priority Collateral, the ABL Representative.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Secured Parties</w:t>
      </w:r>
      <w:r>
        <w:rPr>
          <w:rFonts w:ascii="Arial" w:cs="Arial" w:eastAsia="Arial" w:hAnsi="Arial"/>
          <w:sz w:val="18"/>
          <w:szCs w:val="18"/>
          <w:color w:val="auto"/>
        </w:rPr>
        <w:t>” means (a) with respect to the ABL Priority Collateral, all Fixed Asset Secured Parties and (b) with respect to the Fixed Asset Priority Collateral, all ABL Secured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Security Documents</w:t>
      </w:r>
      <w:r>
        <w:rPr>
          <w:rFonts w:ascii="Arial" w:cs="Arial" w:eastAsia="Arial" w:hAnsi="Arial"/>
          <w:sz w:val="17"/>
          <w:szCs w:val="17"/>
          <w:color w:val="auto"/>
        </w:rPr>
        <w:t>” means, with respect to any Junior Secured Party, the Security Documents that secure the Junior Obligations.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means, with respect to any Person, all of such Person’s right, title, and interest in and to (a) any and all licensing agreements or similar arrangements in and to its Patents, Copyrights, Trademarks or Trade Secrets,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deed to secure debt, lien, pledge, hypothecation, assignment, assignation, debenture,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6" w:name="page427"/>
    <w:bookmarkEnd w:id="42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 Priority</w:t>
      </w:r>
      <w:r>
        <w:rPr>
          <w:rFonts w:ascii="Arial" w:cs="Arial" w:eastAsia="Arial" w:hAnsi="Arial"/>
          <w:sz w:val="18"/>
          <w:szCs w:val="18"/>
          <w:color w:val="auto"/>
        </w:rPr>
        <w:t xml:space="preserve">” means with respect to any Lien of the ABL Representative or Fixed Asset Representative in the Collateral, the order of priority of such Lien specified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the Borrowers and each direct or indirect affiliate or shareholder (or equivalent) of the Borrowers or any of their affiliates that are now or hereafter become a party to any ABL Document or any Fixed Asset Document, in each case as a direct obligor or guarantor of the ABL Obligations or Fixed Asset Obligations, as applicable. All references in this Agreement to any Loan Party shall include such Loan Party as a debtor-in-possession and any receiver or trustee for such Loan Party in any Insolvency Proceeding.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Newmar</w:t>
      </w:r>
      <w:r>
        <w:rPr>
          <w:rFonts w:ascii="Arial" w:cs="Arial" w:eastAsia="Arial" w:hAnsi="Arial"/>
          <w:sz w:val="18"/>
          <w:szCs w:val="18"/>
          <w:color w:val="auto"/>
        </w:rPr>
        <w:t>” has the meaning set forth in the first WHEREAS clause to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Indenture</w:t>
      </w:r>
      <w:r>
        <w:rPr>
          <w:rFonts w:ascii="Arial" w:cs="Arial" w:eastAsia="Arial" w:hAnsi="Arial"/>
          <w:sz w:val="18"/>
          <w:szCs w:val="18"/>
          <w:color w:val="auto"/>
        </w:rPr>
        <w:t>” means that certain Indenture dated as of the date hereof among the Company, the Guarantors (as defined therein) and the Collateral Trustee, as such agreement may be amended, restated, amended and restated, supplemented, or otherwise modified, renewed, refunded, replaced or refinanced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with respect to any Person, all of such Person’s right, title, and interest in and to: (a) any and all patents and patent applications;</w:t>
      </w:r>
    </w:p>
    <w:p>
      <w:pPr>
        <w:spacing w:after="0" w:line="46" w:lineRule="exact"/>
        <w:rPr>
          <w:sz w:val="20"/>
          <w:szCs w:val="20"/>
          <w:color w:val="auto"/>
        </w:rPr>
      </w:pPr>
    </w:p>
    <w:p>
      <w:pPr>
        <w:jc w:val="both"/>
        <w:ind w:firstLine="8"/>
        <w:spacing w:after="0" w:line="281" w:lineRule="auto"/>
        <w:tabs>
          <w:tab w:leader="none" w:pos="255" w:val="left"/>
        </w:tabs>
        <w:numPr>
          <w:ilvl w:val="0"/>
          <w:numId w:val="551"/>
        </w:numPr>
        <w:rPr>
          <w:rFonts w:ascii="Arial" w:cs="Arial" w:eastAsia="Arial" w:hAnsi="Arial"/>
          <w:sz w:val="16"/>
          <w:szCs w:val="16"/>
          <w:color w:val="auto"/>
        </w:rPr>
      </w:pPr>
      <w:r>
        <w:rPr>
          <w:rFonts w:ascii="Arial" w:cs="Arial" w:eastAsia="Arial" w:hAnsi="Arial"/>
          <w:sz w:val="16"/>
          <w:szCs w:val="16"/>
          <w:color w:val="auto"/>
        </w:rPr>
        <w:t>all inventions and improvements described and claimed therein; (c) all reissues, divisions, continuations, renewals,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all rights corresponding to any of the foregoing throughout the world.</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person, individual, sole proprietorship, partnership, joint venture, corporation, limited liability company, unincorporated organization, association, institution, entity or party, including any government and any political subdivision, agency or instrumentality thereof.</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Post-Petition Interest</w:t>
      </w:r>
      <w:r>
        <w:rPr>
          <w:rFonts w:ascii="Arial" w:cs="Arial" w:eastAsia="Arial" w:hAnsi="Arial"/>
          <w:sz w:val="18"/>
          <w:szCs w:val="18"/>
          <w:color w:val="auto"/>
        </w:rPr>
        <w:t>” means any interest or entitlement to fees or expenses or other charges that accrues after the commencement of any Insolvency Proceeding (or would accrue but for the commencement of an Insolvency Proceeding), whether or not allowed or allowable in any such Insolvency Proceeding.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Collateral</w:t>
      </w:r>
      <w:r>
        <w:rPr>
          <w:rFonts w:ascii="Arial" w:cs="Arial" w:eastAsia="Arial" w:hAnsi="Arial"/>
          <w:sz w:val="18"/>
          <w:szCs w:val="18"/>
          <w:color w:val="auto"/>
        </w:rPr>
        <w:t>” means the ABL Priority Collateral or the Fixed Asset Priority Collateral.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means (a) all “proceeds,” as defined in Article 9 of the Uniform Commercial Code, with respect to the Collateral, and (b) whatever is recoverable or recovered when any Collateral is sold, exchanged, collected, or disposed of, whether voluntarily or involuntarily, including, without limitation, all proceeds of any insurance policy covering the Collateral and all tax refunds received in respect of Collateral.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7" w:name="page428"/>
    <w:bookmarkEnd w:id="427"/>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any right, title or interest in and to real property, including any fee interest, leasehold interest, easement, or license and any other right to use or occupy real property, including any right arising by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ABL Agreement</w:t>
      </w:r>
      <w:r>
        <w:rPr>
          <w:rFonts w:ascii="Arial" w:cs="Arial" w:eastAsia="Arial" w:hAnsi="Arial"/>
          <w:sz w:val="18"/>
          <w:szCs w:val="18"/>
          <w:color w:val="auto"/>
        </w:rPr>
        <w:t>” has the meaning set forth in the definition of “ABL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the ABL Obligations and the Fixed Asset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ABL Secured Parties and the Fixed Asset Secured Parties.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ABL Security Documents and the Fixed Asset Security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Collateral</w:t>
      </w:r>
      <w:r>
        <w:rPr>
          <w:rFonts w:ascii="Arial" w:cs="Arial" w:eastAsia="Arial" w:hAnsi="Arial"/>
          <w:sz w:val="18"/>
          <w:szCs w:val="18"/>
          <w:color w:val="auto"/>
        </w:rPr>
        <w:t>” means with respect to any Senior Secured Party, any Collateral on which it has a Senior Lien.</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Documents</w:t>
      </w:r>
      <w:r>
        <w:rPr>
          <w:rFonts w:ascii="Arial" w:cs="Arial" w:eastAsia="Arial" w:hAnsi="Arial"/>
          <w:sz w:val="17"/>
          <w:szCs w:val="17"/>
          <w:color w:val="auto"/>
        </w:rPr>
        <w:t>” means, collectively, with respect to any Senior Obligation, any provision pertaining to such Senior Obligation in any Fixed Asset Document or any other document, instrument or certificate evidencing or delivered in connection with such Senior Obligation.</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Liens</w:t>
      </w:r>
      <w:r>
        <w:rPr>
          <w:rFonts w:ascii="Arial" w:cs="Arial" w:eastAsia="Arial" w:hAnsi="Arial"/>
          <w:sz w:val="18"/>
          <w:szCs w:val="18"/>
          <w:color w:val="auto"/>
        </w:rPr>
        <w:t>” means (a) with respect to the ABL Priority Collateral, all Liens securing the ABL Obligations and (b) with respect to the Fixed Asset Priority Collateral, all Liens securing the Fixed Asset Obligations.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w:t>
      </w:r>
      <w:r>
        <w:rPr>
          <w:rFonts w:ascii="Arial" w:cs="Arial" w:eastAsia="Arial" w:hAnsi="Arial"/>
          <w:sz w:val="18"/>
          <w:szCs w:val="18"/>
          <w:color w:val="auto"/>
        </w:rPr>
        <w:t>” means (a) with respect to any ABL Priority Collateral, all ABL Obligations and (b) with respect to any Fixed Asset Priority Collateral, all Fixed Asset Obligations.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 Payment Date</w:t>
      </w:r>
      <w:r>
        <w:rPr>
          <w:rFonts w:ascii="Arial" w:cs="Arial" w:eastAsia="Arial" w:hAnsi="Arial"/>
          <w:sz w:val="18"/>
          <w:szCs w:val="18"/>
          <w:color w:val="auto"/>
        </w:rPr>
        <w:t>” means (a) with respect to any ABL Obligations, the ABL Obligations Payment Date and (b) with respect to any Fixed Asset Obligations, the Fixed Asset Obligations Payment Date.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means (a) with respect to any ABL Priority Collateral, the ABL Representative and (b) with respect to any Fixed Asset Priority Collateral, the Fixed Asset Representative.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Parties</w:t>
      </w:r>
      <w:r>
        <w:rPr>
          <w:rFonts w:ascii="Arial" w:cs="Arial" w:eastAsia="Arial" w:hAnsi="Arial"/>
          <w:sz w:val="18"/>
          <w:szCs w:val="18"/>
          <w:color w:val="auto"/>
        </w:rPr>
        <w:t>” means (a) with respect to the ABL Priority Collateral, all ABL Secured Parties and (b) with respect to the Fixed Asset Priority Collateral, all Fixed Asset Secured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Security Documents</w:t>
      </w:r>
      <w:r>
        <w:rPr>
          <w:rFonts w:ascii="Arial" w:cs="Arial" w:eastAsia="Arial" w:hAnsi="Arial"/>
          <w:sz w:val="17"/>
          <w:szCs w:val="17"/>
          <w:color w:val="auto"/>
        </w:rPr>
        <w:t>” means, with respect to any Senior Secured Party, the Security Documents that secure the Senior Obligations.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means, with respect to any ABL Obligations, all such obligations secured by same ABL Security Documents and represented by the same ABL Representative.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8" w:name="page429"/>
    <w:bookmarkEnd w:id="428"/>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xml:space="preserve">” means all obligations of the Company and its subsidiaries owed to any ABL Creditor (or any of its affiliates) in respect of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“Swap Obligations” shall include, without limitation, all “Swap Agreement Obligations” (as defined in the Existing ABL Agreement as in effect on the date hereof).</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Secrets</w:t>
      </w:r>
      <w:r>
        <w:rPr>
          <w:rFonts w:ascii="Arial" w:cs="Arial" w:eastAsia="Arial" w:hAnsi="Arial"/>
          <w:sz w:val="17"/>
          <w:szCs w:val="17"/>
          <w:color w:val="auto"/>
        </w:rPr>
        <w:t>” means all trade secrets and all other confidential or proprietary information and know-how, whether or not reduced to a writing or other tangible form, now or hereafter in force, owned or used in, or contemplated at any time for use in, the business of any Loan Party, including with respect to any and all of the foregoing: (i) all documents and things embodying, incorporating, or referring in any way thereto, (ii) all rights to sue for past, present and future infringement thereof, (iii) all licenses, claims, damages, and proceeds of suit arising therefrom, and (iv) all payments and royalties and rights to payments and royalties arising out of the sale, lease, license, assignment, or other dispositions thereof.</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means with respect to any Person, all of such Person’s right, title, and interest in and to the following: (a) all trademarks (including service marks), trade names, trade dress, trade styles, brand names, corporate names, business names, domain names, logos and other source or business identifiers and the registrations and applications for registration thereof, all common-law rights related thereto,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thereof; (d) all rights to sue for past, present, and future infringements of the foregoing, including the right to settle suits involving claims and demands for royalties owing; and (e) all rights corresponding to any of the foregoing throughout the world.</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Unasserted Contingent Obligations</w:t>
      </w:r>
      <w:r>
        <w:rPr>
          <w:rFonts w:ascii="Arial" w:cs="Arial" w:eastAsia="Arial" w:hAnsi="Arial"/>
          <w:sz w:val="17"/>
          <w:szCs w:val="17"/>
          <w:color w:val="auto"/>
        </w:rPr>
        <w:t>” means, at any time, ABL Obligations or Fixed Asset Obligations, as applicable, for taxes, costs, indemnifications, reimbursements, damages and other liabilities (excluding (a) the principal of, and interest and premium (if any) on, and fees and expenses relating to, any ABL Obligation or Fixed Asset Obligation, as applicable, and (b) with respect to ABL Obligations, contingent reimbursement obligations in respect of amounts that may be drawn under outstanding letters of credit) in respect of which no assertion of liability (whether oral or written) and no claim or demand for payment (whether oral or written) has been made (and, in the case of ABL Obligations or Fixed Asset Obligations, as applicable, for indemnification, no notice for indemnification has been issued by the indemnitee) at such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from time to time in the applicable jurisdiction.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WGO of Indiana</w:t>
      </w:r>
      <w:r>
        <w:rPr>
          <w:rFonts w:ascii="Arial" w:cs="Arial" w:eastAsia="Arial" w:hAnsi="Arial"/>
          <w:sz w:val="18"/>
          <w:szCs w:val="18"/>
          <w:color w:val="auto"/>
        </w:rPr>
        <w:t>” has the meaning set forth in the first WHEREAS clause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9" w:name="page430"/>
    <w:bookmarkEnd w:id="429"/>
    <w:p>
      <w:pPr>
        <w:jc w:val="both"/>
        <w:ind w:firstLine="648"/>
        <w:spacing w:after="0" w:line="269"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extended, renewed, restated, replaced or otherwise modified (subject to any restrictions on such amendments, supplements, extensions, renewals, restatements, replacements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i w:val="1"/>
          <w:iCs w:val="1"/>
          <w:u w:val="single" w:color="auto"/>
          <w:color w:val="auto"/>
        </w:rPr>
        <w:t>Section 2.</w:t>
      </w:r>
      <w:r>
        <w:rPr>
          <w:sz w:val="20"/>
          <w:szCs w:val="20"/>
          <w:color w:val="auto"/>
        </w:rPr>
        <w:tab/>
      </w:r>
      <w:r>
        <w:rPr>
          <w:rFonts w:ascii="Arial" w:cs="Arial" w:eastAsia="Arial" w:hAnsi="Arial"/>
          <w:sz w:val="17"/>
          <w:szCs w:val="17"/>
          <w:i w:val="1"/>
          <w:iCs w:val="1"/>
          <w:color w:val="auto"/>
        </w:rPr>
        <w:t>Lien Priority.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Lien Subordination</w:t>
      </w:r>
      <w:r>
        <w:rPr>
          <w:rFonts w:ascii="Arial" w:cs="Arial" w:eastAsia="Arial" w:hAnsi="Arial"/>
          <w:sz w:val="17"/>
          <w:szCs w:val="17"/>
          <w:color w:val="auto"/>
        </w:rPr>
        <w:t>. Notwithstanding the date, manner or order of grant, attachment or perfection of any Junior Lien in respect of any Collateral or of any Senior Lien in respect of any Collateral and notwithstanding any provision of the Uniform Commercial Code, any applicable law, any Security Document, any alleged or actual defect or deficiency in any of the foregoing or any other circumstance whatsoever, each Junior Representative, on behalf of each Junior Secured Party represented by it, in respect of such Collateral hereby agrees that:</w:t>
      </w:r>
    </w:p>
    <w:p>
      <w:pPr>
        <w:spacing w:after="0" w:line="171" w:lineRule="exact"/>
        <w:rPr>
          <w:sz w:val="20"/>
          <w:szCs w:val="20"/>
          <w:color w:val="auto"/>
        </w:rPr>
      </w:pPr>
    </w:p>
    <w:p>
      <w:pPr>
        <w:jc w:val="both"/>
        <w:ind w:firstLine="656"/>
        <w:spacing w:after="0" w:line="263" w:lineRule="auto"/>
        <w:tabs>
          <w:tab w:leader="none" w:pos="1477"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any Senior Lien in respect of such Collateral, regardless of how acquired, whether by grant, statute, operation of law, subrogation or otherwise, shall be and shall remain senior and prior to any Junior Lien in respect of such Collateral (whether or not such Senior Lien is subordinated to any Lien securing any other obligation); and</w:t>
      </w:r>
    </w:p>
    <w:p>
      <w:pPr>
        <w:spacing w:after="0" w:line="183" w:lineRule="exact"/>
        <w:rPr>
          <w:rFonts w:ascii="Arial" w:cs="Arial" w:eastAsia="Arial" w:hAnsi="Arial"/>
          <w:sz w:val="18"/>
          <w:szCs w:val="18"/>
          <w:color w:val="auto"/>
        </w:rPr>
      </w:pPr>
    </w:p>
    <w:p>
      <w:pPr>
        <w:ind w:firstLine="656"/>
        <w:spacing w:after="0" w:line="277" w:lineRule="auto"/>
        <w:tabs>
          <w:tab w:leader="none" w:pos="1487"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any Junior Lien in respect of such Collateral, regardless of how acquired, whether by grant, statute, operation of law, subrogation or otherwise, shall be junior and subordinate in all respects to any Senior Lien in respect of such Collateral.</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553"/>
        </w:numPr>
        <w:rPr>
          <w:rFonts w:ascii="Arial" w:cs="Arial" w:eastAsia="Arial" w:hAnsi="Arial"/>
          <w:sz w:val="16"/>
          <w:szCs w:val="16"/>
          <w:color w:val="auto"/>
        </w:rPr>
      </w:pPr>
      <w:r>
        <w:rPr>
          <w:rFonts w:ascii="Arial" w:cs="Arial" w:eastAsia="Arial" w:hAnsi="Arial"/>
          <w:sz w:val="16"/>
          <w:szCs w:val="16"/>
          <w:color w:val="auto"/>
        </w:rPr>
        <w:t>It is understood and agreed that solely as among the Fixed Asset Secured Parties, their priority shall be governed by the Collateral Trust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Prohibition on Contesting Liens</w:t>
      </w:r>
      <w:r>
        <w:rPr>
          <w:rFonts w:ascii="Arial" w:cs="Arial" w:eastAsia="Arial" w:hAnsi="Arial"/>
          <w:sz w:val="18"/>
          <w:szCs w:val="18"/>
          <w:color w:val="auto"/>
        </w:rPr>
        <w:t>. In respect of any Collateral, each Junior Representative, on behalf of each Junior Secured Party represented by it, agrees that it shall not, and hereby waives any right to:</w:t>
      </w:r>
    </w:p>
    <w:p>
      <w:pPr>
        <w:spacing w:after="0" w:line="170" w:lineRule="exact"/>
        <w:rPr>
          <w:sz w:val="20"/>
          <w:szCs w:val="20"/>
          <w:color w:val="auto"/>
        </w:rPr>
      </w:pPr>
    </w:p>
    <w:p>
      <w:pPr>
        <w:ind w:firstLine="656"/>
        <w:spacing w:after="0" w:line="277" w:lineRule="auto"/>
        <w:tabs>
          <w:tab w:leader="none" w:pos="1491" w:val="left"/>
        </w:tabs>
        <w:numPr>
          <w:ilvl w:val="0"/>
          <w:numId w:val="554"/>
        </w:numPr>
        <w:rPr>
          <w:rFonts w:ascii="Arial" w:cs="Arial" w:eastAsia="Arial" w:hAnsi="Arial"/>
          <w:sz w:val="18"/>
          <w:szCs w:val="18"/>
          <w:color w:val="auto"/>
        </w:rPr>
      </w:pPr>
      <w:r>
        <w:rPr>
          <w:rFonts w:ascii="Arial" w:cs="Arial" w:eastAsia="Arial" w:hAnsi="Arial"/>
          <w:sz w:val="18"/>
          <w:szCs w:val="18"/>
          <w:color w:val="auto"/>
        </w:rPr>
        <w:t>contest, or support any other Person in contesting, in any proceeding (including any Insolvency Proceeding), the priority, validity or enforceability of any Senior Lien on such Collateral;</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1528" w:val="left"/>
        </w:tabs>
        <w:numPr>
          <w:ilvl w:val="0"/>
          <w:numId w:val="554"/>
        </w:numPr>
        <w:rPr>
          <w:rFonts w:ascii="Arial" w:cs="Arial" w:eastAsia="Arial" w:hAnsi="Arial"/>
          <w:sz w:val="18"/>
          <w:szCs w:val="18"/>
          <w:color w:val="auto"/>
        </w:rPr>
      </w:pPr>
      <w:r>
        <w:rPr>
          <w:rFonts w:ascii="Arial" w:cs="Arial" w:eastAsia="Arial" w:hAnsi="Arial"/>
          <w:sz w:val="18"/>
          <w:szCs w:val="18"/>
          <w:color w:val="auto"/>
        </w:rPr>
        <w:t>directly or indirectly support any subordination of any Junior Liens of the Junior Representative or any other Junior Secured Party (including any adequate protection liens) on any Junior Collateral to any adequate protection liens, carve-outs or other liens granted on such Junior Collateral in an Insolvency Proceeding;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0" w:name="page431"/>
    <w:bookmarkEnd w:id="430"/>
    <w:p>
      <w:pPr>
        <w:ind w:firstLine="656"/>
        <w:spacing w:after="0" w:line="342" w:lineRule="auto"/>
        <w:tabs>
          <w:tab w:leader="none" w:pos="1509" w:val="left"/>
        </w:tabs>
        <w:numPr>
          <w:ilvl w:val="0"/>
          <w:numId w:val="555"/>
        </w:numPr>
        <w:rPr>
          <w:rFonts w:ascii="Arial" w:cs="Arial" w:eastAsia="Arial" w:hAnsi="Arial"/>
          <w:sz w:val="16"/>
          <w:szCs w:val="16"/>
          <w:color w:val="auto"/>
        </w:rPr>
      </w:pPr>
      <w:r>
        <w:rPr>
          <w:rFonts w:ascii="Arial" w:cs="Arial" w:eastAsia="Arial" w:hAnsi="Arial"/>
          <w:sz w:val="16"/>
          <w:szCs w:val="16"/>
          <w:color w:val="auto"/>
        </w:rPr>
        <w:t>demand, request, plead or otherwise assert or claim the benefit of any marshalling, appraisal, valuation or similar right which it may have in respect of such Collateral or the Senior Liens on such Collateral, except to the extent that such rights are expressly granted in this Agreement.</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Nature of Obligations</w:t>
      </w:r>
      <w:r>
        <w:rPr>
          <w:rFonts w:ascii="Arial" w:cs="Arial" w:eastAsia="Arial" w:hAnsi="Arial"/>
          <w:sz w:val="17"/>
          <w:szCs w:val="17"/>
          <w:color w:val="auto"/>
        </w:rPr>
        <w:t xml:space="preserve">. The Fixed Asset Representative on behalf of itself and each other Fixed Asset Secured Party that it represents acknowledges that a portion of the ABL Obligations represents debt that is revolving in nature and that the amount thereof that may be outstanding at any time or from time to time may be increased, reduced or repaid and subsequently reborrowed, and that the terms of the ABL Obligations and any ABL Agreement or any provision thereof may be waived, modified, extended, amended, restated or supplemented from time to time, and that the aggregate amount of the ABL Obligations may be increased, replaced or refinanced, in each event, without notice to or consent by any Fixed Asset Secured Party and without affecting the provisions hereof. The ABL Representative on behalf of itself and the other ABL Secured Parties acknowledges that Fixed Asset Obligations may be replaced or refinanced and the amount of any Fixed Asset Obligations may be increased, reduced, or repaid, and any Fixed Asset Document or any provision thereof may be waived, modified, extended, amended, restated or supplemented from time to time, and that the aggregate amount of the Fixed Asset Obligations may be increased, replaced or refinanced, in each event, without notice to or consent by the ABL Secured Parties and without affecting the provisions hereof. The Lien Priorities provided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not be altered or otherwise affected by any such amendment, modification, supplement, extension, repayment, reborrowing, increase, replacement, renewal, restatement or refinancing of either the ABL Obligations or the Fixed Asset Obligations, or any portion thereof.</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 New Liens</w:t>
      </w:r>
      <w:r>
        <w:rPr>
          <w:rFonts w:ascii="Arial" w:cs="Arial" w:eastAsia="Arial" w:hAnsi="Arial"/>
          <w:sz w:val="16"/>
          <w:szCs w:val="16"/>
          <w:color w:val="auto"/>
        </w:rPr>
        <w:t>. (a) Until the ABL Obligations Payment Date, no Fixed Asset Secured Party shall acquire or hold any Lien on any assets of any Loan Party securing any Fixed Asset Obligation which assets are not also subject to the Lien of the ABL Representative under the ABL Documents, subject to the Lien Priority set forth herein. If any Fixed Asset Secured Party shall (nonetheless and in breach hereof) acquire or hold any Lien on any assets of any Loan Party securing any Fixed Asset Obligation which assets are not also subject to the Lien of the ABL Representative under the ABL Documents, subject to the Lien Priority set forth herein, then the Fixed Asset Representative (or the relevant Fixed Asset Secured Party) shall, without the need for any further consent of any other Fixed Asset Secured Party and notwithstanding anything to the contrary in any other Fixed Asset Document be deemed to also hold and have held such lien for the benefit of the ABL Representative as security for the ABL Obligations (subject to the Lien Priority and other terms hereof) and shall promptly notify the ABL Representative in writing of the existence of such Lien.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1" w:name="page432"/>
    <w:bookmarkEnd w:id="431"/>
    <w:p>
      <w:pPr>
        <w:jc w:val="both"/>
        <w:ind w:firstLine="656"/>
        <w:spacing w:after="0" w:line="271" w:lineRule="auto"/>
        <w:tabs>
          <w:tab w:leader="none" w:pos="1393" w:val="left"/>
        </w:tabs>
        <w:numPr>
          <w:ilvl w:val="0"/>
          <w:numId w:val="556"/>
        </w:numPr>
        <w:rPr>
          <w:rFonts w:ascii="Arial" w:cs="Arial" w:eastAsia="Arial" w:hAnsi="Arial"/>
          <w:sz w:val="17"/>
          <w:szCs w:val="17"/>
          <w:color w:val="auto"/>
        </w:rPr>
      </w:pPr>
      <w:r>
        <w:rPr>
          <w:rFonts w:ascii="Arial" w:cs="Arial" w:eastAsia="Arial" w:hAnsi="Arial"/>
          <w:sz w:val="17"/>
          <w:szCs w:val="17"/>
          <w:color w:val="auto"/>
        </w:rPr>
        <w:t>Until the Fixed Asset Obligations Payment Date, no ABL Secured Party shall acquire or hold any Lien on any assets of any Loan Party securing any ABL Obligation which assets are not also subject to the Lien of the Fixed Asset Representative under the Fixed Asset Documents, subject to the Lien Priority set forth herein. If any ABL Secured Party shall (nonetheless and in breach hereof) acquire or hold any Lien on any assets of any Loan Party securing any ABL Obligation which assets are not also subject to the Lien of the Fixed Asset Representative under the Fixed Asset Documents, subject to the Lien Priority set forth herein, then the ABL Representative (or the relevant ABL Secured Party) shall, without the need for any further consent of any other ABL Secured Party and notwithstanding anything to the contrary in any other ABL Document be deemed to also hold and have held such lien for the benefit of the Fixed Asset Representative as security for the relevant Fixed Asset Obligations (subject to the Lien Priority and other terms hereof) and shall promptly notify the Fixed Asset Representative in writing of the existence of such Lien.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Separate Grants of Security and Separate Classification</w:t>
      </w:r>
      <w:r>
        <w:rPr>
          <w:rFonts w:ascii="Arial" w:cs="Arial" w:eastAsia="Arial" w:hAnsi="Arial"/>
          <w:sz w:val="16"/>
          <w:szCs w:val="16"/>
          <w:color w:val="auto"/>
        </w:rPr>
        <w:t>. Each Secured Party acknowledges and agrees that (i) the grants of Liens pursuant to the ABL Security Documents and the Fixed Asset Security Documents constitute separate and distinct grants of Liens and (ii) because of, among other things, their differing rights in the Collateral, the Fixed Asset Obligations are fundamentally different from the ABL Obligations and should be separately classified in any plan of reorganization proposed or adopted in an Insolvency Proceeding. To further effectuate the intent of the parties as provided in the immediately preceding sentence, if it is held that the claims of the ABL Secured Parties and the Fixed Asset Secured Parties in respect of the Collateral constitute claims in the same class (rather than separate classes of senior and junior secured claims), then the ABL Secured Parties and the Fixed Asset Secured Parties hereby acknowledge and agree that all distributions shall be made as if there were separate classes of ABL Obligation claims and Fixed Asset Obligation claims against the Loan Parties (with the effect being that, to the extent that the aggregate value of the ABL Priority Collateral or Fixed Asset Priority Collateral is sufficient (for this purpose ignoring all claims held by the other Secured Parties), the ABL Secured Parties or the Fixed Asset Secured Parties, respectively, shall be entitled to receive, in addition to amounts distributed to them in respect of principal, pre-petition interest and other claims, all amounts owing in respect of Post-Petition Interest that are available from each pool of Priority Collateral for each of the ABL Secured Parties and the Fixed Asset Secured Parties, respectively, before any distribution is made in respect of the claims held by the other Secured Parties, with the other Secured Parties hereby acknowledging and agreeing to turn over to the respective other Secured Parties amounts otherwise received or receivable by them to the extent necessary to effectuate the intent of this sentence, even if such turnover has the effect of reducing the aggregate recoveries.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Agreements Regarding Actions to Perfect Liens</w:t>
      </w:r>
      <w:r>
        <w:rPr>
          <w:rFonts w:ascii="Arial" w:cs="Arial" w:eastAsia="Arial" w:hAnsi="Arial"/>
          <w:sz w:val="18"/>
          <w:szCs w:val="18"/>
          <w:color w:val="auto"/>
        </w:rPr>
        <w:t>. (a) Each ABL Representative agrees on behalf of itself and the other ABL Secured Parties represented by it that all mortgages, deeds of trust, deeds and similar instruments (collectively, “</w:t>
      </w:r>
      <w:r>
        <w:rPr>
          <w:rFonts w:ascii="Arial" w:cs="Arial" w:eastAsia="Arial" w:hAnsi="Arial"/>
          <w:sz w:val="18"/>
          <w:szCs w:val="18"/>
          <w:u w:val="single" w:color="auto"/>
          <w:color w:val="auto"/>
        </w:rPr>
        <w:t>mortgages</w:t>
      </w:r>
      <w:r>
        <w:rPr>
          <w:rFonts w:ascii="Arial" w:cs="Arial" w:eastAsia="Arial" w:hAnsi="Arial"/>
          <w:sz w:val="18"/>
          <w:szCs w:val="18"/>
          <w:color w:val="auto"/>
        </w:rPr>
        <w:t>”) now or hereafter filed against Real Property in favor of or for the benefit of such ABL Representative shall contain the following notation: “The lien created by this mortgage on the property described herein is junior and subordinate to the lien on such property created by any mortgage, deed of trust or similar instrument now or hereafter granted to U.S. Bank National Association as Collateral Trustee, in accordance with the provisions of the Intercreditor Agreement dated as of July 8, 2020, as amended from time to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2" w:name="page433"/>
    <w:bookmarkEnd w:id="432"/>
    <w:p>
      <w:pPr>
        <w:jc w:val="both"/>
        <w:ind w:firstLine="656"/>
        <w:spacing w:after="0" w:line="284" w:lineRule="auto"/>
        <w:tabs>
          <w:tab w:leader="none" w:pos="1447" w:val="left"/>
        </w:tabs>
        <w:numPr>
          <w:ilvl w:val="0"/>
          <w:numId w:val="557"/>
        </w:numPr>
        <w:rPr>
          <w:rFonts w:ascii="Arial" w:cs="Arial" w:eastAsia="Arial" w:hAnsi="Arial"/>
          <w:sz w:val="16"/>
          <w:szCs w:val="16"/>
          <w:color w:val="auto"/>
        </w:rPr>
      </w:pPr>
      <w:r>
        <w:rPr>
          <w:rFonts w:ascii="Arial" w:cs="Arial" w:eastAsia="Arial" w:hAnsi="Arial"/>
          <w:sz w:val="16"/>
          <w:szCs w:val="16"/>
          <w:color w:val="auto"/>
        </w:rPr>
        <w:t xml:space="preserve">Each of each ABL Representative and the Fixed Asset Representative hereby acknowledges that, to the extent that it holds, or a third party holds on its behalf, physical possession of or “control” (as defined in the Uniform Commercial Code) over Collateral pursuant to the ABL Security Documents or the Fixed Asset Security Documents, as applicable, such possession or control is also for the benefit of the Fixed Asset Representative and the other Fixed Asset Secured Parties or each ABL Representative and the other ABL Secured Parties, as applicable, solely to the extent required to perfect their security interest (if any) in such Collateral. Nothing in the preceding sentence shall be construed to impose any duty on any ABL Representative or the Fixed Asset Representative (or any third party acting on either such Person’s behalf) with respect to such Collateral or provide the Fixed Asset Representative, any other Fixed Asset Secured Party, any ABL Representative or any other ABL Secured Party, as applicable, with any rights with respect to such Collateral beyond those specified in this Agreement, the ABL Security Documents and the Fixed Asset Security Documents,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subsequent to the occurrence of the ABL Obligations Payment Date (so long as the Fixed Asset Obligations Payment Date shall not have occurred), the ABL Representative shall (i) deliver to the Collateral Trustee, at the Loan Parties’ sole cost and expense, the Collateral in its possession or control together with any necessary endorsements to the extent required by the Fixed Asset Documents or (ii) direct and deliver such Collateral as a court of competent jurisdiction otherwise directs;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subsequent to the occurrence of the Fixed Asset Obligations Payment Date (so long as the ABL Obligations Payment Date shall not have occurred), the Fixed Asset Representative shall (i) deliver to the Designated ABL Representative, at the Loan Parties’ sole cost and expense, the Collateral in its possession or control together with any necessary endorsements to the extent required by the ABL Documents or (ii) direct and deliver such Collateral as a court of competent jurisdiction otherwise directs;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prior to the occurrence of the Fixed Asset Obligations Payment Date, upon the request of the Collateral Trustee or the Borrower, the Designated ABL Representative shall turn over to the Collateral Trustee any Fixed Asset Priority Collateral of which it has physical possession, and (ii) prior to the occurrence of the ABL Obligations Payment Date, upon the request of the Designated ABL Representative or the Borrower, the Fixed Asset Representative shall turn over to the ABL Representative any ABL Priority Collateral of which the Fixed Asset Representative has physical possession. The provisions of this Agreement are intended solely to govern the respective Lien priorities as between the ABL Secured Parties and the Fixed Asset Secured Parties and shall not impose on the ABL Secured Parties or the Fixed Asset Secured Parties any obligations in respect of the disposition of any Collateral (or any proceeds thereof) that would conflict with prior perfected Liens or any claims thereon in favor of any other Person that is not a Secured Party.</w:t>
      </w:r>
    </w:p>
    <w:p>
      <w:pPr>
        <w:spacing w:after="0" w:line="17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i w:val="1"/>
          <w:iCs w:val="1"/>
          <w:u w:val="single" w:color="auto"/>
          <w:color w:val="auto"/>
        </w:rPr>
        <w:t>Section 3.</w:t>
      </w:r>
      <w:r>
        <w:rPr>
          <w:sz w:val="20"/>
          <w:szCs w:val="20"/>
          <w:color w:val="auto"/>
        </w:rPr>
        <w:tab/>
      </w:r>
      <w:r>
        <w:rPr>
          <w:rFonts w:ascii="Arial" w:cs="Arial" w:eastAsia="Arial" w:hAnsi="Arial"/>
          <w:sz w:val="16"/>
          <w:szCs w:val="16"/>
          <w:i w:val="1"/>
          <w:iCs w:val="1"/>
          <w:color w:val="auto"/>
        </w:rPr>
        <w:t>Enforcement Rights.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Exclusive Enforcement</w:t>
      </w:r>
      <w:r>
        <w:rPr>
          <w:rFonts w:ascii="Arial" w:cs="Arial" w:eastAsia="Arial" w:hAnsi="Arial"/>
          <w:sz w:val="17"/>
          <w:szCs w:val="17"/>
          <w:color w:val="auto"/>
        </w:rPr>
        <w:t xml:space="preserve">. Until the Senior Obligations Payment Date has occurred, whether or not an Insolvency Proceeding has been commenced by or against any Loan Party, the Senior Secured Parties shall have the exclusive right to take and continue any Enforcement Action (including the right to credit bid their debt) with respect to the Senior Collateral, without any consultation with or consent of any Junior Secured Party, but subject to the proviso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Senior Secured Parties shall provide prior written notice to the relevant Junior Secured Party of any such Enforcement Action with respect to the Senior Collateral, but the failure to give any such notice shall not create a cause of action against or cause a forfeiture of any rights of the party failing to give such notice or create any claim or right on behalf of any other party. Upon the occurrence and during the continuance of an event of default under the Senior Documents, the Senior Representative and the other Senior Secured Parties may take and continue any Enforcement Action with respect to the Senior Obligations and the Senior Collateral in such order and manner as they may determine in their sole discretion in accordance with the terms and conditions of the Senior Documents.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3" w:name="page434"/>
    <w:bookmarkEnd w:id="433"/>
    <w:p>
      <w:pPr>
        <w:ind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Standstill and Waivers</w:t>
      </w:r>
      <w:r>
        <w:rPr>
          <w:rFonts w:ascii="Arial" w:cs="Arial" w:eastAsia="Arial" w:hAnsi="Arial"/>
          <w:sz w:val="18"/>
          <w:szCs w:val="18"/>
          <w:color w:val="auto"/>
        </w:rPr>
        <w:t xml:space="preserve">. Each Junior Representative, on behalf of itself and the other Junior Secured Parties represented by it, agrees that, until the Senior Obligations Payment Date has occurred, but subject to the proviso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0" w:lineRule="exact"/>
        <w:rPr>
          <w:sz w:val="20"/>
          <w:szCs w:val="20"/>
          <w:color w:val="auto"/>
        </w:rPr>
      </w:pPr>
    </w:p>
    <w:p>
      <w:pPr>
        <w:jc w:val="both"/>
        <w:ind w:left="660" w:firstLine="644"/>
        <w:spacing w:after="0" w:line="263" w:lineRule="auto"/>
        <w:tabs>
          <w:tab w:leader="none" w:pos="2072"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they will not take or cause to be taken any action, the purpose or effect of which is to make any Lien on any Senior Collateral that secures any Junior Obligation pari passu with or senior to, or to give any Junior Secured Party any preference or priority relative to, the Liens on the Senior Collateral securing the Senior Obligations;</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2279"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they will not contest, oppose, object to, interfere with, hinder or delay, in any manner, whether by judicial proceedings (including without limitation the filing of an Insolvency Proceeding) or otherwise, any foreclosure, sale, lease, exchange, transfer or other disposition of the Senior Collateral by any Senior Secured Party or any other Enforcement Action taken (or any forbearance from taking any Enforcement Action) in respect of the Senior Collateral by or on behalf of any Senior Secured Party;</w:t>
      </w:r>
    </w:p>
    <w:p>
      <w:pPr>
        <w:spacing w:after="0" w:line="186" w:lineRule="exact"/>
        <w:rPr>
          <w:rFonts w:ascii="Arial" w:cs="Arial" w:eastAsia="Arial" w:hAnsi="Arial"/>
          <w:sz w:val="18"/>
          <w:szCs w:val="18"/>
          <w:color w:val="auto"/>
        </w:rPr>
      </w:pPr>
    </w:p>
    <w:p>
      <w:pPr>
        <w:jc w:val="both"/>
        <w:ind w:left="660" w:firstLine="644"/>
        <w:spacing w:after="0" w:line="273" w:lineRule="auto"/>
        <w:tabs>
          <w:tab w:leader="none" w:pos="2041" w:val="left"/>
        </w:tabs>
        <w:numPr>
          <w:ilvl w:val="0"/>
          <w:numId w:val="558"/>
        </w:numPr>
        <w:rPr>
          <w:rFonts w:ascii="Arial" w:cs="Arial" w:eastAsia="Arial" w:hAnsi="Arial"/>
          <w:sz w:val="17"/>
          <w:szCs w:val="17"/>
          <w:color w:val="auto"/>
        </w:rPr>
      </w:pPr>
      <w:r>
        <w:rPr>
          <w:rFonts w:ascii="Arial" w:cs="Arial" w:eastAsia="Arial" w:hAnsi="Arial"/>
          <w:sz w:val="17"/>
          <w:szCs w:val="17"/>
          <w:color w:val="auto"/>
        </w:rPr>
        <w:t>they have no right to (x) direct either the Senior Representative or any other Senior Secured Party to exercise any right, remedy or power with respect to the Senior Collateral or pursuant to the Senior Security Documents in respect of the Senior Collateral or (y) consent or object to the exercise by the Senior Representative or any other Senior Secured Party of any right, remedy or power with respect to the Senior Collateral or pursuant to the Senior Security Documents with respect to the Senior Collateral or to the timing or manner in which any such right is exercised or not exercised (or, to the extent they may have any such right described in this clause (iii), whether as a junior lien creditor in respect of the Senior Collateral or otherwise, they hereby irrevocably waive such right);</w:t>
      </w:r>
    </w:p>
    <w:p>
      <w:pPr>
        <w:spacing w:after="0" w:line="177" w:lineRule="exact"/>
        <w:rPr>
          <w:rFonts w:ascii="Arial" w:cs="Arial" w:eastAsia="Arial" w:hAnsi="Arial"/>
          <w:sz w:val="17"/>
          <w:szCs w:val="17"/>
          <w:color w:val="auto"/>
        </w:rPr>
      </w:pPr>
    </w:p>
    <w:p>
      <w:pPr>
        <w:jc w:val="both"/>
        <w:ind w:left="660" w:firstLine="644"/>
        <w:spacing w:after="0" w:line="259" w:lineRule="auto"/>
        <w:tabs>
          <w:tab w:leader="none" w:pos="209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they will not institute any suit or other proceeding or assert in any suit, Insolvency Proceeding or other proceeding any claim against any Senior Secured Party seeking damages from or other relief by way of specific performance, instructions or otherwise, with respect to, and no Senior Secured Party shall be liable for, any action taken or omitted to be taken by any Senior Secured Party with respect to the Senior Collateral or pursuant to the Senior Documents in respect of the Senior Collateral;</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2269"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they will not commence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their interest in or realize upon, the Senior Collateral; and</w:t>
      </w:r>
    </w:p>
    <w:p>
      <w:pPr>
        <w:spacing w:after="0" w:line="183" w:lineRule="exact"/>
        <w:rPr>
          <w:rFonts w:ascii="Arial" w:cs="Arial" w:eastAsia="Arial" w:hAnsi="Arial"/>
          <w:sz w:val="18"/>
          <w:szCs w:val="18"/>
          <w:color w:val="auto"/>
        </w:rPr>
      </w:pPr>
    </w:p>
    <w:p>
      <w:pPr>
        <w:ind w:left="660" w:firstLine="644"/>
        <w:spacing w:after="0" w:line="277" w:lineRule="auto"/>
        <w:tabs>
          <w:tab w:leader="none" w:pos="2404"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they will not seek, and hereby waive any right, to have the Senior Collateral or any part thereof marshaled upon any foreclosure or other disposition of the Senior Collateral.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4" w:name="page435"/>
    <w:bookmarkEnd w:id="434"/>
    <w:p>
      <w:pPr>
        <w:jc w:val="both"/>
        <w:ind w:firstLine="648"/>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Judgment Creditors</w:t>
      </w:r>
      <w:r>
        <w:rPr>
          <w:rFonts w:ascii="Arial" w:cs="Arial" w:eastAsia="Arial" w:hAnsi="Arial"/>
          <w:sz w:val="18"/>
          <w:szCs w:val="18"/>
          <w:color w:val="auto"/>
        </w:rPr>
        <w:t>. In the event that any Fixed Asset Secured Party becomes a judgment lien creditor in respect of Collateral as a result of its enforcement of its rights as an unsecured creditor, such judgment lien shall be subject to the terms of this Agreement for all purposes (including in relation to the ABL Liens and the ABL Obligations) to the same extent as all other Liens securing the Fixed Asset Obligations of such Fixed Asset Secured Party are subject to the terms of this Agreement. In the event that any ABL Secured Party becomes a judgment lien creditor in respect of Collateral as a result of its enforcement of its rights as an unsecured creditor, such judgment lien shall be subject to the terms of this Agreement for all purposes (including in relation to the Fixed Asset Liens and the Fixed Asset Obligations) to the same extent as all other Liens securing the ABL Obligations are subject to the terms of this Agreement.</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Cooperation: Sharing of Information and Access</w:t>
      </w:r>
      <w:r>
        <w:rPr>
          <w:rFonts w:ascii="Arial" w:cs="Arial" w:eastAsia="Arial" w:hAnsi="Arial"/>
          <w:sz w:val="16"/>
          <w:szCs w:val="16"/>
          <w:color w:val="auto"/>
        </w:rPr>
        <w:t>. (a) The Fixed Asset Representative, on behalf of itself and the other Fixed Asset Secured Parties represented by it, agrees that each of them shall take such actions as any ABL Representative shall reasonably request in connection with the exercise by the ABL Secured Parties of their rights set forth herein in respect of the ABL Priority Collateral. Each ABL Representative, on behalf of itself and the other ABL Secured Parties, agrees that each of them shall take such actions as the Fixed Asset Representative shall reasonably request in connection with the exercise by the Fixed Asset Secured Parties of their rights set forth herein in respect of the Fixed Asset Priority Collateral.</w:t>
      </w:r>
    </w:p>
    <w:p>
      <w:pPr>
        <w:spacing w:after="0" w:line="161" w:lineRule="exact"/>
        <w:rPr>
          <w:sz w:val="20"/>
          <w:szCs w:val="20"/>
          <w:color w:val="auto"/>
        </w:rPr>
      </w:pPr>
    </w:p>
    <w:p>
      <w:pPr>
        <w:jc w:val="both"/>
        <w:ind w:firstLine="656"/>
        <w:spacing w:after="0" w:line="267" w:lineRule="auto"/>
        <w:tabs>
          <w:tab w:leader="none" w:pos="1460" w:val="left"/>
        </w:tabs>
        <w:numPr>
          <w:ilvl w:val="0"/>
          <w:numId w:val="559"/>
        </w:numPr>
        <w:rPr>
          <w:rFonts w:ascii="Arial" w:cs="Arial" w:eastAsia="Arial" w:hAnsi="Arial"/>
          <w:sz w:val="17"/>
          <w:szCs w:val="17"/>
          <w:color w:val="auto"/>
        </w:rPr>
      </w:pPr>
      <w:r>
        <w:rPr>
          <w:rFonts w:ascii="Arial" w:cs="Arial" w:eastAsia="Arial" w:hAnsi="Arial"/>
          <w:sz w:val="17"/>
          <w:szCs w:val="17"/>
          <w:color w:val="auto"/>
        </w:rPr>
        <w:t>In the event that any ABL Representative shall, in the exercise of its rights under the ABL Security Documents or otherwise, receive possession or control of any books and Records of any Loan Party which contain information identifying or pertaining to the Fixed Asset Priority Collateral, such ABL Representative shall promptly notify the Collateral Trustees of such fact and, upon request from the Collateral Trustee and as promptly as practicable thereafter, either make available to the Collateral Trustee such books and Records for inspection and duplication or provide to the Collateral Trustee copies thereof. In the event that the Fixed Asset Representative shall, in the exercise of its rights under the applicable Fixed Asset Security Documents or otherwise, receive possession or control of any books and records of any Loan Party which contain information identifying or pertaining to any of the ABL Priority Collateral, the Fixed Asset Representative shall promptly notify the ABL Representative of such fact and, upon request from the Designated ABL Representative and as promptly as practicable thereafter, either make available to the Designated ABL Representative such books and records for inspection and duplication or provide the Designated ABL Representative copies thereof. The Fixed Asset Representative hereby irrevocably grants each ABL Representative (or its designee) a non-exclusive worldwide license or right to use, to the maximum extent permitted by applicable law and to the extent of the Fixed Asset Representative’s interest therein, exercisable without payment of royalty or other compensation, to use any of the Intellectual Property now or hereafter owned by, licensed to, or otherwise used by the Loan Parties in order for the ABL Representative (or its designee) and the ABL Secured Parties to purchase, use, market, repossess, possess, store, assemble, manufacture, process, sell, transfer, distribute .or otherwise dispose of any asset included in the ABL Priority Collateral in connection with the liquidation, disposition or realization upon the ABL Priority Collateral in accordance with the terms and conditions of the ABL Security Documents and the other ABL Documents. The Fixed Asset Representative agrees that any sale, transfer or other disposition of any of the Loan Parties’ Intellectual Property (whether by foreclosure or otherwise) will be subject to each ABL Representative’s rights as set forth in the foregoing sentence.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5" w:name="page436"/>
    <w:bookmarkEnd w:id="435"/>
    <w:p>
      <w:pPr>
        <w:jc w:val="both"/>
        <w:ind w:firstLine="656"/>
        <w:spacing w:after="0" w:line="283" w:lineRule="auto"/>
        <w:tabs>
          <w:tab w:leader="none" w:pos="1612" w:val="left"/>
        </w:tabs>
        <w:numPr>
          <w:ilvl w:val="0"/>
          <w:numId w:val="560"/>
        </w:numPr>
        <w:rPr>
          <w:rFonts w:ascii="Arial" w:cs="Arial" w:eastAsia="Arial" w:hAnsi="Arial"/>
          <w:sz w:val="16"/>
          <w:szCs w:val="16"/>
          <w:color w:val="auto"/>
        </w:rPr>
      </w:pPr>
      <w:r>
        <w:rPr>
          <w:rFonts w:ascii="Arial" w:cs="Arial" w:eastAsia="Arial" w:hAnsi="Arial"/>
          <w:sz w:val="16"/>
          <w:szCs w:val="16"/>
          <w:color w:val="auto"/>
        </w:rPr>
        <w:t>If the Fixed Asset Representative, or any agent or representative thereof, or any receiver, shall, after the commencement of any Enforcement Action, obtain possession or physical control of any of the Fixed Asset Priority Collateral, the Fixed Asset Representative shall promptly notify the Designated ABL Representative in writing of that fact, and the Designated ABL Representative shall, within ten Business Days thereafter, notify the Fixed Asset Representative in writing as to whether the Designated ABL Representative desires to exercise access rights under this Agreement. In addition, if any ABL Representative, or any agent or representative of any ABL Representative, or any receiver, shall obtain possession or physical control of any of the Fixed Asset Priority Collateral in connection with an Enforcement Action, then such ABL Representative shall promptly notify the Collateral Trustee that the ABL Representative is exercising its access rights under this Agreement. Upon delivery of such notice by the ABL Representative to the Collateral Trustee, the ABL Representative and Collateral Trustee shall confer in good faith to coordinate with respect to the ABL Representative’s exercise of such access rights, with such access rights to apply to any parcel or item of Fixed Asset Priority Collateral access to which is reasonably necessary to enable the ABL Representative during normal business hours to convert ABL Priority Collateral consisting of raw materials and work-in-process into saleable finished goods and/or to transport such ABL Priority Collateral to a point where such conversion can occur, to otherwise prepare ABL Priority Collateral for sale and/or to arrange or effect the sale of ABL Priority Collateral (including the conducting of auctions), all in accordance with the manner in which such matters are completed in the ordinary course of business. Consistent with the definition of “</w:t>
      </w:r>
      <w:r>
        <w:rPr>
          <w:rFonts w:ascii="Arial" w:cs="Arial" w:eastAsia="Arial" w:hAnsi="Arial"/>
          <w:sz w:val="16"/>
          <w:szCs w:val="16"/>
          <w:u w:val="single" w:color="auto"/>
          <w:color w:val="auto"/>
        </w:rPr>
        <w:t>Access Period</w:t>
      </w:r>
      <w:r>
        <w:rPr>
          <w:rFonts w:ascii="Arial" w:cs="Arial" w:eastAsia="Arial" w:hAnsi="Arial"/>
          <w:sz w:val="16"/>
          <w:szCs w:val="16"/>
          <w:color w:val="auto"/>
        </w:rPr>
        <w:t xml:space="preserve">,” access rights will apply to differing parcels or items of Fixed Asset Priority Collateral at differing times, in which case, a differing Access Period will apply to each such parcel or items. During any pertinent Access Period, each ABL Representative and its agents, representatives and designees shall have an irrevocable, non-exclusive right to have access to, and a rent-free right to use, the relevant parcel or item the Fixed Asset Priority Collateral for the purposes described above. Each ABL Representative shall take proper and reasonable care under the circumstances of any Fixed Asset Priority Collateral that is used by such ABL Representative during the Access Period and repair and replace any damage (ordinary wear-and-tear excepted) caused by such ABL Representative or its agents, representatives or designees and such ABL Representative shall comply with all applicable laws in all material respects in connection with its use or occupancy or possession of the Fixed Asset Priority Collateral. Each ABL Representative shall indemnify and hold harmless the Fixed Asset Representative and the Fixed Asset Secured Parties for any injury or damage to Persons or property (ordinary wear-and-tear excepted) caused by the acts or omissions of Persons under its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ABL Representatives and the ABL Secured Parties will not be liable for any diminution in the value of Fixed Asset Priority Collateral caused by the absence of the ABL Priority Collateral therefrom. Each ABL Representative and the Collateral Trustee shall cooperate and use reasonable efforts to ensure that their activities during the Access Period as described above do not interfere materially with the activities of the other as described above, including the right of the Collateral Trustee to show the Fixed Asset Priority Collateral to prospective purchasers and to ready the Fixed Asset Priority Collateral for sale. Consistent with the definition of the term “</w:t>
      </w:r>
      <w:r>
        <w:rPr>
          <w:rFonts w:ascii="Arial" w:cs="Arial" w:eastAsia="Arial" w:hAnsi="Arial"/>
          <w:sz w:val="16"/>
          <w:szCs w:val="16"/>
          <w:u w:val="single" w:color="auto"/>
          <w:color w:val="auto"/>
        </w:rPr>
        <w:t>Access Period</w:t>
      </w:r>
      <w:r>
        <w:rPr>
          <w:rFonts w:ascii="Arial" w:cs="Arial" w:eastAsia="Arial" w:hAnsi="Arial"/>
          <w:sz w:val="16"/>
          <w:szCs w:val="16"/>
          <w:color w:val="auto"/>
        </w:rPr>
        <w:t xml:space="preserve">,” if any order or injunction is issued or stay is granted or is otherwise effective by operation of law that prohibits the ABL Representative from exercising any of its rights hereunder, then the Access Period granted to any ABL Representative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be stayed during the period of such prohibition and shall continue thereafter for the number of days remaining as required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The Fixed Asset Representative shall not foreclose or otherwise sell, remove or dispose of any of the Fixed Asset Priority Collateral during the Access Period with respect to such Collateral if any ABL Representative (acting in good faith) informs the Collateral Trustee in writing that such Collateral is reasonably necessary to enable such ABL Representative to convert, transport or arrange to sell the ABL Priority Collateral as described above.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6" w:name="page437"/>
    <w:bookmarkEnd w:id="436"/>
    <w:p>
      <w:pPr>
        <w:jc w:val="both"/>
        <w:ind w:firstLine="648"/>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Additional Rights For the Loan Parties Hereunder</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hereof, if any ABL Secured Party or Fixed Asset Secured Party shall enforce its rights or remedies in violation of the terms of this Agreement, no Loan Party shall be entitled to use such violation as a defense to any action by any ABL Secured Party or Fixed Asset Secured Party, nor to assert such violation as a counterclaim or basis for set off or recoupment against any ABL Secured Party or Fixed Asset Secured Party.</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Actions Upon Breach</w:t>
      </w:r>
      <w:r>
        <w:rPr>
          <w:rFonts w:ascii="Arial" w:cs="Arial" w:eastAsia="Arial" w:hAnsi="Arial"/>
          <w:sz w:val="16"/>
          <w:szCs w:val="16"/>
          <w:color w:val="auto"/>
        </w:rPr>
        <w:t>. (a) If any ABL Secured Party or Fixed Asset Secured Party, contrary to this Agreement, commences or participates in any action or proceeding against any Loan Party or the Collateral, such Loan Party, with the prior written consent of the ABL Representative or the Collateral Trustee, as applicable, may interpose as a defense or dilatory plea the making of this Agreement, and any ABL Secured Party or Fixed Asset Secured Party, as applicable, may intervene and interpose such defense or plea in its or their name or in the name of such Loan Party.</w:t>
      </w:r>
    </w:p>
    <w:p>
      <w:pPr>
        <w:spacing w:after="0" w:line="157" w:lineRule="exact"/>
        <w:rPr>
          <w:sz w:val="20"/>
          <w:szCs w:val="20"/>
          <w:color w:val="auto"/>
        </w:rPr>
      </w:pPr>
    </w:p>
    <w:p>
      <w:pPr>
        <w:jc w:val="both"/>
        <w:ind w:firstLine="656"/>
        <w:spacing w:after="0" w:line="284" w:lineRule="auto"/>
        <w:tabs>
          <w:tab w:leader="none" w:pos="1366" w:val="left"/>
        </w:tabs>
        <w:numPr>
          <w:ilvl w:val="1"/>
          <w:numId w:val="561"/>
        </w:numPr>
        <w:rPr>
          <w:rFonts w:ascii="Arial" w:cs="Arial" w:eastAsia="Arial" w:hAnsi="Arial"/>
          <w:sz w:val="16"/>
          <w:szCs w:val="16"/>
          <w:color w:val="auto"/>
        </w:rPr>
      </w:pPr>
      <w:r>
        <w:rPr>
          <w:rFonts w:ascii="Arial" w:cs="Arial" w:eastAsia="Arial" w:hAnsi="Arial"/>
          <w:sz w:val="16"/>
          <w:szCs w:val="16"/>
          <w:color w:val="auto"/>
        </w:rPr>
        <w:t>Should any ABL Secured Party or Fixed Asset Secured Party, contrary to this Agreement, in any way take, attempt to or threaten to take any action with respect to the Collateral (including, without limitation, any attempt to realize upon or enforce any remedy with respect to this Agreement), or fail to take any action required by this Agreement, any ABL Secured Party or Fixed Asset Secured Party (in its own name or in the name of the relevant Loan Party), as applicable, or the relevant Loan Party, may obtain relief against such ABL Secured Party or Fixed Asset Secured Party, as applicable, by injunction, specific performance and/or other appropriate equitable relief, it being understood and agreed by each of the ABL Representative on behalf of each ABL Secured Party and the Fixed Asset Representative on behalf of each Fixed Asset Secured Party that is represents that (i) the ABL Secured Parties’ or Fixed Asset Secured Parties’, as applicable, damages from its actions may at that time be difficult to ascertain and may be irreparable, and</w:t>
      </w:r>
    </w:p>
    <w:p>
      <w:pPr>
        <w:spacing w:after="0" w:line="2" w:lineRule="exact"/>
        <w:rPr>
          <w:rFonts w:ascii="Arial" w:cs="Arial" w:eastAsia="Arial" w:hAnsi="Arial"/>
          <w:sz w:val="16"/>
          <w:szCs w:val="16"/>
          <w:color w:val="auto"/>
        </w:rPr>
      </w:pPr>
    </w:p>
    <w:p>
      <w:pPr>
        <w:ind w:firstLine="8"/>
        <w:spacing w:after="0" w:line="290" w:lineRule="auto"/>
        <w:tabs>
          <w:tab w:leader="none" w:pos="272" w:val="left"/>
        </w:tabs>
        <w:numPr>
          <w:ilvl w:val="0"/>
          <w:numId w:val="562"/>
        </w:numPr>
        <w:rPr>
          <w:rFonts w:ascii="Arial" w:cs="Arial" w:eastAsia="Arial" w:hAnsi="Arial"/>
          <w:sz w:val="17"/>
          <w:szCs w:val="17"/>
          <w:color w:val="auto"/>
        </w:rPr>
      </w:pPr>
      <w:r>
        <w:rPr>
          <w:rFonts w:ascii="Arial" w:cs="Arial" w:eastAsia="Arial" w:hAnsi="Arial"/>
          <w:sz w:val="17"/>
          <w:szCs w:val="17"/>
          <w:color w:val="auto"/>
        </w:rPr>
        <w:t>each Fixed Asset Secured Party or ABL Secured Party, as applicable, waives any defense that the Loan Parties and/or the Fixed Asset Secured Parties and/or ABL Secured Parties, as applicable, cannot demonstrate damage and/or be made whole by the awarding of damages.</w:t>
      </w:r>
    </w:p>
    <w:p>
      <w:pPr>
        <w:spacing w:after="0" w:line="16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i w:val="1"/>
          <w:iCs w:val="1"/>
          <w:u w:val="single" w:color="auto"/>
          <w:color w:val="auto"/>
        </w:rPr>
        <w:t>Section 4.</w:t>
      </w:r>
      <w:r>
        <w:rPr>
          <w:sz w:val="20"/>
          <w:szCs w:val="20"/>
          <w:color w:val="auto"/>
        </w:rPr>
        <w:tab/>
      </w:r>
      <w:r>
        <w:rPr>
          <w:rFonts w:ascii="Arial" w:cs="Arial" w:eastAsia="Arial" w:hAnsi="Arial"/>
          <w:sz w:val="16"/>
          <w:szCs w:val="16"/>
          <w:i w:val="1"/>
          <w:iCs w:val="1"/>
          <w:color w:val="auto"/>
        </w:rPr>
        <w:t>Application of Proceeds of Senior Collateral; Dispositions and Releases of Lien; Notices and Insurance.</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311" w:lineRule="auto"/>
        <w:tabs>
          <w:tab w:leader="none" w:pos="1639" w:val="left"/>
        </w:tabs>
        <w:numPr>
          <w:ilvl w:val="0"/>
          <w:numId w:val="563"/>
        </w:numPr>
        <w:rPr>
          <w:rFonts w:ascii="Arial" w:cs="Arial" w:eastAsia="Arial" w:hAnsi="Arial"/>
          <w:sz w:val="16"/>
          <w:szCs w:val="16"/>
          <w:color w:val="auto"/>
        </w:rPr>
      </w:pPr>
      <w:r>
        <w:rPr>
          <w:rFonts w:ascii="Arial" w:cs="Arial" w:eastAsia="Arial" w:hAnsi="Arial"/>
          <w:sz w:val="16"/>
          <w:szCs w:val="16"/>
          <w:u w:val="single" w:color="auto"/>
          <w:color w:val="auto"/>
        </w:rPr>
        <w:t>Application of Proceeds of Senior Collateral</w:t>
      </w:r>
      <w:r>
        <w:rPr>
          <w:rFonts w:ascii="Arial" w:cs="Arial" w:eastAsia="Arial" w:hAnsi="Arial"/>
          <w:sz w:val="16"/>
          <w:szCs w:val="16"/>
          <w:color w:val="auto"/>
        </w:rPr>
        <w:t>. The Senior Representative and Junior Representative hereby agree that all Senior Collateral and all Proceeds thereof received by either of them in connection with any Enforcement Action or any other collection, sale, disposition or other transfer of Senior Collateral (regardless of whether an Insolvency Proceeding has been commenced by or against any Loan Party) shall be applied,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7" w:name="page438"/>
    <w:bookmarkEnd w:id="437"/>
    <w:p>
      <w:pPr>
        <w:jc w:val="both"/>
        <w:ind w:left="640" w:firstLine="648"/>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payment of costs and expenses (including reasonable attorneys' fees and expenses and court costs) of the Senior Representative in connection with such Enforcement Action or other collection, sale, disposition or other transfer,</w:t>
      </w:r>
    </w:p>
    <w:p>
      <w:pPr>
        <w:spacing w:after="0" w:line="170"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payment of the Senior Obligations in accordance with the Senior Documents (including any separate intercreditor agreement among any Senior Secured Parties or their representatives including in the case of the Fixed Asset Secured Parties, the Collateral Trust Agreement) until the Senior Obligations Payment Date,</w:t>
      </w:r>
    </w:p>
    <w:p>
      <w:pPr>
        <w:spacing w:after="0" w:line="184" w:lineRule="exact"/>
        <w:rPr>
          <w:sz w:val="20"/>
          <w:szCs w:val="20"/>
          <w:color w:val="auto"/>
        </w:rPr>
      </w:pPr>
    </w:p>
    <w:p>
      <w:pPr>
        <w:jc w:val="both"/>
        <w:ind w:left="640" w:firstLine="648"/>
        <w:spacing w:after="0" w:line="308"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to the payment of the Junior Obligations, to the extent such Senior Collateral also constitutes Junior Collateral, in accordance with the Junior Documents (including any separate intercreditor agreement among the Junior Secured Parties or their representatives), and</w:t>
      </w:r>
    </w:p>
    <w:p>
      <w:pPr>
        <w:spacing w:after="0" w:line="146" w:lineRule="exact"/>
        <w:rPr>
          <w:sz w:val="20"/>
          <w:szCs w:val="20"/>
          <w:color w:val="auto"/>
        </w:rPr>
      </w:pPr>
    </w:p>
    <w:p>
      <w:pPr>
        <w:jc w:val="both"/>
        <w:ind w:left="640"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balance, if any, to the Loan Parties or to whosoever may be lawfully entitled to receive the same or as a court of competent jurisdiction may direct.</w:t>
      </w:r>
    </w:p>
    <w:p>
      <w:pPr>
        <w:spacing w:after="0" w:line="170" w:lineRule="exact"/>
        <w:rPr>
          <w:sz w:val="20"/>
          <w:szCs w:val="20"/>
          <w:color w:val="auto"/>
        </w:rPr>
      </w:pPr>
    </w:p>
    <w:p>
      <w:pPr>
        <w:jc w:val="both"/>
        <w:ind w:left="640" w:firstLine="648"/>
        <w:spacing w:after="0" w:line="288" w:lineRule="auto"/>
        <w:rPr>
          <w:sz w:val="20"/>
          <w:szCs w:val="20"/>
          <w:color w:val="auto"/>
        </w:rPr>
      </w:pPr>
      <w:r>
        <w:rPr>
          <w:rFonts w:ascii="Arial" w:cs="Arial" w:eastAsia="Arial" w:hAnsi="Arial"/>
          <w:sz w:val="16"/>
          <w:szCs w:val="16"/>
          <w:color w:val="auto"/>
        </w:rPr>
        <w:t>All Proceeds of any sale of a Loan Party as a whole, or substantially all of the assets of any Loan Party, or any sale where ABL Priority Collateral and Fixed Asset Priority Collateral are sold together as a combined pool of assets, where the consideration received is not allocated by type of asset, in connection with or resulting from any Enforcement Action or any other collection, sale, disposition or other transfer of Collateral, and whether or not pursuant to an Insolvency Proceeding, shall be distributed as follows under clause “second” above: first to the Designated ABL Representative for application to the ABL Obligations in accordance with the terms of the ABL Documents (including any separate intercreditor agreement among the ABL Secured Parties or their representatives), up to the amount of the greater of (x) the fair market value of and (y) the current book value of, in each case, the ABL Priority Collateral disposed of in such sale or owned by such Loan Party (in the case of a sale of such Loan Party as a whole), and second to the Collateral Trustee for application to the Fixed Asset Obligations in accordance with the terms of the Fixed Asset Documents (including any separate intercreditor agreement among Fixed Asset Secured Parties or their representatives, including the Collateral Trust Agreement) to the extent such Proceeds exceed the book value of the ABL Priority Collateral.</w:t>
      </w:r>
    </w:p>
    <w:p>
      <w:pPr>
        <w:spacing w:after="0" w:line="168" w:lineRule="exact"/>
        <w:rPr>
          <w:sz w:val="20"/>
          <w:szCs w:val="20"/>
          <w:color w:val="auto"/>
        </w:rPr>
      </w:pPr>
    </w:p>
    <w:p>
      <w:pPr>
        <w:jc w:val="both"/>
        <w:ind w:left="-20" w:firstLine="656"/>
        <w:spacing w:after="0" w:line="311" w:lineRule="auto"/>
        <w:tabs>
          <w:tab w:leader="none" w:pos="1391" w:val="left"/>
        </w:tabs>
        <w:numPr>
          <w:ilvl w:val="0"/>
          <w:numId w:val="564"/>
        </w:numPr>
        <w:rPr>
          <w:rFonts w:ascii="Arial" w:cs="Arial" w:eastAsia="Arial" w:hAnsi="Arial"/>
          <w:sz w:val="16"/>
          <w:szCs w:val="16"/>
          <w:color w:val="auto"/>
        </w:rPr>
      </w:pPr>
      <w:r>
        <w:rPr>
          <w:rFonts w:ascii="Arial" w:cs="Arial" w:eastAsia="Arial" w:hAnsi="Arial"/>
          <w:sz w:val="16"/>
          <w:szCs w:val="16"/>
          <w:u w:val="single" w:color="auto"/>
          <w:color w:val="auto"/>
        </w:rPr>
        <w:t>Limited Obligation or Liability</w:t>
      </w:r>
      <w:r>
        <w:rPr>
          <w:rFonts w:ascii="Arial" w:cs="Arial" w:eastAsia="Arial" w:hAnsi="Arial"/>
          <w:sz w:val="16"/>
          <w:szCs w:val="16"/>
          <w:color w:val="auto"/>
        </w:rPr>
        <w:t>. In exercising remedies, whether as a secured creditor or otherwise, the Senior Representative shall have no obligation or liability to the Junior Representative or to any Junior Secured Party, regarding the adequacy of any Proceeds or for any action or omission, save and except solely for an action or omission that breaches the express obligations undertaken by each party under the terms of this Agreement.</w:t>
      </w:r>
    </w:p>
    <w:p>
      <w:pPr>
        <w:spacing w:after="0" w:line="148" w:lineRule="exact"/>
        <w:rPr>
          <w:rFonts w:ascii="Arial" w:cs="Arial" w:eastAsia="Arial" w:hAnsi="Arial"/>
          <w:sz w:val="16"/>
          <w:szCs w:val="16"/>
          <w:color w:val="auto"/>
        </w:rPr>
      </w:pPr>
    </w:p>
    <w:p>
      <w:pPr>
        <w:jc w:val="both"/>
        <w:ind w:left="-20" w:firstLine="656"/>
        <w:spacing w:after="0" w:line="275" w:lineRule="auto"/>
        <w:tabs>
          <w:tab w:leader="none" w:pos="1435" w:val="left"/>
        </w:tabs>
        <w:numPr>
          <w:ilvl w:val="0"/>
          <w:numId w:val="564"/>
        </w:numPr>
        <w:rPr>
          <w:rFonts w:ascii="Arial" w:cs="Arial" w:eastAsia="Arial" w:hAnsi="Arial"/>
          <w:sz w:val="17"/>
          <w:szCs w:val="17"/>
          <w:color w:val="auto"/>
        </w:rPr>
      </w:pPr>
      <w:r>
        <w:rPr>
          <w:rFonts w:ascii="Arial" w:cs="Arial" w:eastAsia="Arial" w:hAnsi="Arial"/>
          <w:sz w:val="17"/>
          <w:szCs w:val="17"/>
          <w:u w:val="single" w:color="auto"/>
          <w:color w:val="auto"/>
        </w:rPr>
        <w:t>Segregation of Collateral</w:t>
      </w:r>
      <w:r>
        <w:rPr>
          <w:rFonts w:ascii="Arial" w:cs="Arial" w:eastAsia="Arial" w:hAnsi="Arial"/>
          <w:sz w:val="17"/>
          <w:szCs w:val="17"/>
          <w:color w:val="auto"/>
        </w:rPr>
        <w:t>. Until the occurrence of the Senior Obligations Payment Date, any Senior Collateral that may be received by any Junior Secured Party in violation of this Agreement shall, to the extent practicable and in accordance with its normal practices, be segregated and held in trust and promptly paid over to the Designated Senior Representative, for the benefit of the Senior Secured Parties, in the same form as received, with any necessary endorsements, and each Junior Secured Party hereby authorizes the Designated Senior Representative to make any such endorsements as agent for the Junior Representative (which authorization, being coupled with an interest, is irrevocable).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124" w:right="339" w:bottom="1440" w:gutter="0" w:footer="0" w:header="0"/>
        </w:sectPr>
      </w:pPr>
    </w:p>
    <w:bookmarkStart w:id="438" w:name="page439"/>
    <w:bookmarkEnd w:id="438"/>
    <w:p>
      <w:pPr>
        <w:jc w:val="both"/>
        <w:ind w:firstLine="648"/>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Releases of Liens</w:t>
      </w:r>
      <w:r>
        <w:rPr>
          <w:rFonts w:ascii="Arial" w:cs="Arial" w:eastAsia="Arial" w:hAnsi="Arial"/>
          <w:sz w:val="17"/>
          <w:szCs w:val="17"/>
          <w:color w:val="auto"/>
        </w:rPr>
        <w:t xml:space="preserve"> . (a) (i) Upon any release, sale or disposition of ABL Priority Collateral permitted pursuant to the terms of the ABL Documents that results in the release of the ABL Lien (other than release of the ABL Lien due to the occurrence of the ABL Obligations Payment Date, and any release of the ABL Lien after the occurrence and during the continuance of any event of default under any Fixed Asset Document) on any ABL Priority Collateral, the Fixed Asset Lien on such ABL Priority Collateral (excluding any portion of the proceeds of such ABL Priority Collateral remaining after the ABL Obligations Payment Date occurs) shall be automatically and unconditionally released with no further consent or action of any Person so long as such release, sale or disposition of ABL Priority Collateral is permitted pursuant to the terms of the Fixed Asset Documents.</w:t>
      </w:r>
    </w:p>
    <w:p>
      <w:pPr>
        <w:spacing w:after="0" w:line="178" w:lineRule="exact"/>
        <w:rPr>
          <w:sz w:val="20"/>
          <w:szCs w:val="20"/>
          <w:color w:val="auto"/>
        </w:rPr>
      </w:pPr>
    </w:p>
    <w:p>
      <w:pPr>
        <w:jc w:val="both"/>
        <w:ind w:left="660" w:firstLine="644"/>
        <w:spacing w:after="0" w:line="273" w:lineRule="auto"/>
        <w:tabs>
          <w:tab w:leader="none" w:pos="2095" w:val="left"/>
        </w:tabs>
        <w:numPr>
          <w:ilvl w:val="1"/>
          <w:numId w:val="565"/>
        </w:numPr>
        <w:rPr>
          <w:rFonts w:ascii="Arial" w:cs="Arial" w:eastAsia="Arial" w:hAnsi="Arial"/>
          <w:sz w:val="17"/>
          <w:szCs w:val="17"/>
          <w:color w:val="auto"/>
        </w:rPr>
      </w:pPr>
      <w:r>
        <w:rPr>
          <w:rFonts w:ascii="Arial" w:cs="Arial" w:eastAsia="Arial" w:hAnsi="Arial"/>
          <w:sz w:val="17"/>
          <w:szCs w:val="17"/>
          <w:color w:val="auto"/>
        </w:rPr>
        <w:t xml:space="preserve">Upon any release, sale or disposition of ABL Priority Collateral pursuant to any Enforcement Action that results in the release of the ABL Lien (other than release of the ABL Lien due to the occurrence of the ABL Obligations Payment Date) on any ABL Priority Collateral, the Fixed Asset Lien on such ABL Priority Collateral (excluding any portion of the proceeds of such ABL Priority Collateral remaining after the ABL Obligations Payment Date occurs) shall be automatically and unconditionally released with no further consent or action of any Person so long as the proceeds of such ABL Priority Collateral are applied in accordance with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(with, in the case of ABL Obligations consisting of debt of a revolving nature, a corresponding permanent reduction in the commitments thereto).</w:t>
      </w:r>
    </w:p>
    <w:p>
      <w:pPr>
        <w:spacing w:after="0" w:line="177" w:lineRule="exact"/>
        <w:rPr>
          <w:rFonts w:ascii="Arial" w:cs="Arial" w:eastAsia="Arial" w:hAnsi="Arial"/>
          <w:sz w:val="17"/>
          <w:szCs w:val="17"/>
          <w:color w:val="auto"/>
        </w:rPr>
      </w:pPr>
    </w:p>
    <w:p>
      <w:pPr>
        <w:jc w:val="both"/>
        <w:ind w:left="660" w:firstLine="644"/>
        <w:spacing w:after="0" w:line="289" w:lineRule="auto"/>
        <w:tabs>
          <w:tab w:leader="none" w:pos="2253" w:val="left"/>
        </w:tabs>
        <w:numPr>
          <w:ilvl w:val="1"/>
          <w:numId w:val="565"/>
        </w:numPr>
        <w:rPr>
          <w:rFonts w:ascii="Arial" w:cs="Arial" w:eastAsia="Arial" w:hAnsi="Arial"/>
          <w:sz w:val="16"/>
          <w:szCs w:val="16"/>
          <w:color w:val="auto"/>
        </w:rPr>
      </w:pPr>
      <w:r>
        <w:rPr>
          <w:rFonts w:ascii="Arial" w:cs="Arial" w:eastAsia="Arial" w:hAnsi="Arial"/>
          <w:sz w:val="16"/>
          <w:szCs w:val="16"/>
          <w:color w:val="auto"/>
        </w:rPr>
        <w:t xml:space="preserve">The Fixed Asset Representative shall promptly execute and deliver such release documents and instruments and shall take such further actions as the Designated ABL Representative or the Borrower shall reasonably request in writing to evidence any release of the Fixed Asset Lien described herein. The Fixed Asset Representative hereby appoints the Designated ABL Representative and any officer or duly authorized person of the Designated ABL Representative, with full power of substitution, as its true and lawful attorney-in-fact with full irrevocable power of attorney in the place and stead of the Fixed Asset Representative and in the name of the Fixed Asset Representative or in the Designated ABL Representative’s own name, from time to time, in the ABL Representative’s sole discretion, for the purposes of carrying out the terms of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to take any and all appropriate action and to execute and deliver any and all documents and instruments as may be necessary or desirable to accomplish the purposes of this </w:t>
      </w:r>
      <w:r>
        <w:rPr>
          <w:rFonts w:ascii="Arial" w:cs="Arial" w:eastAsia="Arial" w:hAnsi="Arial"/>
          <w:sz w:val="16"/>
          <w:szCs w:val="16"/>
          <w:u w:val="single" w:color="auto"/>
          <w:color w:val="auto"/>
        </w:rPr>
        <w:t>Section 4.2</w:t>
      </w:r>
      <w:r>
        <w:rPr>
          <w:rFonts w:ascii="Arial" w:cs="Arial" w:eastAsia="Arial" w:hAnsi="Arial"/>
          <w:sz w:val="16"/>
          <w:szCs w:val="16"/>
          <w:color w:val="auto"/>
        </w:rPr>
        <w:t>, including, without limitation, any financing statements, endorsements, assignments, releases or other documents or instruments of transfer (which appointment, being coupled with an interest, is irrevocable).</w:t>
      </w:r>
    </w:p>
    <w:p>
      <w:pPr>
        <w:spacing w:after="0" w:line="166" w:lineRule="exact"/>
        <w:rPr>
          <w:rFonts w:ascii="Arial" w:cs="Arial" w:eastAsia="Arial" w:hAnsi="Arial"/>
          <w:sz w:val="16"/>
          <w:szCs w:val="16"/>
          <w:color w:val="auto"/>
        </w:rPr>
      </w:pPr>
    </w:p>
    <w:p>
      <w:pPr>
        <w:jc w:val="both"/>
        <w:ind w:firstLine="656"/>
        <w:spacing w:after="0" w:line="254" w:lineRule="auto"/>
        <w:tabs>
          <w:tab w:leader="none" w:pos="1397"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 Upon any release, sale or disposition of Fixed Asset Priority Collateral permitted pursuant to the terms of the Fixed Asset Documents that results in the release of all Fixed Asset Liens (other than release of Fixed Asset Liens due to the occurrence of the Fixed Asset Obligations Payment Date, and any release of the Fixed Asset Liens after the occurrence and during the continuance of any event of default under the ABL Agreement) on any Fixed Asset Priority Collateral, the ABL Lien on such Fixed Asset Priority Collateral (excluding any portion of the proceeds of such Fixed Asset Priority Collateral remaining after the Fixed Asset Obligations Payment Date occurs) shall be automatically and unconditionally released with no further consent or action of any Person so long as such release, sale or disposition of Fixed Asset Priority Collateral is permitted pursuant to the terms of the ABL Documents.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9" w:name="page440"/>
    <w:bookmarkEnd w:id="439"/>
    <w:p>
      <w:pPr>
        <w:jc w:val="both"/>
        <w:ind w:left="660" w:firstLine="644"/>
        <w:spacing w:after="0" w:line="254" w:lineRule="auto"/>
        <w:tabs>
          <w:tab w:leader="none" w:pos="2122" w:val="left"/>
        </w:tabs>
        <w:numPr>
          <w:ilvl w:val="0"/>
          <w:numId w:val="567"/>
        </w:numPr>
        <w:rPr>
          <w:rFonts w:ascii="Arial" w:cs="Arial" w:eastAsia="Arial" w:hAnsi="Arial"/>
          <w:sz w:val="18"/>
          <w:szCs w:val="18"/>
          <w:color w:val="auto"/>
        </w:rPr>
      </w:pPr>
      <w:r>
        <w:rPr>
          <w:rFonts w:ascii="Arial" w:cs="Arial" w:eastAsia="Arial" w:hAnsi="Arial"/>
          <w:sz w:val="18"/>
          <w:szCs w:val="18"/>
          <w:color w:val="auto"/>
        </w:rPr>
        <w:t xml:space="preserve">Upon any release, sale or disposition of Fixed Asset Priority Collateral pursuant to any Enforcement Action that results in the release of the Fixed Asset Lien (other than release of the Fixed Asset Lien due to the occurrence of the Fixed Asset Obligations Payment Date) on any Fixed Asset Priority Collateral, the ABL Lien on such Fixed Asset Priority Collateral (excluding any portion of the proceeds of such Fixed Asset Priority Collateral remaining after the Fixed Asset Obligations Payment Date occurs) shall be automatically and unconditionally released with no further consent or action of any Person so long as the proceeds of such Fixed Asset Priority Collateral are applied in accordance with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(with, in the case of Fixed Asset Obligations consisting of debt of a revolving nature, a corresponding permanent reduction in the commitments thereto).</w:t>
      </w:r>
    </w:p>
    <w:p>
      <w:pPr>
        <w:spacing w:after="0" w:line="194" w:lineRule="exact"/>
        <w:rPr>
          <w:rFonts w:ascii="Arial" w:cs="Arial" w:eastAsia="Arial" w:hAnsi="Arial"/>
          <w:sz w:val="18"/>
          <w:szCs w:val="18"/>
          <w:color w:val="auto"/>
        </w:rPr>
      </w:pPr>
    </w:p>
    <w:p>
      <w:pPr>
        <w:jc w:val="both"/>
        <w:ind w:left="660" w:firstLine="644"/>
        <w:spacing w:after="0" w:line="270" w:lineRule="auto"/>
        <w:tabs>
          <w:tab w:leader="none" w:pos="228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Each ABL Representative shall promptly execute and deliver such release documents and instruments and shall take such further actions as the Fixed Asset Representative or the Borrower shall reasonably request in writing to evidence any release of the ABL Lien described herein. The ABL Representative hereby appoints the Collateral Trustee and any officer or duly authorized person of the Collateral Trustee, with full power of substitution, as its true and lawful attorney-in-fact with full irrevocable power of attorney in the place and stead of the ABL Representative and in the name of the ABL Representative or in the Collateral Trustee’s own name, from time to time, in the Collateral Trustee’s sole discretion, for the purposes of carrying out the terms of this Section 4.2, to take any and all appropriate action and to execute and deliver any and all documents and instruments as may be necessary or desirable to accomplish the purposes of this Section 4.2, including, without limitation, any financing statements, endorsements, assignments, releases or other documents or instruments of transfer (which appointment, being coupled with an interest, is irrevocable).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Certain Real Property Notices: Insurance</w:t>
      </w:r>
      <w:r>
        <w:rPr>
          <w:rFonts w:ascii="Arial" w:cs="Arial" w:eastAsia="Arial" w:hAnsi="Arial"/>
          <w:sz w:val="18"/>
          <w:szCs w:val="18"/>
          <w:color w:val="auto"/>
        </w:rPr>
        <w:t xml:space="preserve"> . (a) The Fixed Asset Representative shall give the Designated ABL Representative at least 30 days' notice prior to it commencing any Enforcement Action against any Real Property (including, for the avoidance of doubt, the commencement of any action against title insurance policies) owned by any Loan Party at which ABL Priority Collateral is stored or otherwise located or to dispossess any Loan Party from such Real Property.</w:t>
      </w:r>
    </w:p>
    <w:p>
      <w:pPr>
        <w:spacing w:after="0" w:line="187" w:lineRule="exact"/>
        <w:rPr>
          <w:sz w:val="20"/>
          <w:szCs w:val="20"/>
          <w:color w:val="auto"/>
        </w:rPr>
      </w:pPr>
    </w:p>
    <w:p>
      <w:pPr>
        <w:jc w:val="both"/>
        <w:ind w:firstLine="656"/>
        <w:spacing w:after="0" w:line="290" w:lineRule="auto"/>
        <w:tabs>
          <w:tab w:leader="none" w:pos="160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 xml:space="preserve">Proceeds of Collateral include insurance proceeds and therefore the Lien Priority shall govern the ultimate disposition of casualty insurance proceeds. Each ABL Representative and the Fixed Asset Representative shall be named as additional insureds and lender loss payees with respect to all insurance policies relating to Collateral, to the extent required pursuant to the terms of the Debt Documents. Each ABL Representative shall have the sole and exclusive right, as against the Fixed Asset Representative, to adjust settlement of insurance claims in the event of any covered loss, theft or destruction of ABL Priority Collateral. The Fixed Asset Representative shall have the sole and exclusive right, as against the ABL Representative, to adjust settlement of insurance claims in the event of any covered loss, theft or destruction of Fixed Asset Priority Collateral. All proceeds of such insurance shall be remitted to the Designated ABL Representative or the Collateral Trustee, as the case may be, and the Fixed Asset Representative and ABL Representative shall cooperate (if necessary) in a reasonable manner in effecting the payment of insurance proceeds in accordance with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0" w:name="page441"/>
    <w:bookmarkEnd w:id="440"/>
    <w:p>
      <w:pPr>
        <w:spacing w:after="0"/>
        <w:tabs>
          <w:tab w:leader="none" w:pos="1200" w:val="left"/>
        </w:tabs>
        <w:rPr>
          <w:sz w:val="20"/>
          <w:szCs w:val="20"/>
          <w:color w:val="auto"/>
        </w:rPr>
      </w:pPr>
      <w:r>
        <w:rPr>
          <w:rFonts w:ascii="Arial" w:cs="Arial" w:eastAsia="Arial" w:hAnsi="Arial"/>
          <w:sz w:val="18"/>
          <w:szCs w:val="18"/>
          <w:i w:val="1"/>
          <w:iCs w:val="1"/>
          <w:u w:val="single" w:color="auto"/>
          <w:color w:val="auto"/>
        </w:rPr>
        <w:t>Section 5.</w:t>
      </w:r>
      <w:r>
        <w:rPr>
          <w:sz w:val="20"/>
          <w:szCs w:val="20"/>
          <w:color w:val="auto"/>
        </w:rPr>
        <w:tab/>
      </w:r>
      <w:r>
        <w:rPr>
          <w:rFonts w:ascii="Arial" w:cs="Arial" w:eastAsia="Arial" w:hAnsi="Arial"/>
          <w:sz w:val="16"/>
          <w:szCs w:val="16"/>
          <w:i w:val="1"/>
          <w:iCs w:val="1"/>
          <w:color w:val="auto"/>
        </w:rPr>
        <w:t>Insolvency Proceedings.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Filing of Motions</w:t>
      </w:r>
      <w:r>
        <w:rPr>
          <w:rFonts w:ascii="Arial" w:cs="Arial" w:eastAsia="Arial" w:hAnsi="Arial"/>
          <w:sz w:val="16"/>
          <w:szCs w:val="16"/>
          <w:color w:val="auto"/>
        </w:rPr>
        <w:t xml:space="preserve"> . Until the Senior Obligations Payment Date has occurred, the Junior Representative agrees on behalf of itself and the other Junior Secured Parties that no Junior Secured Party shall, in or in connection with any Insolvency Proceeding, file any pleadings or motions, take any position at any hearing or proceeding of any nature, or otherwise take any action whatsoever, in each case in respect of any of the Senior Collateral, including, without limitation, with respect to the determination of any Liens or claims held by the Senior Representative (including the validity and enforceability thereof) or any other Senior Secured Party in respect of any Senior Collateral or the value of any claims of such parties under Section 506(a) of the Bankruptcy Code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Junior Representative may (i) file a proof of claim in an Insolvency Proceeding, and</w:t>
      </w:r>
    </w:p>
    <w:p>
      <w:pPr>
        <w:spacing w:after="0" w:line="4" w:lineRule="exact"/>
        <w:rPr>
          <w:sz w:val="20"/>
          <w:szCs w:val="20"/>
          <w:color w:val="auto"/>
        </w:rPr>
      </w:pPr>
    </w:p>
    <w:p>
      <w:pPr>
        <w:jc w:val="both"/>
        <w:ind w:firstLine="8"/>
        <w:spacing w:after="0" w:line="255" w:lineRule="auto"/>
        <w:tabs>
          <w:tab w:leader="none" w:pos="26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file any necessary responsive or defensive pleadings in opposition of any motion or other pleadings made by any Person seeking the disallowance of the claims of the Junior Secured Parties on the Senior Collateral, subject to the limitations contained in this Agreement and only if consistent with the terms and the limitations on the Junior Representative imposed hereby.</w:t>
      </w:r>
    </w:p>
    <w:p>
      <w:pPr>
        <w:spacing w:after="0" w:line="19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Financing Matters</w:t>
      </w:r>
      <w:r>
        <w:rPr>
          <w:rFonts w:ascii="Arial" w:cs="Arial" w:eastAsia="Arial" w:hAnsi="Arial"/>
          <w:sz w:val="16"/>
          <w:szCs w:val="16"/>
          <w:color w:val="auto"/>
        </w:rPr>
        <w:t xml:space="preserve"> . (a) If any Loan Party becomes subject to any Insolvency Proceeding in the United States at any time prior to the ABL Obligations Payment Date, and if any ABL Representative or the other ABL Secured Parties desire to consent (or not object) to the use of cash collateral under the Bankruptcy Code or to provide financing to any Loan Party under the Bankruptcy Code or to consent (or not object) to the provision of such financing to any Loan Party by any third party (any such financing, “</w:t>
      </w:r>
      <w:r>
        <w:rPr>
          <w:rFonts w:ascii="Arial" w:cs="Arial" w:eastAsia="Arial" w:hAnsi="Arial"/>
          <w:sz w:val="16"/>
          <w:szCs w:val="16"/>
          <w:u w:val="single" w:color="auto"/>
          <w:color w:val="auto"/>
        </w:rPr>
        <w:t>ABL DIP Financing</w:t>
      </w:r>
      <w:r>
        <w:rPr>
          <w:rFonts w:ascii="Arial" w:cs="Arial" w:eastAsia="Arial" w:hAnsi="Arial"/>
          <w:sz w:val="16"/>
          <w:szCs w:val="16"/>
          <w:color w:val="auto"/>
        </w:rPr>
        <w:t xml:space="preserve">”‘), then the Fixed Asset Representative agrees, on behalf of itself and the other Fixed Asset Secured Parties that it represents, that each Fixed Asset Secured Party (i) (x) will be deemed to have consented to, will raise no objection to, nor support any other Person objecting to, the use of such cash collateral or to such ABL DIP Financing on the grounds of a failure to provide “adequate protection” for the Fixed Asset Representative’s Lien on the Collateral to secure the Fixed Asset Obligations or on any other grounds and (y) will not request any adequate protection solely as a result of such ABL DIP Financing except as set forth in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below and (ii) will subordinate (and will be deemed hereunder to have subordinated) the Fixed Asset Liens and any adequate protection liens granted to any Fixed Asset Secured Party related thereto on any ABL Priority Collateral (A) to such ABL DIP Financing on the same terms as the ABL Liens are subordinated thereto (and such subordination will not alter in any manner the terms of this Agreement), (B) to any adequate protection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to the ABL Secured Parties and</w:t>
      </w:r>
    </w:p>
    <w:p>
      <w:pPr>
        <w:spacing w:after="0" w:line="4" w:lineRule="exact"/>
        <w:rPr>
          <w:sz w:val="20"/>
          <w:szCs w:val="20"/>
          <w:color w:val="auto"/>
        </w:rPr>
      </w:pPr>
    </w:p>
    <w:p>
      <w:pPr>
        <w:jc w:val="both"/>
        <w:ind w:firstLine="8"/>
        <w:spacing w:after="0" w:line="267" w:lineRule="auto"/>
        <w:tabs>
          <w:tab w:leader="none" w:pos="285" w:val="left"/>
        </w:tabs>
        <w:numPr>
          <w:ilvl w:val="0"/>
          <w:numId w:val="570"/>
        </w:numPr>
        <w:rPr>
          <w:rFonts w:ascii="Arial" w:cs="Arial" w:eastAsia="Arial" w:hAnsi="Arial"/>
          <w:sz w:val="17"/>
          <w:szCs w:val="17"/>
          <w:color w:val="auto"/>
        </w:rPr>
      </w:pPr>
      <w:r>
        <w:rPr>
          <w:rFonts w:ascii="Arial" w:cs="Arial" w:eastAsia="Arial" w:hAnsi="Arial"/>
          <w:sz w:val="17"/>
          <w:szCs w:val="17"/>
          <w:color w:val="auto"/>
        </w:rPr>
        <w:t>to any “carve-out” agreed to by the ABL Representative or the other ABL Secured Parties, so long as (x) the Fixed Asset Representative retains its Lien on the Collateral to secure the Fixed Asset Obligations (in each case, including Proceeds thereof arising after the commencement of the case under the Bankruptcy Code) and, as to the Fixed Asset Priority Collateral only, such Lien has the same priority as existed prior to the commencement of the case under the Bankruptcy Code and any Lien securing such ABL DIP Financing is junior and subordinate to the Lien of the Fixed Asset Representative on the Fixed Asset Priority Collateral, (y) all Liens on ABL Priority Collateral securing any such ABL DIP Financing shall be senior to or on a parity with the Liens of the ABL Representative and the ABL Lenders securing the ABL Obligations on ABL Priority Collateral and (z) if any ABL Representative receives a replacement or adequate protection Lien on post-petition assets of the debtor to secure the ABL Obligations, and such replacement or adequate protection Lien is on any of the Fixed Asset Priority Collateral, (1) such replacement or adequate protection Lien on such post-petition assets which are part of the Fixed Asset Priority Collateral (the “</w:t>
      </w:r>
      <w:r>
        <w:rPr>
          <w:rFonts w:ascii="Arial" w:cs="Arial" w:eastAsia="Arial" w:hAnsi="Arial"/>
          <w:sz w:val="17"/>
          <w:szCs w:val="17"/>
          <w:u w:val="single" w:color="auto"/>
          <w:color w:val="auto"/>
        </w:rPr>
        <w:t>Fixed Asset Post-Petition Assets</w:t>
      </w:r>
      <w:r>
        <w:rPr>
          <w:rFonts w:ascii="Arial" w:cs="Arial" w:eastAsia="Arial" w:hAnsi="Arial"/>
          <w:sz w:val="17"/>
          <w:szCs w:val="17"/>
          <w:color w:val="auto"/>
        </w:rPr>
        <w:t>”) is junior and subordinate to the Lien in favor of the Fixed Asset Representative on the Fixed Asset Priority Collateral and (2) the Fixed Asset Representative also receives a replacement or adequate protection Lien on such Fixed Asset Post-Petition Assets of the debtor to secure the Fixed Asset Obligations. In no event will any of the ABL Secured Parties seek to obtain a priming Lien on any of the Fixed Asset Priority Collateral and nothing contained herein shall be deemed to be a consent by any Fixed Asset Secured Party to any adequate protection payments using Fixed Asset Priority Collateral.</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1" w:name="page442"/>
    <w:bookmarkEnd w:id="441"/>
    <w:p>
      <w:pPr>
        <w:jc w:val="both"/>
        <w:ind w:left="-8" w:firstLine="656"/>
        <w:spacing w:after="0" w:line="283" w:lineRule="auto"/>
        <w:tabs>
          <w:tab w:leader="none" w:pos="1470" w:val="left"/>
        </w:tabs>
        <w:numPr>
          <w:ilvl w:val="1"/>
          <w:numId w:val="571"/>
        </w:numPr>
        <w:rPr>
          <w:rFonts w:ascii="Arial" w:cs="Arial" w:eastAsia="Arial" w:hAnsi="Arial"/>
          <w:sz w:val="16"/>
          <w:szCs w:val="16"/>
          <w:color w:val="auto"/>
        </w:rPr>
      </w:pPr>
      <w:r>
        <w:rPr>
          <w:rFonts w:ascii="Arial" w:cs="Arial" w:eastAsia="Arial" w:hAnsi="Arial"/>
          <w:sz w:val="16"/>
          <w:szCs w:val="16"/>
          <w:color w:val="auto"/>
        </w:rPr>
        <w:t>If any Loan Party becomes subject to any Insolvency Proceeding in the United States at any time prior to the Fixed Asset Obligations Payment Date, and if the Fixed Asset Representative or the other Fixed Asset Secured Parties desire to consent (or not object) or to provide financing to any Loan Party under the Bankruptcy Code or to consent (or not object) to the provision of such financing to any Loan Party by any third party (any such financing, “</w:t>
      </w:r>
      <w:r>
        <w:rPr>
          <w:rFonts w:ascii="Arial" w:cs="Arial" w:eastAsia="Arial" w:hAnsi="Arial"/>
          <w:sz w:val="16"/>
          <w:szCs w:val="16"/>
          <w:u w:val="single" w:color="auto"/>
          <w:color w:val="auto"/>
        </w:rPr>
        <w:t>Fixed Asset DIP Financing</w:t>
      </w:r>
      <w:r>
        <w:rPr>
          <w:rFonts w:ascii="Arial" w:cs="Arial" w:eastAsia="Arial" w:hAnsi="Arial"/>
          <w:sz w:val="16"/>
          <w:szCs w:val="16"/>
          <w:color w:val="auto"/>
        </w:rPr>
        <w:t xml:space="preserve">”), then each ABL Representative agrees, on behalf of itself and the other ABL Secured Parties, that each ABL Secured Party it represents (i) (x) will be deemed to have consented to, will raise no objection to, nor support any other Person objecting to such Fixed Asset DIP Financing on the grounds of a failure to provide “adequate protection” for such ABL Representative’s Lien on the Collateral to secure the ABL Obligations or on any other grounds and (y) will not request any adequate protection solely as a result of such Fixed Asset DIP Financing except as set forth in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below and (ii) will subordinate (and will be deemed hereunder to have subordinated) the ABL Liens on any Fixed Asset Priority Collateral (A) to such Fixed Asset DIP Financing on the same terms as any Fixed Asset Liens are subordinated thereto (and such subordination will not alter in any manner the terms of this Agreement), (B) to any adequate protection provided to any Fixed Asset Secured Parties and (C) to any “carve-out” agreed to by the Fixed Asset Representative or the other Fixed Asset Secured Parties, so long as (x) the ABL Representative retains its Lien on the Collateral to secure the ABL Obligations (in each case, including Proceeds thereof arising after the commencement of the case under the Bankruptcy Code) and, as to the ABL Priority Collateral only, such Lien has the same priority as existed prior to the commencement of the case under the Bankruptcy Code and any Lien securing such Fixed Asset DIP Financing is junior and subordinate to the Lien of the ABL Representative on the ABL Priority Collateral,</w:t>
      </w:r>
    </w:p>
    <w:p>
      <w:pPr>
        <w:spacing w:after="0" w:line="1" w:lineRule="exact"/>
        <w:rPr>
          <w:rFonts w:ascii="Arial" w:cs="Arial" w:eastAsia="Arial" w:hAnsi="Arial"/>
          <w:sz w:val="16"/>
          <w:szCs w:val="16"/>
          <w:color w:val="auto"/>
        </w:rPr>
      </w:pPr>
    </w:p>
    <w:p>
      <w:pPr>
        <w:jc w:val="both"/>
        <w:ind w:left="-8" w:firstLine="8"/>
        <w:spacing w:after="0" w:line="286" w:lineRule="auto"/>
        <w:tabs>
          <w:tab w:leader="none" w:pos="256" w:val="left"/>
        </w:tabs>
        <w:numPr>
          <w:ilvl w:val="0"/>
          <w:numId w:val="572"/>
        </w:numPr>
        <w:rPr>
          <w:rFonts w:ascii="Arial" w:cs="Arial" w:eastAsia="Arial" w:hAnsi="Arial"/>
          <w:sz w:val="16"/>
          <w:szCs w:val="16"/>
          <w:color w:val="auto"/>
        </w:rPr>
      </w:pPr>
      <w:r>
        <w:rPr>
          <w:rFonts w:ascii="Arial" w:cs="Arial" w:eastAsia="Arial" w:hAnsi="Arial"/>
          <w:sz w:val="16"/>
          <w:szCs w:val="16"/>
          <w:color w:val="auto"/>
        </w:rPr>
        <w:t>all Liens on Fixed Asset Priority Collateral securing any such Fixed Asset DIP Financing shall be senior to or on a parity with the Liens of the Fixed Asset Representative and the Fixed Asset Secured Parties securing the Fixed Asset Obligations on Fixed Asset Priority Collateral and (z) if the Fixed Asset Representative receives a replacement or adequate protection Lien on post-petition assets of the debtor to secure the Fixed Asset Obligations, and such replacement or adequate protection Lien is on any of the ABL Priority Collateral, (1) such replacement or adequate protection Lien on such post-petition assets which are part of the ABL Priority Collateral (the “</w:t>
      </w:r>
      <w:r>
        <w:rPr>
          <w:rFonts w:ascii="Arial" w:cs="Arial" w:eastAsia="Arial" w:hAnsi="Arial"/>
          <w:sz w:val="16"/>
          <w:szCs w:val="16"/>
          <w:u w:val="single" w:color="auto"/>
          <w:color w:val="auto"/>
        </w:rPr>
        <w:t>ABL Post-Petition Assets</w:t>
      </w:r>
      <w:r>
        <w:rPr>
          <w:rFonts w:ascii="Arial" w:cs="Arial" w:eastAsia="Arial" w:hAnsi="Arial"/>
          <w:sz w:val="16"/>
          <w:szCs w:val="16"/>
          <w:color w:val="auto"/>
        </w:rPr>
        <w:t>”) is junior and subordinate to the Lien in favor of the ABL Representative on the ABL Priority Collateral and (2) the ABL Representative also receives a replacement or adequate protection Lien on such ABL Post-Petition Assets of the debtor to secure the ABL Obligations. In no event will any of the Fixed Asset Secured Parties seek to obtain a priming Lien on any of the ABL Priority Collateral, and nothing contained herein shall be deemed to be a consent by the ABL Secured Parties to any adequate protection payments using ABL Priority Collateral. In addition, nothing contained herein shall be deemed to be a consent by any of the ABL Secured Parties to the use of cash collateral under the Bankruptcy Code, and any use of such cash collateral shall require the prior written consent of the ABL Representative.</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42" w:name="page443"/>
    <w:bookmarkEnd w:id="442"/>
    <w:p>
      <w:pPr>
        <w:ind w:right="20" w:firstLine="656"/>
        <w:spacing w:after="0" w:line="342" w:lineRule="auto"/>
        <w:tabs>
          <w:tab w:leader="none" w:pos="1536" w:val="left"/>
        </w:tabs>
        <w:numPr>
          <w:ilvl w:val="0"/>
          <w:numId w:val="573"/>
        </w:numPr>
        <w:rPr>
          <w:rFonts w:ascii="Arial" w:cs="Arial" w:eastAsia="Arial" w:hAnsi="Arial"/>
          <w:sz w:val="16"/>
          <w:szCs w:val="16"/>
          <w:color w:val="auto"/>
        </w:rPr>
      </w:pPr>
      <w:r>
        <w:rPr>
          <w:rFonts w:ascii="Arial" w:cs="Arial" w:eastAsia="Arial" w:hAnsi="Arial"/>
          <w:sz w:val="16"/>
          <w:szCs w:val="16"/>
          <w:color w:val="auto"/>
        </w:rPr>
        <w:t>All Liens granted to the Fixed Asset Representative or any ABL Representative in any Insolvency Proceeding, whether as adequate protection or otherwise, are intended to be and shall be deemed to be subject to the Lien Priority and the other terms and conditions of this Agreement.</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Relief From the Automatic Stay</w:t>
      </w:r>
      <w:r>
        <w:rPr>
          <w:rFonts w:ascii="Arial" w:cs="Arial" w:eastAsia="Arial" w:hAnsi="Arial"/>
          <w:sz w:val="18"/>
          <w:szCs w:val="18"/>
          <w:color w:val="auto"/>
        </w:rPr>
        <w:t xml:space="preserve"> . Until the ABL Obligations Payment Date, the Fixed Asset Representative agrees, on behalf of itself and the other Fixed Asset Secured Parties that it represents, that none of them will seek relief from the automatic stay or from any other stay in any Insolvency Proceeding or take any action in derogation thereof, in each case in respect of any ABL Priority Collateral, without the prior written consent of the Designated ABL Representative. Until the Fixed Asset Obligations Payment Date, each ABL Representative agrees, on behalf of itself and the other ABL Secured Parties that it represents, that none of them will seek relief from the automatic stay or from any other stay in any Insolvency Proceeding or take any action in derogation thereof, in each case in respect of any Fixed Asset Priority Collateral, without the prior written consent of the Collateral Trustee. In addition, neither the Fixed Asset Representative nor the ABL Representatives shall seek any relief from the automatic stay with respect to any Collateral without providing 10 days’ prior written notice to the other representatives, unless otherwise agreed by the Designated ABL Representative and the Collateral Trustee.</w:t>
      </w:r>
    </w:p>
    <w:p>
      <w:pPr>
        <w:spacing w:after="0" w:line="19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Adequate Protection</w:t>
      </w:r>
      <w:r>
        <w:rPr>
          <w:rFonts w:ascii="Arial" w:cs="Arial" w:eastAsia="Arial" w:hAnsi="Arial"/>
          <w:sz w:val="16"/>
          <w:szCs w:val="16"/>
          <w:color w:val="auto"/>
        </w:rPr>
        <w:t xml:space="preserve"> . (a) The Fixed Asset Representative, on behalf of itself and the other Fixed Asset Secured Parties that it represents, agrees that, prior to the ABL Obligations Payment Date, so long as the ABL Representatives and the other ABL Secured Parties comply with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none of them shall object to, contest, or support any other Person objecting to or contesting, (i) any request by any ABL Representative or the other ABL Secured Parties for adequate protection of its interest in the Collateral or any adequate protection provided to any ABL Representative or the other ABL Secured Parties, (ii) any objection by any ABL Representative or any other ABL Secured Parties to any motion, relief, action or proceeding based on a claim of a lack of adequate protection in the Collateral or (iii) the payment of interest, fees, expenses or other amounts to any ABL Representative or any other ABL Secured Party under Section 506(b) or 506(c) of the Bankruptcy Code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action described in the foregoing clauses (i) and (ii) does not violate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The Fixed Asset Representative, on behalf of itself and the other Fixed Asset Secured Parties that it represents, further agrees that, prior to the ABL Obligations Payment Date, none of them shall assert or enforce any claim under Section 506(b) or 506(c) of the Bankruptcy Code or otherwise that is senior to or on a parity with the ABL Liens for costs or expenses of preserving or disposing of any ABL Priority Collateral. Notwithstanding anything to the contrary set forth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5.2(a)(i)(v)</w:t>
      </w:r>
      <w:r>
        <w:rPr>
          <w:rFonts w:ascii="Arial" w:cs="Arial" w:eastAsia="Arial" w:hAnsi="Arial"/>
          <w:sz w:val="16"/>
          <w:szCs w:val="16"/>
          <w:color w:val="auto"/>
        </w:rPr>
        <w:t xml:space="preserve">, but subject to all other provisions of this Agreement (including, without limitation, </w:t>
      </w:r>
      <w:r>
        <w:rPr>
          <w:rFonts w:ascii="Arial" w:cs="Arial" w:eastAsia="Arial" w:hAnsi="Arial"/>
          <w:sz w:val="16"/>
          <w:szCs w:val="16"/>
          <w:u w:val="single" w:color="auto"/>
          <w:color w:val="auto"/>
        </w:rPr>
        <w:t>Section 5.2(a)(i)(x)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5.3</w:t>
      </w:r>
      <w:r>
        <w:rPr>
          <w:rFonts w:ascii="Arial" w:cs="Arial" w:eastAsia="Arial" w:hAnsi="Arial"/>
          <w:sz w:val="16"/>
          <w:szCs w:val="16"/>
          <w:color w:val="auto"/>
        </w:rPr>
        <w:t>), in any Insolvency Proceeding, if the ABL Secured Parties (or any subset thereof) are granted adequate protection consisting of additional collateral that constitutes ABL Priority Collateral (with replacement liens on such additional collateral) and superpriority claims in connection with any ABL DIP Financing or use of cash collateral, and the ABL Secured Parties do not object to the adequate protection being provided to them, then in connection with any such ABL DIP Financing or use of cash collateral the Fixed Asset Representative, on behalf of itself and any of the Fixed Asset Secured Parties that is represents, may, as adequate protection of their interests in the ABL Priority Collateral, seek or accept (and ABL Representatives and the ABL Secured Parties shall not object to) adequate protection consisting solely of (x) a replacement Lien on the same additional collateral, subordinated to the Liens securing the ABL Obligations and such ABL DIP Financing on the same basis as the other Fixed Asset Liens on the ABL Priority Collateral are so subordinated to the ABL Obligations under this Agreement and (y) superpriority claims junior in all respects to the superpriority claims granted to the ABL Secured Parties, provided, however, that the Fixed Asset Representative shall have irrevocably agreed, pursuant to Section 1129(a)(9) of the Bankruptcy Code, on behalf of itself and the Fixed Asset Secured Parties that it represents, in any stipulation and/or order granting such adequate protection, that such junior superpriority claims may be paid under any plan of reorganization in any combination of cash, debt, equity or other property having a value on the effective date of such plan equal to the allowed amount of such claims. Without limiting the foregoing, no Fixed Asset Secured Party shall directly or indirectly support, and shall affirmatively object on the record to, any proposed use of ABL Priority Collateral (including cash collateral) to which the ABL Representative objects. Notwithstanding anything to the contrary herein, all Proceeds of adequate protection liens and all other adequate protection payments received by any Fixed Asset Secured Party shall be subject to application in turnover pursuant to Section 4.1(c).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3" w:name="page444"/>
    <w:bookmarkEnd w:id="443"/>
    <w:p>
      <w:pPr>
        <w:jc w:val="both"/>
        <w:ind w:left="-20" w:firstLine="656"/>
        <w:spacing w:after="0" w:line="284" w:lineRule="auto"/>
        <w:tabs>
          <w:tab w:leader="none" w:pos="1431" w:val="left"/>
        </w:tabs>
        <w:numPr>
          <w:ilvl w:val="0"/>
          <w:numId w:val="574"/>
        </w:numPr>
        <w:rPr>
          <w:rFonts w:ascii="Arial" w:cs="Arial" w:eastAsia="Arial" w:hAnsi="Arial"/>
          <w:sz w:val="16"/>
          <w:szCs w:val="16"/>
          <w:color w:val="auto"/>
        </w:rPr>
      </w:pPr>
      <w:r>
        <w:rPr>
          <w:rFonts w:ascii="Arial" w:cs="Arial" w:eastAsia="Arial" w:hAnsi="Arial"/>
          <w:sz w:val="16"/>
          <w:szCs w:val="16"/>
          <w:color w:val="auto"/>
        </w:rPr>
        <w:t xml:space="preserve">Each ABL Representative, on behalf of itself and the other ABL Secured Parties that it represents, agrees that, prior to the Fixed Asset Obligations Payment Date, so long as the Fixed Asset Representative and the other Fixed Asset Secured Parties comply with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none of them shall object to, contest, or support any other Person objecting to or contesting, (i) any request by the Fixed Asset Representative or the other Fixed Asset Secured Parties for adequate protection of its interest in the Collateral or any adequate protection provided to the Fixed Asset Representative or the other Fixed Asset Secured Parties, (ii) any objection by the Fixed Asset Representative or any other Fixed Asset Secured Parties to any motion, relief, action or proceeding based on a claim of a lack of adequate protection in the Collateral or (iii) the payment of interest, fees, expenses or other amounts to the Fixed Asset Representative or any other Fixed Asset Secured Party under Section 506(b) or 506(c) of the Bankruptcy Code or otherwise; provided that any action described in the foregoing clauses (i) and (ii) does not violate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The ABL Representative, on behalf of itself and the other ABL Secured Parties, further agrees that, prior to the Fixed Asset Obligations Payment Date, none of them shall assert or enforce any claim under Section 506(b) or 506(c) of the Bankruptcy Code or otherwise that is senior to or on a parity with the Fixed Asset Liens for costs or expenses of preserving or disposing of any Fixed Asset Priority Collateral. Notwithstanding anything to the contrary set forth in this Section and in </w:t>
      </w:r>
      <w:r>
        <w:rPr>
          <w:rFonts w:ascii="Arial" w:cs="Arial" w:eastAsia="Arial" w:hAnsi="Arial"/>
          <w:sz w:val="16"/>
          <w:szCs w:val="16"/>
          <w:u w:val="single" w:color="auto"/>
          <w:color w:val="auto"/>
        </w:rPr>
        <w:t>Section 5.2(b)(i)(v)</w:t>
      </w:r>
      <w:r>
        <w:rPr>
          <w:rFonts w:ascii="Arial" w:cs="Arial" w:eastAsia="Arial" w:hAnsi="Arial"/>
          <w:sz w:val="16"/>
          <w:szCs w:val="16"/>
          <w:color w:val="auto"/>
        </w:rPr>
        <w:t xml:space="preserve">, but subject to all other provisions of this Agreement (including, without limitation, </w:t>
      </w:r>
      <w:r>
        <w:rPr>
          <w:rFonts w:ascii="Arial" w:cs="Arial" w:eastAsia="Arial" w:hAnsi="Arial"/>
          <w:sz w:val="16"/>
          <w:szCs w:val="16"/>
          <w:u w:val="single" w:color="auto"/>
          <w:color w:val="auto"/>
        </w:rPr>
        <w:t>Section 5.2(b)(i)(x)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5.3</w:t>
      </w:r>
      <w:r>
        <w:rPr>
          <w:rFonts w:ascii="Arial" w:cs="Arial" w:eastAsia="Arial" w:hAnsi="Arial"/>
          <w:sz w:val="16"/>
          <w:szCs w:val="16"/>
          <w:color w:val="auto"/>
        </w:rPr>
        <w:t>), in any Insolvency Proceeding, if the Fixed Asset Secured Parties (or any subset thereof) are granted adequate protection consisting of additional collateral that constitutes Fixed Asset Priority Collateral (with replacement liens on such additional collateral) and superpriority claims in connection with any Fixed Asset DIP Financing or use of cash collateral, and the Fixed Asset Secured Parties do not object to the adequate protection being provided to them, then in connection with any such Fixed Asset DIP Financing or use of cash collateral each ABL Representative, on behalf of itself and any of the ABL Secured Parties that it represents, may, as adequate protection of their interests in the Fixed Asset Priority Collateral, seek or accept (and neither the Fixed Asset Representative nor any Fixed Asset Secured Party shall object to) adequate protection consisting solely of (x) a replacement Lien on the same additional collateral, subordinated to the Liens securing the Fixed Asset Obligations on the same basis as the other ABL Liens on the Fixed Asset Priority Collateral are so subordinated to the Fixed Asset Liens under this Agreement and (y) superpriority claims junior in all respects to such superpriority claims granted to the Fixed Asset Secured Parties, provided, however, that each ABL Representative shall have irrevocably agreed, pursuant to Section 1129(a)(9) of the Bankruptcy Code, on behalf of itself and the ABL Secured Parties that it represents, in any stipulation and/or order granting such adequate protection, that such junior superpriority claims may be paid under any plan of reorganization in any combination of cash, debt, equity or other property having a value on the effective date of such plan equal to the allowed amount of such claims.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44" w:name="page445"/>
    <w:bookmarkEnd w:id="444"/>
    <w:p>
      <w:pPr>
        <w:jc w:val="both"/>
        <w:ind w:firstLine="648"/>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Avoidance Issues</w:t>
      </w:r>
      <w:r>
        <w:rPr>
          <w:rFonts w:ascii="Arial" w:cs="Arial" w:eastAsia="Arial" w:hAnsi="Arial"/>
          <w:sz w:val="17"/>
          <w:szCs w:val="17"/>
          <w:color w:val="auto"/>
        </w:rPr>
        <w:t>. If any Senior Secured Party is required in any Insolvency Proceeding or otherwise to disgorge, turn over or otherwise pay to the estate of any Loan Party, because such amount was avoided or ordered to be paid or disgorged for any reason, including without limitation because it was found to be a fraudulent or preferential transfer, any amount (a “</w:t>
      </w:r>
      <w:r>
        <w:rPr>
          <w:rFonts w:ascii="Arial" w:cs="Arial" w:eastAsia="Arial" w:hAnsi="Arial"/>
          <w:sz w:val="17"/>
          <w:szCs w:val="17"/>
          <w:u w:val="single" w:color="auto"/>
          <w:color w:val="auto"/>
        </w:rPr>
        <w:t>Recovery</w:t>
      </w:r>
      <w:r>
        <w:rPr>
          <w:rFonts w:ascii="Arial" w:cs="Arial" w:eastAsia="Arial" w:hAnsi="Arial"/>
          <w:sz w:val="17"/>
          <w:szCs w:val="17"/>
          <w:color w:val="auto"/>
        </w:rPr>
        <w:t>”), whether received as proceeds of security, enforcement of any right of set-off or otherwise (including pursuant to any settlement entered into by an ABL Secured Party or a Fixed Asset Secured Party in its discretion), then the Senior Obligations shall be reinstated to the extent of such Recovery and deemed to be outstanding as if such payment had not occurred and the Senior Obligations Payment Date shall be deemed not to have occurred. If this Agreement shall have been terminated prior to such Recovery, this Agreement shall be reinstated in full force and effect, and such prior termination shall not diminish, release, discharge, impair or otherwise affect the obligations of the parties hereto. The Junior Secured Parties agree that none of them shall be entitled to benefit from any avoidance action affecting or otherwise relating to any distribution or allocation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Asset Dispositions in an Insolvency Proceeding</w:t>
      </w:r>
      <w:r>
        <w:rPr>
          <w:rFonts w:ascii="Arial" w:cs="Arial" w:eastAsia="Arial" w:hAnsi="Arial"/>
          <w:sz w:val="18"/>
          <w:szCs w:val="18"/>
          <w:color w:val="auto"/>
        </w:rPr>
        <w:t xml:space="preserve"> . Neither any Junior Representative nor any other Junior Secured Party shall, in an Insolvency Proceeding or otherwise, oppose any sale or disposition of any Senior Collateral that is supported by the Senior Secured Parties, and the Junior Representative and each other Junior Secured Party will be deemed to have consented under Section 363 of the Bankruptcy Code (and otherwise) to any sale of any Senior Collateral supported by the Senior Secured Parties and to have released their Junior Liens on such assets, provided that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shall not apply to any case of a sale or disposition of Real Property unless the ABL Representative has received at least 90 days prior notice of the consummation of any such sale.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Other Matters</w:t>
      </w:r>
      <w:r>
        <w:rPr>
          <w:rFonts w:ascii="Arial" w:cs="Arial" w:eastAsia="Arial" w:hAnsi="Arial"/>
          <w:sz w:val="18"/>
          <w:szCs w:val="18"/>
          <w:color w:val="auto"/>
        </w:rPr>
        <w:t xml:space="preserve"> . To the extent that any Senior Representative or any Senior Secured Party has or acquires rights under Section 363 or Section 364 of the Bankruptcy Code with respect to any of the Collateral on which it has a Junior Lien, such Senior Representative agrees, on behalf of itself and the other Senior Secured Parties, not to assert any of such rights without the prior written consent of the Junior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requested by the Junior Representative, such Senior Representative shall timely exercise such rights in the manner requested by the Junior Representative, including any rights to payments in respect of such rights.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5" w:name="page446"/>
    <w:bookmarkEnd w:id="445"/>
    <w:p>
      <w:pPr>
        <w:ind w:right="20" w:firstLine="648"/>
        <w:spacing w:after="0" w:line="34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Effectiveness in Insolvency Proceedings</w:t>
      </w:r>
      <w:r>
        <w:rPr>
          <w:rFonts w:ascii="Arial" w:cs="Arial" w:eastAsia="Arial" w:hAnsi="Arial"/>
          <w:sz w:val="16"/>
          <w:szCs w:val="16"/>
          <w:color w:val="auto"/>
        </w:rPr>
        <w:t xml:space="preserve"> . This Agreement, which the parties hereto expressly acknowledge is a “subordination agreement” under section 510(a) of the Bankruptcy Code, shall be effective before, during and after the commencement of an Insolvency Proceeding.</w:t>
      </w:r>
    </w:p>
    <w:p>
      <w:pPr>
        <w:spacing w:after="0" w:line="12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i w:val="1"/>
          <w:iCs w:val="1"/>
          <w:u w:val="single" w:color="auto"/>
          <w:color w:val="auto"/>
        </w:rPr>
        <w:t>Section 6.</w:t>
      </w:r>
      <w:r>
        <w:rPr>
          <w:sz w:val="20"/>
          <w:szCs w:val="20"/>
          <w:color w:val="auto"/>
        </w:rPr>
        <w:tab/>
      </w:r>
      <w:r>
        <w:rPr>
          <w:rFonts w:ascii="Arial" w:cs="Arial" w:eastAsia="Arial" w:hAnsi="Arial"/>
          <w:sz w:val="16"/>
          <w:szCs w:val="16"/>
          <w:i w:val="1"/>
          <w:iCs w:val="1"/>
          <w:color w:val="auto"/>
        </w:rPr>
        <w:t>Fixed Asset Documents and ABL Documents.</w:t>
      </w:r>
    </w:p>
    <w:p>
      <w:pPr>
        <w:spacing w:after="0" w:line="225" w:lineRule="exact"/>
        <w:rPr>
          <w:sz w:val="20"/>
          <w:szCs w:val="20"/>
          <w:color w:val="auto"/>
        </w:rPr>
      </w:pPr>
    </w:p>
    <w:p>
      <w:pPr>
        <w:ind w:firstLine="656"/>
        <w:spacing w:after="0" w:line="342" w:lineRule="auto"/>
        <w:tabs>
          <w:tab w:leader="none" w:pos="1482" w:val="left"/>
        </w:tabs>
        <w:numPr>
          <w:ilvl w:val="0"/>
          <w:numId w:val="575"/>
        </w:numPr>
        <w:rPr>
          <w:rFonts w:ascii="Arial" w:cs="Arial" w:eastAsia="Arial" w:hAnsi="Arial"/>
          <w:sz w:val="16"/>
          <w:szCs w:val="16"/>
          <w:color w:val="auto"/>
        </w:rPr>
      </w:pPr>
      <w:r>
        <w:rPr>
          <w:rFonts w:ascii="Arial" w:cs="Arial" w:eastAsia="Arial" w:hAnsi="Arial"/>
          <w:sz w:val="16"/>
          <w:szCs w:val="16"/>
          <w:color w:val="auto"/>
        </w:rPr>
        <w:t>Each Loan Party and the Fixed Asset Representative, on behalf of itself and the Fixed Asset Secured Parties that it represents, agrees that it shall not at any time execute or deliver any amendment or other modification to any of the Fixed Asset Documents in violation of this Agreement.</w:t>
      </w:r>
    </w:p>
    <w:p>
      <w:pPr>
        <w:spacing w:after="0" w:line="123" w:lineRule="exact"/>
        <w:rPr>
          <w:rFonts w:ascii="Arial" w:cs="Arial" w:eastAsia="Arial" w:hAnsi="Arial"/>
          <w:sz w:val="16"/>
          <w:szCs w:val="16"/>
          <w:color w:val="auto"/>
        </w:rPr>
      </w:pPr>
    </w:p>
    <w:p>
      <w:pPr>
        <w:ind w:firstLine="656"/>
        <w:spacing w:after="0" w:line="308" w:lineRule="auto"/>
        <w:tabs>
          <w:tab w:leader="none" w:pos="1397" w:val="left"/>
        </w:tabs>
        <w:numPr>
          <w:ilvl w:val="0"/>
          <w:numId w:val="575"/>
        </w:numPr>
        <w:rPr>
          <w:rFonts w:ascii="Arial" w:cs="Arial" w:eastAsia="Arial" w:hAnsi="Arial"/>
          <w:sz w:val="17"/>
          <w:szCs w:val="17"/>
          <w:color w:val="auto"/>
        </w:rPr>
      </w:pPr>
      <w:r>
        <w:rPr>
          <w:rFonts w:ascii="Arial" w:cs="Arial" w:eastAsia="Arial" w:hAnsi="Arial"/>
          <w:sz w:val="17"/>
          <w:szCs w:val="17"/>
          <w:color w:val="auto"/>
        </w:rPr>
        <w:t>Each Loan Party and each ABL Representative, on behalf of itself and the ABL Secured Parties that it represents, agrees that it shall not at any time execute or deliver any amendment or other modification to any of the ABL Documents in violation of this Agreement.</w:t>
      </w:r>
    </w:p>
    <w:p>
      <w:pPr>
        <w:spacing w:after="0" w:line="146" w:lineRule="exact"/>
        <w:rPr>
          <w:rFonts w:ascii="Arial" w:cs="Arial" w:eastAsia="Arial" w:hAnsi="Arial"/>
          <w:sz w:val="17"/>
          <w:szCs w:val="17"/>
          <w:color w:val="auto"/>
        </w:rPr>
      </w:pPr>
    </w:p>
    <w:p>
      <w:pPr>
        <w:jc w:val="both"/>
        <w:ind w:firstLine="656"/>
        <w:spacing w:after="0" w:line="268" w:lineRule="auto"/>
        <w:tabs>
          <w:tab w:leader="none" w:pos="1387" w:val="left"/>
        </w:tabs>
        <w:numPr>
          <w:ilvl w:val="0"/>
          <w:numId w:val="575"/>
        </w:numPr>
        <w:rPr>
          <w:rFonts w:ascii="Arial" w:cs="Arial" w:eastAsia="Arial" w:hAnsi="Arial"/>
          <w:sz w:val="17"/>
          <w:szCs w:val="17"/>
          <w:color w:val="auto"/>
        </w:rPr>
      </w:pPr>
      <w:r>
        <w:rPr>
          <w:rFonts w:ascii="Arial" w:cs="Arial" w:eastAsia="Arial" w:hAnsi="Arial"/>
          <w:sz w:val="17"/>
          <w:szCs w:val="17"/>
          <w:color w:val="auto"/>
        </w:rPr>
        <w:t xml:space="preserve">In the event the Senior Representative enters into any amendment, waiver or consent in respect of any of the Senior Security Documents which is not materially adverse to the Junior Secured Parties for the purpose of adding to, or deleting from, or waiving or consenting to any departures from any provisions of, any Senior Security Document or changing in any manner the rights of any parties thereunder, in each case solely with respect to any Senior Collateral, then such amendment, waiver or consent shall apply automatically to any comparable provision of the Comparable Security Document without the consent of or action by any Junior Secured Party (with all such amendments, waivers and modifications subject to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such amendment, waiver or consent shall have the effect of removing assets subject to the Lien of any Junior Security Document, except to the extent that a release of such Lien is required by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(ii) any such amendment, waiver or consent that materially and adversely affects the rights of the Junior Secured Parties and does not affect the Senior Secured Parties in a like or similar manner shall not apply to the Junior Security Documents without the consent of the Junior Representative, (iii) no such amendment, waiver or consent with respect to any provision applicable to the Junior Representative under the Junior Documents shall be made without the prior written consent of the Junior Representative, (iv) notice of such amendment, waiver or consent shall be given to the Junior Representative no later than 30 days after its effectiveness,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effectiveness and validity thereof and (v) such amendment, waiver or modification to the applicable Junior Security Documents shall be approved by the Borrower in writing.</w:t>
      </w:r>
    </w:p>
    <w:p>
      <w:pPr>
        <w:spacing w:after="0" w:line="18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i w:val="1"/>
          <w:iCs w:val="1"/>
          <w:u w:val="single" w:color="auto"/>
          <w:color w:val="auto"/>
        </w:rPr>
        <w:t>Section 7.</w:t>
      </w:r>
      <w:r>
        <w:rPr>
          <w:sz w:val="20"/>
          <w:szCs w:val="20"/>
          <w:color w:val="auto"/>
        </w:rPr>
        <w:tab/>
      </w:r>
      <w:r>
        <w:rPr>
          <w:rFonts w:ascii="Arial" w:cs="Arial" w:eastAsia="Arial" w:hAnsi="Arial"/>
          <w:sz w:val="16"/>
          <w:szCs w:val="16"/>
          <w:i w:val="1"/>
          <w:iCs w:val="1"/>
          <w:color w:val="auto"/>
        </w:rPr>
        <w:t>Purchase Options.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Notice of Exercise</w:t>
      </w:r>
      <w:r>
        <w:rPr>
          <w:rFonts w:ascii="Arial" w:cs="Arial" w:eastAsia="Arial" w:hAnsi="Arial"/>
          <w:sz w:val="16"/>
          <w:szCs w:val="16"/>
          <w:color w:val="auto"/>
        </w:rPr>
        <w:t>. (a) Upon the occurrence and during the continuance of an “Event of Default” under the ABL Documents, if such Event of Default remains uncured or unwaived for at least sixty (60) consecutive days and the requisite ABL Lenders have not agreed to forbear from the exercise of remedies (or, if earlier, within five (5) Business Days after the Designated ABL Representative notifies the Fixed Asset Representative that it shall exercise remedies), all or a portion of the Fixed Asset Senior Secured Creditors, acting as a single group, shall have the option at any time upon five</w:t>
      </w:r>
    </w:p>
    <w:p>
      <w:pPr>
        <w:spacing w:after="0" w:line="1" w:lineRule="exact"/>
        <w:rPr>
          <w:sz w:val="20"/>
          <w:szCs w:val="20"/>
          <w:color w:val="auto"/>
        </w:rPr>
      </w:pPr>
    </w:p>
    <w:p>
      <w:pPr>
        <w:ind w:firstLine="8"/>
        <w:spacing w:after="0" w:line="260" w:lineRule="auto"/>
        <w:tabs>
          <w:tab w:leader="none" w:pos="257" w:val="left"/>
        </w:tabs>
        <w:numPr>
          <w:ilvl w:val="0"/>
          <w:numId w:val="576"/>
        </w:numPr>
        <w:rPr>
          <w:rFonts w:ascii="Arial" w:cs="Arial" w:eastAsia="Arial" w:hAnsi="Arial"/>
          <w:sz w:val="18"/>
          <w:szCs w:val="18"/>
          <w:color w:val="auto"/>
        </w:rPr>
      </w:pPr>
      <w:r>
        <w:rPr>
          <w:rFonts w:ascii="Arial" w:cs="Arial" w:eastAsia="Arial" w:hAnsi="Arial"/>
          <w:sz w:val="18"/>
          <w:szCs w:val="18"/>
          <w:color w:val="auto"/>
        </w:rPr>
        <w:t>Business Days’ prior written notice to the ABL Representative to purchase all of the ABL Obligations from the ABL Secured Parties. Such notice from such Fixed Asset Secured Creditors to the ABL Representative shall be irrevocable.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6" w:name="page447"/>
    <w:bookmarkEnd w:id="446"/>
    <w:p>
      <w:pPr>
        <w:jc w:val="both"/>
        <w:ind w:firstLine="656"/>
        <w:spacing w:after="0" w:line="255" w:lineRule="auto"/>
        <w:tabs>
          <w:tab w:leader="none" w:pos="1465" w:val="left"/>
        </w:tabs>
        <w:numPr>
          <w:ilvl w:val="0"/>
          <w:numId w:val="577"/>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under the Fixed Asset Documents, if such Event of Default remains uncured or unwaived for at least sixty (60) consecutive days and the Collateral Trustee has not agreed to forbear from the exercise of remedies (or, if earlier, within five (5) Business Days after the Collateral Trustee notifies each ABL Representative that it shall exercise remedies), all or a portion of the ABL Creditors, acting as a single group, shall have the option at any time upon five (5) Business Days’ prior written notice to the Collateral Trustee to purchase all of the Fixed Asset Obligations from the Fixed Asset Secured Parties. Such notice from such ABL Creditors to the Collateral Trustee shall be irrevocable.</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 (a) On the date specified by the relevant Fixed Asset Secured Parties in the notice contemplated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above (which shall not be less than five (5) Business Days, nor more than twenty (20) calendar days, after the receipt by each ABL Representative of the notice of the relevant Fixed Asset Secured Parties’ election to exercise such option), the ABL Lenders shall sell to the relevant Fixed Asset Secured Parties, and the relevant Fixed Asset Secured Parties shall purchase from the ABL Lenders, the ABL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ABL Representative and the ABL Secured Parties shall retain all rights to be indemnified or held harmless by the Loan Parties in accordance with the terms of the ABL Documents but shall not retain any rights to the security therefor.</w:t>
      </w:r>
    </w:p>
    <w:p>
      <w:pPr>
        <w:spacing w:after="0" w:line="192" w:lineRule="exact"/>
        <w:rPr>
          <w:sz w:val="20"/>
          <w:szCs w:val="20"/>
          <w:color w:val="auto"/>
        </w:rPr>
      </w:pPr>
    </w:p>
    <w:p>
      <w:pPr>
        <w:jc w:val="both"/>
        <w:ind w:firstLine="656"/>
        <w:spacing w:after="0" w:line="255" w:lineRule="auto"/>
        <w:tabs>
          <w:tab w:leader="none" w:pos="1492" w:val="left"/>
        </w:tabs>
        <w:numPr>
          <w:ilvl w:val="0"/>
          <w:numId w:val="578"/>
        </w:numPr>
        <w:rPr>
          <w:rFonts w:ascii="Arial" w:cs="Arial" w:eastAsia="Arial" w:hAnsi="Arial"/>
          <w:sz w:val="18"/>
          <w:szCs w:val="18"/>
          <w:color w:val="auto"/>
        </w:rPr>
      </w:pPr>
      <w:r>
        <w:rPr>
          <w:rFonts w:ascii="Arial" w:cs="Arial" w:eastAsia="Arial" w:hAnsi="Arial"/>
          <w:sz w:val="18"/>
          <w:szCs w:val="18"/>
          <w:color w:val="auto"/>
        </w:rPr>
        <w:t xml:space="preserve">On the date specified by the relevant ABL Creditors in the notice contemplated by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above (which shall not be less than five (5) Business Days, nor more than twenty (20) calendar days, after the receipt by Collateral Trustee of the notice of the relevant ABL Creditor’s election to exercise such option), the Fixed Asset Secured Parties shall sell to the relevant ABL Creditors, and the relevant ABL Creditors shall purchase from the Fixed Asset Secured Parties, the Fixed Asset Obligations, provided that, the Collateral Trustee and the Fixed Asset Secured Parties shall retain all rights to be indemnified or held harmless by the Loan Parties in accordance with the terms of the Fixed Asset Documents but shall not retain any rights to the security therefor.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7" w:name="page448"/>
    <w:bookmarkEnd w:id="447"/>
    <w:p>
      <w:pPr>
        <w:jc w:val="both"/>
        <w:ind w:firstLine="648"/>
        <w:spacing w:after="0" w:line="28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Payment of Purchase Price</w:t>
      </w:r>
      <w:r>
        <w:rPr>
          <w:rFonts w:ascii="Arial" w:cs="Arial" w:eastAsia="Arial" w:hAnsi="Arial"/>
          <w:sz w:val="16"/>
          <w:szCs w:val="16"/>
          <w:color w:val="auto"/>
        </w:rPr>
        <w:t xml:space="preserve"> . Upon the date of such purchase and sale, the relevant Fixed Asset Secured Parties or the relevant ABL Creditors, as applicable, shall (a) pay to the Designated ABL Representative for the benefit of the ABL Creditors (with respect to a purchase of the ABL Obligations) or to the Collateral Trustee for the benefit of the Fixed Asset Secured Parties (with respect to a purchase of the Fixed Asset Obligations) as the purchase price therefor the full amount of all the ABL Obligations or Fixed Asset Obligations, as applicable, then outstanding and unpaid (including principal, interest, fees and expenses, including reasonable attorneys’ fees and legal expenses but specifically excluding any prepayment premium, termination or similar fees), (b) furnish cash collateral to each ABL Representative or the Collateral Trustee, as applicable, in a manner and in such amounts as the ABL Representative or the Collateral Trustee, as applicable, determines is reasonably necessary to secure either, as applicable (x) the ABL Representative, the ABL Secured Parties, letter of credit issuing banks and applicable affiliates in connection with any issued and outstanding letters of credit, hedging obligations and cash management obligations secured by the ABL Documents, in each case constituting ABL Obligations owing to ABL Secured Parties represented by it or (y) the Collateral Trustee, the Fixed Asset Secured Parties, letter of credit issuing banks and applicable affiliates in connection with any issued and outstanding letters of credit, hedging obligations and cash management obligations secured by the Fixed Asset Documents, in each case constituting Fixed Asset Obligations owing to Fixed Asset Secured Parties represented by it, (c) agree to reimburse either, as applicable</w:t>
      </w:r>
    </w:p>
    <w:p>
      <w:pPr>
        <w:spacing w:after="0" w:line="3" w:lineRule="exact"/>
        <w:rPr>
          <w:sz w:val="20"/>
          <w:szCs w:val="20"/>
          <w:color w:val="auto"/>
        </w:rPr>
      </w:pPr>
    </w:p>
    <w:p>
      <w:pPr>
        <w:jc w:val="both"/>
        <w:ind w:firstLine="8"/>
        <w:spacing w:after="0" w:line="266" w:lineRule="auto"/>
        <w:tabs>
          <w:tab w:leader="none" w:pos="279" w:val="left"/>
        </w:tabs>
        <w:numPr>
          <w:ilvl w:val="0"/>
          <w:numId w:val="579"/>
        </w:numPr>
        <w:rPr>
          <w:rFonts w:ascii="Arial" w:cs="Arial" w:eastAsia="Arial" w:hAnsi="Arial"/>
          <w:sz w:val="17"/>
          <w:szCs w:val="17"/>
          <w:color w:val="auto"/>
        </w:rPr>
      </w:pPr>
      <w:r>
        <w:rPr>
          <w:rFonts w:ascii="Arial" w:cs="Arial" w:eastAsia="Arial" w:hAnsi="Arial"/>
          <w:sz w:val="17"/>
          <w:szCs w:val="17"/>
          <w:color w:val="auto"/>
        </w:rPr>
        <w:t xml:space="preserve">each ABL Representative, the ABL Secured Parties and letter of credit issuing banks for any loss, cost, damage or expense (including reasonable attorneys’ fees and legal expenses) in connection with any commissions, fees, costs or expenses related to any issued and outstanding letters of credit as described above, ACH transfers and any checks or other payments provisionally credited to the ABL Obligations, and/or as to which each ABL Representative has not yet received final payment or (y) the Collateral Trustee, the Fixed Asset Secured Parties and letter of credit issuing banks for any loss, cost, damage or expense (including reasonable attorneys’ fees and legal expenses) in connection with any commissions, fees, costs or expenses related to any issued and outstanding letters of credit as described above, ACH transfers and any checks or other payments provisionally credited to the Fixed Asset Obligations, and/or as to which each Fixed Asset Representative has not yet received final payment, (d) agree to reimburse the ABL Secured Parties or the Fixed Asset Secured Parties, as applicable, and with respect to a purchase of the ABL Obligations letter of credit issuing banks, in respect of indemnification obligations of the Loan Parties under the ABL Documents or the Fixed Asset Documents, as applicable, as to matters or circumstances known to the ABL Representative or the Fixed Asset Representative, as applicable, at the time of the purchase and sale which would reasonably be expected to result in any loss, cost, damage or expense (including reasonable attorneys’ fees and legal expenses) to the ABL Secured Parties, the Fixed Asset Secured Parties or letter of credit issuing banks, as applicable, and (e) agree to indemnify and hold harmless the ABL Secured Parties or the Fixed Asset Secured Parties, as applicable, and with respect to a purchase of the ABL Obligations letter of credit issuing banks, from and against any loss, liability, claim, damage or expense (including reasonable fees and expenses of legal counsel) arising out of any claim asserted by a third party in respect of the ABL Obligations or the Fixed Asset Obligations, as applicable, as a direct result of any acts by any Fixed Asset Secured Party or any ABL Secured Party, as applicable, occurring after the date of such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Trurstee (as defined in the Collateral Trust Agreement) nor the Collateral Trustee shall indemnify any other Person pursuant to this </w:t>
      </w:r>
      <w:r>
        <w:rPr>
          <w:rFonts w:ascii="Arial" w:cs="Arial" w:eastAsia="Arial" w:hAnsi="Arial"/>
          <w:sz w:val="17"/>
          <w:szCs w:val="17"/>
          <w:u w:val="single" w:color="auto"/>
          <w:color w:val="auto"/>
        </w:rPr>
        <w:t>clause (e)</w:t>
      </w:r>
      <w:r>
        <w:rPr>
          <w:rFonts w:ascii="Arial" w:cs="Arial" w:eastAsia="Arial" w:hAnsi="Arial"/>
          <w:sz w:val="17"/>
          <w:szCs w:val="17"/>
          <w:color w:val="auto"/>
        </w:rPr>
        <w:t>. Such purchase price and cash collateral shall be remitted by wire transfer in federal funds to such bank account as the Designated ABL Representative or the Collateral Trustee, as applicable, may designate in writing for such purpose.</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Limitation on Representations and Warranties</w:t>
      </w:r>
      <w:r>
        <w:rPr>
          <w:rFonts w:ascii="Arial" w:cs="Arial" w:eastAsia="Arial" w:hAnsi="Arial"/>
          <w:sz w:val="17"/>
          <w:szCs w:val="17"/>
          <w:color w:val="auto"/>
        </w:rPr>
        <w:t xml:space="preserve"> . Such purchase shall be expressly made without representation or warranty of any kind by any selling party (or any ABL Representative or the Fixed Asset Representative, as applicable) and without recourse of any kind, except that the selling party shall represent and warrant: (a) the amount of the ABL Obligations or Fixed Asset Obligations, as applicable, being purchased from it, (b) that such ABL Secured Party or Fixed Asset Secured Party, as applicable, or the Borrower own the ABL Obligations or Fixed Asset Obligations, as applicable, free and clear of any Liens or encumbrances and (c) that such ABL Secured Party or Fixed Asset Secured Party, as applicable, has the right to assign such ABL Obligations or Fixed Asset Obligations, as applicable, and the assignment is duly authorized.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8" w:name="page449"/>
    <w:bookmarkEnd w:id="448"/>
    <w:p>
      <w:pPr>
        <w:spacing w:after="0"/>
        <w:tabs>
          <w:tab w:leader="none" w:pos="1200" w:val="left"/>
        </w:tabs>
        <w:rPr>
          <w:sz w:val="20"/>
          <w:szCs w:val="20"/>
          <w:color w:val="auto"/>
        </w:rPr>
      </w:pPr>
      <w:r>
        <w:rPr>
          <w:rFonts w:ascii="Arial" w:cs="Arial" w:eastAsia="Arial" w:hAnsi="Arial"/>
          <w:sz w:val="18"/>
          <w:szCs w:val="18"/>
          <w:i w:val="1"/>
          <w:iCs w:val="1"/>
          <w:u w:val="single" w:color="auto"/>
          <w:color w:val="auto"/>
        </w:rPr>
        <w:t>Section 8.</w:t>
      </w:r>
      <w:r>
        <w:rPr>
          <w:sz w:val="20"/>
          <w:szCs w:val="20"/>
          <w:color w:val="auto"/>
        </w:rPr>
        <w:tab/>
      </w:r>
      <w:r>
        <w:rPr>
          <w:rFonts w:ascii="Arial" w:cs="Arial" w:eastAsia="Arial" w:hAnsi="Arial"/>
          <w:sz w:val="16"/>
          <w:szCs w:val="16"/>
          <w:i w:val="1"/>
          <w:iCs w:val="1"/>
          <w:color w:val="auto"/>
        </w:rPr>
        <w:t>Reliance; Waivers; etc.</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Reliance</w:t>
      </w:r>
      <w:r>
        <w:rPr>
          <w:rFonts w:ascii="Arial" w:cs="Arial" w:eastAsia="Arial" w:hAnsi="Arial"/>
          <w:sz w:val="16"/>
          <w:szCs w:val="16"/>
          <w:color w:val="auto"/>
        </w:rPr>
        <w:t xml:space="preserve"> . The ABL Documents are deemed to have been executed and delivered, and all extensions of credit thereunder are deemed to have been made or incurred, in reliance upon this Agreement. The Fixed Asset Representative, on behalf of it itself and the other Fixed Asset Secured Parties that it represents, expressly waives all notice of the acceptance of and reliance on this Agreement by the ABL Representative and the other ABL Secured Parties. The Fixed Asset Documents are deemed to have been executed and delivered, and all extensions of credit thereunder are deemed to have been made or incurred, in reliance upon this Agreement. The ABL Representative, on behalf of itself and the other ABL Secured Parties, expressly waives all notices of the acceptance of and reliance on this Agreement by the Fixed Asset Representative and the other Fixed Asset Secured Parties.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 Warranties or Liability</w:t>
      </w:r>
      <w:r>
        <w:rPr>
          <w:rFonts w:ascii="Arial" w:cs="Arial" w:eastAsia="Arial" w:hAnsi="Arial"/>
          <w:sz w:val="18"/>
          <w:szCs w:val="18"/>
          <w:color w:val="auto"/>
        </w:rPr>
        <w:t xml:space="preserve"> . The Fixed Asset Representative and the ABL Representative acknowledge and agree that neither has made any representation or warranty with respect to the execution, validity, legality, completeness, collectability or enforceability of any other ABL Document or any Fixed Asset Document. Except as otherwise provided in this Agreement, the Fixed Asset Representative and the ABL Representative will be entitled to manage and supervise the respective extensions of credit to any Loan Party in accordance with law and their usual practices, modified from time to time as they deem appropriate.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Waivers</w:t>
      </w:r>
      <w:r>
        <w:rPr>
          <w:rFonts w:ascii="Arial" w:cs="Arial" w:eastAsia="Arial" w:hAnsi="Arial"/>
          <w:sz w:val="18"/>
          <w:szCs w:val="18"/>
          <w:color w:val="auto"/>
        </w:rPr>
        <w:t xml:space="preserve"> . No right or benefit of any party hereunder shall at any time in any way be prejudiced or impaired by any act or failure to act on the part of such party or any other party hereto or by any noncompliance by any Loan Party with the terms and conditions of any of the ABL Documents or the Fixed Asset Documents.</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i w:val="1"/>
          <w:iCs w:val="1"/>
          <w:u w:val="single" w:color="auto"/>
          <w:color w:val="auto"/>
        </w:rPr>
        <w:t>Section 9.</w:t>
      </w:r>
      <w:r>
        <w:rPr>
          <w:rFonts w:ascii="Arial" w:cs="Arial" w:eastAsia="Arial" w:hAnsi="Arial"/>
          <w:sz w:val="18"/>
          <w:szCs w:val="18"/>
          <w:i w:val="1"/>
          <w:iCs w:val="1"/>
          <w:color w:val="auto"/>
        </w:rPr>
        <w:t xml:space="preserve"> Obligations Unconditional . </w:t>
      </w:r>
      <w:r>
        <w:rPr>
          <w:rFonts w:ascii="Arial" w:cs="Arial" w:eastAsia="Arial" w:hAnsi="Arial"/>
          <w:sz w:val="18"/>
          <w:szCs w:val="18"/>
          <w:color w:val="auto"/>
        </w:rPr>
        <w:t>All rights, interests, agreements and obligations hereunder of the Senior Representative and the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in respect of any Collateral and the Junior Representative and the Junior Secured Parties in respect of such Collateral shall remain in full force and effect regardless of:</w:t>
      </w:r>
    </w:p>
    <w:p>
      <w:pPr>
        <w:spacing w:after="0" w:line="184" w:lineRule="exact"/>
        <w:rPr>
          <w:sz w:val="20"/>
          <w:szCs w:val="20"/>
          <w:color w:val="auto"/>
        </w:rPr>
      </w:pPr>
    </w:p>
    <w:p>
      <w:pPr>
        <w:ind w:firstLine="656"/>
        <w:spacing w:after="0" w:line="277" w:lineRule="auto"/>
        <w:tabs>
          <w:tab w:leader="none" w:pos="1387"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lack of validity or enforceability of any Senior Document or any Junior Document and regardless of whether the Liens of the Senior Representative and Senior Secured Parties are not perfected or are voidable for any reason;</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654"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terms of, all or any of the Senior Obligations or Junior Obligations, or any amendment or waiver or other modification, including any increase in the amount thereof or any refinancing, whether by course of conduct or otherwise, of the terms of any Senior Document or any Junior Document;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617"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exchange, release or lack of perfection of any Lien on any Collateral or any other asset, or any amendment, waiver or other modification, whether in writing or by course of conduct or otherwise, of all or any of the Senior Obligations or Junior Obligations or any guarantee thereof;</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commencement of any Insolvency Proceeding in respect of any Loan Party;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9" w:name="page450"/>
    <w:bookmarkEnd w:id="449"/>
    <w:p>
      <w:pPr>
        <w:ind w:right="20" w:firstLine="656"/>
        <w:spacing w:after="0" w:line="277" w:lineRule="auto"/>
        <w:tabs>
          <w:tab w:leader="none" w:pos="1509"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any other circumstances which otherwise might constitute a defense available to, or a discharge of, any Loan Party in respect of any Secured Obligation or of any Junior Secured Party in respect of this Agreement,</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i w:val="1"/>
          <w:iCs w:val="1"/>
          <w:u w:val="single" w:color="auto"/>
          <w:color w:val="auto"/>
        </w:rPr>
        <w:t>Section 10.</w:t>
      </w:r>
      <w:r>
        <w:rPr>
          <w:sz w:val="20"/>
          <w:szCs w:val="20"/>
          <w:color w:val="auto"/>
        </w:rPr>
        <w:tab/>
      </w:r>
      <w:r>
        <w:rPr>
          <w:rFonts w:ascii="Arial" w:cs="Arial" w:eastAsia="Arial" w:hAnsi="Arial"/>
          <w:sz w:val="16"/>
          <w:szCs w:val="16"/>
          <w:i w:val="1"/>
          <w:iCs w:val="1"/>
          <w:color w:val="auto"/>
        </w:rPr>
        <w:t>Miscellaneous.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Rights of Subrogation</w:t>
      </w:r>
      <w:r>
        <w:rPr>
          <w:rFonts w:ascii="Arial" w:cs="Arial" w:eastAsia="Arial" w:hAnsi="Arial"/>
          <w:sz w:val="16"/>
          <w:szCs w:val="16"/>
          <w:color w:val="auto"/>
        </w:rPr>
        <w:t xml:space="preserve"> . The Fixed Asset Representative, for and on behalf of itself and the Fixed Asset Secured Parties that it represents, agrees that no payment to any ABL Representative or any ABL Secured Party pursuant to the provisions of this Agreement shall entitle the Fixed Asset Representative or any Fixed Asset Secured Party to exercise any rights of subrogation in respect thereof until the ABL Obligations Payment Date. Following the ABL Obligations Payment Date, each ABL Representative agrees to execute such documents, agreements, and instruments as the Fixed Asset Representative or any Fixed Asset Secured Party may reasonably request to evidence the transfer by subrogation to any such Person of an interest in the ABL Obligations resulting from payments to such ABL Representative by such Person, so long as all costs and expenses (including all reasonable legal fees and disbursements) incurred in connection therewith by the ABL Representative are paid by such Person upon request for payment thereof. Each ABL Representative, for and on behalf of itself and the ABL Secured Parties that it represents, agrees that no payment to the Fixed Asset Representative or any Fixed Asset Secured Party pursuant to the provisions of this Agreement shall entitle such ABL Representative or any ABL Secured Party to exercise any rights of subrogation in respect thereof until the Fixed Asset Obligations Payment Date. Following the Fixed Asset Obligations Payment Date, the Fixed Asset Representative agrees to execute such documents, agreements, and instruments as the ABL Representative or any ABL Secured Party may reasonably request to evidence the transfer by subrogation to any such Person of an interest in the Fixed Asset Obligations resulting from payments to the Fixed Asset Representative by such Person, so long as all costs and expenses (including all reasonable legal fees and disbursements) incurred in connection therewith by the Fixed Asset Representative are paid by such Person upon request for payment thereof.</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 Each of the Fixed Asset Representative and the ABL Representative will, at any time and from time to time, promptly execute and deliver all further instruments and documents, and take all further action, that may be necessary or desirable, or that the other party may reasonably request, in order to protect any right or interest granted or purported to be granted hereby or to enable each ABL Representative or the Fixed Asset Representative to exercise and enforce its rights and remedies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party shall be required to pay over any payment or distribution, execute any instruments or documents, or take any other action referred to in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to the extent that such action would contravene any law, order or other legal requirement or any of the terms or provisions of this Agreement, and in the event of a controversy or dispute, such party may interplead any payment or distribution in any court of competent jurisdiction, without further responsibility in respect of such payment or distribution under this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Conflicts</w:t>
      </w:r>
      <w:r>
        <w:rPr>
          <w:rFonts w:ascii="Arial" w:cs="Arial" w:eastAsia="Arial" w:hAnsi="Arial"/>
          <w:sz w:val="18"/>
          <w:szCs w:val="18"/>
          <w:color w:val="auto"/>
        </w:rPr>
        <w:t xml:space="preserve"> . In the event of any conflict between the provisions of this Agreement and the provisions of any ABL Document or any Fixed Asset Document, the provisions of this Agreement shall govern; provided, however, that solely among the Fixed Asset Secured Parties the Collateral Trust Agreement shall govern in the event of any conflict.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0" w:name="page451"/>
    <w:bookmarkEnd w:id="450"/>
    <w:p>
      <w:pPr>
        <w:jc w:val="both"/>
        <w:ind w:firstLine="648"/>
        <w:spacing w:after="0" w:line="291"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Continuing Nature of Provisions</w:t>
      </w:r>
      <w:r>
        <w:rPr>
          <w:rFonts w:ascii="Arial" w:cs="Arial" w:eastAsia="Arial" w:hAnsi="Arial"/>
          <w:sz w:val="16"/>
          <w:szCs w:val="16"/>
          <w:color w:val="auto"/>
        </w:rPr>
        <w:t xml:space="preserve"> . 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this Agreement shall continue to be effective, and shall not be terminable by any party hereto, until the earlier of (i) the ABL Obligations Payment Date and (ii) the Fixed Asset Obligations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Replacement ABL Agreement or Additional Fixed Asset Document, as applicable, is entered into following such termination, the relevant Secured Parties agree to, upon the request of any Loan Party, restore this Agreement on the terms and conditions set forth herein until the earlier to occur of the next following ABL Obligations Payment Date or Fixed Asset Obligations Payment Date. This is a continuing agreement and the ABL Secured Parties and the Fixed Asset Secured Parties may continue, at any time and without notice to the other parties hereto, to extend credit and other financial accommodations, lend monies and provide indebtedness to, or for the benefit of, any Loan Party on the faith hereof. In furtherance of the foregoing:</w:t>
      </w:r>
    </w:p>
    <w:p>
      <w:pPr>
        <w:spacing w:after="0" w:line="166" w:lineRule="exact"/>
        <w:rPr>
          <w:sz w:val="20"/>
          <w:szCs w:val="20"/>
          <w:color w:val="auto"/>
        </w:rPr>
      </w:pPr>
    </w:p>
    <w:p>
      <w:pPr>
        <w:jc w:val="both"/>
        <w:ind w:firstLine="656"/>
        <w:spacing w:after="0" w:line="284" w:lineRule="auto"/>
        <w:tabs>
          <w:tab w:leader="none" w:pos="1491" w:val="left"/>
        </w:tabs>
        <w:numPr>
          <w:ilvl w:val="1"/>
          <w:numId w:val="582"/>
        </w:numPr>
        <w:rPr>
          <w:rFonts w:ascii="Arial" w:cs="Arial" w:eastAsia="Arial" w:hAnsi="Arial"/>
          <w:sz w:val="16"/>
          <w:szCs w:val="16"/>
          <w:color w:val="auto"/>
        </w:rPr>
      </w:pPr>
      <w:r>
        <w:rPr>
          <w:rFonts w:ascii="Arial" w:cs="Arial" w:eastAsia="Arial" w:hAnsi="Arial"/>
          <w:sz w:val="16"/>
          <w:szCs w:val="16"/>
          <w:color w:val="auto"/>
        </w:rPr>
        <w:t>Upon receipt of a notice from the Loan Parties stating that the Loan Parties (or any of them) have entered into a Replacement ABL Agreement (which notice shall include the identity of the new ABL Representative, if applicable), the Fixed Asset Representative shall promptly (i) enter into such documents and agreements (including amendments or supplements to this Agreement) as the Loan Parties or the new ABL Representative shall reasonably request in order to provide to the new ABL Representative or the applicable new ABL Secured Parties the rights contemplated hereby, in each case consistent in all material respects with the terms of this Agreement, (ii) deliver to the new ABL Representative any ABL Priority Collateral held by it, together with any necessary endorsements (or otherwise allow the new ABL Representative to obtain control of such ABL Priority Collateral), and</w:t>
      </w:r>
    </w:p>
    <w:p>
      <w:pPr>
        <w:spacing w:after="0" w:line="4" w:lineRule="exact"/>
        <w:rPr>
          <w:rFonts w:ascii="Arial" w:cs="Arial" w:eastAsia="Arial" w:hAnsi="Arial"/>
          <w:sz w:val="16"/>
          <w:szCs w:val="16"/>
          <w:color w:val="auto"/>
        </w:rPr>
      </w:pPr>
    </w:p>
    <w:p>
      <w:pPr>
        <w:jc w:val="both"/>
        <w:ind w:firstLine="8"/>
        <w:spacing w:after="0" w:line="255" w:lineRule="auto"/>
        <w:tabs>
          <w:tab w:leader="none" w:pos="332"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take such other actions as the Loan Parties or the new ABL Representative may reasonably request to provide the new ABL Representative or the applicable ABL Creditors the benefits of this Agreement. The new ABL Representative shall agree in a writing addressed to the Fixed Asset Representative to be bound by the terms of this Agreement, and</w:t>
      </w:r>
    </w:p>
    <w:p>
      <w:pPr>
        <w:spacing w:after="0" w:line="189" w:lineRule="exact"/>
        <w:rPr>
          <w:rFonts w:ascii="Arial" w:cs="Arial" w:eastAsia="Arial" w:hAnsi="Arial"/>
          <w:sz w:val="18"/>
          <w:szCs w:val="18"/>
          <w:color w:val="auto"/>
        </w:rPr>
      </w:pPr>
    </w:p>
    <w:p>
      <w:pPr>
        <w:jc w:val="both"/>
        <w:ind w:firstLine="656"/>
        <w:spacing w:after="0" w:line="289" w:lineRule="auto"/>
        <w:tabs>
          <w:tab w:leader="none" w:pos="1366" w:val="left"/>
        </w:tabs>
        <w:numPr>
          <w:ilvl w:val="1"/>
          <w:numId w:val="583"/>
        </w:numPr>
        <w:rPr>
          <w:rFonts w:ascii="Arial" w:cs="Arial" w:eastAsia="Arial" w:hAnsi="Arial"/>
          <w:sz w:val="16"/>
          <w:szCs w:val="16"/>
          <w:color w:val="auto"/>
        </w:rPr>
      </w:pPr>
      <w:r>
        <w:rPr>
          <w:rFonts w:ascii="Arial" w:cs="Arial" w:eastAsia="Arial" w:hAnsi="Arial"/>
          <w:sz w:val="16"/>
          <w:szCs w:val="16"/>
          <w:color w:val="auto"/>
        </w:rPr>
        <w:t>Upon receipt of a notice from the Loan Parties stating that the Loan Parties (or any of them) have entered into an Additional Fixed Asset Document (which notice shall include the identity of the new Fixed Asset Representative, if applicable), the ABL Representative shall promptly (i) enter into such documents and agreements (including amendments or supplements to this Agreement) as the Loan Parties or the new Fixed Asset Representative shall reasonably request in order to provide to the new Fixed Asset Representative or the applicable new Fixed Asset Secured Parties the rights contemplated hereby, in each case consistent in all material respects with the terms of this Agreement, (ii) deliver to the new Fixed Asset Representative any Fixed Asset Priority Collateral held by it together with any necessary endorsements (or otherwise allow the new Fixed Asset Representative to obtain control of such Fixed Asset Priority Collateral), and (iii) take such other actions as the Loan Parties or the new Fixed Asset Representative may reasonably request to provide the new Fixed Asset Representative or the applicable Fixed Asset Secured Parties the benefits of this Agreement. The new Fixed Asset Representative shall agree in a writing addressed to the ABL Representative to be bound by the terms of this Agreement.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 (a) No amendment or modification of or supplement to any of the provisions of this Agreement shall be effective unless the same shall be in writing and signed by the ABL Representative and the Fixed Asset Representative, and, in the cases of amendments or modifications of or supplements to this Agreement that directly or indirectly affect the rights or duties of any Loan Party, including amendments or modifications of </w:t>
      </w:r>
      <w:r>
        <w:rPr>
          <w:rFonts w:ascii="Arial" w:cs="Arial" w:eastAsia="Arial" w:hAnsi="Arial"/>
          <w:sz w:val="18"/>
          <w:szCs w:val="18"/>
          <w:u w:val="single" w:color="auto"/>
          <w:color w:val="auto"/>
        </w:rPr>
        <w:t>Sections 2.6(b)</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w:t>
      </w:r>
      <w:r>
        <w:rPr>
          <w:rFonts w:ascii="Arial" w:cs="Arial" w:eastAsia="Arial" w:hAnsi="Arial"/>
          <w:sz w:val="18"/>
          <w:szCs w:val="18"/>
          <w:u w:val="single" w:color="auto"/>
          <w:color w:val="auto"/>
        </w:rPr>
        <w:t>10.7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10.8</w:t>
      </w:r>
      <w:r>
        <w:rPr>
          <w:rFonts w:ascii="Arial" w:cs="Arial" w:eastAsia="Arial" w:hAnsi="Arial"/>
          <w:sz w:val="18"/>
          <w:szCs w:val="18"/>
          <w:color w:val="auto"/>
        </w:rPr>
        <w:t xml:space="preserve"> that indirectly or directly affect the rights or duties of any Loan Party, such Loan Party.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1" w:name="page452"/>
    <w:bookmarkEnd w:id="451"/>
    <w:p>
      <w:pPr>
        <w:jc w:val="both"/>
        <w:ind w:firstLine="656"/>
        <w:spacing w:after="0" w:line="272" w:lineRule="auto"/>
        <w:tabs>
          <w:tab w:leader="none" w:pos="1352" w:val="left"/>
        </w:tabs>
        <w:numPr>
          <w:ilvl w:val="0"/>
          <w:numId w:val="584"/>
        </w:numPr>
        <w:rPr>
          <w:rFonts w:ascii="Arial" w:cs="Arial" w:eastAsia="Arial" w:hAnsi="Arial"/>
          <w:sz w:val="17"/>
          <w:szCs w:val="17"/>
          <w:color w:val="auto"/>
        </w:rPr>
      </w:pPr>
      <w:r>
        <w:rPr>
          <w:rFonts w:ascii="Arial" w:cs="Arial" w:eastAsia="Arial" w:hAnsi="Arial"/>
          <w:sz w:val="17"/>
          <w:szCs w:val="17"/>
          <w:color w:val="auto"/>
        </w:rPr>
        <w:t>It is understood that the ABL Representative and the Fixed Asset Representative, without the consent of any other ABL Secured Party or Fixed Asset Secured Party, may in their discretion determine that a supplemental agreement (which may take the form of an amendment and restatement of this Agreement) is necessary or appropriate to facilitate having additional indebtedness or other obligations (“</w:t>
      </w:r>
      <w:r>
        <w:rPr>
          <w:rFonts w:ascii="Arial" w:cs="Arial" w:eastAsia="Arial" w:hAnsi="Arial"/>
          <w:sz w:val="17"/>
          <w:szCs w:val="17"/>
          <w:u w:val="single" w:color="auto"/>
          <w:color w:val="auto"/>
        </w:rPr>
        <w:t>Additional Debt</w:t>
      </w:r>
      <w:r>
        <w:rPr>
          <w:rFonts w:ascii="Arial" w:cs="Arial" w:eastAsia="Arial" w:hAnsi="Arial"/>
          <w:sz w:val="17"/>
          <w:szCs w:val="17"/>
          <w:color w:val="auto"/>
        </w:rPr>
        <w:t xml:space="preserve">”) of any of the Loan Parties become ABL Obligations or Fixed Asset Obligations, as the case may be, under this Agreement, which supplemental agreement shall specify whether such Additional Debt constitutes ABL Obligations or Fixed Asset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Additional Debt is permitted to be incurred by the ABL Agreement and each Fixed Asset Document then extant, and is permitted by such agreements to be subject to the provisions of this Agreement as ABL Obligations or Fixed Asset Obligations, as applicable.</w:t>
      </w:r>
    </w:p>
    <w:p>
      <w:pPr>
        <w:spacing w:after="0" w:line="177" w:lineRule="exact"/>
        <w:rPr>
          <w:rFonts w:ascii="Arial" w:cs="Arial" w:eastAsia="Arial" w:hAnsi="Arial"/>
          <w:sz w:val="17"/>
          <w:szCs w:val="17"/>
          <w:color w:val="auto"/>
        </w:rPr>
      </w:pPr>
    </w:p>
    <w:p>
      <w:pPr>
        <w:jc w:val="both"/>
        <w:ind w:firstLine="656"/>
        <w:spacing w:after="0" w:line="269" w:lineRule="auto"/>
        <w:tabs>
          <w:tab w:leader="none" w:pos="1207" w:val="left"/>
        </w:tabs>
        <w:numPr>
          <w:ilvl w:val="0"/>
          <w:numId w:val="584"/>
        </w:numPr>
        <w:rPr>
          <w:rFonts w:ascii="Arial" w:cs="Arial" w:eastAsia="Arial" w:hAnsi="Arial"/>
          <w:sz w:val="17"/>
          <w:szCs w:val="17"/>
          <w:color w:val="auto"/>
        </w:rPr>
      </w:pPr>
      <w:r>
        <w:rPr>
          <w:rFonts w:ascii="Arial" w:cs="Arial" w:eastAsia="Arial" w:hAnsi="Arial"/>
          <w:sz w:val="17"/>
          <w:szCs w:val="17"/>
          <w:u w:val="single" w:color="auto"/>
          <w:color w:val="auto"/>
        </w:rPr>
        <w:t>Additional Debt Documents</w:t>
      </w:r>
      <w:r>
        <w:rPr>
          <w:rFonts w:ascii="Arial" w:cs="Arial" w:eastAsia="Arial" w:hAnsi="Arial"/>
          <w:sz w:val="17"/>
          <w:szCs w:val="17"/>
          <w:color w:val="auto"/>
        </w:rPr>
        <w:t>. (1) To the extent, but only to the extent, permitted by the provisions of the ABL Documents and the Fixed Asset Documents, the Borrowers may incur or issue and sell one or more series or classes of Indebtedness under credit agreements, debt facilities, indentures and/or commercial paper facilities that the Company designates as an Additional ABL Agreement. In order to so designate any credit agreements, debt facilities, indentures and/or commercial paper facilities as an Additional ABL Agreement such credit agreements, debt facilities, indentures and/or commercial paper facilities must satisfy the requirements of the definition of Additional ABL Agreement and the Company must deliver to each of the other parties hereto (other than any Loan Party) a designation in substantially the form of Annex III hereto. Additionally solely in the case of any Additional ABL Agreement, the agent or representative under such Additional ABL Agreement shall have executed and delivered to each other representative party hereto a joinder agreement in substantially the form of Annex II hereto whereby such new representative agrees to be bound by the terms of this Agreement and represents and warrants that the Additional ABL Agreement provides that the claimholders thereunder will be subject to and bound by the provisions of this Agreement. (2) To the extent, but only to the extent, permitted by the provisions of the ABL Documents, the Fixed Asset Documents and the Collateral Trust Agreement, the Borrowers may incur Additional Fixed Asset Debt.</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Information Concerning Financial Condition of the Loan Parties</w:t>
      </w:r>
      <w:r>
        <w:rPr>
          <w:rFonts w:ascii="Arial" w:cs="Arial" w:eastAsia="Arial" w:hAnsi="Arial"/>
          <w:sz w:val="16"/>
          <w:szCs w:val="16"/>
          <w:color w:val="auto"/>
        </w:rPr>
        <w:t xml:space="preserve"> . Each of the Fixed Asset Representative and the ABL Representative hereby assume responsibility for keeping itself informed of the financial condition of the Loan Parties and all other circumstances bearing upon the risk of nonpayment of the ABL Obligations or the Fixed Asset Obligations. The Fixed Asset Representative and the ABL Representative hereby agree that</w:t>
      </w:r>
    </w:p>
    <w:p>
      <w:pPr>
        <w:spacing w:after="0" w:line="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no party shall have any duty to advise any other party of information known to it regarding such condition or any such circumstances (except as otherwise provided in the ABL Documents and Fixed Asset Documents). In the event the Fixed Asset Representative or the ABL Representative, in its sole discretion, undertakes at any time or from time to time to provide any information to any other party to this Agreement, it shall be under no obligation</w:t>
      </w:r>
    </w:p>
    <w:p>
      <w:pPr>
        <w:spacing w:after="0" w:line="2" w:lineRule="exact"/>
        <w:rPr>
          <w:sz w:val="20"/>
          <w:szCs w:val="20"/>
          <w:color w:val="auto"/>
        </w:rPr>
      </w:pPr>
    </w:p>
    <w:p>
      <w:pPr>
        <w:ind w:firstLine="8"/>
        <w:spacing w:after="0" w:line="260" w:lineRule="auto"/>
        <w:tabs>
          <w:tab w:leader="none" w:pos="254"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to provide any such information to such other party or any other party on any subsequent occasion, (b) to undertake any investigation not a part of its regular business routine, or (c) to disclose any other information.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2" w:name="page453"/>
    <w:bookmarkEnd w:id="452"/>
    <w:p>
      <w:pPr>
        <w:jc w:val="both"/>
        <w:ind w:firstLine="648"/>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 YORK.</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Submission to Jurisdiction; JURY TRIAL WAIVER</w:t>
      </w:r>
      <w:r>
        <w:rPr>
          <w:rFonts w:ascii="Arial" w:cs="Arial" w:eastAsia="Arial" w:hAnsi="Arial"/>
          <w:sz w:val="17"/>
          <w:szCs w:val="17"/>
          <w:color w:val="auto"/>
        </w:rPr>
        <w:t>. (a) Each ABL Secured Party, each Fixed Asset Secured Party and each Loan Party hereby irrevocably and unconditionally submits, for itself and its property, to the exclusive jurisdiction of the Supreme Court of the State of New York sitting in New York County, Borough of Manhattan and of the United States District Court of the Southern District of New York, and any appellate court from any thereof, in any action or proceeding arising out of or relating to this Agreement, or for recognition or enforcement of any judgment, and each such party hereby irrevocably and unconditionally agrees that all claims in respect of any such action or proceeding may be heard and determined in such New York State or, to the extent permitted by law, in such Federal court. Each such party agrees that a final judgment in any such action or proceeding shall be conclusive and may be enforced in other jurisdictions by suit on the judgment or in any other manner provided by law. Nothing in this Agreement shall affect any right that the any ABL Secured Party or Fixed Asset Secured Party may otherwise have to bring any action or proceeding against any Loan Party or its properties in the courts of any jurisdiction.</w:t>
      </w:r>
    </w:p>
    <w:p>
      <w:pPr>
        <w:spacing w:after="0" w:line="181" w:lineRule="exact"/>
        <w:rPr>
          <w:sz w:val="20"/>
          <w:szCs w:val="20"/>
          <w:color w:val="auto"/>
        </w:rPr>
      </w:pPr>
    </w:p>
    <w:p>
      <w:pPr>
        <w:jc w:val="both"/>
        <w:ind w:firstLine="656"/>
        <w:spacing w:after="0" w:line="259" w:lineRule="auto"/>
        <w:tabs>
          <w:tab w:leader="none" w:pos="1447" w:val="left"/>
        </w:tabs>
        <w:numPr>
          <w:ilvl w:val="0"/>
          <w:numId w:val="586"/>
        </w:numPr>
        <w:rPr>
          <w:rFonts w:ascii="Arial" w:cs="Arial" w:eastAsia="Arial" w:hAnsi="Arial"/>
          <w:sz w:val="18"/>
          <w:szCs w:val="18"/>
          <w:color w:val="auto"/>
        </w:rPr>
      </w:pPr>
      <w:r>
        <w:rPr>
          <w:rFonts w:ascii="Arial" w:cs="Arial" w:eastAsia="Arial" w:hAnsi="Arial"/>
          <w:sz w:val="18"/>
          <w:szCs w:val="18"/>
          <w:color w:val="auto"/>
        </w:rPr>
        <w:t>Each ABL Secured Party, each Fixed Asset Secured Party and each Loan Party hereby irrevocably and unconditionally waives, to the fullest extent it may legally and effectively do so (i) any objection it may now or hereafter have to the laying of venue of any suit, action or proceeding arising out of or relating to this Agreement in any court referred to in paragraph (a) of this Section and (ii) the defense of an inconvenient forum to the maintenance of such action or proceeding.</w:t>
      </w:r>
    </w:p>
    <w:p>
      <w:pPr>
        <w:spacing w:after="0" w:line="186" w:lineRule="exact"/>
        <w:rPr>
          <w:rFonts w:ascii="Arial" w:cs="Arial" w:eastAsia="Arial" w:hAnsi="Arial"/>
          <w:sz w:val="18"/>
          <w:szCs w:val="18"/>
          <w:color w:val="auto"/>
        </w:rPr>
      </w:pPr>
    </w:p>
    <w:p>
      <w:pPr>
        <w:ind w:firstLine="656"/>
        <w:spacing w:after="0" w:line="277" w:lineRule="auto"/>
        <w:tabs>
          <w:tab w:leader="none" w:pos="141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10.9. Nothing in this Agreement will affect the right of any party to this Agreement to serve process in any other manner permitted by law.</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487" w:val="left"/>
        </w:tabs>
        <w:numPr>
          <w:ilvl w:val="0"/>
          <w:numId w:val="586"/>
        </w:numPr>
        <w:rPr>
          <w:rFonts w:ascii="Arial" w:cs="Arial" w:eastAsia="Arial" w:hAnsi="Arial"/>
          <w:sz w:val="18"/>
          <w:szCs w:val="18"/>
          <w:color w:val="auto"/>
        </w:rPr>
      </w:pPr>
      <w:r>
        <w:rPr>
          <w:rFonts w:ascii="Arial" w:cs="Arial" w:eastAsia="Arial" w:hAnsi="Arial"/>
          <w:sz w:val="18"/>
          <w:szCs w:val="18"/>
          <w:color w:val="auto"/>
        </w:rPr>
        <w:t>EACH PARTY HERETO HEREBY WAIVES ITS RESPECTIVE RIGHTS TO A JURY TRIAL OF ANY CLAIM OR CAUSE OF ACTION BASED UPON OR ARISING OUT OF THIS AGREEMENT OR ANY OF THE TRANSACTIONS CONTEMPLATED HEREIN, INCLUDING CONTRACT CLAIMS, TORT CLAIMS, BREACH OF DUTY CLAIMS, AND ALL OTHER COMMON LAW OR STATUTORY CLAIMS. EACH PARTY HERETO REPRESENTS THAT IT HAS REVIEWED THIS WAIVER AND IT KNOWINGLY AND VOLUNTARILY WAIVES ITS JURY TRIAL RIGHTS FOLLOWING CONSULTATION WITH LEGAL COUNSEL. IN THE EVENT OF LITIGATION, A COPY OF THIS AGREEMENT MAY BE FILED AS A WRITTEN CONSENT TO A TRIAL BY THE COURT.</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Unless otherwise specifically provided herein, any notice or other communication herein required or permitted to be given shall be in writing and may be personally served, telecopied, or sent by overnight express courier service or United States mail and shall be deemed to have been given when delivered in person or by courier service, upon receipt of a telecopy or five days after deposit in the United States mail (certified, with postage prepaid and properly addressed). For the purposes hereof, the addresses of the parties hereto (until notice of a change thereof is delivered as provided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shall be as set forth below each party’s name on the signature pages hereof, any Joinder Agreement hereto, or, as to each party, at such other address as may be designated by such party in a written notice to all of the other parties. Notices or other communications required or permitted herein may be delivered or furnished between the Company and the ABL Representative using Electronic Systems (as defined in the ABL Agreement) in accordance with the provisions of Section 9.01(b) of the ABL Agreement which shall be incorporated by reference in this Agreement as if references to “Administrative Agent” was to the ABL Representative and references to “hereunder” was to this Agreement,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3" w:name="page454"/>
    <w:bookmarkEnd w:id="453"/>
    <w:p>
      <w:pPr>
        <w:jc w:val="both"/>
        <w:ind w:firstLine="648"/>
        <w:spacing w:after="0" w:line="26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each of the parties hereto and each of the ABL Secured Parties and Fixed Asset Secured Parties and their respective successors and assigns, and nothing herein is intended, or shall be construed to give, any other Person any right, remedy or claim under, to or in respect of this Agreement or any Collateral.</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Other Remedies</w:t>
      </w:r>
      <w:r>
        <w:rPr>
          <w:rFonts w:ascii="Arial" w:cs="Arial" w:eastAsia="Arial" w:hAnsi="Arial"/>
          <w:sz w:val="17"/>
          <w:szCs w:val="17"/>
          <w:color w:val="auto"/>
        </w:rPr>
        <w:t>. For avoidance of doubt, it is understood that nothing in this Agreement shall prevent any ABL Secured Party or any Fixed Asset Secured Party from exercising any available remedy to accelerate the maturity of any indebtedness or other obligations owing under the ABL Documents or the Fixed Asset Documents, as applicable, or to demand payment under any guarantee in respect thereof.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4" w:name="page455"/>
    <w:bookmarkEnd w:id="454"/>
    <w:p>
      <w:pPr>
        <w:jc w:val="both"/>
        <w:ind w:firstLine="648"/>
        <w:spacing w:after="0" w:line="283"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Agreement and/or any document, amendment, approval, consent, information, notice (including, for the avoidance of doubt, any notice delivered pursuant to Section 10.9), certificate, request, statement, disclosure or authorization related to this Agreement and/or the transactions contemplated hereby and/or thereby (each an “</w:t>
      </w:r>
      <w:r>
        <w:rPr>
          <w:rFonts w:ascii="Arial" w:cs="Arial" w:eastAsia="Arial" w:hAnsi="Arial"/>
          <w:sz w:val="16"/>
          <w:szCs w:val="16"/>
          <w:u w:val="single" w:color="auto"/>
          <w:color w:val="auto"/>
        </w:rPr>
        <w:t>Ancillary Document</w:t>
      </w:r>
      <w:r>
        <w:rPr>
          <w:rFonts w:ascii="Arial" w:cs="Arial" w:eastAsia="Arial" w:hAnsi="Arial"/>
          <w:sz w:val="16"/>
          <w:szCs w:val="16"/>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and/or such Ancillary Document, as applicable. The words “execution,” “signed,” “signature,” “delivery,” and words of like import in or relating to this Agreement and/or such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any ABL Representative or the Fixed Asset Representative to accept Electronic Signatures in any form or format without its prior written consent and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further, without limiting the foregoing, (i) to the extent the ABL Representative or the Fixed Asset Representative has agreed to accept any Electronic Signature, such ABL Representative or the Fixed Asset Representative shall be entitled to rely on such Electronic Signature purportedly given by or on behalf of any other party hereto without further verification thereof and without any obligation to review the appearance or form of any such Electronic Signature and (ii) upon the request of the ABL Representative or Fixed Asset Representative, any Electronic Signature shall be promptly followed by a manually executed counterpart. Without limiting the generality of the foregoing, (i) each of the parties hereto hereby agrees that, for all purposes, including without limitation, in connection with any workout, restructuring, enforcement of remedies, bankruptcy proceedings or litigation among any of the parties hereto, Electronic Signatures transmitted by telecopy, emailed pdf. or any other electronic means that reproduces an image of an actual executed signature page and/or any electronic images of this Agreement and/or any Ancillary Document (including with respect to any signature pages thereto) shall have the same legal effect, validity and enforceability as any paper original, (ii) each ABL Representative or the Fixed Asset Representative may, at its option, create one or more copies of this Agreement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each of the parties hereto hereby waives any argument, defense or right to contest the legal effect, validity or enforceability of this Agreement and/or any Ancillary Document based solely on the lack of paper original copies of this Agreement and/or any Ancillary Document, including with respect to any signature pages thereto and (iv) each of the parties hereto hereby waives any claim against any ABL Representative or the Fixed Asset Representative and their respective Affiliates and the respective directors, officers, employees, agents and advisors of the ABL Representative or Fixed Asset Representative and ABL Representative's or Fixed Asset Representative's Affiliates for any liabilities arising solely from the ABL Representative's or Fixed Asset Representative’s reliance on or use of Electronic Signatures and/or transmissions by telecopy, emailed pdf. or any other electronic means that reproduces an image of an actual executed signature page, including any liabilities arising as a result of the failure of any party hereto to use any available security measures in connection with the execution, delivery or transmission of any Electronic Signature. This Agreement shall become effective when it shall have been executed by each party hereto. Solely as among the Fixed Asset Secured Parties, in the event of any conflict between this Agreement and the Fixed Asset Intercreditor Agreement, the Fixed Asset Pari Passu Intercreditor Agreement shall govern and control. Solely as among the ABL Secured Parties, in the event of any conflict between this Agreement and the ABL Intercreditor Agreement, the ABL Intercreditor Agreement shall govern and control.</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Additional Loan Parties</w:t>
      </w:r>
      <w:r>
        <w:rPr>
          <w:rFonts w:ascii="Arial" w:cs="Arial" w:eastAsia="Arial" w:hAnsi="Arial"/>
          <w:sz w:val="18"/>
          <w:szCs w:val="18"/>
          <w:color w:val="auto"/>
        </w:rPr>
        <w:t>. The Company shall cause each Person that becomes a Loan Party after the date hereof to become a party to this Agreement by execution and delivery by such Person of a Joinder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Collateral Trustee</w:t>
      </w:r>
      <w:r>
        <w:rPr>
          <w:rFonts w:ascii="Arial" w:cs="Arial" w:eastAsia="Arial" w:hAnsi="Arial"/>
          <w:sz w:val="18"/>
          <w:szCs w:val="18"/>
          <w:color w:val="auto"/>
        </w:rPr>
        <w:t>. U.S. Bank National Association is executing this Agreement, not in its individual capacity but solely as Collateral Trustee under that certain Collateral Trust Agreement, dated as of July 8, 2020. In acting hereunder the Collateral Trustee shall have the rights, protections and immunities granted to it under that certain Collateral Trust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5" w:name="page456"/>
    <w:bookmarkEnd w:id="455"/>
    <w:p>
      <w:pPr>
        <w:jc w:val="center"/>
        <w:ind w:right="19"/>
        <w:spacing w:after="0"/>
        <w:rPr>
          <w:sz w:val="20"/>
          <w:szCs w:val="20"/>
          <w:color w:val="auto"/>
        </w:rPr>
      </w:pPr>
      <w:r>
        <w:rPr>
          <w:rFonts w:ascii="Arial" w:cs="Arial" w:eastAsia="Arial" w:hAnsi="Arial"/>
          <w:sz w:val="17"/>
          <w:szCs w:val="17"/>
          <w:b w:val="1"/>
          <w:bCs w:val="1"/>
          <w:color w:val="auto"/>
        </w:rPr>
        <w:t>[SIGNATURE PAGES TO FOLLOW]</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456" w:name="page457"/>
    <w:bookmarkEnd w:id="456"/>
    <w:p>
      <w:pPr>
        <w:spacing w:after="0"/>
        <w:rPr>
          <w:sz w:val="20"/>
          <w:szCs w:val="20"/>
          <w:color w:val="auto"/>
        </w:rPr>
      </w:pPr>
      <w:r>
        <w:rPr>
          <w:rFonts w:ascii="Arial" w:cs="Arial" w:eastAsia="Arial" w:hAnsi="Arial"/>
          <w:sz w:val="17"/>
          <w:szCs w:val="17"/>
          <w:color w:val="auto"/>
        </w:rPr>
        <w:t>IN WITNESS WHEREOF, the parties hereto have executed this Agreement as of the date first written above.</w:t>
      </w:r>
    </w:p>
    <w:p>
      <w:pPr>
        <w:spacing w:after="0" w:line="237" w:lineRule="exact"/>
        <w:rPr>
          <w:sz w:val="20"/>
          <w:szCs w:val="20"/>
          <w:color w:val="auto"/>
        </w:rPr>
      </w:pPr>
    </w:p>
    <w:p>
      <w:pPr>
        <w:jc w:val="right"/>
        <w:ind w:right="1279"/>
        <w:spacing w:after="0"/>
        <w:rPr>
          <w:sz w:val="20"/>
          <w:szCs w:val="20"/>
          <w:color w:val="auto"/>
        </w:rPr>
      </w:pPr>
      <w:r>
        <w:rPr>
          <w:rFonts w:ascii="Arial" w:cs="Arial" w:eastAsia="Arial" w:hAnsi="Arial"/>
          <w:sz w:val="18"/>
          <w:szCs w:val="18"/>
          <w:color w:val="auto"/>
        </w:rPr>
        <w:t>JPMORGAN CHASE BANK, N.A., as ABL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Representative for and on behalf of the ABL</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Secured Parties</w:t>
      </w:r>
    </w:p>
    <w:p>
      <w:pPr>
        <w:spacing w:after="0" w:line="211"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Morrone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John Morrone</w:t>
      </w:r>
    </w:p>
    <w:p>
      <w:pPr>
        <w:spacing w:after="0" w:line="23"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 S. Dearborn St.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Attention: John Morrone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Telecopy No.: (312) 548-1943</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i w:val="1"/>
          <w:iCs w:val="1"/>
          <w:color w:val="auto"/>
        </w:rPr>
        <w:t>Winnebago Industries, Inc. Intercreditor Agreement</w:t>
      </w:r>
    </w:p>
    <w:p>
      <w:pPr>
        <w:spacing w:after="0" w:line="200" w:lineRule="exact"/>
        <w:rPr>
          <w:sz w:val="20"/>
          <w:szCs w:val="20"/>
          <w:color w:val="auto"/>
        </w:rPr>
      </w:pP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457" w:name="page458"/>
    <w:bookmarkEnd w:id="457"/>
    <w:p>
      <w:pPr>
        <w:ind w:left="4520"/>
        <w:spacing w:after="0"/>
        <w:rPr>
          <w:sz w:val="20"/>
          <w:szCs w:val="20"/>
          <w:color w:val="auto"/>
        </w:rPr>
      </w:pPr>
      <w:r>
        <w:rPr>
          <w:rFonts w:ascii="Arial" w:cs="Arial" w:eastAsia="Arial" w:hAnsi="Arial"/>
          <w:sz w:val="18"/>
          <w:szCs w:val="18"/>
          <w:color w:val="auto"/>
        </w:rPr>
        <w:t>U.S. BANK NATIONAL ASSOCIATION, as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Collateral Trustee for and on behalf of the Notes</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Creditors</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Linda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Linda Garcia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U.S. Bank National Association</w:t>
      </w:r>
    </w:p>
    <w:p>
      <w:pPr>
        <w:ind w:left="4520"/>
        <w:spacing w:after="0" w:line="202" w:lineRule="auto"/>
        <w:rPr>
          <w:sz w:val="20"/>
          <w:szCs w:val="20"/>
          <w:color w:val="auto"/>
        </w:rPr>
      </w:pPr>
      <w:r>
        <w:rPr>
          <w:rFonts w:ascii="Arial" w:cs="Arial" w:eastAsia="Arial" w:hAnsi="Arial"/>
          <w:sz w:val="18"/>
          <w:szCs w:val="18"/>
          <w:color w:val="auto"/>
        </w:rPr>
        <w:t>190 S. LaSalle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Chicago, IL 60603</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Attention: Corporate Administration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Telecopy No: 312-332-8008</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Address: linda.garcia@usbank.com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Winnebago Industries, Inc. Intercreditor Agreement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58" w:name="page459"/>
    <w:bookmarkEnd w:id="458"/>
    <w:p>
      <w:pPr>
        <w:ind w:left="4520"/>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Bryan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Bryan Hughes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WINNEBAGO OF INDIANA,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Bert Jameson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Bert Jameson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GRAND DESIGN RV,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Bert Jameson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Bert Jameson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OCTAVIUS CORPORATION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Bryan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Bryan Hughes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NEWMAR CORPORATION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Bert Jameson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Bert Jameson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Winnebago Industries,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13200 Pioneer Trail, Suite 150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Eden Prairie, MN 55347</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Attention: Bert Jameson, Treasurer</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Email: hijameson@winnebagoind.com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59" w:name="page460"/>
    <w:bookmarkEnd w:id="459"/>
    <w:p>
      <w:pPr>
        <w:ind w:left="10500"/>
        <w:spacing w:after="0"/>
        <w:rPr>
          <w:sz w:val="20"/>
          <w:szCs w:val="20"/>
          <w:color w:val="auto"/>
        </w:rPr>
      </w:pPr>
      <w:r>
        <w:rPr>
          <w:rFonts w:ascii="Arial" w:cs="Arial" w:eastAsia="Arial" w:hAnsi="Arial"/>
          <w:sz w:val="18"/>
          <w:szCs w:val="18"/>
          <w:color w:val="auto"/>
        </w:rPr>
        <w:t>ANNEX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JOINDER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dated as of </w:t>
      </w:r>
      <w:r>
        <w:rPr>
          <w:rFonts w:ascii="Arial" w:cs="Arial" w:eastAsia="Arial" w:hAnsi="Arial"/>
          <w:sz w:val="24"/>
          <w:szCs w:val="24"/>
          <w:b w:val="1"/>
          <w:bCs w:val="1"/>
          <w:u w:val="single" w:color="auto"/>
          <w:color w:val="auto"/>
        </w:rPr>
        <w:t>[</w:t>
      </w:r>
      <w:r>
        <w:rPr>
          <w:rFonts w:ascii="Arial" w:cs="Arial" w:eastAsia="Arial" w:hAnsi="Arial"/>
          <w:sz w:val="17"/>
          <w:szCs w:val="17"/>
          <w:color w:val="auto"/>
        </w:rPr>
        <w:t>___________</w:t>
      </w:r>
      <w:r>
        <w:rPr>
          <w:rFonts w:ascii="Arial" w:cs="Arial" w:eastAsia="Arial" w:hAnsi="Arial"/>
          <w:sz w:val="24"/>
          <w:szCs w:val="24"/>
          <w:b w:val="1"/>
          <w:bCs w:val="1"/>
          <w:u w:val="single" w:color="auto"/>
          <w:color w:val="auto"/>
        </w:rPr>
        <w:t>]</w:t>
      </w:r>
      <w:r>
        <w:rPr>
          <w:rFonts w:ascii="Arial" w:cs="Arial" w:eastAsia="Arial" w:hAnsi="Arial"/>
          <w:sz w:val="17"/>
          <w:szCs w:val="17"/>
          <w:color w:val="auto"/>
        </w:rPr>
        <w:t>, is executed by ________________________________,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 (the “</w:t>
      </w:r>
      <w:r>
        <w:rPr>
          <w:rFonts w:ascii="Arial" w:cs="Arial" w:eastAsia="Arial" w:hAnsi="Arial"/>
          <w:sz w:val="18"/>
          <w:szCs w:val="18"/>
          <w:u w:val="single" w:color="auto"/>
          <w:color w:val="auto"/>
        </w:rPr>
        <w:t>New Subsidiary</w:t>
      </w:r>
      <w:r>
        <w:rPr>
          <w:rFonts w:ascii="Arial" w:cs="Arial" w:eastAsia="Arial" w:hAnsi="Arial"/>
          <w:sz w:val="18"/>
          <w:szCs w:val="18"/>
          <w:color w:val="auto"/>
        </w:rPr>
        <w:t>”) in favor of JPMORGAN CHASE BANK, N.A. (the “</w:t>
      </w:r>
      <w:r>
        <w:rPr>
          <w:rFonts w:ascii="Arial" w:cs="Arial" w:eastAsia="Arial" w:hAnsi="Arial"/>
          <w:sz w:val="18"/>
          <w:szCs w:val="18"/>
          <w:u w:val="single" w:color="auto"/>
          <w:color w:val="auto"/>
        </w:rPr>
        <w:t>ABL Representative</w:t>
      </w:r>
      <w:r>
        <w:rPr>
          <w:rFonts w:ascii="Arial" w:cs="Arial" w:eastAsia="Arial" w:hAnsi="Arial"/>
          <w:sz w:val="18"/>
          <w:szCs w:val="18"/>
          <w:color w:val="auto"/>
        </w:rPr>
        <w:t>”) and U.S. Bank National</w:t>
      </w:r>
    </w:p>
    <w:p>
      <w:pPr>
        <w:spacing w:after="0" w:line="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Association (the “</w:t>
      </w:r>
      <w:r>
        <w:rPr>
          <w:rFonts w:ascii="Arial" w:cs="Arial" w:eastAsia="Arial" w:hAnsi="Arial"/>
          <w:sz w:val="18"/>
          <w:szCs w:val="18"/>
          <w:u w:val="single" w:color="auto"/>
          <w:color w:val="auto"/>
        </w:rPr>
        <w:t>Collateral Trustee</w:t>
      </w:r>
      <w:r>
        <w:rPr>
          <w:rFonts w:ascii="Arial" w:cs="Arial" w:eastAsia="Arial" w:hAnsi="Arial"/>
          <w:sz w:val="18"/>
          <w:szCs w:val="18"/>
          <w:color w:val="auto"/>
        </w:rPr>
        <w:t>”), under that certain Intercreditor Agreement (the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dated as of July 8, 2020 among the ABL Representative, Winnebago Industries, Inc. and each of the other Loan Parties party thereto. All capitalized terms used herein and not otherwise defined shall have the meanings set forth in the Intercreditor Agreement.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New Subsidiary, for the benefit of the ABL Representative and the Collateral Trustee, hereby agrees as follows:</w:t>
      </w:r>
    </w:p>
    <w:p>
      <w:pPr>
        <w:spacing w:after="0" w:line="225" w:lineRule="exact"/>
        <w:rPr>
          <w:sz w:val="20"/>
          <w:szCs w:val="20"/>
          <w:color w:val="auto"/>
        </w:rPr>
      </w:pPr>
    </w:p>
    <w:p>
      <w:pPr>
        <w:jc w:val="both"/>
        <w:ind w:firstLine="656"/>
        <w:spacing w:after="0" w:line="259" w:lineRule="auto"/>
        <w:tabs>
          <w:tab w:leader="none" w:pos="1377"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New Subsidiary hereby acknowledges the Intercreditor Agreement and acknowledges, agrees and confirms that, by its execution of this Agreement, the New Subsidiary will be deemed to be a Loan Party under the Intercreditor Agreement and shall have all of the obligations of a Loan Party thereunder as if it had executed the Intercreditor Agreement. The New Subsidiary hereby ratifies, as of the date hereof, and agrees to be bound by, all of the terms, provisions and conditions contained in the Intercreditor Agreement.</w:t>
      </w:r>
    </w:p>
    <w:p>
      <w:pPr>
        <w:spacing w:after="0" w:line="186" w:lineRule="exact"/>
        <w:rPr>
          <w:rFonts w:ascii="Arial" w:cs="Arial" w:eastAsia="Arial" w:hAnsi="Arial"/>
          <w:sz w:val="18"/>
          <w:szCs w:val="18"/>
          <w:color w:val="auto"/>
        </w:rPr>
      </w:pPr>
    </w:p>
    <w:p>
      <w:pPr>
        <w:ind w:left="1340" w:hanging="684"/>
        <w:spacing w:after="0"/>
        <w:tabs>
          <w:tab w:leader="none" w:pos="134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address of the New Subsidiary for purposes of Section 10.9 of the Intercreditor Agreement is as follows: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225" w:lineRule="exact"/>
        <w:rPr>
          <w:rFonts w:ascii="Arial" w:cs="Arial" w:eastAsia="Arial" w:hAnsi="Arial"/>
          <w:sz w:val="18"/>
          <w:szCs w:val="18"/>
          <w:color w:val="auto"/>
        </w:rPr>
      </w:pPr>
    </w:p>
    <w:p>
      <w:pPr>
        <w:ind w:firstLine="656"/>
        <w:spacing w:after="0" w:line="277" w:lineRule="auto"/>
        <w:tabs>
          <w:tab w:leader="none" w:pos="1741"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NEW SUBSIDIARY HEREUNDER SHALL BE GOVERNED BY AND CONSTRUED AND INTERPRETED IN ACCORDANCE WITH THE LAWS OF THE STATE OF NEW YORK.</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WITNESS WHEREOF, the New Subsidiary has caused this Agreement to be duly executed by its authorized officer, as of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SUBSIDIARY]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0" w:name="page461"/>
    <w:bookmarkEnd w:id="460"/>
    <w:p>
      <w:pPr>
        <w:ind w:left="10440"/>
        <w:spacing w:after="0"/>
        <w:rPr>
          <w:sz w:val="20"/>
          <w:szCs w:val="20"/>
          <w:color w:val="auto"/>
        </w:rPr>
      </w:pPr>
      <w:r>
        <w:rPr>
          <w:rFonts w:ascii="Arial" w:cs="Arial" w:eastAsia="Arial" w:hAnsi="Arial"/>
          <w:sz w:val="18"/>
          <w:szCs w:val="18"/>
          <w:color w:val="auto"/>
        </w:rPr>
        <w:t>ANNEX II</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[FORM OF] JOINDER AGREEMENT NO. [ ] dated as of [ ], 20[ ] to the INTERCREDITOR AGREEMENT, dated as of July 8, 2020 (as amended, restated, supplemented or otherwise modified from time to time, the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made between JPMORGAN CHASE BANK, N.A. (the “</w:t>
      </w:r>
      <w:r>
        <w:rPr>
          <w:rFonts w:ascii="Arial" w:cs="Arial" w:eastAsia="Arial" w:hAnsi="Arial"/>
          <w:sz w:val="18"/>
          <w:szCs w:val="18"/>
          <w:u w:val="single" w:color="auto"/>
          <w:color w:val="auto"/>
        </w:rPr>
        <w:t>ABL Representative</w:t>
      </w:r>
      <w:r>
        <w:rPr>
          <w:rFonts w:ascii="Arial" w:cs="Arial" w:eastAsia="Arial" w:hAnsi="Arial"/>
          <w:sz w:val="18"/>
          <w:szCs w:val="18"/>
          <w:color w:val="auto"/>
        </w:rPr>
        <w:t>”) and U.S. Bank National Association (the “</w:t>
      </w:r>
      <w:r>
        <w:rPr>
          <w:rFonts w:ascii="Arial" w:cs="Arial" w:eastAsia="Arial" w:hAnsi="Arial"/>
          <w:sz w:val="18"/>
          <w:szCs w:val="18"/>
          <w:u w:val="single" w:color="auto"/>
          <w:color w:val="auto"/>
        </w:rPr>
        <w:t>Collateral Trustee</w:t>
      </w:r>
      <w:r>
        <w:rPr>
          <w:rFonts w:ascii="Arial" w:cs="Arial" w:eastAsia="Arial" w:hAnsi="Arial"/>
          <w:sz w:val="18"/>
          <w:szCs w:val="18"/>
          <w:color w:val="auto"/>
        </w:rPr>
        <w:t>”), under that certain Intercreditor Agreement (the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dated as of July 8, 2020 among the ABL Representative, Winnebago Industries, Inc. and each of the other Loan Parties party thereto.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Capitalized terms used herein but not otherwise defined herein shall have the meanings assigned to such terms in the Intercreditor Agreement.</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condition to the ability of the Company to incur additional ABL Obligations under an Additional ABL Agreement (such additional ABL Obligations, the “</w:t>
      </w:r>
      <w:r>
        <w:rPr>
          <w:rFonts w:ascii="Arial" w:cs="Arial" w:eastAsia="Arial" w:hAnsi="Arial"/>
          <w:sz w:val="18"/>
          <w:szCs w:val="18"/>
          <w:u w:val="single" w:color="auto"/>
          <w:color w:val="auto"/>
        </w:rPr>
        <w:t>Additional ABL Debt</w:t>
      </w:r>
      <w:r>
        <w:rPr>
          <w:rFonts w:ascii="Arial" w:cs="Arial" w:eastAsia="Arial" w:hAnsi="Arial"/>
          <w:sz w:val="18"/>
          <w:szCs w:val="18"/>
          <w:color w:val="auto"/>
        </w:rPr>
        <w:t xml:space="preserve">”) after the date of the Intercreditor Agreement and to secure such Additional ABL Debt and related additional ABL Obligations with a lien on the Collateral and to have such Additional ABL Debt and related additional ABL Obligations guaranteed by the Loan Parties, in each case under and pursuant to the applicable Additional ABL Agreement, the ABL Representative in respect of such Additional ABL Debt and related additional ABL Obligations is required to become an ABL Representative under, and the related ABL Secured Parties in respect thereof are required to become subject to and bound by, the Intercreditor Agreement.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Intercreditor Agreement provides that such additional ABL Representative may become an ABL Representative under, and such ABL Secured Parties in respect thereof may become subject to and bound by, the Intercreditor Agreement pursuant to the execution and delivery by the additional ABL Representative of an instrument in the form of this Joinder Agreement. The undersigned additional ABL Representative (the “</w:t>
      </w:r>
      <w:r>
        <w:rPr>
          <w:rFonts w:ascii="Arial" w:cs="Arial" w:eastAsia="Arial" w:hAnsi="Arial"/>
          <w:sz w:val="18"/>
          <w:szCs w:val="18"/>
          <w:b w:val="1"/>
          <w:bCs w:val="1"/>
          <w:color w:val="auto"/>
        </w:rPr>
        <w:t>New Representative</w:t>
      </w:r>
      <w:r>
        <w:rPr>
          <w:rFonts w:ascii="Arial" w:cs="Arial" w:eastAsia="Arial" w:hAnsi="Arial"/>
          <w:sz w:val="18"/>
          <w:szCs w:val="18"/>
          <w:color w:val="auto"/>
        </w:rPr>
        <w:t>”) is executing this Joinder Agreement in accordance with the requirements of the Intercreditor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New Representative agrees as follows:</w:t>
      </w:r>
    </w:p>
    <w:p>
      <w:pPr>
        <w:spacing w:after="0" w:line="225" w:lineRule="exact"/>
        <w:rPr>
          <w:sz w:val="20"/>
          <w:szCs w:val="20"/>
          <w:color w:val="auto"/>
        </w:rPr>
      </w:pPr>
    </w:p>
    <w:p>
      <w:pPr>
        <w:jc w:val="both"/>
        <w:ind w:firstLine="656"/>
        <w:spacing w:after="0" w:line="254" w:lineRule="auto"/>
        <w:tabs>
          <w:tab w:leader="none" w:pos="1512"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Accession to the Intercreditor Agreement</w:t>
      </w:r>
      <w:r>
        <w:rPr>
          <w:rFonts w:ascii="Arial" w:cs="Arial" w:eastAsia="Arial" w:hAnsi="Arial"/>
          <w:sz w:val="18"/>
          <w:szCs w:val="18"/>
          <w:color w:val="auto"/>
        </w:rPr>
        <w:t>. In accordance with the Intercreditor Agreement, the New Representative by its signature below becomes an ABL Representative under, and the related ABL Secured Parties that it represents become subject to and bound by, the Intercreditor Agreement with the same force and effect as if the New Representative had originally been named therein as an ABL Representative, and the New Representative, on behalf of itself and each other ABL Secured Party that it represents, hereby agrees to all the terms and provisions of the Intercreditor Agreement applicable to it as an ABL Representative and to the related ABL Secured Parties that it represents as ABL Secured Parties. Each reference to a “ABL Representative” in the Intercreditor Agreement shall be deemed to include the New Representative and each reference to “ABL Secured Parties” shall include the related ABL Secured Parties represented by such New Representative. The Intercreditor Agreement is hereby incorporated herein by reference.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1" w:name="page462"/>
    <w:bookmarkEnd w:id="461"/>
    <w:p>
      <w:pPr>
        <w:ind w:left="1380" w:hanging="724"/>
        <w:spacing w:after="0"/>
        <w:tabs>
          <w:tab w:leader="none" w:pos="1380" w:val="left"/>
        </w:tabs>
        <w:numPr>
          <w:ilvl w:val="1"/>
          <w:numId w:val="58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New Representative represents and warrants to the other Collateral Agents and Secured Parties that</w:t>
      </w:r>
    </w:p>
    <w:p>
      <w:pPr>
        <w:spacing w:after="0" w:line="46" w:lineRule="exact"/>
        <w:rPr>
          <w:rFonts w:ascii="Arial" w:cs="Arial" w:eastAsia="Arial" w:hAnsi="Arial"/>
          <w:sz w:val="16"/>
          <w:szCs w:val="16"/>
          <w:color w:val="auto"/>
        </w:rPr>
      </w:pPr>
    </w:p>
    <w:p>
      <w:pPr>
        <w:jc w:val="both"/>
        <w:ind w:firstLine="8"/>
        <w:spacing w:after="0" w:line="253" w:lineRule="auto"/>
        <w:tabs>
          <w:tab w:leader="none" w:pos="237" w:val="left"/>
        </w:tabs>
        <w:numPr>
          <w:ilvl w:val="0"/>
          <w:numId w:val="590"/>
        </w:numPr>
        <w:rPr>
          <w:rFonts w:ascii="Arial" w:cs="Arial" w:eastAsia="Arial" w:hAnsi="Arial"/>
          <w:sz w:val="18"/>
          <w:szCs w:val="18"/>
          <w:color w:val="auto"/>
        </w:rPr>
      </w:pPr>
      <w:r>
        <w:rPr>
          <w:rFonts w:ascii="Arial" w:cs="Arial" w:eastAsia="Arial" w:hAnsi="Arial"/>
          <w:sz w:val="18"/>
          <w:szCs w:val="18"/>
          <w:color w:val="auto"/>
        </w:rPr>
        <w:t>it has full power and authority to enter into this Joinder Agreement, in its capacity as agent, (ii) this Joinder Agreement has been duly authorized, executed and delivered by it and constitutes its legal, valid and binding obligation, enforceable against it in accordance with its terms and the terms of the Intercreditor Agreement and (iii) the Additional ABL Agreement relating to such additional ABL Obligations provide that, upon the New Representative’s entry into this Agreement, the related ABL Secured Parties] in respect of such additional ABL Obligations will be subject to and bound by the provisions of the Intercreditor Agreement as ABL Secured Parties.</w:t>
      </w:r>
    </w:p>
    <w:p>
      <w:pPr>
        <w:spacing w:after="0" w:line="190" w:lineRule="exact"/>
        <w:rPr>
          <w:rFonts w:ascii="Arial" w:cs="Arial" w:eastAsia="Arial" w:hAnsi="Arial"/>
          <w:sz w:val="18"/>
          <w:szCs w:val="18"/>
          <w:color w:val="auto"/>
        </w:rPr>
      </w:pPr>
    </w:p>
    <w:p>
      <w:pPr>
        <w:jc w:val="both"/>
        <w:ind w:firstLine="656"/>
        <w:spacing w:after="0" w:line="263" w:lineRule="auto"/>
        <w:tabs>
          <w:tab w:leader="none" w:pos="1368" w:val="left"/>
        </w:tabs>
        <w:numPr>
          <w:ilvl w:val="1"/>
          <w:numId w:val="59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Joinder Agreement may be executed in counterparts, each of which shall constitute an original, but all of which when taken together shall constitute a single contract. Delivery of an executed signature page to this Joinder Agreement by facsimile or other electronic transmission shall be effective as delivery of a manually signed counterpart of this Joinder Agreement.</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1"/>
          <w:numId w:val="590"/>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Except as expressly supplemented hereby, the Intercreditor Agreement shall remain in full force and effect.</w:t>
      </w:r>
    </w:p>
    <w:p>
      <w:pPr>
        <w:spacing w:after="0" w:line="236" w:lineRule="exact"/>
        <w:rPr>
          <w:rFonts w:ascii="Arial" w:cs="Arial" w:eastAsia="Arial" w:hAnsi="Arial"/>
          <w:sz w:val="17"/>
          <w:szCs w:val="17"/>
          <w:color w:val="auto"/>
        </w:rPr>
      </w:pPr>
    </w:p>
    <w:p>
      <w:pPr>
        <w:ind w:firstLine="656"/>
        <w:spacing w:after="0" w:line="277" w:lineRule="auto"/>
        <w:tabs>
          <w:tab w:leader="none" w:pos="1597" w:val="left"/>
        </w:tabs>
        <w:numPr>
          <w:ilvl w:val="1"/>
          <w:numId w:val="590"/>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Section heading used in this Joinder Agreement are for convenience of reference only and are not to affect the construction hereof or to be taken in consideration in the interpretation hereof.</w:t>
      </w:r>
    </w:p>
    <w:p>
      <w:pPr>
        <w:spacing w:after="0" w:line="166" w:lineRule="exact"/>
        <w:rPr>
          <w:rFonts w:ascii="Arial" w:cs="Arial" w:eastAsia="Arial" w:hAnsi="Arial"/>
          <w:sz w:val="18"/>
          <w:szCs w:val="18"/>
          <w:color w:val="auto"/>
        </w:rPr>
      </w:pPr>
    </w:p>
    <w:p>
      <w:pPr>
        <w:ind w:left="1400" w:hanging="744"/>
        <w:spacing w:after="0"/>
        <w:tabs>
          <w:tab w:leader="none" w:pos="1400" w:val="left"/>
        </w:tabs>
        <w:numPr>
          <w:ilvl w:val="1"/>
          <w:numId w:val="590"/>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JOINDER AGREEMENT, AND ANY DISPUTE, CLAIM OR CONTROVERSY ARISING OUT OF OR</w:t>
      </w:r>
    </w:p>
    <w:p>
      <w:pPr>
        <w:spacing w:after="0" w:line="27" w:lineRule="exact"/>
        <w:rPr>
          <w:rFonts w:ascii="Arial" w:cs="Arial" w:eastAsia="Arial" w:hAnsi="Arial"/>
          <w:sz w:val="18"/>
          <w:szCs w:val="18"/>
          <w:b w:val="1"/>
          <w:bCs w:val="1"/>
          <w:color w:val="auto"/>
        </w:rPr>
      </w:pPr>
    </w:p>
    <w:p>
      <w:pPr>
        <w:jc w:val="both"/>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RELATING TO THIS JOINDER AGREEMENT (WHETHER ARISING IN CONTRACT, TORT OR OTHERWISE) SHALL BE GOVERNED BY, AND CONSTRUED AND INTERPRETED IN ACCORDANCE WITH, THE LAW OF THE STATE OF NEW YORK WITHOUT REGARD TO CONFLICTS OF LAW RULES THAT WOULD RESULT IN THE APPLICATION OF A DIFFERENT GOVERNING LAW (OTHER THAN ANY MANDATORY PROVISIONS OF THE UCC RELATING TO THE LAW GOVERNING PERFECTION AND THE EFFECT OF PERFECTION OR PRIORITY OF THE SECURITY INTERESTS IN THE COLLATERAL).</w:t>
      </w:r>
    </w:p>
    <w:p>
      <w:pPr>
        <w:spacing w:after="0" w:line="190" w:lineRule="exact"/>
        <w:rPr>
          <w:rFonts w:ascii="Arial" w:cs="Arial" w:eastAsia="Arial" w:hAnsi="Arial"/>
          <w:sz w:val="18"/>
          <w:szCs w:val="18"/>
          <w:b w:val="1"/>
          <w:bCs w:val="1"/>
          <w:color w:val="auto"/>
        </w:rPr>
      </w:pPr>
    </w:p>
    <w:p>
      <w:pPr>
        <w:jc w:val="both"/>
        <w:ind w:firstLine="656"/>
        <w:spacing w:after="0" w:line="275" w:lineRule="auto"/>
        <w:tabs>
          <w:tab w:leader="none" w:pos="1732" w:val="left"/>
        </w:tabs>
        <w:numPr>
          <w:ilvl w:val="1"/>
          <w:numId w:val="59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Joinder Agreement that is prohibited or unenforceable in any jurisdiction shall, as to such jurisdiction, be ineffective to the extent of such prohibition or unenforceability without invalidating the remaining provisions hereof and in the Intercreditor Agreement, and any such prohibition or unenforceability in any jurisdiction shall not invalidate or render unenforceable such provision in any other jurisdiction. The parties hereto shall endeavor in good-faith negotiations to replace any invalid, illegal or unenforceable provisions with valid provisions the economic effect of which comes as close as possible to those of the invalid, illegal or unenforceable provisions.</w:t>
      </w:r>
    </w:p>
    <w:p>
      <w:pPr>
        <w:spacing w:after="0" w:line="176" w:lineRule="exact"/>
        <w:rPr>
          <w:rFonts w:ascii="Arial" w:cs="Arial" w:eastAsia="Arial" w:hAnsi="Arial"/>
          <w:sz w:val="17"/>
          <w:szCs w:val="17"/>
          <w:color w:val="auto"/>
        </w:rPr>
      </w:pPr>
    </w:p>
    <w:p>
      <w:pPr>
        <w:ind w:firstLine="656"/>
        <w:spacing w:after="0" w:line="308" w:lineRule="auto"/>
        <w:tabs>
          <w:tab w:leader="none" w:pos="1624" w:val="left"/>
        </w:tabs>
        <w:numPr>
          <w:ilvl w:val="1"/>
          <w:numId w:val="59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communications and notices hereunder shall be in writing and given as provided in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of the Intercreditor Agreement. All communications and notices to the New Representative shall be given to it at the address set forth below its signature hereto.</w:t>
      </w:r>
    </w:p>
    <w:p>
      <w:pPr>
        <w:spacing w:after="0" w:line="146" w:lineRule="exact"/>
        <w:rPr>
          <w:rFonts w:ascii="Arial" w:cs="Arial" w:eastAsia="Arial" w:hAnsi="Arial"/>
          <w:sz w:val="17"/>
          <w:szCs w:val="17"/>
          <w:color w:val="auto"/>
        </w:rPr>
      </w:pPr>
    </w:p>
    <w:p>
      <w:pPr>
        <w:ind w:left="1380" w:hanging="724"/>
        <w:spacing w:after="0"/>
        <w:tabs>
          <w:tab w:leader="none" w:pos="1380" w:val="left"/>
        </w:tabs>
        <w:numPr>
          <w:ilvl w:val="1"/>
          <w:numId w:val="59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the Intercreditor Agreement will apply with like effect to this Joinder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EMAINDER OF THIS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2" w:name="page463"/>
    <w:bookmarkEnd w:id="462"/>
    <w:p>
      <w:pPr>
        <w:ind w:firstLine="648"/>
        <w:spacing w:after="0" w:line="277" w:lineRule="auto"/>
        <w:rPr>
          <w:sz w:val="20"/>
          <w:szCs w:val="20"/>
          <w:color w:val="auto"/>
        </w:rPr>
      </w:pPr>
      <w:r>
        <w:rPr>
          <w:rFonts w:ascii="Arial" w:cs="Arial" w:eastAsia="Arial" w:hAnsi="Arial"/>
          <w:sz w:val="18"/>
          <w:szCs w:val="18"/>
          <w:color w:val="auto"/>
        </w:rPr>
        <w:t>IN WITNESS WHEREOF, the New Representative has duly executed this Joinder Agreement to the Intercreditor Agreement as of the day and year first above written.</w:t>
      </w:r>
    </w:p>
    <w:p>
      <w:pPr>
        <w:spacing w:after="0" w:line="17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OF NEW REPRESENTATIVE],</w:t>
      </w:r>
    </w:p>
    <w:p>
      <w:pPr>
        <w:spacing w:after="0" w:line="23" w:lineRule="exact"/>
        <w:rPr>
          <w:sz w:val="20"/>
          <w:szCs w:val="20"/>
          <w:color w:val="auto"/>
        </w:rPr>
      </w:pPr>
    </w:p>
    <w:p>
      <w:pPr>
        <w:ind w:left="5380"/>
        <w:spacing w:after="0"/>
        <w:tabs>
          <w:tab w:leader="none" w:pos="6340" w:val="left"/>
        </w:tabs>
        <w:rPr>
          <w:sz w:val="20"/>
          <w:szCs w:val="20"/>
          <w:color w:val="auto"/>
        </w:rPr>
      </w:pPr>
      <w:r>
        <w:rPr>
          <w:rFonts w:ascii="Arial" w:cs="Arial" w:eastAsia="Arial" w:hAnsi="Arial"/>
          <w:sz w:val="18"/>
          <w:szCs w:val="18"/>
          <w:color w:val="auto"/>
        </w:rPr>
        <w:t>as [</w:t>
      </w:r>
      <w:r>
        <w:rPr>
          <w:sz w:val="20"/>
          <w:szCs w:val="20"/>
          <w:color w:val="auto"/>
        </w:rPr>
        <w:tab/>
      </w:r>
      <w:r>
        <w:rPr>
          <w:rFonts w:ascii="Arial" w:cs="Arial" w:eastAsia="Arial" w:hAnsi="Arial"/>
          <w:sz w:val="16"/>
          <w:szCs w:val="16"/>
          <w:color w:val="auto"/>
        </w:rPr>
        <w:t>] for the holders of</w:t>
      </w:r>
    </w:p>
    <w:p>
      <w:pPr>
        <w:spacing w:after="0" w:line="9" w:lineRule="exact"/>
        <w:rPr>
          <w:sz w:val="20"/>
          <w:szCs w:val="20"/>
          <w:color w:val="auto"/>
        </w:rPr>
      </w:pPr>
    </w:p>
    <w:p>
      <w:pPr>
        <w:ind w:left="5380"/>
        <w:spacing w:after="0"/>
        <w:tabs>
          <w:tab w:leader="none" w:pos="6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5715</wp:posOffset>
            </wp:positionV>
            <wp:extent cx="336867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10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142875</wp:posOffset>
            </wp:positionV>
            <wp:extent cx="336867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-130175</wp:posOffset>
            </wp:positionV>
            <wp:extent cx="336867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Receipt of the foregoing acknowledged:</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OF APPLICABLE REPRESENTATIVE],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as [Insert title of Representative]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5715</wp:posOffset>
            </wp:positionV>
            <wp:extent cx="336867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3" w:name="page464"/>
    <w:bookmarkEnd w:id="463"/>
    <w:p>
      <w:pPr>
        <w:ind w:left="10380"/>
        <w:spacing w:after="0"/>
        <w:rPr>
          <w:sz w:val="20"/>
          <w:szCs w:val="20"/>
          <w:color w:val="auto"/>
        </w:rPr>
      </w:pPr>
      <w:r>
        <w:rPr>
          <w:rFonts w:ascii="Arial" w:cs="Arial" w:eastAsia="Arial" w:hAnsi="Arial"/>
          <w:sz w:val="18"/>
          <w:szCs w:val="18"/>
          <w:color w:val="auto"/>
        </w:rPr>
        <w:t>ANNEX III</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[FORM OF] DESIGNATION NO. [ ] (this “</w:t>
      </w:r>
      <w:r>
        <w:rPr>
          <w:rFonts w:ascii="Arial" w:cs="Arial" w:eastAsia="Arial" w:hAnsi="Arial"/>
          <w:sz w:val="18"/>
          <w:szCs w:val="18"/>
          <w:u w:val="single" w:color="auto"/>
          <w:color w:val="auto"/>
        </w:rPr>
        <w:t>Designation</w:t>
      </w:r>
      <w:r>
        <w:rPr>
          <w:rFonts w:ascii="Arial" w:cs="Arial" w:eastAsia="Arial" w:hAnsi="Arial"/>
          <w:sz w:val="18"/>
          <w:szCs w:val="18"/>
          <w:color w:val="auto"/>
        </w:rPr>
        <w:t>”) dated as of [ ], 20[ ] with respect to the INTERCREDITOR AGREEMENT dated as of July 8, 2020 (the “</w:t>
      </w:r>
      <w:r>
        <w:rPr>
          <w:rFonts w:ascii="Arial" w:cs="Arial" w:eastAsia="Arial" w:hAnsi="Arial"/>
          <w:sz w:val="18"/>
          <w:szCs w:val="18"/>
          <w:u w:val="single" w:color="auto"/>
          <w:color w:val="auto"/>
        </w:rPr>
        <w:t>ABL Intercreditor Agreement</w:t>
      </w:r>
      <w:r>
        <w:rPr>
          <w:rFonts w:ascii="Arial" w:cs="Arial" w:eastAsia="Arial" w:hAnsi="Arial"/>
          <w:sz w:val="18"/>
          <w:szCs w:val="18"/>
          <w:color w:val="auto"/>
        </w:rPr>
        <w:t>”), among JPMorgan Chase Bank, N.A. as Existing ABL Representative and U.S. Bank National Association as Collateral Trustee and the additional agents from time to time a party thereto, and acknowledged and agreed to by Winnebago Industries, Inc., an Iowa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certain subsidiaries of the Company (each a “</w:t>
      </w:r>
      <w:r>
        <w:rPr>
          <w:rFonts w:ascii="Arial" w:cs="Arial" w:eastAsia="Arial" w:hAnsi="Arial"/>
          <w:sz w:val="18"/>
          <w:szCs w:val="18"/>
          <w:u w:val="single" w:color="auto"/>
          <w:color w:val="auto"/>
        </w:rPr>
        <w:t>Grantor”</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Capitalized terms used herein but not otherwise defined herein shall have the meanings assigned to such terms in the ABL Intercreditor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Designation is being executed and delivered in order to designate the below described credit agreement, debt facility, indenture and/or commercial paper facility as an [Additional ABL Agreement]/[Additional Fixed Asset Document] entitled to the benefit of and subject to the terms of the ABL Intercreditor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the duly appointed [</w:t>
      </w:r>
      <w:r>
        <w:rPr>
          <w:rFonts w:ascii="Arial" w:cs="Arial" w:eastAsia="Arial" w:hAnsi="Arial"/>
          <w:sz w:val="17"/>
          <w:szCs w:val="17"/>
          <w:i w:val="1"/>
          <w:iCs w:val="1"/>
          <w:color w:val="auto"/>
        </w:rPr>
        <w:t>specify title of Responsible Officer</w:t>
      </w:r>
      <w:r>
        <w:rPr>
          <w:rFonts w:ascii="Arial" w:cs="Arial" w:eastAsia="Arial" w:hAnsi="Arial"/>
          <w:sz w:val="17"/>
          <w:szCs w:val="17"/>
          <w:color w:val="auto"/>
        </w:rPr>
        <w:t>] of the Company hereby certifies on behalf of the Company that:</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 [</w:t>
      </w:r>
      <w:r>
        <w:rPr>
          <w:rFonts w:ascii="Arial" w:cs="Arial" w:eastAsia="Arial" w:hAnsi="Arial"/>
          <w:sz w:val="18"/>
          <w:szCs w:val="18"/>
          <w:i w:val="1"/>
          <w:iCs w:val="1"/>
          <w:color w:val="auto"/>
        </w:rPr>
        <w:t>Insert name of the Company or other Grantor</w:t>
      </w:r>
      <w:r>
        <w:rPr>
          <w:rFonts w:ascii="Arial" w:cs="Arial" w:eastAsia="Arial" w:hAnsi="Arial"/>
          <w:sz w:val="18"/>
          <w:szCs w:val="18"/>
          <w:color w:val="auto"/>
        </w:rPr>
        <w:t>] intends to enter into [describe new debt facility] (the “</w:t>
      </w:r>
      <w:r>
        <w:rPr>
          <w:rFonts w:ascii="Arial" w:cs="Arial" w:eastAsia="Arial" w:hAnsi="Arial"/>
          <w:sz w:val="18"/>
          <w:szCs w:val="18"/>
          <w:u w:val="single" w:color="auto"/>
          <w:color w:val="auto"/>
        </w:rPr>
        <w:t>New Debt Facility</w:t>
      </w:r>
      <w:r>
        <w:rPr>
          <w:rFonts w:ascii="Arial" w:cs="Arial" w:eastAsia="Arial" w:hAnsi="Arial"/>
          <w:sz w:val="18"/>
          <w:szCs w:val="18"/>
          <w:color w:val="auto"/>
        </w:rPr>
        <w:t>”) which New Debt Facility satisfies all requirements of the ABL Intercreditor Agreement to be an [Additional ABL Agreement]/[Additional Fixed Asset Document] and it hereby designated as such.</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2. The incurrence of the Indebtedness under the New Debt Facility is permitted by each applicable ABL Document and Fixed Asset Document.</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The name and address of the Agent for such New Debt Facility is: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[Insert name and all capacities; Address]</w:t>
      </w:r>
    </w:p>
    <w:p>
      <w:pPr>
        <w:spacing w:after="0" w:line="225"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18"/>
          <w:szCs w:val="18"/>
          <w:color w:val="auto"/>
        </w:rPr>
        <w:t>Telephone:</w:t>
        <w:tab/>
        <w:t>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14605</wp:posOffset>
            </wp:positionV>
            <wp:extent cx="123444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14605</wp:posOffset>
            </wp:positionV>
            <wp:extent cx="123444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14605</wp:posOffset>
            </wp:positionV>
            <wp:extent cx="123444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1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EMAINDER OF THIS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4" w:name="page465"/>
    <w:bookmarkEnd w:id="464"/>
    <w:p>
      <w:pPr>
        <w:jc w:val="center"/>
        <w:spacing w:after="0"/>
        <w:rPr>
          <w:sz w:val="20"/>
          <w:szCs w:val="20"/>
          <w:color w:val="auto"/>
        </w:rPr>
      </w:pPr>
      <w:r>
        <w:rPr>
          <w:rFonts w:ascii="Arial" w:cs="Arial" w:eastAsia="Arial" w:hAnsi="Arial"/>
          <w:sz w:val="16"/>
          <w:szCs w:val="16"/>
          <w:color w:val="auto"/>
        </w:rPr>
        <w:t>IN WITNESS WHEREOF, the Company has duly executed this designation as of the day and year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WINNEBAGO INDUSTRIES,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14605</wp:posOffset>
            </wp:positionV>
            <wp:extent cx="342011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3B662"/>
    <w:multiLevelType w:val="hybridMultilevel"/>
    <w:lvl w:ilvl="0">
      <w:lvlJc w:val="left"/>
      <w:lvlText w:val="☐"/>
      <w:numFmt w:val="bullet"/>
      <w:start w:val="1"/>
    </w:lvl>
  </w:abstractNum>
  <w:abstractNum w:abstractNumId="1">
    <w:nsid w:val="3BAB699E"/>
    <w:multiLevelType w:val="hybridMultilevel"/>
    <w:lvl w:ilvl="0">
      <w:lvlJc w:val="left"/>
      <w:lvlText w:val="(%1)"/>
      <w:numFmt w:val="decimal"/>
      <w:start w:val="1"/>
    </w:lvl>
  </w:abstractNum>
  <w:abstractNum w:abstractNumId="2">
    <w:nsid w:val="71315369"/>
    <w:multiLevelType w:val="hybridMultilevel"/>
    <w:lvl w:ilvl="0">
      <w:lvlJc w:val="left"/>
      <w:lvlText w:val="(%1)"/>
      <w:numFmt w:val="decimal"/>
      <w:start w:val="3"/>
    </w:lvl>
  </w:abstractNum>
  <w:abstractNum w:abstractNumId="3">
    <w:nsid w:val="7BCFBAFC"/>
    <w:multiLevelType w:val="hybridMultilevel"/>
    <w:lvl w:ilvl="0">
      <w:lvlJc w:val="left"/>
      <w:lvlText w:val="(%1)"/>
      <w:numFmt w:val="decimal"/>
      <w:start w:val="1"/>
    </w:lvl>
  </w:abstractNum>
  <w:abstractNum w:abstractNumId="4">
    <w:nsid w:val="17859F72"/>
    <w:multiLevelType w:val="hybridMultilevel"/>
    <w:lvl w:ilvl="0">
      <w:lvlJc w:val="left"/>
      <w:lvlText w:val="(%1)"/>
      <w:numFmt w:val="decimal"/>
      <w:start w:val="1"/>
    </w:lvl>
  </w:abstractNum>
  <w:abstractNum w:abstractNumId="5">
    <w:nsid w:val="3AA10581"/>
    <w:multiLevelType w:val="hybridMultilevel"/>
    <w:lvl w:ilvl="0">
      <w:lvlJc w:val="left"/>
      <w:lvlText w:val="(%1)"/>
      <w:numFmt w:val="decimal"/>
      <w:start w:val="1"/>
    </w:lvl>
  </w:abstractNum>
  <w:abstractNum w:abstractNumId="6">
    <w:nsid w:val="63DE60CD"/>
    <w:multiLevelType w:val="hybridMultilevel"/>
    <w:lvl w:ilvl="0">
      <w:lvlJc w:val="left"/>
      <w:lvlText w:val="(%1)"/>
      <w:numFmt w:val="lowerLetter"/>
      <w:start w:val="1"/>
    </w:lvl>
  </w:abstractNum>
  <w:abstractNum w:abstractNumId="7">
    <w:nsid w:val="621AF471"/>
    <w:multiLevelType w:val="hybridMultilevel"/>
    <w:lvl w:ilvl="0">
      <w:lvlJc w:val="left"/>
      <w:lvlText w:val="(%1)"/>
      <w:numFmt w:val="lowerLetter"/>
      <w:start w:val="2"/>
    </w:lvl>
  </w:abstractNum>
  <w:abstractNum w:abstractNumId="8">
    <w:nsid w:val="73CFE165"/>
    <w:multiLevelType w:val="hybridMultilevel"/>
    <w:lvl w:ilvl="0">
      <w:lvlJc w:val="left"/>
      <w:lvlText w:val="(%1)"/>
      <w:numFmt w:val="lowerLetter"/>
      <w:start w:val="14"/>
    </w:lvl>
  </w:abstractNum>
  <w:abstractNum w:abstractNumId="9">
    <w:nsid w:val="20F88EA6"/>
    <w:multiLevelType w:val="hybridMultilevel"/>
    <w:lvl w:ilvl="0">
      <w:lvlJc w:val="left"/>
      <w:lvlText w:val="(%1)"/>
      <w:numFmt w:val="decimal"/>
      <w:start w:val="1"/>
    </w:lvl>
  </w:abstractNum>
  <w:abstractNum w:abstractNumId="10">
    <w:nsid w:val="617C843E"/>
    <w:multiLevelType w:val="hybridMultilevel"/>
    <w:lvl w:ilvl="0">
      <w:lvlJc w:val="left"/>
      <w:lvlText w:val="(%1)"/>
      <w:numFmt w:val="upperLetter"/>
      <w:start w:val="2"/>
    </w:lvl>
  </w:abstractNum>
  <w:abstractNum w:abstractNumId="11">
    <w:nsid w:val="7B541FAB"/>
    <w:multiLevelType w:val="hybridMultilevel"/>
    <w:lvl w:ilvl="0">
      <w:lvlJc w:val="left"/>
      <w:lvlText w:val="(%1)"/>
      <w:numFmt w:val="decimal"/>
      <w:start w:val="1"/>
    </w:lvl>
  </w:abstractNum>
  <w:abstractNum w:abstractNumId="12">
    <w:nsid w:val="2A79EC49"/>
    <w:multiLevelType w:val="hybridMultilevel"/>
    <w:lvl w:ilvl="0">
      <w:lvlJc w:val="left"/>
      <w:lvlText w:val="%1"/>
      <w:numFmt w:val="decimal"/>
      <w:start w:val="1"/>
    </w:lvl>
    <w:lvl w:ilvl="1">
      <w:lvlJc w:val="left"/>
      <w:lvlText w:val="(%2)"/>
      <w:numFmt w:val="decimal"/>
      <w:start w:val="1"/>
    </w:lvl>
  </w:abstractNum>
  <w:abstractNum w:abstractNumId="13">
    <w:nsid w:val="338125CF"/>
    <w:multiLevelType w:val="hybridMultilevel"/>
    <w:lvl w:ilvl="0">
      <w:lvlJc w:val="left"/>
      <w:lvlText w:val="(%1)"/>
      <w:numFmt w:val="decimal"/>
      <w:start w:val="6"/>
    </w:lvl>
    <w:lvl w:ilvl="1">
      <w:lvlJc w:val="left"/>
      <w:lvlText w:val="(%2)"/>
      <w:numFmt w:val="decimal"/>
      <w:start w:val="8"/>
    </w:lvl>
  </w:abstractNum>
  <w:abstractNum w:abstractNumId="14">
    <w:nsid w:val="47C7C971"/>
    <w:multiLevelType w:val="hybridMultilevel"/>
    <w:lvl w:ilvl="0">
      <w:lvlJc w:val="left"/>
      <w:lvlText w:val="(%1)"/>
      <w:numFmt w:val="decimal"/>
      <w:start w:val="9"/>
    </w:lvl>
  </w:abstractNum>
  <w:abstractNum w:abstractNumId="15">
    <w:nsid w:val="46F8284B"/>
    <w:multiLevelType w:val="hybridMultilevel"/>
    <w:lvl w:ilvl="0">
      <w:lvlJc w:val="left"/>
      <w:lvlText w:val="%1"/>
      <w:numFmt w:val="lowerLetter"/>
      <w:start w:val="1"/>
    </w:lvl>
    <w:lvl w:ilvl="1">
      <w:lvlJc w:val="left"/>
      <w:lvlText w:val="(%2)"/>
      <w:numFmt w:val="decimal"/>
      <w:start w:val="1"/>
    </w:lvl>
  </w:abstractNum>
  <w:abstractNum w:abstractNumId="16">
    <w:nsid w:val="4FA327CE"/>
    <w:multiLevelType w:val="hybridMultilevel"/>
    <w:lvl w:ilvl="0">
      <w:lvlJc w:val="left"/>
      <w:lvlText w:val="(%1)"/>
      <w:numFmt w:val="lowerLetter"/>
      <w:start w:val="12"/>
    </w:lvl>
    <w:lvl w:ilvl="1">
      <w:lvlJc w:val="left"/>
      <w:lvlText w:val="%2"/>
      <w:numFmt w:val="decimal"/>
      <w:start w:val="1"/>
    </w:lvl>
  </w:abstractNum>
  <w:abstractNum w:abstractNumId="17">
    <w:nsid w:val="1873983A"/>
    <w:multiLevelType w:val="hybridMultilevel"/>
    <w:lvl w:ilvl="0">
      <w:lvlJc w:val="left"/>
      <w:lvlText w:val="(%1)"/>
      <w:numFmt w:val="lowerLetter"/>
      <w:start w:val="1"/>
    </w:lvl>
  </w:abstractNum>
  <w:abstractNum w:abstractNumId="18">
    <w:nsid w:val="3D2DD275"/>
    <w:multiLevelType w:val="hybridMultilevel"/>
    <w:lvl w:ilvl="0">
      <w:lvlJc w:val="left"/>
      <w:lvlText w:val="(%1)"/>
      <w:numFmt w:val="lowerLetter"/>
      <w:start w:val="1"/>
    </w:lvl>
  </w:abstractNum>
  <w:abstractNum w:abstractNumId="19">
    <w:nsid w:val="2E17ECA7"/>
    <w:multiLevelType w:val="hybridMultilevel"/>
    <w:lvl w:ilvl="0">
      <w:lvlJc w:val="left"/>
      <w:lvlText w:val="(%1)"/>
      <w:numFmt w:val="lowerLetter"/>
      <w:start w:val="1"/>
    </w:lvl>
    <w:lvl w:ilvl="1">
      <w:lvlJc w:val="left"/>
      <w:lvlText w:val="(%2)"/>
      <w:numFmt w:val="decimal"/>
      <w:start w:val="1"/>
    </w:lvl>
  </w:abstractNum>
  <w:abstractNum w:abstractNumId="20">
    <w:nsid w:val="53B2564F"/>
    <w:multiLevelType w:val="hybridMultilevel"/>
    <w:lvl w:ilvl="0">
      <w:lvlJc w:val="left"/>
      <w:lvlText w:val="(%1)"/>
      <w:numFmt w:val="lowerLetter"/>
      <w:start w:val="1"/>
    </w:lvl>
  </w:abstractNum>
  <w:abstractNum w:abstractNumId="21">
    <w:nsid w:val="75509D76"/>
    <w:multiLevelType w:val="hybridMultilevel"/>
    <w:lvl w:ilvl="0">
      <w:lvlJc w:val="left"/>
      <w:lvlText w:val="(%1)"/>
      <w:numFmt w:val="decimal"/>
      <w:start w:val="1"/>
    </w:lvl>
  </w:abstractNum>
  <w:abstractNum w:abstractNumId="22">
    <w:nsid w:val="1AF7F0EA"/>
    <w:multiLevelType w:val="hybridMultilevel"/>
    <w:lvl w:ilvl="0">
      <w:lvlJc w:val="left"/>
      <w:lvlText w:val="(%1)"/>
      <w:numFmt w:val="decimal"/>
      <w:start w:val="7"/>
    </w:lvl>
  </w:abstractNum>
  <w:abstractNum w:abstractNumId="23">
    <w:nsid w:val="4DA32C7E"/>
    <w:multiLevelType w:val="hybridMultilevel"/>
    <w:lvl w:ilvl="0">
      <w:lvlJc w:val="left"/>
      <w:lvlText w:val="(%1)"/>
      <w:numFmt w:val="decimal"/>
      <w:start w:val="17"/>
    </w:lvl>
  </w:abstractNum>
  <w:abstractNum w:abstractNumId="24">
    <w:nsid w:val="6EC68664"/>
    <w:multiLevelType w:val="hybridMultilevel"/>
    <w:lvl w:ilvl="0">
      <w:lvlJc w:val="left"/>
      <w:lvlText w:val="(%1)"/>
      <w:numFmt w:val="decimal"/>
      <w:start w:val="1"/>
    </w:lvl>
    <w:lvl w:ilvl="1">
      <w:lvlJc w:val="left"/>
      <w:lvlText w:val="(%2)"/>
      <w:numFmt w:val="lowerLetter"/>
      <w:start w:val="1"/>
    </w:lvl>
  </w:abstractNum>
  <w:abstractNum w:abstractNumId="25">
    <w:nsid w:val="E0D31FF"/>
    <w:multiLevelType w:val="hybridMultilevel"/>
    <w:lvl w:ilvl="0">
      <w:lvlJc w:val="left"/>
      <w:lvlText w:val="(%1)"/>
      <w:numFmt w:val="lowerLetter"/>
      <w:start w:val="3"/>
    </w:lvl>
  </w:abstractNum>
  <w:abstractNum w:abstractNumId="26">
    <w:nsid w:val="2FD0AD81"/>
    <w:multiLevelType w:val="hybridMultilevel"/>
    <w:lvl w:ilvl="0">
      <w:lvlJc w:val="left"/>
      <w:lvlText w:val="(%1)"/>
      <w:numFmt w:val="decimal"/>
      <w:start w:val="1"/>
    </w:lvl>
  </w:abstractNum>
  <w:abstractNum w:abstractNumId="27">
    <w:nsid w:val="1978EBEB"/>
    <w:multiLevelType w:val="hybridMultilevel"/>
    <w:lvl w:ilvl="0">
      <w:lvlJc w:val="left"/>
      <w:lvlText w:val="(%1)"/>
      <w:numFmt w:val="decimal"/>
      <w:start w:val="1"/>
    </w:lvl>
  </w:abstractNum>
  <w:abstractNum w:abstractNumId="28">
    <w:nsid w:val="52C12C61"/>
    <w:multiLevelType w:val="hybridMultilevel"/>
    <w:lvl w:ilvl="0">
      <w:lvlJc w:val="left"/>
      <w:lvlText w:val="(%1)"/>
      <w:numFmt w:val="lowerLetter"/>
      <w:start w:val="1"/>
    </w:lvl>
  </w:abstractNum>
  <w:abstractNum w:abstractNumId="29">
    <w:nsid w:val="4BDD53FD"/>
    <w:multiLevelType w:val="hybridMultilevel"/>
    <w:lvl w:ilvl="0">
      <w:lvlJc w:val="left"/>
      <w:lvlText w:val="(%1)"/>
      <w:numFmt w:val="lowerLetter"/>
      <w:start w:val="7"/>
    </w:lvl>
  </w:abstractNum>
  <w:abstractNum w:abstractNumId="30">
    <w:nsid w:val="569951FE"/>
    <w:multiLevelType w:val="hybridMultilevel"/>
    <w:lvl w:ilvl="0">
      <w:lvlJc w:val="left"/>
      <w:lvlText w:val="(%1)"/>
      <w:numFmt w:val="lowerLetter"/>
      <w:start w:val="13"/>
    </w:lvl>
  </w:abstractNum>
  <w:abstractNum w:abstractNumId="31">
    <w:nsid w:val="4C54E2C3"/>
    <w:multiLevelType w:val="hybridMultilevel"/>
    <w:lvl w:ilvl="0">
      <w:lvlJc w:val="left"/>
      <w:lvlText w:val="(%1)"/>
      <w:numFmt w:val="decimal"/>
      <w:start w:val="2"/>
    </w:lvl>
  </w:abstractNum>
  <w:abstractNum w:abstractNumId="32">
    <w:nsid w:val="788BD9B"/>
    <w:multiLevelType w:val="hybridMultilevel"/>
    <w:lvl w:ilvl="0">
      <w:lvlJc w:val="left"/>
      <w:lvlText w:val="(%1)"/>
      <w:numFmt w:val="decimal"/>
      <w:start w:val="3"/>
    </w:lvl>
  </w:abstractNum>
  <w:abstractNum w:abstractNumId="33">
    <w:nsid w:val="47CAA567"/>
    <w:multiLevelType w:val="hybridMultilevel"/>
    <w:lvl w:ilvl="0">
      <w:lvlJc w:val="left"/>
      <w:lvlText w:val="(%1)"/>
      <w:numFmt w:val="lowerLetter"/>
      <w:start w:val="1"/>
    </w:lvl>
  </w:abstractNum>
  <w:abstractNum w:abstractNumId="34">
    <w:nsid w:val="48249DBF"/>
    <w:multiLevelType w:val="hybridMultilevel"/>
    <w:lvl w:ilvl="0">
      <w:lvlJc w:val="left"/>
      <w:lvlText w:val="(%1)"/>
      <w:numFmt w:val="decimal"/>
      <w:start w:val="1"/>
    </w:lvl>
  </w:abstractNum>
  <w:abstractNum w:abstractNumId="35">
    <w:nsid w:val="1F0E5D0D"/>
    <w:multiLevelType w:val="hybridMultilevel"/>
    <w:lvl w:ilvl="0">
      <w:lvlJc w:val="left"/>
      <w:lvlText w:val="(%1)"/>
      <w:numFmt w:val="decimal"/>
      <w:start w:val="2"/>
    </w:lvl>
  </w:abstractNum>
  <w:abstractNum w:abstractNumId="36">
    <w:nsid w:val="26BAAE9"/>
    <w:multiLevelType w:val="hybridMultilevel"/>
    <w:lvl w:ilvl="0">
      <w:lvlJc w:val="left"/>
      <w:lvlText w:val="(%1)"/>
      <w:numFmt w:val="decimal"/>
      <w:start w:val="9"/>
    </w:lvl>
  </w:abstractNum>
  <w:abstractNum w:abstractNumId="37">
    <w:nsid w:val="2C02FE8C"/>
    <w:multiLevelType w:val="hybridMultilevel"/>
    <w:lvl w:ilvl="0">
      <w:lvlJc w:val="left"/>
      <w:lvlText w:val="(%1)"/>
      <w:numFmt w:val="lowerLetter"/>
      <w:start w:val="1"/>
    </w:lvl>
  </w:abstractNum>
  <w:abstractNum w:abstractNumId="38">
    <w:nsid w:val="129517E"/>
    <w:multiLevelType w:val="hybridMultilevel"/>
    <w:lvl w:ilvl="0">
      <w:lvlJc w:val="left"/>
      <w:lvlText w:val="(%1)"/>
      <w:numFmt w:val="lowerLetter"/>
      <w:start w:val="1"/>
    </w:lvl>
  </w:abstractNum>
  <w:abstractNum w:abstractNumId="39">
    <w:nsid w:val="763B8C4E"/>
    <w:multiLevelType w:val="hybridMultilevel"/>
    <w:lvl w:ilvl="0">
      <w:lvlJc w:val="left"/>
      <w:lvlText w:val="(%1)"/>
      <w:numFmt w:val="lowerLetter"/>
      <w:start w:val="1"/>
    </w:lvl>
  </w:abstractNum>
  <w:abstractNum w:abstractNumId="40">
    <w:nsid w:val="4CFB8D32"/>
    <w:multiLevelType w:val="hybridMultilevel"/>
    <w:lvl w:ilvl="0">
      <w:lvlJc w:val="left"/>
      <w:lvlText w:val="(%1)"/>
      <w:numFmt w:val="lowerLetter"/>
      <w:start w:val="1"/>
    </w:lvl>
    <w:lvl w:ilvl="1">
      <w:lvlJc w:val="left"/>
      <w:lvlText w:val="(%2)"/>
      <w:numFmt w:val="decimal"/>
      <w:start w:val="1"/>
    </w:lvl>
  </w:abstractNum>
  <w:abstractNum w:abstractNumId="41">
    <w:nsid w:val="62A5D5BD"/>
    <w:multiLevelType w:val="hybridMultilevel"/>
    <w:lvl w:ilvl="0">
      <w:lvlJc w:val="left"/>
      <w:lvlText w:val="(%1)"/>
      <w:numFmt w:val="lowerLetter"/>
      <w:start w:val="2"/>
    </w:lvl>
  </w:abstractNum>
  <w:abstractNum w:abstractNumId="42">
    <w:nsid w:val="718FABF9"/>
    <w:multiLevelType w:val="hybridMultilevel"/>
    <w:lvl w:ilvl="0">
      <w:lvlJc w:val="left"/>
      <w:lvlText w:val="(%1)"/>
      <w:numFmt w:val="lowerLetter"/>
      <w:start w:val="3"/>
    </w:lvl>
  </w:abstractNum>
  <w:abstractNum w:abstractNumId="43">
    <w:nsid w:val="7775797C"/>
    <w:multiLevelType w:val="hybridMultilevel"/>
    <w:lvl w:ilvl="0">
      <w:lvlJc w:val="left"/>
      <w:lvlText w:val="(%1)"/>
      <w:numFmt w:val="decimal"/>
      <w:start w:val="1"/>
    </w:lvl>
  </w:abstractNum>
  <w:abstractNum w:abstractNumId="44">
    <w:nsid w:val="1626FB8C"/>
    <w:multiLevelType w:val="hybridMultilevel"/>
    <w:lvl w:ilvl="0">
      <w:lvlJc w:val="left"/>
      <w:lvlText w:val="(%1)"/>
      <w:numFmt w:val="decimal"/>
      <w:start w:val="1"/>
    </w:lvl>
  </w:abstractNum>
  <w:abstractNum w:abstractNumId="45">
    <w:nsid w:val="3957756A"/>
    <w:multiLevelType w:val="hybridMultilevel"/>
    <w:lvl w:ilvl="0">
      <w:lvlJc w:val="left"/>
      <w:lvlText w:val="(%1)"/>
      <w:numFmt w:val="decimal"/>
      <w:start w:val="1"/>
    </w:lvl>
    <w:lvl w:ilvl="1">
      <w:lvlJc w:val="left"/>
      <w:lvlText w:val="(%2)"/>
      <w:numFmt w:val="lowerLetter"/>
      <w:start w:val="24"/>
    </w:lvl>
  </w:abstractNum>
  <w:abstractNum w:abstractNumId="46">
    <w:nsid w:val="3E6DA1C7"/>
    <w:multiLevelType w:val="hybridMultilevel"/>
    <w:lvl w:ilvl="0">
      <w:lvlJc w:val="left"/>
      <w:lvlText w:val="(%1)"/>
      <w:numFmt w:val="decimal"/>
      <w:start w:val="1"/>
    </w:lvl>
  </w:abstractNum>
  <w:abstractNum w:abstractNumId="47">
    <w:nsid w:val="65CA235B"/>
    <w:multiLevelType w:val="hybridMultilevel"/>
    <w:lvl w:ilvl="0">
      <w:lvlJc w:val="left"/>
      <w:lvlText w:val="(%1)"/>
      <w:numFmt w:val="lowerLetter"/>
      <w:start w:val="1"/>
    </w:lvl>
  </w:abstractNum>
  <w:abstractNum w:abstractNumId="48">
    <w:nsid w:val="51CB0DA4"/>
    <w:multiLevelType w:val="hybridMultilevel"/>
    <w:lvl w:ilvl="0">
      <w:lvlJc w:val="left"/>
      <w:lvlText w:val="(%1)"/>
      <w:numFmt w:val="lowerLetter"/>
      <w:start w:val="1"/>
    </w:lvl>
  </w:abstractNum>
  <w:abstractNum w:abstractNumId="49">
    <w:nsid w:val="7B9B743C"/>
    <w:multiLevelType w:val="hybridMultilevel"/>
    <w:lvl w:ilvl="0">
      <w:lvlJc w:val="left"/>
      <w:lvlText w:val="(%1)"/>
      <w:numFmt w:val="lowerLetter"/>
      <w:start w:val="3"/>
    </w:lvl>
  </w:abstractNum>
  <w:abstractNum w:abstractNumId="50">
    <w:nsid w:val="13E21002"/>
    <w:multiLevelType w:val="hybridMultilevel"/>
    <w:lvl w:ilvl="0">
      <w:lvlJc w:val="left"/>
      <w:lvlText w:val="(%1)"/>
      <w:numFmt w:val="decimal"/>
      <w:start w:val="1"/>
    </w:lvl>
  </w:abstractNum>
  <w:abstractNum w:abstractNumId="51">
    <w:nsid w:val="257D63F4"/>
    <w:multiLevelType w:val="hybridMultilevel"/>
    <w:lvl w:ilvl="0">
      <w:lvlJc w:val="left"/>
      <w:lvlText w:val="(%1)"/>
      <w:numFmt w:val="decimal"/>
      <w:start w:val="1"/>
    </w:lvl>
  </w:abstractNum>
  <w:abstractNum w:abstractNumId="52">
    <w:nsid w:val="70EC11B2"/>
    <w:multiLevelType w:val="hybridMultilevel"/>
    <w:lvl w:ilvl="0">
      <w:lvlJc w:val="left"/>
      <w:lvlText w:val="(%1)"/>
      <w:numFmt w:val="lowerLetter"/>
      <w:start w:val="1"/>
    </w:lvl>
  </w:abstractNum>
  <w:abstractNum w:abstractNumId="53">
    <w:nsid w:val="2EDA00ED"/>
    <w:multiLevelType w:val="hybridMultilevel"/>
    <w:lvl w:ilvl="0">
      <w:lvlJc w:val="left"/>
      <w:lvlText w:val="(%1)"/>
      <w:numFmt w:val="lowerLetter"/>
      <w:start w:val="3"/>
    </w:lvl>
    <w:lvl w:ilvl="1">
      <w:lvlJc w:val="left"/>
      <w:lvlText w:val="(%2)"/>
      <w:numFmt w:val="decimal"/>
      <w:start w:val="1"/>
    </w:lvl>
  </w:abstractNum>
  <w:abstractNum w:abstractNumId="54">
    <w:nsid w:val="73209072"/>
    <w:multiLevelType w:val="hybridMultilevel"/>
    <w:lvl w:ilvl="0">
      <w:lvlJc w:val="left"/>
      <w:lvlText w:val="%1"/>
      <w:numFmt w:val="lowerLetter"/>
      <w:start w:val="1"/>
    </w:lvl>
    <w:lvl w:ilvl="1">
      <w:lvlJc w:val="left"/>
      <w:lvlText w:val="(%2)"/>
      <w:numFmt w:val="lowerLetter"/>
      <w:start w:val="35"/>
    </w:lvl>
  </w:abstractNum>
  <w:abstractNum w:abstractNumId="55">
    <w:nsid w:val="5FB29816"/>
    <w:multiLevelType w:val="hybridMultilevel"/>
    <w:lvl w:ilvl="0">
      <w:lvlJc w:val="left"/>
      <w:lvlText w:val="(%1)"/>
      <w:numFmt w:val="lowerLetter"/>
      <w:start w:val="4"/>
    </w:lvl>
    <w:lvl w:ilvl="1">
      <w:lvlJc w:val="left"/>
      <w:lvlText w:val="%2"/>
      <w:numFmt w:val="lowerLetter"/>
      <w:start w:val="1"/>
    </w:lvl>
  </w:abstractNum>
  <w:abstractNum w:abstractNumId="56">
    <w:nsid w:val="3CE732EC"/>
    <w:multiLevelType w:val="hybridMultilevel"/>
    <w:lvl w:ilvl="0">
      <w:lvlJc w:val="left"/>
      <w:lvlText w:val="(%1)"/>
      <w:numFmt w:val="decimal"/>
      <w:start w:val="1"/>
    </w:lvl>
  </w:abstractNum>
  <w:abstractNum w:abstractNumId="57">
    <w:nsid w:val="22F13DF3"/>
    <w:multiLevelType w:val="hybridMultilevel"/>
    <w:lvl w:ilvl="0">
      <w:lvlJc w:val="left"/>
      <w:lvlText w:val="%1"/>
      <w:numFmt w:val="lowerLetter"/>
      <w:start w:val="1"/>
    </w:lvl>
    <w:lvl w:ilvl="1">
      <w:lvlJc w:val="left"/>
      <w:lvlText w:val="(%2)"/>
      <w:numFmt w:val="decimal"/>
      <w:start w:val="2"/>
    </w:lvl>
  </w:abstractNum>
  <w:abstractNum w:abstractNumId="58">
    <w:nsid w:val="792B8401"/>
    <w:multiLevelType w:val="hybridMultilevel"/>
    <w:lvl w:ilvl="0">
      <w:lvlJc w:val="left"/>
      <w:lvlText w:val="(%1)"/>
      <w:numFmt w:val="lowerLetter"/>
      <w:start w:val="9"/>
    </w:lvl>
    <w:lvl w:ilvl="1">
      <w:lvlJc w:val="left"/>
      <w:lvlText w:val="%2"/>
      <w:numFmt w:val="decimal"/>
      <w:start w:val="1"/>
    </w:lvl>
  </w:abstractNum>
  <w:abstractNum w:abstractNumId="59">
    <w:nsid w:val="FA85F4D"/>
    <w:multiLevelType w:val="hybridMultilevel"/>
    <w:lvl w:ilvl="0">
      <w:lvlJc w:val="left"/>
      <w:lvlText w:val="%1"/>
      <w:numFmt w:val="lowerLetter"/>
      <w:start w:val="1"/>
    </w:lvl>
    <w:lvl w:ilvl="1">
      <w:lvlJc w:val="left"/>
      <w:lvlText w:val="(%2)"/>
      <w:numFmt w:val="lowerLetter"/>
      <w:start w:val="14"/>
    </w:lvl>
  </w:abstractNum>
  <w:abstractNum w:abstractNumId="60">
    <w:nsid w:val="6ECE91F0"/>
    <w:multiLevelType w:val="hybridMultilevel"/>
    <w:lvl w:ilvl="0">
      <w:lvlJc w:val="left"/>
      <w:lvlText w:val="(%1)"/>
      <w:numFmt w:val="lowerLetter"/>
      <w:start w:val="16"/>
    </w:lvl>
    <w:lvl w:ilvl="1">
      <w:lvlJc w:val="left"/>
      <w:lvlText w:val="(%2)"/>
      <w:numFmt w:val="lowerLetter"/>
      <w:start w:val="17"/>
    </w:lvl>
  </w:abstractNum>
  <w:abstractNum w:abstractNumId="61">
    <w:nsid w:val="4FC4D600"/>
    <w:multiLevelType w:val="hybridMultilevel"/>
    <w:lvl w:ilvl="0">
      <w:lvlJc w:val="left"/>
      <w:lvlText w:val="(%1)"/>
      <w:numFmt w:val="lowerLetter"/>
      <w:start w:val="20"/>
    </w:lvl>
  </w:abstractNum>
  <w:abstractNum w:abstractNumId="62">
    <w:nsid w:val="5BFD4210"/>
    <w:multiLevelType w:val="hybridMultilevel"/>
    <w:lvl w:ilvl="0">
      <w:lvlJc w:val="left"/>
      <w:lvlText w:val="(%1)"/>
      <w:numFmt w:val="decimal"/>
      <w:start w:val="1"/>
    </w:lvl>
  </w:abstractNum>
  <w:abstractNum w:abstractNumId="63">
    <w:nsid w:val="76574F8B"/>
    <w:multiLevelType w:val="hybridMultilevel"/>
    <w:lvl w:ilvl="0">
      <w:lvlJc w:val="left"/>
      <w:lvlText w:val="(%1)"/>
      <w:numFmt w:val="decimal"/>
      <w:start w:val="4"/>
    </w:lvl>
  </w:abstractNum>
  <w:abstractNum w:abstractNumId="64">
    <w:nsid w:val="178F7B67"/>
    <w:multiLevelType w:val="hybridMultilevel"/>
    <w:lvl w:ilvl="0">
      <w:lvlJc w:val="left"/>
      <w:lvlText w:val="(%1)"/>
      <w:numFmt w:val="decimal"/>
      <w:start w:val="12"/>
    </w:lvl>
  </w:abstractNum>
  <w:abstractNum w:abstractNumId="65">
    <w:nsid w:val="2421DFCF"/>
    <w:multiLevelType w:val="hybridMultilevel"/>
    <w:lvl w:ilvl="0">
      <w:lvlJc w:val="left"/>
      <w:lvlText w:val="(%1)"/>
      <w:numFmt w:val="decimal"/>
      <w:start w:val="20"/>
    </w:lvl>
  </w:abstractNum>
  <w:abstractNum w:abstractNumId="66">
    <w:nsid w:val="1565AC99"/>
    <w:multiLevelType w:val="hybridMultilevel"/>
    <w:lvl w:ilvl="0">
      <w:lvlJc w:val="left"/>
      <w:lvlText w:val="(%1)"/>
      <w:numFmt w:val="decimal"/>
      <w:start w:val="32"/>
    </w:lvl>
  </w:abstractNum>
  <w:abstractNum w:abstractNumId="67">
    <w:nsid w:val="19FB2650"/>
    <w:multiLevelType w:val="hybridMultilevel"/>
    <w:lvl w:ilvl="0">
      <w:lvlJc w:val="left"/>
      <w:lvlText w:val="(%1)"/>
      <w:numFmt w:val="decimal"/>
      <w:start w:val="1"/>
    </w:lvl>
  </w:abstractNum>
  <w:abstractNum w:abstractNumId="68">
    <w:nsid w:val="5024DE5B"/>
    <w:multiLevelType w:val="hybridMultilevel"/>
    <w:lvl w:ilvl="0">
      <w:lvlJc w:val="left"/>
      <w:lvlText w:val="(%1)"/>
      <w:numFmt w:val="lowerLetter"/>
      <w:start w:val="1"/>
    </w:lvl>
  </w:abstractNum>
  <w:abstractNum w:abstractNumId="69">
    <w:nsid w:val="168EFE17"/>
    <w:multiLevelType w:val="hybridMultilevel"/>
    <w:lvl w:ilvl="0">
      <w:lvlJc w:val="left"/>
      <w:lvlText w:val="(%1)"/>
      <w:numFmt w:val="lowerLetter"/>
      <w:start w:val="1"/>
    </w:lvl>
  </w:abstractNum>
  <w:abstractNum w:abstractNumId="70">
    <w:nsid w:val="1036B29F"/>
    <w:multiLevelType w:val="hybridMultilevel"/>
    <w:lvl w:ilvl="0">
      <w:lvlJc w:val="left"/>
      <w:lvlText w:val="(%1)"/>
      <w:numFmt w:val="decimal"/>
      <w:start w:val="1"/>
    </w:lvl>
  </w:abstractNum>
  <w:abstractNum w:abstractNumId="71">
    <w:nsid w:val="1D206B8E"/>
    <w:multiLevelType w:val="hybridMultilevel"/>
    <w:lvl w:ilvl="0">
      <w:lvlJc w:val="left"/>
      <w:lvlText w:val="(%1)"/>
      <w:numFmt w:val="lowerLetter"/>
      <w:start w:val="1"/>
    </w:lvl>
  </w:abstractNum>
  <w:abstractNum w:abstractNumId="72">
    <w:nsid w:val="7934D3D4"/>
    <w:multiLevelType w:val="hybridMultilevel"/>
    <w:lvl w:ilvl="0">
      <w:lvlJc w:val="left"/>
      <w:lvlText w:val="(%1)"/>
      <w:numFmt w:val="lowerRoman"/>
      <w:start w:val="1"/>
    </w:lvl>
  </w:abstractNum>
  <w:abstractNum w:abstractNumId="73">
    <w:nsid w:val="1C65E98"/>
    <w:multiLevelType w:val="hybridMultilevel"/>
    <w:lvl w:ilvl="0">
      <w:lvlJc w:val="left"/>
      <w:lvlText w:val="(%1)"/>
      <w:numFmt w:val="decimal"/>
      <w:start w:val="1"/>
    </w:lvl>
  </w:abstractNum>
  <w:abstractNum w:abstractNumId="74">
    <w:nsid w:val="1495E50A"/>
    <w:multiLevelType w:val="hybridMultilevel"/>
    <w:lvl w:ilvl="0">
      <w:lvlJc w:val="left"/>
      <w:lvlText w:val="(%1)"/>
      <w:numFmt w:val="decimal"/>
      <w:start w:val="1"/>
    </w:lvl>
  </w:abstractNum>
  <w:abstractNum w:abstractNumId="75">
    <w:nsid w:val="F5BCF61"/>
    <w:multiLevelType w:val="hybridMultilevel"/>
    <w:lvl w:ilvl="0">
      <w:lvlJc w:val="left"/>
      <w:lvlText w:val="(%1)"/>
      <w:numFmt w:val="lowerLetter"/>
      <w:start w:val="1"/>
    </w:lvl>
  </w:abstractNum>
  <w:abstractNum w:abstractNumId="76">
    <w:nsid w:val="3B1DD403"/>
    <w:multiLevelType w:val="hybridMultilevel"/>
    <w:lvl w:ilvl="0">
      <w:lvlJc w:val="left"/>
      <w:lvlText w:val="(%1)"/>
      <w:numFmt w:val="lowerLetter"/>
      <w:start w:val="2"/>
    </w:lvl>
  </w:abstractNum>
  <w:abstractNum w:abstractNumId="77">
    <w:nsid w:val="530386D1"/>
    <w:multiLevelType w:val="hybridMultilevel"/>
    <w:lvl w:ilvl="0">
      <w:lvlJc w:val="left"/>
      <w:lvlText w:val="(%1)"/>
      <w:numFmt w:val="decimal"/>
      <w:start w:val="1"/>
    </w:lvl>
  </w:abstractNum>
  <w:abstractNum w:abstractNumId="78">
    <w:nsid w:val="7525F2BC"/>
    <w:multiLevelType w:val="hybridMultilevel"/>
    <w:lvl w:ilvl="0">
      <w:lvlJc w:val="left"/>
      <w:lvlText w:val="(%1)"/>
      <w:numFmt w:val="lowerLetter"/>
      <w:start w:val="4"/>
    </w:lvl>
  </w:abstractNum>
  <w:abstractNum w:abstractNumId="79">
    <w:nsid w:val="CE8E1A7"/>
    <w:multiLevelType w:val="hybridMultilevel"/>
    <w:lvl w:ilvl="0">
      <w:lvlJc w:val="left"/>
      <w:lvlText w:val="(%1)"/>
      <w:numFmt w:val="decimal"/>
      <w:start w:val="1"/>
    </w:lvl>
  </w:abstractNum>
  <w:abstractNum w:abstractNumId="80">
    <w:nsid w:val="4E9EFB0D"/>
    <w:multiLevelType w:val="hybridMultilevel"/>
    <w:lvl w:ilvl="0">
      <w:lvlJc w:val="left"/>
      <w:lvlText w:val="(%1)"/>
      <w:numFmt w:val="decimal"/>
      <w:start w:val="1"/>
    </w:lvl>
  </w:abstractNum>
  <w:abstractNum w:abstractNumId="81">
    <w:nsid w:val="90802BE"/>
    <w:multiLevelType w:val="hybridMultilevel"/>
    <w:lvl w:ilvl="0">
      <w:lvlJc w:val="left"/>
      <w:lvlText w:val="(%1)"/>
      <w:numFmt w:val="decimal"/>
      <w:start w:val="2"/>
    </w:lvl>
  </w:abstractNum>
  <w:abstractNum w:abstractNumId="82">
    <w:nsid w:val="3266459B"/>
    <w:multiLevelType w:val="hybridMultilevel"/>
    <w:lvl w:ilvl="0">
      <w:lvlJc w:val="left"/>
      <w:lvlText w:val="(%1)"/>
      <w:numFmt w:val="lowerLetter"/>
      <w:start w:val="1"/>
    </w:lvl>
  </w:abstractNum>
  <w:abstractNum w:abstractNumId="83">
    <w:nsid w:val="3F8B0CBF"/>
    <w:multiLevelType w:val="hybridMultilevel"/>
    <w:lvl w:ilvl="0">
      <w:lvlJc w:val="left"/>
      <w:lvlText w:val="(%1)"/>
      <w:numFmt w:val="decimal"/>
      <w:start w:val="1"/>
    </w:lvl>
    <w:lvl w:ilvl="1">
      <w:lvlJc w:val="left"/>
      <w:lvlText w:val="(%2)"/>
      <w:numFmt w:val="lowerLetter"/>
      <w:start w:val="24"/>
    </w:lvl>
  </w:abstractNum>
  <w:abstractNum w:abstractNumId="84">
    <w:nsid w:val="37E203AB"/>
    <w:multiLevelType w:val="hybridMultilevel"/>
    <w:lvl w:ilvl="0">
      <w:lvlJc w:val="left"/>
      <w:lvlText w:val="(%1)"/>
      <w:numFmt w:val="lowerLetter"/>
      <w:start w:val="2"/>
    </w:lvl>
  </w:abstractNum>
  <w:abstractNum w:abstractNumId="85">
    <w:nsid w:val="2586D60E"/>
    <w:multiLevelType w:val="hybridMultilevel"/>
    <w:lvl w:ilvl="0">
      <w:lvlJc w:val="left"/>
      <w:lvlText w:val="(%1)"/>
      <w:numFmt w:val="decimal"/>
      <w:start w:val="1"/>
    </w:lvl>
  </w:abstractNum>
  <w:abstractNum w:abstractNumId="86">
    <w:nsid w:val="1F3DA4D5"/>
    <w:multiLevelType w:val="hybridMultilevel"/>
    <w:lvl w:ilvl="0">
      <w:lvlJc w:val="left"/>
      <w:lvlText w:val="(%1)"/>
      <w:numFmt w:val="lowerLetter"/>
      <w:start w:val="1"/>
    </w:lvl>
  </w:abstractNum>
  <w:abstractNum w:abstractNumId="87">
    <w:nsid w:val="74C93698"/>
    <w:multiLevelType w:val="hybridMultilevel"/>
    <w:lvl w:ilvl="0">
      <w:lvlJc w:val="left"/>
      <w:lvlText w:val="(%1)"/>
      <w:numFmt w:val="lowerLetter"/>
      <w:start w:val="1"/>
    </w:lvl>
    <w:lvl w:ilvl="1">
      <w:lvlJc w:val="left"/>
      <w:lvlText w:val="(%2)"/>
      <w:numFmt w:val="decimal"/>
      <w:start w:val="1"/>
    </w:lvl>
  </w:abstractNum>
  <w:abstractNum w:abstractNumId="88">
    <w:nsid w:val="48781401"/>
    <w:multiLevelType w:val="hybridMultilevel"/>
    <w:lvl w:ilvl="0">
      <w:lvlJc w:val="left"/>
      <w:lvlText w:val="(%1)"/>
      <w:numFmt w:val="decimal"/>
      <w:start w:val="1"/>
    </w:lvl>
  </w:abstractNum>
  <w:abstractNum w:abstractNumId="89">
    <w:nsid w:val="186928D6"/>
    <w:multiLevelType w:val="hybridMultilevel"/>
    <w:lvl w:ilvl="0">
      <w:lvlJc w:val="left"/>
      <w:lvlText w:val="(%1)"/>
      <w:numFmt w:val="decimal"/>
      <w:start w:val="1"/>
    </w:lvl>
  </w:abstractNum>
  <w:abstractNum w:abstractNumId="90">
    <w:nsid w:val="47195E5"/>
    <w:multiLevelType w:val="hybridMultilevel"/>
    <w:lvl w:ilvl="0">
      <w:lvlJc w:val="left"/>
      <w:lvlText w:val="(%1)"/>
      <w:numFmt w:val="decimal"/>
      <w:start w:val="1"/>
    </w:lvl>
  </w:abstractNum>
  <w:abstractNum w:abstractNumId="91">
    <w:nsid w:val="3746A5F2"/>
    <w:multiLevelType w:val="hybridMultilevel"/>
    <w:lvl w:ilvl="0">
      <w:lvlJc w:val="left"/>
      <w:lvlText w:val="(%1)"/>
      <w:numFmt w:val="decimal"/>
      <w:start w:val="1"/>
    </w:lvl>
  </w:abstractNum>
  <w:abstractNum w:abstractNumId="92">
    <w:nsid w:val="682DFED6"/>
    <w:multiLevelType w:val="hybridMultilevel"/>
    <w:lvl w:ilvl="0">
      <w:lvlJc w:val="left"/>
      <w:lvlText w:val="(%1)"/>
      <w:numFmt w:val="lowerLetter"/>
      <w:start w:val="1"/>
    </w:lvl>
  </w:abstractNum>
  <w:abstractNum w:abstractNumId="93">
    <w:nsid w:val="606ED7F6"/>
    <w:multiLevelType w:val="hybridMultilevel"/>
    <w:lvl w:ilvl="0">
      <w:lvlJc w:val="left"/>
      <w:lvlText w:val="(%1)"/>
      <w:numFmt w:val="lowerLetter"/>
      <w:start w:val="2"/>
    </w:lvl>
    <w:lvl w:ilvl="1">
      <w:lvlJc w:val="left"/>
      <w:lvlText w:val="(%2)"/>
      <w:numFmt w:val="decimal"/>
      <w:start w:val="1"/>
    </w:lvl>
  </w:abstractNum>
  <w:abstractNum w:abstractNumId="94">
    <w:nsid w:val="2D9DF57D"/>
    <w:multiLevelType w:val="hybridMultilevel"/>
    <w:lvl w:ilvl="0">
      <w:lvlJc w:val="left"/>
      <w:lvlText w:val="(%1)"/>
      <w:numFmt w:val="decimal"/>
      <w:start w:val="1"/>
    </w:lvl>
    <w:lvl w:ilvl="1">
      <w:lvlJc w:val="left"/>
      <w:lvlText w:val="(%2)"/>
      <w:numFmt w:val="upperLetter"/>
      <w:start w:val="1"/>
    </w:lvl>
  </w:abstractNum>
  <w:abstractNum w:abstractNumId="95">
    <w:nsid w:val="7FBD7A3E"/>
    <w:multiLevelType w:val="hybridMultilevel"/>
    <w:lvl w:ilvl="0">
      <w:lvlJc w:val="left"/>
      <w:lvlText w:val="(%1)"/>
      <w:numFmt w:val="upperLetter"/>
      <w:start w:val="2"/>
    </w:lvl>
    <w:lvl w:ilvl="1">
      <w:lvlJc w:val="left"/>
      <w:lvlText w:val="(%2)"/>
      <w:numFmt w:val="lowerRoman"/>
      <w:start w:val="1"/>
    </w:lvl>
  </w:abstractNum>
  <w:abstractNum w:abstractNumId="96">
    <w:nsid w:val="490B7C5"/>
    <w:multiLevelType w:val="hybridMultilevel"/>
    <w:lvl w:ilvl="0">
      <w:lvlJc w:val="left"/>
      <w:lvlText w:val="(%1)"/>
      <w:numFmt w:val="decimal"/>
      <w:start w:val="2"/>
    </w:lvl>
  </w:abstractNum>
  <w:abstractNum w:abstractNumId="97">
    <w:nsid w:val="4303A216"/>
    <w:multiLevelType w:val="hybridMultilevel"/>
    <w:lvl w:ilvl="0">
      <w:lvlJc w:val="left"/>
      <w:lvlText w:val="(%1)"/>
      <w:numFmt w:val="decimal"/>
      <w:start w:val="1"/>
    </w:lvl>
  </w:abstractNum>
  <w:abstractNum w:abstractNumId="98">
    <w:nsid w:val="19B8A08E"/>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99">
    <w:nsid w:val="54B59621"/>
    <w:multiLevelType w:val="hybridMultilevel"/>
    <w:lvl w:ilvl="0">
      <w:lvlJc w:val="left"/>
      <w:lvlText w:val="%1"/>
      <w:numFmt w:val="upperLetter"/>
      <w:start w:val="1"/>
    </w:lvl>
    <w:lvl w:ilvl="1">
      <w:lvlJc w:val="left"/>
      <w:lvlText w:val="(%2)"/>
      <w:numFmt w:val="lowerRoman"/>
      <w:start w:val="3"/>
    </w:lvl>
  </w:abstractNum>
  <w:abstractNum w:abstractNumId="100">
    <w:nsid w:val="5992A02E"/>
    <w:multiLevelType w:val="hybridMultilevel"/>
    <w:lvl w:ilvl="0">
      <w:lvlJc w:val="left"/>
      <w:lvlText w:val="(%1)"/>
      <w:numFmt w:val="upperLetter"/>
      <w:start w:val="2"/>
    </w:lvl>
    <w:lvl w:ilvl="1">
      <w:lvlJc w:val="left"/>
      <w:lvlText w:val="(%2)"/>
      <w:numFmt w:val="lowerRoman"/>
      <w:start w:val="1"/>
    </w:lvl>
  </w:abstractNum>
  <w:abstractNum w:abstractNumId="101">
    <w:nsid w:val="29EF532D"/>
    <w:multiLevelType w:val="hybridMultilevel"/>
    <w:lvl w:ilvl="0">
      <w:lvlJc w:val="left"/>
      <w:lvlText w:val="(%1)"/>
      <w:numFmt w:val="decimal"/>
      <w:start w:val="7"/>
    </w:lvl>
  </w:abstractNum>
  <w:abstractNum w:abstractNumId="102">
    <w:nsid w:val="71D601A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3">
    <w:nsid w:val="52C77402"/>
    <w:multiLevelType w:val="hybridMultilevel"/>
    <w:lvl w:ilvl="0">
      <w:lvlJc w:val="left"/>
      <w:lvlText w:val="(%1)"/>
      <w:numFmt w:val="lowerLetter"/>
      <w:start w:val="4"/>
    </w:lvl>
    <w:lvl w:ilvl="1">
      <w:lvlJc w:val="left"/>
      <w:lvlText w:val="(%2)"/>
      <w:numFmt w:val="decimal"/>
      <w:start w:val="1"/>
    </w:lvl>
  </w:abstractNum>
  <w:abstractNum w:abstractNumId="104">
    <w:nsid w:val="2BB5B1C6"/>
    <w:multiLevelType w:val="hybridMultilevel"/>
    <w:lvl w:ilvl="0">
      <w:lvlJc w:val="left"/>
      <w:lvlText w:val="(%1)"/>
      <w:numFmt w:val="decimal"/>
      <w:start w:val="1"/>
    </w:lvl>
  </w:abstractNum>
  <w:abstractNum w:abstractNumId="105">
    <w:nsid w:val="66BE6B9"/>
    <w:multiLevelType w:val="hybridMultilevel"/>
    <w:lvl w:ilvl="0">
      <w:lvlJc w:val="left"/>
      <w:lvlText w:val="(%1)"/>
      <w:numFmt w:val="decimal"/>
      <w:start w:val="2"/>
    </w:lvl>
  </w:abstractNum>
  <w:abstractNum w:abstractNumId="106">
    <w:nsid w:val="62234363"/>
    <w:multiLevelType w:val="hybridMultilevel"/>
    <w:lvl w:ilvl="0">
      <w:lvlJc w:val="left"/>
      <w:lvlText w:val="(%1)"/>
      <w:numFmt w:val="decimal"/>
      <w:start w:val="1"/>
    </w:lvl>
  </w:abstractNum>
  <w:abstractNum w:abstractNumId="107">
    <w:nsid w:val="66D385C9"/>
    <w:multiLevelType w:val="hybridMultilevel"/>
    <w:lvl w:ilvl="0">
      <w:lvlJc w:val="left"/>
      <w:lvlText w:val="(%1)"/>
      <w:numFmt w:val="decimal"/>
      <w:start w:val="1"/>
    </w:lvl>
  </w:abstractNum>
  <w:abstractNum w:abstractNumId="108">
    <w:nsid w:val="596F6D8A"/>
    <w:multiLevelType w:val="hybridMultilevel"/>
    <w:lvl w:ilvl="0">
      <w:lvlJc w:val="left"/>
      <w:lvlText w:val="(%1)"/>
      <w:numFmt w:val="lowerLetter"/>
      <w:start w:val="1"/>
    </w:lvl>
    <w:lvl w:ilvl="1">
      <w:lvlJc w:val="left"/>
      <w:lvlText w:val="(%2)"/>
      <w:numFmt w:val="decimal"/>
      <w:start w:val="1"/>
    </w:lvl>
  </w:abstractNum>
  <w:abstractNum w:abstractNumId="109">
    <w:nsid w:val="5749361F"/>
    <w:multiLevelType w:val="hybridMultilevel"/>
    <w:lvl w:ilvl="0">
      <w:lvlJc w:val="left"/>
      <w:lvlText w:val="%1"/>
      <w:numFmt w:val="lowerLetter"/>
      <w:start w:val="1"/>
    </w:lvl>
    <w:lvl w:ilvl="1">
      <w:lvlJc w:val="left"/>
      <w:lvlText w:val="(%2)"/>
      <w:numFmt w:val="decimal"/>
      <w:start w:val="2"/>
    </w:lvl>
  </w:abstractNum>
  <w:abstractNum w:abstractNumId="110">
    <w:nsid w:val="73BC6770"/>
    <w:multiLevelType w:val="hybridMultilevel"/>
    <w:lvl w:ilvl="0">
      <w:lvlJc w:val="left"/>
      <w:lvlText w:val="(%1)"/>
      <w:numFmt w:val="lowerLetter"/>
      <w:start w:val="4"/>
    </w:lvl>
    <w:lvl w:ilvl="1">
      <w:lvlJc w:val="left"/>
      <w:lvlText w:val="%2"/>
      <w:numFmt w:val="decimal"/>
      <w:start w:val="1"/>
    </w:lvl>
  </w:abstractNum>
  <w:abstractNum w:abstractNumId="111">
    <w:nsid w:val="280E6897"/>
    <w:multiLevelType w:val="hybridMultilevel"/>
    <w:lvl w:ilvl="0">
      <w:lvlJc w:val="left"/>
      <w:lvlText w:val="(%1)"/>
      <w:numFmt w:val="decimal"/>
      <w:start w:val="1"/>
    </w:lvl>
  </w:abstractNum>
  <w:abstractNum w:abstractNumId="112">
    <w:nsid w:val="605138DE"/>
    <w:multiLevelType w:val="hybridMultilevel"/>
    <w:lvl w:ilvl="0">
      <w:lvlJc w:val="left"/>
      <w:lvlText w:val="(%1)"/>
      <w:numFmt w:val="decimal"/>
      <w:start w:val="5"/>
    </w:lvl>
  </w:abstractNum>
  <w:abstractNum w:abstractNumId="113">
    <w:nsid w:val="2622AD0C"/>
    <w:multiLevelType w:val="hybridMultilevel"/>
    <w:lvl w:ilvl="0">
      <w:lvlJc w:val="left"/>
      <w:lvlText w:val="(%1)"/>
      <w:numFmt w:val="decimal"/>
      <w:start w:val="13"/>
    </w:lvl>
  </w:abstractNum>
  <w:abstractNum w:abstractNumId="114">
    <w:nsid w:val="67997556"/>
    <w:multiLevelType w:val="hybridMultilevel"/>
    <w:lvl w:ilvl="0">
      <w:lvlJc w:val="left"/>
      <w:lvlText w:val="(%1)"/>
      <w:numFmt w:val="decimal"/>
      <w:start w:val="1"/>
    </w:lvl>
  </w:abstractNum>
  <w:abstractNum w:abstractNumId="115">
    <w:nsid w:val="18333C89"/>
    <w:multiLevelType w:val="hybridMultilevel"/>
    <w:lvl w:ilvl="0">
      <w:lvlJc w:val="left"/>
      <w:lvlText w:val="(%1)"/>
      <w:numFmt w:val="lowerLetter"/>
      <w:start w:val="1"/>
    </w:lvl>
  </w:abstractNum>
  <w:abstractNum w:abstractNumId="116">
    <w:nsid w:val="4BA9831A"/>
    <w:multiLevelType w:val="hybridMultilevel"/>
    <w:lvl w:ilvl="0">
      <w:lvlJc w:val="left"/>
      <w:lvlText w:val="(%1)"/>
      <w:numFmt w:val="lowerLetter"/>
      <w:start w:val="3"/>
    </w:lvl>
  </w:abstractNum>
  <w:abstractNum w:abstractNumId="117">
    <w:nsid w:val="6D71A2B"/>
    <w:multiLevelType w:val="hybridMultilevel"/>
    <w:lvl w:ilvl="0">
      <w:lvlJc w:val="left"/>
      <w:lvlText w:val="(%1)"/>
      <w:numFmt w:val="lowerLetter"/>
      <w:start w:val="5"/>
    </w:lvl>
  </w:abstractNum>
  <w:abstractNum w:abstractNumId="118">
    <w:nsid w:val="CFC7321"/>
    <w:multiLevelType w:val="hybridMultilevel"/>
    <w:lvl w:ilvl="0">
      <w:lvlJc w:val="left"/>
      <w:lvlText w:val="(%1)"/>
      <w:numFmt w:val="lowerLetter"/>
      <w:start w:val="1"/>
    </w:lvl>
  </w:abstractNum>
  <w:abstractNum w:abstractNumId="119">
    <w:nsid w:val="1421971B"/>
    <w:multiLevelType w:val="hybridMultilevel"/>
    <w:lvl w:ilvl="0">
      <w:lvlJc w:val="left"/>
      <w:lvlText w:val="(%1)"/>
      <w:numFmt w:val="lowerLetter"/>
      <w:start w:val="2"/>
    </w:lvl>
  </w:abstractNum>
  <w:abstractNum w:abstractNumId="120">
    <w:nsid w:val="1F404301"/>
    <w:multiLevelType w:val="hybridMultilevel"/>
    <w:lvl w:ilvl="0">
      <w:lvlJc w:val="left"/>
      <w:lvlText w:val="(%1)"/>
      <w:numFmt w:val="lowerLetter"/>
      <w:start w:val="1"/>
    </w:lvl>
    <w:lvl w:ilvl="1">
      <w:lvlJc w:val="left"/>
      <w:lvlText w:val="(%2)"/>
      <w:numFmt w:val="decimal"/>
      <w:start w:val="1"/>
    </w:lvl>
  </w:abstractNum>
  <w:abstractNum w:abstractNumId="121">
    <w:nsid w:val="116E090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2">
    <w:nsid w:val="4B683D0D"/>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abstractNum>
  <w:abstractNum w:abstractNumId="123">
    <w:nsid w:val="76E41D8"/>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24">
    <w:nsid w:val="71DCE0FD"/>
    <w:multiLevelType w:val="hybridMultilevel"/>
    <w:lvl w:ilvl="0">
      <w:lvlJc w:val="left"/>
      <w:lvlText w:val="(%1)"/>
      <w:numFmt w:val="decimal"/>
      <w:start w:val="1"/>
    </w:lvl>
  </w:abstractNum>
  <w:abstractNum w:abstractNumId="125">
    <w:nsid w:val="7906328B"/>
    <w:multiLevelType w:val="hybridMultilevel"/>
    <w:lvl w:ilvl="0">
      <w:lvlJc w:val="left"/>
      <w:lvlText w:val="%1"/>
      <w:numFmt w:val="decimal"/>
      <w:start w:val="1"/>
    </w:lvl>
    <w:lvl w:ilvl="1">
      <w:lvlJc w:val="left"/>
      <w:lvlText w:val="(%2)"/>
      <w:numFmt w:val="upperLetter"/>
      <w:start w:val="2"/>
    </w:lvl>
  </w:abstractNum>
  <w:abstractNum w:abstractNumId="126">
    <w:nsid w:val="72BBC16"/>
    <w:multiLevelType w:val="hybridMultilevel"/>
    <w:lvl w:ilvl="0">
      <w:lvlJc w:val="left"/>
      <w:lvlText w:val="(%1)"/>
      <w:numFmt w:val="decimal"/>
      <w:start w:val="2"/>
    </w:lvl>
    <w:lvl w:ilvl="1">
      <w:lvlJc w:val="left"/>
      <w:lvlText w:val="%2"/>
      <w:numFmt w:val="upperLetter"/>
      <w:start w:val="1"/>
    </w:lvl>
  </w:abstractNum>
  <w:abstractNum w:abstractNumId="127">
    <w:nsid w:val="766D98C2"/>
    <w:multiLevelType w:val="hybridMultilevel"/>
    <w:lvl w:ilvl="0">
      <w:lvlJc w:val="left"/>
      <w:lvlText w:val="(%1)"/>
      <w:numFmt w:val="decimal"/>
      <w:start w:val="1"/>
    </w:lvl>
  </w:abstractNum>
  <w:abstractNum w:abstractNumId="128">
    <w:nsid w:val="3C09D4A1"/>
    <w:multiLevelType w:val="hybridMultilevel"/>
    <w:lvl w:ilvl="0">
      <w:lvlJc w:val="left"/>
      <w:lvlText w:val="(%1)"/>
      <w:numFmt w:val="decimal"/>
      <w:start w:val="2"/>
    </w:lvl>
  </w:abstractNum>
  <w:abstractNum w:abstractNumId="129">
    <w:nsid w:val="20E45CA4"/>
    <w:multiLevelType w:val="hybridMultilevel"/>
    <w:lvl w:ilvl="0">
      <w:lvlJc w:val="left"/>
      <w:lvlText w:val="(%1)"/>
      <w:numFmt w:val="decimal"/>
      <w:start w:val="14"/>
    </w:lvl>
  </w:abstractNum>
  <w:abstractNum w:abstractNumId="130">
    <w:nsid w:val="4B232EE3"/>
    <w:multiLevelType w:val="hybridMultilevel"/>
    <w:lvl w:ilvl="0">
      <w:lvlJc w:val="left"/>
      <w:lvlText w:val="(%1)"/>
      <w:numFmt w:val="decimal"/>
      <w:start w:val="1"/>
    </w:lvl>
  </w:abstractNum>
  <w:abstractNum w:abstractNumId="131">
    <w:nsid w:val="159C74CF"/>
    <w:multiLevelType w:val="hybridMultilevel"/>
    <w:lvl w:ilvl="0">
      <w:lvlJc w:val="left"/>
      <w:lvlText w:val="(%1)"/>
      <w:numFmt w:val="decimal"/>
      <w:start w:val="3"/>
    </w:lvl>
  </w:abstractNum>
  <w:abstractNum w:abstractNumId="132">
    <w:nsid w:val="4AD3AFD2"/>
    <w:multiLevelType w:val="hybridMultilevel"/>
    <w:lvl w:ilvl="0">
      <w:lvlJc w:val="left"/>
      <w:lvlText w:val="(%1)"/>
      <w:numFmt w:val="decimal"/>
      <w:start w:val="1"/>
    </w:lvl>
  </w:abstractNum>
  <w:abstractNum w:abstractNumId="133">
    <w:nsid w:val="3CF93092"/>
    <w:multiLevelType w:val="hybridMultilevel"/>
    <w:lvl w:ilvl="0">
      <w:lvlJc w:val="left"/>
      <w:lvlText w:val="(%1)"/>
      <w:numFmt w:val="decimal"/>
      <w:start w:val="2"/>
    </w:lvl>
  </w:abstractNum>
  <w:abstractNum w:abstractNumId="134">
    <w:nsid w:val="6863E8D2"/>
    <w:multiLevelType w:val="hybridMultilevel"/>
    <w:lvl w:ilvl="0">
      <w:lvlJc w:val="left"/>
      <w:lvlText w:val="(%1)"/>
      <w:numFmt w:val="lowerLetter"/>
      <w:start w:val="1"/>
    </w:lvl>
  </w:abstractNum>
  <w:abstractNum w:abstractNumId="135">
    <w:nsid w:val="76896198"/>
    <w:multiLevelType w:val="hybridMultilevel"/>
    <w:lvl w:ilvl="0">
      <w:lvlJc w:val="left"/>
      <w:lvlText w:val="%1"/>
      <w:numFmt w:val="upperLetter"/>
      <w:start w:val="1"/>
    </w:lvl>
    <w:lvl w:ilvl="1">
      <w:lvlJc w:val="left"/>
      <w:lvlText w:val="(%2)"/>
      <w:numFmt w:val="lowerLetter"/>
      <w:start w:val="1"/>
    </w:lvl>
  </w:abstractNum>
  <w:abstractNum w:abstractNumId="136">
    <w:nsid w:val="4365174B"/>
    <w:multiLevelType w:val="hybridMultilevel"/>
    <w:lvl w:ilvl="0">
      <w:lvlJc w:val="left"/>
      <w:lvlText w:val="(%1)"/>
      <w:numFmt w:val="upperLetter"/>
      <w:start w:val="2"/>
    </w:lvl>
    <w:lvl w:ilvl="1">
      <w:lvlJc w:val="left"/>
      <w:lvlText w:val="%2"/>
      <w:numFmt w:val="lowerLetter"/>
      <w:start w:val="1"/>
    </w:lvl>
  </w:abstractNum>
  <w:abstractNum w:abstractNumId="137">
    <w:nsid w:val="4A872C35"/>
    <w:multiLevelType w:val="hybridMultilevel"/>
    <w:lvl w:ilvl="0">
      <w:lvlJc w:val="left"/>
      <w:lvlText w:val="(%1)"/>
      <w:numFmt w:val="lowerLetter"/>
      <w:start w:val="2"/>
    </w:lvl>
    <w:lvl w:ilvl="1">
      <w:lvlJc w:val="left"/>
      <w:lvlText w:val="(%2)"/>
      <w:numFmt w:val="decimal"/>
      <w:start w:val="1"/>
    </w:lvl>
  </w:abstractNum>
  <w:abstractNum w:abstractNumId="138">
    <w:nsid w:val="5D5CE761"/>
    <w:multiLevelType w:val="hybridMultilevel"/>
    <w:lvl w:ilvl="0">
      <w:lvlJc w:val="left"/>
      <w:lvlText w:val="(%1)"/>
      <w:numFmt w:val="lowerLetter"/>
      <w:start w:val="7"/>
    </w:lvl>
  </w:abstractNum>
  <w:abstractNum w:abstractNumId="139">
    <w:nsid w:val="1CD484D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40">
    <w:nsid w:val="21D06255"/>
    <w:multiLevelType w:val="hybridMultilevel"/>
    <w:lvl w:ilvl="0">
      <w:lvlJc w:val="left"/>
      <w:lvlText w:val="(%1)"/>
      <w:numFmt w:val="lowerLetter"/>
      <w:start w:val="24"/>
    </w:lvl>
  </w:abstractNum>
  <w:abstractNum w:abstractNumId="141">
    <w:nsid w:val="51194ED1"/>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lvl w:ilvl="3">
      <w:lvlJc w:val="left"/>
      <w:lvlText w:val="(%4)"/>
      <w:numFmt w:val="lowerRoman"/>
      <w:start w:val="10"/>
    </w:lvl>
  </w:abstractNum>
  <w:abstractNum w:abstractNumId="142">
    <w:nsid w:val="44E2ED6C"/>
    <w:multiLevelType w:val="hybridMultilevel"/>
    <w:lvl w:ilvl="0">
      <w:lvlJc w:val="left"/>
      <w:lvlText w:val="(%1)"/>
      <w:numFmt w:val="lowerRoman"/>
      <w:start w:val="2"/>
    </w:lvl>
  </w:abstractNum>
  <w:abstractNum w:abstractNumId="143">
    <w:nsid w:val="2219B33"/>
    <w:multiLevelType w:val="hybridMultilevel"/>
    <w:lvl w:ilvl="0">
      <w:lvlJc w:val="left"/>
      <w:lvlText w:val="(%1)"/>
      <w:numFmt w:val="lowerLetter"/>
      <w:start w:val="25"/>
    </w:lvl>
  </w:abstractNum>
  <w:abstractNum w:abstractNumId="144">
    <w:nsid w:val="773BFBDD"/>
    <w:multiLevelType w:val="hybridMultilevel"/>
    <w:lvl w:ilvl="0">
      <w:lvlJc w:val="left"/>
      <w:lvlText w:val="(%1)"/>
      <w:numFmt w:val="decimal"/>
      <w:start w:val="3"/>
    </w:lvl>
    <w:lvl w:ilvl="1">
      <w:lvlJc w:val="left"/>
      <w:lvlText w:val="(%2)"/>
      <w:numFmt w:val="upperLetter"/>
      <w:start w:val="1"/>
    </w:lvl>
  </w:abstractNum>
  <w:abstractNum w:abstractNumId="145">
    <w:nsid w:val="2C7C62C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46">
    <w:nsid w:val="1A54D7BC"/>
    <w:multiLevelType w:val="hybridMultilevel"/>
    <w:lvl w:ilvl="0">
      <w:lvlJc w:val="left"/>
      <w:lvlText w:val="(%1)"/>
      <w:numFmt w:val="decimal"/>
      <w:start w:val="4"/>
    </w:lvl>
  </w:abstractNum>
  <w:abstractNum w:abstractNumId="147">
    <w:nsid w:val="42E57EF7"/>
    <w:multiLevelType w:val="hybridMultilevel"/>
    <w:lvl w:ilvl="0">
      <w:lvlJc w:val="left"/>
      <w:lvlText w:val="(%1)"/>
      <w:numFmt w:val="upperLetter"/>
      <w:start w:val="1"/>
    </w:lvl>
  </w:abstractNum>
  <w:abstractNum w:abstractNumId="148">
    <w:nsid w:val="33537CED"/>
    <w:multiLevelType w:val="hybridMultilevel"/>
    <w:lvl w:ilvl="0">
      <w:lvlJc w:val="left"/>
      <w:lvlText w:val="(%1)"/>
      <w:numFmt w:val="decimal"/>
      <w:start w:val="5"/>
    </w:lvl>
  </w:abstractNum>
  <w:abstractNum w:abstractNumId="149">
    <w:nsid w:val="27514ADE"/>
    <w:multiLevelType w:val="hybridMultilevel"/>
    <w:lvl w:ilvl="0">
      <w:lvlJc w:val="left"/>
      <w:lvlText w:val="(%1)"/>
      <w:numFmt w:val="decimal"/>
      <w:start w:val="6"/>
    </w:lvl>
    <w:lvl w:ilvl="1">
      <w:lvlJc w:val="left"/>
      <w:lvlText w:val="(%2)"/>
      <w:numFmt w:val="upperLetter"/>
      <w:start w:val="1"/>
    </w:lvl>
  </w:abstractNum>
  <w:abstractNum w:abstractNumId="150">
    <w:nsid w:val="57071613"/>
    <w:multiLevelType w:val="hybridMultilevel"/>
    <w:lvl w:ilvl="0">
      <w:lvlJc w:val="left"/>
      <w:lvlText w:val="%1"/>
      <w:numFmt w:val="decimal"/>
      <w:start w:val="1"/>
    </w:lvl>
    <w:lvl w:ilvl="1">
      <w:lvlJc w:val="left"/>
      <w:lvlText w:val="(%2)"/>
      <w:numFmt w:val="upperLetter"/>
      <w:start w:val="6"/>
    </w:lvl>
  </w:abstractNum>
  <w:abstractNum w:abstractNumId="151">
    <w:nsid w:val="5293BFEF"/>
    <w:multiLevelType w:val="hybridMultilevel"/>
    <w:lvl w:ilvl="0">
      <w:lvlJc w:val="left"/>
      <w:lvlText w:val="(%1)"/>
      <w:numFmt w:val="decimal"/>
      <w:start w:val="9"/>
    </w:lvl>
    <w:lvl w:ilvl="1">
      <w:lvlJc w:val="left"/>
      <w:lvlText w:val="%2"/>
      <w:numFmt w:val="upperLetter"/>
      <w:start w:val="1"/>
    </w:lvl>
  </w:abstractNum>
  <w:abstractNum w:abstractNumId="152">
    <w:nsid w:val="38BF53E5"/>
    <w:multiLevelType w:val="hybridMultilevel"/>
    <w:lvl w:ilvl="0">
      <w:lvlJc w:val="left"/>
      <w:lvlText w:val="%1"/>
      <w:numFmt w:val="lowerLetter"/>
      <w:start w:val="1"/>
    </w:lvl>
    <w:lvl w:ilvl="1">
      <w:lvlJc w:val="left"/>
      <w:lvlText w:val="(%2)"/>
      <w:numFmt w:val="lowerLetter"/>
      <w:start w:val="1"/>
    </w:lvl>
  </w:abstractNum>
  <w:abstractNum w:abstractNumId="153">
    <w:nsid w:val="226F5320"/>
    <w:multiLevelType w:val="hybridMultilevel"/>
    <w:lvl w:ilvl="0">
      <w:lvlJc w:val="left"/>
      <w:lvlText w:val="(%1)"/>
      <w:numFmt w:val="lowerLetter"/>
      <w:start w:val="9"/>
    </w:lvl>
    <w:lvl w:ilvl="1">
      <w:lvlJc w:val="left"/>
      <w:lvlText w:val="%2"/>
      <w:numFmt w:val="lowerLetter"/>
      <w:start w:val="1"/>
    </w:lvl>
  </w:abstractNum>
  <w:abstractNum w:abstractNumId="154">
    <w:nsid w:val="5A0201C7"/>
    <w:multiLevelType w:val="hybridMultilevel"/>
    <w:lvl w:ilvl="0">
      <w:lvlJc w:val="left"/>
      <w:lvlText w:val="(%1)"/>
      <w:numFmt w:val="lowerLetter"/>
      <w:start w:val="2"/>
    </w:lvl>
    <w:lvl w:ilvl="1">
      <w:lvlJc w:val="left"/>
      <w:lvlText w:val="(%2)"/>
      <w:numFmt w:val="decimal"/>
      <w:start w:val="1"/>
    </w:lvl>
  </w:abstractNum>
  <w:abstractNum w:abstractNumId="155">
    <w:nsid w:val="2A9C34E2"/>
    <w:multiLevelType w:val="hybridMultilevel"/>
    <w:lvl w:ilvl="0">
      <w:lvlJc w:val="left"/>
      <w:lvlText w:val="(%1)"/>
      <w:numFmt w:val="lowerLetter"/>
      <w:start w:val="24"/>
    </w:lvl>
    <w:lvl w:ilvl="1">
      <w:lvlJc w:val="left"/>
      <w:lvlText w:val="(%2)"/>
      <w:numFmt w:val="decimal"/>
      <w:start w:val="2"/>
    </w:lvl>
  </w:abstractNum>
  <w:abstractNum w:abstractNumId="156">
    <w:nsid w:val="1B7585AB"/>
    <w:multiLevelType w:val="hybridMultilevel"/>
    <w:lvl w:ilvl="0">
      <w:lvlJc w:val="left"/>
      <w:lvlText w:val="(%1)"/>
      <w:numFmt w:val="decimal"/>
      <w:start w:val="5"/>
    </w:lvl>
    <w:lvl w:ilvl="1">
      <w:lvlJc w:val="left"/>
      <w:lvlText w:val="(%2)"/>
      <w:numFmt w:val="upperLetter"/>
      <w:start w:val="1"/>
    </w:lvl>
  </w:abstractNum>
  <w:abstractNum w:abstractNumId="157">
    <w:nsid w:val="612DBDDD"/>
    <w:multiLevelType w:val="hybridMultilevel"/>
    <w:lvl w:ilvl="0">
      <w:lvlJc w:val="left"/>
      <w:lvlText w:val="(%1)"/>
      <w:numFmt w:val="decimal"/>
      <w:start w:val="9"/>
    </w:lvl>
  </w:abstractNum>
  <w:abstractNum w:abstractNumId="158">
    <w:nsid w:val="2109CDA4"/>
    <w:multiLevelType w:val="hybridMultilevel"/>
    <w:lvl w:ilvl="0">
      <w:lvlJc w:val="left"/>
      <w:lvlText w:val="(%1)"/>
      <w:numFmt w:val="decimal"/>
      <w:start w:val="14"/>
    </w:lvl>
    <w:lvl w:ilvl="1">
      <w:lvlJc w:val="left"/>
      <w:lvlText w:val="(%2)"/>
      <w:numFmt w:val="upperLetter"/>
      <w:start w:val="1"/>
    </w:lvl>
    <w:lvl w:ilvl="2">
      <w:lvlJc w:val="left"/>
      <w:lvlText w:val="(%3)"/>
      <w:numFmt w:val="lowerRoman"/>
      <w:start w:val="1"/>
    </w:lvl>
  </w:abstractNum>
  <w:abstractNum w:abstractNumId="159">
    <w:nsid w:val="577F5A4D"/>
    <w:multiLevelType w:val="hybridMultilevel"/>
    <w:lvl w:ilvl="0">
      <w:lvlJc w:val="left"/>
      <w:lvlText w:val="(%1)"/>
      <w:numFmt w:val="decimal"/>
      <w:start w:val="18"/>
    </w:lvl>
  </w:abstractNum>
  <w:abstractNum w:abstractNumId="160">
    <w:nsid w:val="2121A81"/>
    <w:multiLevelType w:val="hybridMultilevel"/>
    <w:lvl w:ilvl="0">
      <w:lvlJc w:val="left"/>
      <w:lvlText w:val="(%1)"/>
      <w:numFmt w:val="lowerLetter"/>
      <w:start w:val="3"/>
    </w:lvl>
    <w:lvl w:ilvl="1">
      <w:lvlJc w:val="left"/>
      <w:lvlText w:val="(%2)"/>
      <w:numFmt w:val="decimal"/>
      <w:start w:val="1"/>
    </w:lvl>
  </w:abstractNum>
  <w:abstractNum w:abstractNumId="161">
    <w:nsid w:val="6C2CFC88"/>
    <w:multiLevelType w:val="hybridMultilevel"/>
    <w:lvl w:ilvl="0">
      <w:lvlJc w:val="left"/>
      <w:lvlText w:val="%1"/>
      <w:numFmt w:val="lowerLetter"/>
      <w:start w:val="1"/>
    </w:lvl>
    <w:lvl w:ilvl="1">
      <w:lvlJc w:val="left"/>
      <w:lvlText w:val="(%2)"/>
      <w:numFmt w:val="decimal"/>
      <w:start w:val="6"/>
    </w:lvl>
  </w:abstractNum>
  <w:abstractNum w:abstractNumId="162">
    <w:nsid w:val="6D1BCF1C"/>
    <w:multiLevelType w:val="hybridMultilevel"/>
    <w:lvl w:ilvl="0">
      <w:lvlJc w:val="left"/>
      <w:lvlText w:val="(%1)"/>
      <w:numFmt w:val="lowerLetter"/>
      <w:start w:val="4"/>
    </w:lvl>
    <w:lvl w:ilvl="1">
      <w:lvlJc w:val="left"/>
      <w:lvlText w:val="%2"/>
      <w:numFmt w:val="decimal"/>
      <w:start w:val="1"/>
    </w:lvl>
  </w:abstractNum>
  <w:abstractNum w:abstractNumId="163">
    <w:nsid w:val="4CE5CA53"/>
    <w:multiLevelType w:val="hybridMultilevel"/>
    <w:lvl w:ilvl="0">
      <w:lvlJc w:val="left"/>
      <w:lvlText w:val="(%1)"/>
      <w:numFmt w:val="lowerLetter"/>
      <w:start w:val="1"/>
    </w:lvl>
  </w:abstractNum>
  <w:abstractNum w:abstractNumId="164">
    <w:nsid w:val="29262D1A"/>
    <w:multiLevelType w:val="hybridMultilevel"/>
    <w:lvl w:ilvl="0">
      <w:lvlJc w:val="left"/>
      <w:lvlText w:val="(%1)"/>
      <w:numFmt w:val="lowerLetter"/>
      <w:start w:val="1"/>
    </w:lvl>
  </w:abstractNum>
  <w:abstractNum w:abstractNumId="165">
    <w:nsid w:val="557FB7EE"/>
    <w:multiLevelType w:val="hybridMultilevel"/>
    <w:lvl w:ilvl="0">
      <w:lvlJc w:val="left"/>
      <w:lvlText w:val="%1"/>
      <w:numFmt w:val="lowerLetter"/>
      <w:start w:val="1"/>
    </w:lvl>
    <w:lvl w:ilvl="1">
      <w:lvlJc w:val="left"/>
      <w:lvlText w:val="(%2)"/>
      <w:numFmt w:val="decimal"/>
      <w:start w:val="1"/>
    </w:lvl>
  </w:abstractNum>
  <w:abstractNum w:abstractNumId="166">
    <w:nsid w:val="436F2BEB"/>
    <w:multiLevelType w:val="hybridMultilevel"/>
    <w:lvl w:ilvl="0">
      <w:lvlJc w:val="left"/>
      <w:lvlText w:val="(%1)"/>
      <w:numFmt w:val="lowerLetter"/>
      <w:start w:val="2"/>
    </w:lvl>
    <w:lvl w:ilvl="1">
      <w:lvlJc w:val="left"/>
      <w:lvlText w:val="(%2)"/>
      <w:numFmt w:val="decimal"/>
      <w:start w:val="1"/>
    </w:lvl>
  </w:abstractNum>
  <w:abstractNum w:abstractNumId="167">
    <w:nsid w:val="6C8B4466"/>
    <w:multiLevelType w:val="hybridMultilevel"/>
    <w:lvl w:ilvl="0">
      <w:lvlJc w:val="left"/>
      <w:lvlText w:val="(%1)"/>
      <w:numFmt w:val="decimal"/>
      <w:start w:val="8"/>
    </w:lvl>
  </w:abstractNum>
  <w:abstractNum w:abstractNumId="168">
    <w:nsid w:val="2006E424"/>
    <w:multiLevelType w:val="hybridMultilevel"/>
    <w:lvl w:ilvl="0">
      <w:lvlJc w:val="left"/>
      <w:lvlText w:val="(%1)"/>
      <w:numFmt w:val="decimal"/>
      <w:start w:val="16"/>
    </w:lvl>
  </w:abstractNum>
  <w:abstractNum w:abstractNumId="169">
    <w:nsid w:val="20CC134C"/>
    <w:multiLevelType w:val="hybridMultilevel"/>
    <w:lvl w:ilvl="0">
      <w:lvlJc w:val="left"/>
      <w:lvlText w:val="(%1)"/>
      <w:numFmt w:val="lowerLetter"/>
      <w:start w:val="1"/>
    </w:lvl>
    <w:lvl w:ilvl="1">
      <w:lvlJc w:val="left"/>
      <w:lvlText w:val="(%2)"/>
      <w:numFmt w:val="decimal"/>
      <w:start w:val="2"/>
    </w:lvl>
  </w:abstractNum>
  <w:abstractNum w:abstractNumId="170">
    <w:nsid w:val="95FC93B"/>
    <w:multiLevelType w:val="hybridMultilevel"/>
    <w:lvl w:ilvl="0">
      <w:lvlJc w:val="left"/>
      <w:lvlText w:val="%1"/>
      <w:numFmt w:val="lowerLetter"/>
      <w:start w:val="1"/>
    </w:lvl>
    <w:lvl w:ilvl="1">
      <w:lvlJc w:val="left"/>
      <w:lvlText w:val="(%2)"/>
      <w:numFmt w:val="decimal"/>
      <w:start w:val="1"/>
    </w:lvl>
  </w:abstractNum>
  <w:abstractNum w:abstractNumId="171">
    <w:nsid w:val="41D74679"/>
    <w:multiLevelType w:val="hybridMultilevel"/>
    <w:lvl w:ilvl="0">
      <w:lvlJc w:val="left"/>
      <w:lvlText w:val="(%1)"/>
      <w:numFmt w:val="decimal"/>
      <w:start w:val="3"/>
    </w:lvl>
  </w:abstractNum>
  <w:abstractNum w:abstractNumId="172">
    <w:nsid w:val="71E5621E"/>
    <w:multiLevelType w:val="hybridMultilevel"/>
    <w:lvl w:ilvl="0">
      <w:lvlJc w:val="left"/>
      <w:lvlText w:val="(%1)"/>
      <w:numFmt w:val="decimal"/>
      <w:start w:val="14"/>
    </w:lvl>
  </w:abstractNum>
  <w:abstractNum w:abstractNumId="173">
    <w:nsid w:val="4E42B6A8"/>
    <w:multiLevelType w:val="hybridMultilevel"/>
    <w:lvl w:ilvl="0">
      <w:lvlJc w:val="left"/>
      <w:lvlText w:val="(%1)"/>
      <w:numFmt w:val="decimal"/>
      <w:start w:val="1"/>
    </w:lvl>
  </w:abstractNum>
  <w:abstractNum w:abstractNumId="174">
    <w:nsid w:val="43F8E1AC"/>
    <w:multiLevelType w:val="hybridMultilevel"/>
    <w:lvl w:ilvl="0">
      <w:lvlJc w:val="left"/>
      <w:lvlText w:val="(%1)"/>
      <w:numFmt w:val="lowerLetter"/>
      <w:start w:val="1"/>
    </w:lvl>
  </w:abstractNum>
  <w:abstractNum w:abstractNumId="175">
    <w:nsid w:val="69215DFB"/>
    <w:multiLevelType w:val="hybridMultilevel"/>
    <w:lvl w:ilvl="0">
      <w:lvlJc w:val="left"/>
      <w:lvlText w:val="(%1)"/>
      <w:numFmt w:val="decimal"/>
      <w:start w:val="1"/>
    </w:lvl>
  </w:abstractNum>
  <w:abstractNum w:abstractNumId="176">
    <w:nsid w:val="7ABF196A"/>
    <w:multiLevelType w:val="hybridMultilevel"/>
    <w:lvl w:ilvl="0">
      <w:lvlJc w:val="left"/>
      <w:lvlText w:val="%1"/>
      <w:numFmt w:val="lowerLetter"/>
      <w:start w:val="1"/>
    </w:lvl>
    <w:lvl w:ilvl="1">
      <w:lvlJc w:val="left"/>
      <w:lvlText w:val="(%2)"/>
      <w:numFmt w:val="decimal"/>
      <w:start w:val="7"/>
    </w:lvl>
  </w:abstractNum>
  <w:abstractNum w:abstractNumId="177">
    <w:nsid w:val="5E4DB968"/>
    <w:multiLevelType w:val="hybridMultilevel"/>
    <w:lvl w:ilvl="0">
      <w:lvlJc w:val="left"/>
      <w:lvlText w:val="(%1)"/>
      <w:numFmt w:val="lowerLetter"/>
      <w:start w:val="2"/>
    </w:lvl>
    <w:lvl w:ilvl="1">
      <w:lvlJc w:val="left"/>
      <w:lvlText w:val="(%2)"/>
      <w:numFmt w:val="decimal"/>
      <w:start w:val="1"/>
    </w:lvl>
  </w:abstractNum>
  <w:abstractNum w:abstractNumId="178">
    <w:nsid w:val="2C06DCF3"/>
    <w:multiLevelType w:val="hybridMultilevel"/>
    <w:lvl w:ilvl="0">
      <w:lvlJc w:val="left"/>
      <w:lvlText w:val="(%1)"/>
      <w:numFmt w:val="lowerLetter"/>
      <w:start w:val="6"/>
    </w:lvl>
  </w:abstractNum>
  <w:abstractNum w:abstractNumId="179">
    <w:nsid w:val="2E12965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80">
    <w:nsid w:val="59F044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181">
    <w:nsid w:val="30DF306"/>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82">
    <w:nsid w:val="A65647"/>
    <w:multiLevelType w:val="hybridMultilevel"/>
    <w:lvl w:ilvl="0">
      <w:lvlJc w:val="left"/>
      <w:lvlText w:val="(%1)"/>
      <w:numFmt w:val="lowerLetter"/>
      <w:start w:val="3"/>
    </w:lvl>
    <w:lvl w:ilvl="1">
      <w:lvlJc w:val="left"/>
      <w:lvlText w:val="(%2)"/>
      <w:numFmt w:val="decimal"/>
      <w:start w:val="1"/>
    </w:lvl>
  </w:abstractNum>
  <w:abstractNum w:abstractNumId="183">
    <w:nsid w:val="3E5E582B"/>
    <w:multiLevelType w:val="hybridMultilevel"/>
    <w:lvl w:ilvl="0">
      <w:lvlJc w:val="left"/>
      <w:lvlText w:val="(%1)"/>
      <w:numFmt w:val="lowerLetter"/>
      <w:start w:val="9"/>
    </w:lvl>
    <w:lvl w:ilvl="1">
      <w:lvlJc w:val="left"/>
      <w:lvlText w:val="(%2)"/>
      <w:numFmt w:val="decimal"/>
      <w:start w:val="2"/>
    </w:lvl>
  </w:abstractNum>
  <w:abstractNum w:abstractNumId="184">
    <w:nsid w:val="257D4626"/>
    <w:multiLevelType w:val="hybridMultilevel"/>
    <w:lvl w:ilvl="0">
      <w:lvlJc w:val="left"/>
      <w:lvlText w:val="(%1)"/>
      <w:numFmt w:val="lowerLetter"/>
      <w:start w:val="4"/>
    </w:lvl>
    <w:lvl w:ilvl="1">
      <w:lvlJc w:val="left"/>
      <w:lvlText w:val="%2"/>
      <w:numFmt w:val="decimal"/>
      <w:start w:val="1"/>
    </w:lvl>
  </w:abstractNum>
  <w:abstractNum w:abstractNumId="185">
    <w:nsid w:val="5AA8580E"/>
    <w:multiLevelType w:val="hybridMultilevel"/>
    <w:lvl w:ilvl="0">
      <w:lvlJc w:val="left"/>
      <w:lvlText w:val="(%1)"/>
      <w:numFmt w:val="lowerLetter"/>
      <w:start w:val="5"/>
    </w:lvl>
  </w:abstractNum>
  <w:abstractNum w:abstractNumId="186">
    <w:nsid w:val="68FA8D0D"/>
    <w:multiLevelType w:val="hybridMultilevel"/>
    <w:lvl w:ilvl="0">
      <w:lvlJc w:val="left"/>
      <w:lvlText w:val="(%1)"/>
      <w:numFmt w:val="lowerLetter"/>
      <w:start w:val="9"/>
    </w:lvl>
    <w:lvl w:ilvl="1">
      <w:lvlJc w:val="left"/>
      <w:lvlText w:val="(%2)"/>
      <w:numFmt w:val="decimal"/>
      <w:start w:val="1"/>
    </w:lvl>
  </w:abstractNum>
  <w:abstractNum w:abstractNumId="187">
    <w:nsid w:val="40F2CBD2"/>
    <w:multiLevelType w:val="hybridMultilevel"/>
    <w:lvl w:ilvl="0">
      <w:lvlJc w:val="left"/>
      <w:lvlText w:val="(%1)"/>
      <w:numFmt w:val="lowerLetter"/>
      <w:start w:val="11"/>
    </w:lvl>
    <w:lvl w:ilvl="1">
      <w:lvlJc w:val="left"/>
      <w:lvlText w:val="(%2)"/>
      <w:numFmt w:val="decimal"/>
      <w:start w:val="1"/>
    </w:lvl>
  </w:abstractNum>
  <w:abstractNum w:abstractNumId="188">
    <w:nsid w:val="3BD615EB"/>
    <w:multiLevelType w:val="hybridMultilevel"/>
    <w:lvl w:ilvl="0">
      <w:lvlJc w:val="left"/>
      <w:lvlText w:val="(%1)"/>
      <w:numFmt w:val="lowerLetter"/>
      <w:start w:val="1"/>
    </w:lvl>
  </w:abstractNum>
  <w:abstractNum w:abstractNumId="189">
    <w:nsid w:val="A045AB2"/>
    <w:multiLevelType w:val="hybridMultilevel"/>
    <w:lvl w:ilvl="0">
      <w:lvlJc w:val="left"/>
      <w:lvlText w:val="(%1)"/>
      <w:numFmt w:val="decimal"/>
      <w:start w:val="1"/>
    </w:lvl>
  </w:abstractNum>
  <w:abstractNum w:abstractNumId="190">
    <w:nsid w:val="1872261F"/>
    <w:multiLevelType w:val="hybridMultilevel"/>
    <w:lvl w:ilvl="0">
      <w:lvlJc w:val="left"/>
      <w:lvlText w:val="(%1)"/>
      <w:numFmt w:val="lowerLetter"/>
      <w:start w:val="1"/>
    </w:lvl>
  </w:abstractNum>
  <w:abstractNum w:abstractNumId="191">
    <w:nsid w:val="3DE8306C"/>
    <w:multiLevelType w:val="hybridMultilevel"/>
    <w:lvl w:ilvl="0">
      <w:lvlJc w:val="left"/>
      <w:lvlText w:val="(%1)"/>
      <w:numFmt w:val="lowerLetter"/>
      <w:start w:val="2"/>
    </w:lvl>
  </w:abstractNum>
  <w:abstractNum w:abstractNumId="192">
    <w:nsid w:val="7631573A"/>
    <w:multiLevelType w:val="hybridMultilevel"/>
    <w:lvl w:ilvl="0">
      <w:lvlJc w:val="left"/>
      <w:lvlText w:val="(%1)"/>
      <w:numFmt w:val="lowerLetter"/>
      <w:start w:val="3"/>
    </w:lvl>
  </w:abstractNum>
  <w:abstractNum w:abstractNumId="193">
    <w:nsid w:val="58DF53B"/>
    <w:multiLevelType w:val="hybridMultilevel"/>
    <w:lvl w:ilvl="0">
      <w:lvlJc w:val="left"/>
      <w:lvlText w:val="(%1)"/>
      <w:numFmt w:val="lowerLetter"/>
      <w:start w:val="5"/>
    </w:lvl>
  </w:abstractNum>
  <w:abstractNum w:abstractNumId="194">
    <w:nsid w:val="ACDFAC0"/>
    <w:multiLevelType w:val="hybridMultilevel"/>
    <w:lvl w:ilvl="0">
      <w:lvlJc w:val="left"/>
      <w:lvlText w:val="(%1)"/>
      <w:numFmt w:val="lowerLetter"/>
      <w:start w:val="1"/>
    </w:lvl>
  </w:abstractNum>
  <w:abstractNum w:abstractNumId="195">
    <w:nsid w:val="1F578454"/>
    <w:multiLevelType w:val="hybridMultilevel"/>
    <w:lvl w:ilvl="0">
      <w:lvlJc w:val="left"/>
      <w:lvlText w:val="(%1)"/>
      <w:numFmt w:val="lowerLetter"/>
      <w:start w:val="4"/>
    </w:lvl>
  </w:abstractNum>
  <w:abstractNum w:abstractNumId="196">
    <w:nsid w:val="5B0DAD2A"/>
    <w:multiLevelType w:val="hybridMultilevel"/>
    <w:lvl w:ilvl="0">
      <w:lvlJc w:val="left"/>
      <w:lvlText w:val="(%1)"/>
      <w:numFmt w:val="decimal"/>
      <w:start w:val="1"/>
    </w:lvl>
  </w:abstractNum>
  <w:abstractNum w:abstractNumId="197">
    <w:nsid w:val="4E3D26AB"/>
    <w:multiLevelType w:val="hybridMultilevel"/>
    <w:lvl w:ilvl="0">
      <w:lvlJc w:val="left"/>
      <w:lvlText w:val="(%1)"/>
      <w:numFmt w:val="decimal"/>
      <w:start w:val="10"/>
    </w:lvl>
  </w:abstractNum>
  <w:abstractNum w:abstractNumId="198">
    <w:nsid w:val="BE2C8BA"/>
    <w:multiLevelType w:val="hybridMultilevel"/>
    <w:lvl w:ilvl="0">
      <w:lvlJc w:val="left"/>
      <w:lvlText w:val="(%1)"/>
      <w:numFmt w:val="lowerLetter"/>
      <w:start w:val="1"/>
    </w:lvl>
  </w:abstractNum>
  <w:abstractNum w:abstractNumId="199">
    <w:nsid w:val="7B14914E"/>
    <w:multiLevelType w:val="hybridMultilevel"/>
    <w:lvl w:ilvl="0">
      <w:lvlJc w:val="left"/>
      <w:lvlText w:val="(%1)"/>
      <w:numFmt w:val="lowerLetter"/>
      <w:start w:val="1"/>
    </w:lvl>
  </w:abstractNum>
  <w:abstractNum w:abstractNumId="200">
    <w:nsid w:val="6F0939F8"/>
    <w:multiLevelType w:val="hybridMultilevel"/>
    <w:lvl w:ilvl="0">
      <w:lvlJc w:val="left"/>
      <w:lvlText w:val="(%1)"/>
      <w:numFmt w:val="lowerLetter"/>
      <w:start w:val="4"/>
    </w:lvl>
  </w:abstractNum>
  <w:abstractNum w:abstractNumId="201">
    <w:nsid w:val="154291F6"/>
    <w:multiLevelType w:val="hybridMultilevel"/>
    <w:lvl w:ilvl="0">
      <w:lvlJc w:val="left"/>
      <w:lvlText w:val="(%1)"/>
      <w:numFmt w:val="upperLetter"/>
      <w:start w:val="1"/>
    </w:lvl>
  </w:abstractNum>
  <w:abstractNum w:abstractNumId="202">
    <w:nsid w:val="3CEBD7C7"/>
    <w:multiLevelType w:val="hybridMultilevel"/>
    <w:lvl w:ilvl="0">
      <w:lvlJc w:val="left"/>
      <w:lvlText w:val="(%1)"/>
      <w:numFmt w:val="upperLetter"/>
      <w:start w:val="2"/>
    </w:lvl>
  </w:abstractNum>
  <w:abstractNum w:abstractNumId="203">
    <w:nsid w:val="60EE9C16"/>
    <w:multiLevelType w:val="hybridMultilevel"/>
    <w:lvl w:ilvl="0">
      <w:lvlJc w:val="left"/>
      <w:lvlText w:val="(%1)"/>
      <w:numFmt w:val="decimal"/>
      <w:start w:val="1"/>
    </w:lvl>
  </w:abstractNum>
  <w:abstractNum w:abstractNumId="204">
    <w:nsid w:val="6385489E"/>
    <w:multiLevelType w:val="hybridMultilevel"/>
    <w:lvl w:ilvl="0">
      <w:lvlJc w:val="left"/>
      <w:lvlText w:val="(%1)"/>
      <w:numFmt w:val="decimal"/>
      <w:start w:val="1"/>
    </w:lvl>
  </w:abstractNum>
  <w:abstractNum w:abstractNumId="205">
    <w:nsid w:val="E4B973"/>
    <w:multiLevelType w:val="hybridMultilevel"/>
    <w:lvl w:ilvl="0">
      <w:lvlJc w:val="left"/>
      <w:lvlText w:val="(%1)"/>
      <w:numFmt w:val="decimal"/>
      <w:start w:val="2"/>
    </w:lvl>
    <w:lvl w:ilvl="1">
      <w:lvlJc w:val="left"/>
      <w:lvlText w:val="(%2)"/>
      <w:numFmt w:val="upperLetter"/>
      <w:start w:val="1"/>
    </w:lvl>
  </w:abstractNum>
  <w:abstractNum w:abstractNumId="206">
    <w:nsid w:val="4A0FFA11"/>
    <w:multiLevelType w:val="hybridMultilevel"/>
    <w:lvl w:ilvl="0">
      <w:lvlJc w:val="left"/>
      <w:lvlText w:val="(%1)"/>
      <w:numFmt w:val="decimal"/>
      <w:start w:val="3"/>
    </w:lvl>
  </w:abstractNum>
  <w:abstractNum w:abstractNumId="207">
    <w:nsid w:val="5E446208"/>
    <w:multiLevelType w:val="hybridMultilevel"/>
    <w:lvl w:ilvl="0">
      <w:lvlJc w:val="left"/>
      <w:lvlText w:val="(%1)"/>
      <w:numFmt w:val="decimal"/>
      <w:start w:val="7"/>
    </w:lvl>
  </w:abstractNum>
  <w:abstractNum w:abstractNumId="208">
    <w:nsid w:val="5F3272DB"/>
    <w:multiLevelType w:val="hybridMultilevel"/>
    <w:lvl w:ilvl="0">
      <w:lvlJc w:val="left"/>
      <w:lvlText w:val="(%1)"/>
      <w:numFmt w:val="lowerLetter"/>
      <w:start w:val="1"/>
    </w:lvl>
  </w:abstractNum>
  <w:abstractNum w:abstractNumId="209">
    <w:nsid w:val="7616D704"/>
    <w:multiLevelType w:val="hybridMultilevel"/>
    <w:lvl w:ilvl="0">
      <w:lvlJc w:val="left"/>
      <w:lvlText w:val="(%1)"/>
      <w:numFmt w:val="lowerLetter"/>
      <w:start w:val="1"/>
    </w:lvl>
  </w:abstractNum>
  <w:abstractNum w:abstractNumId="210">
    <w:nsid w:val="C56F860"/>
    <w:multiLevelType w:val="hybridMultilevel"/>
    <w:lvl w:ilvl="0">
      <w:lvlJc w:val="left"/>
      <w:lvlText w:val="(%1)"/>
      <w:numFmt w:val="lowerLetter"/>
      <w:start w:val="1"/>
    </w:lvl>
  </w:abstractNum>
  <w:abstractNum w:abstractNumId="211">
    <w:nsid w:val="64D17722"/>
    <w:multiLevelType w:val="hybridMultilevel"/>
    <w:lvl w:ilvl="0">
      <w:lvlJc w:val="left"/>
      <w:lvlText w:val="(%1)"/>
      <w:numFmt w:val="lowerLetter"/>
      <w:start w:val="2"/>
    </w:lvl>
  </w:abstractNum>
  <w:abstractNum w:abstractNumId="212">
    <w:nsid w:val="7924CA0A"/>
    <w:multiLevelType w:val="hybridMultilevel"/>
    <w:lvl w:ilvl="0">
      <w:lvlJc w:val="left"/>
      <w:lvlText w:val="(%1)"/>
      <w:numFmt w:val="lowerLetter"/>
      <w:start w:val="6"/>
    </w:lvl>
  </w:abstractNum>
  <w:abstractNum w:abstractNumId="213">
    <w:nsid w:val="CFD4EA7"/>
    <w:multiLevelType w:val="hybridMultilevel"/>
    <w:lvl w:ilvl="0">
      <w:lvlJc w:val="left"/>
      <w:lvlText w:val="(%1)"/>
      <w:numFmt w:val="lowerLetter"/>
      <w:start w:val="1"/>
    </w:lvl>
  </w:abstractNum>
  <w:abstractNum w:abstractNumId="214">
    <w:nsid w:val="232FCF4D"/>
    <w:multiLevelType w:val="hybridMultilevel"/>
    <w:lvl w:ilvl="0">
      <w:lvlJc w:val="left"/>
      <w:lvlText w:val="(%1)"/>
      <w:numFmt w:val="lowerLetter"/>
      <w:start w:val="2"/>
    </w:lvl>
    <w:lvl w:ilvl="1">
      <w:lvlJc w:val="left"/>
      <w:lvlText w:val="(%2)"/>
      <w:numFmt w:val="decimal"/>
      <w:start w:val="1"/>
    </w:lvl>
  </w:abstractNum>
  <w:abstractNum w:abstractNumId="215">
    <w:nsid w:val="1EA21031"/>
    <w:multiLevelType w:val="hybridMultilevel"/>
    <w:lvl w:ilvl="0">
      <w:lvlJc w:val="left"/>
      <w:lvlText w:val="(%1)"/>
      <w:numFmt w:val="decimal"/>
      <w:start w:val="1"/>
    </w:lvl>
  </w:abstractNum>
  <w:abstractNum w:abstractNumId="216">
    <w:nsid w:val="67A5A6B5"/>
    <w:multiLevelType w:val="hybridMultilevel"/>
    <w:lvl w:ilvl="0">
      <w:lvlJc w:val="left"/>
      <w:lvlText w:val="(%1)"/>
      <w:numFmt w:val="decimal"/>
      <w:start w:val="3"/>
    </w:lvl>
  </w:abstractNum>
  <w:abstractNum w:abstractNumId="217">
    <w:nsid w:val="C2A5C5B"/>
    <w:multiLevelType w:val="hybridMultilevel"/>
    <w:lvl w:ilvl="0">
      <w:lvlJc w:val="left"/>
      <w:lvlText w:val="(%1)"/>
      <w:numFmt w:val="lowerLetter"/>
      <w:start w:val="1"/>
    </w:lvl>
    <w:lvl w:ilvl="1">
      <w:lvlJc w:val="left"/>
      <w:lvlText w:val="(%2)"/>
      <w:numFmt w:val="decimal"/>
      <w:start w:val="1"/>
    </w:lvl>
  </w:abstractNum>
  <w:abstractNum w:abstractNumId="218">
    <w:nsid w:val="5F94DC03"/>
    <w:multiLevelType w:val="hybridMultilevel"/>
    <w:lvl w:ilvl="0">
      <w:lvlJc w:val="left"/>
      <w:lvlText w:val="%1"/>
      <w:numFmt w:val="lowerLetter"/>
      <w:start w:val="1"/>
    </w:lvl>
    <w:lvl w:ilvl="1">
      <w:lvlJc w:val="left"/>
      <w:lvlText w:val="(%2)"/>
      <w:numFmt w:val="decimal"/>
      <w:start w:val="2"/>
    </w:lvl>
  </w:abstractNum>
  <w:abstractNum w:abstractNumId="219">
    <w:nsid w:val="237BBCA0"/>
    <w:multiLevelType w:val="hybridMultilevel"/>
    <w:lvl w:ilvl="0">
      <w:lvlJc w:val="left"/>
      <w:lvlText w:val="(%1)"/>
      <w:numFmt w:val="lowerLetter"/>
      <w:start w:val="2"/>
    </w:lvl>
    <w:lvl w:ilvl="1">
      <w:lvlJc w:val="left"/>
      <w:lvlText w:val="(%2)"/>
      <w:numFmt w:val="decimal"/>
      <w:start w:val="1"/>
    </w:lvl>
  </w:abstractNum>
  <w:abstractNum w:abstractNumId="220">
    <w:nsid w:val="162EB70D"/>
    <w:multiLevelType w:val="hybridMultilevel"/>
    <w:lvl w:ilvl="0">
      <w:lvlJc w:val="left"/>
      <w:lvlText w:val="%1."/>
      <w:numFmt w:val="decimal"/>
      <w:start w:val="1"/>
    </w:lvl>
  </w:abstractNum>
  <w:abstractNum w:abstractNumId="221">
    <w:nsid w:val="78070222"/>
    <w:multiLevelType w:val="hybridMultilevel"/>
    <w:lvl w:ilvl="0">
      <w:lvlJc w:val="left"/>
      <w:lvlText w:val="%1."/>
      <w:numFmt w:val="decimal"/>
      <w:start w:val="1"/>
    </w:lvl>
  </w:abstractNum>
  <w:abstractNum w:abstractNumId="222">
    <w:nsid w:val="6163ED0D"/>
    <w:multiLevelType w:val="hybridMultilevel"/>
    <w:lvl w:ilvl="0">
      <w:lvlJc w:val="left"/>
      <w:lvlText w:val="(%1)"/>
      <w:numFmt w:val="lowerRoman"/>
      <w:start w:val="1"/>
    </w:lvl>
  </w:abstractNum>
  <w:abstractNum w:abstractNumId="223">
    <w:nsid w:val="C600E47"/>
    <w:multiLevelType w:val="hybridMultilevel"/>
    <w:lvl w:ilvl="0">
      <w:lvlJc w:val="left"/>
      <w:lvlText w:val="%1."/>
      <w:numFmt w:val="decimal"/>
      <w:start w:val="2"/>
    </w:lvl>
  </w:abstractNum>
  <w:abstractNum w:abstractNumId="224">
    <w:nsid w:val="7D94F75D"/>
    <w:multiLevelType w:val="hybridMultilevel"/>
    <w:lvl w:ilvl="0">
      <w:lvlJc w:val="left"/>
      <w:lvlText w:val="(%1)"/>
      <w:numFmt w:val="lowerLetter"/>
      <w:start w:val="2"/>
    </w:lvl>
  </w:abstractNum>
  <w:abstractNum w:abstractNumId="225">
    <w:nsid w:val="6C31E7CD"/>
    <w:multiLevelType w:val="hybridMultilevel"/>
    <w:lvl w:ilvl="0">
      <w:lvlJc w:val="left"/>
      <w:lvlText w:val="(%1)"/>
      <w:numFmt w:val="lowerLetter"/>
      <w:start w:val="3"/>
    </w:lvl>
  </w:abstractNum>
  <w:abstractNum w:abstractNumId="226">
    <w:nsid w:val="2BB7929B"/>
    <w:multiLevelType w:val="hybridMultilevel"/>
    <w:lvl w:ilvl="0">
      <w:lvlJc w:val="left"/>
      <w:lvlText w:val="(%1)"/>
      <w:numFmt w:val="decimal"/>
      <w:start w:val="1"/>
    </w:lvl>
  </w:abstractNum>
  <w:abstractNum w:abstractNumId="227">
    <w:nsid w:val="58A2A487"/>
    <w:multiLevelType w:val="hybridMultilevel"/>
    <w:lvl w:ilvl="0">
      <w:lvlJc w:val="left"/>
      <w:lvlText w:val="(%1)"/>
      <w:numFmt w:val="lowerLetter"/>
      <w:start w:val="1"/>
    </w:lvl>
    <w:lvl w:ilvl="1">
      <w:lvlJc w:val="left"/>
      <w:lvlText w:val="(%2)"/>
      <w:numFmt w:val="lowerLetter"/>
      <w:start w:val="24"/>
    </w:lvl>
  </w:abstractNum>
  <w:abstractNum w:abstractNumId="228">
    <w:nsid w:val="3A6F0E78"/>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29">
    <w:nsid w:val="379A5B56"/>
    <w:multiLevelType w:val="hybridMultilevel"/>
    <w:lvl w:ilvl="0">
      <w:lvlJc w:val="left"/>
      <w:lvlText w:val="(%1)"/>
      <w:numFmt w:val="upperLetter"/>
      <w:start w:val="3"/>
    </w:lvl>
    <w:lvl w:ilvl="1">
      <w:lvlJc w:val="left"/>
      <w:lvlText w:val="%2"/>
      <w:numFmt w:val="lowerRoman"/>
      <w:start w:val="1"/>
    </w:lvl>
    <w:lvl w:ilvl="2">
      <w:lvlJc w:val="left"/>
      <w:lvlText w:val="(%3)"/>
      <w:numFmt w:val="upperLetter"/>
      <w:start w:val="1"/>
    </w:lvl>
  </w:abstractNum>
  <w:abstractNum w:abstractNumId="230">
    <w:nsid w:val="53B735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31">
    <w:nsid w:val="2978487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2">
    <w:nsid w:val="4CDCED4C"/>
    <w:multiLevelType w:val="hybridMultilevel"/>
    <w:lvl w:ilvl="0">
      <w:lvlJc w:val="left"/>
      <w:lvlText w:val="(%1)"/>
      <w:numFmt w:val="lowerLetter"/>
      <w:start w:val="3"/>
    </w:lvl>
    <w:lvl w:ilvl="1">
      <w:lvlJc w:val="left"/>
      <w:lvlText w:val="(%2)"/>
      <w:numFmt w:val="lowerRoman"/>
      <w:start w:val="1"/>
    </w:lvl>
  </w:abstractNum>
  <w:abstractNum w:abstractNumId="233">
    <w:nsid w:val="10A30D9C"/>
    <w:multiLevelType w:val="hybridMultilevel"/>
    <w:lvl w:ilvl="0">
      <w:lvlJc w:val="left"/>
      <w:lvlText w:val="(%1)"/>
      <w:numFmt w:val="lowerLetter"/>
      <w:start w:val="5"/>
    </w:lvl>
    <w:lvl w:ilvl="1">
      <w:lvlJc w:val="left"/>
      <w:lvlText w:val="(%2)"/>
      <w:numFmt w:val="lowerLetter"/>
      <w:start w:val="9"/>
    </w:lvl>
  </w:abstractNum>
  <w:abstractNum w:abstractNumId="234">
    <w:nsid w:val="A66E486"/>
    <w:multiLevelType w:val="hybridMultilevel"/>
    <w:lvl w:ilvl="0">
      <w:lvlJc w:val="left"/>
      <w:lvlText w:val="(%1)"/>
      <w:numFmt w:val="lowerLetter"/>
      <w:start w:val="3"/>
    </w:lvl>
  </w:abstractNum>
  <w:abstractNum w:abstractNumId="235">
    <w:nsid w:val="306235EA"/>
    <w:multiLevelType w:val="hybridMultilevel"/>
    <w:lvl w:ilvl="0">
      <w:lvlJc w:val="left"/>
      <w:lvlText w:val="(%1)"/>
      <w:numFmt w:val="lowerRoman"/>
      <w:start w:val="2"/>
    </w:lvl>
  </w:abstractNum>
  <w:abstractNum w:abstractNumId="236">
    <w:nsid w:val="1187C70F"/>
    <w:multiLevelType w:val="hybridMultilevel"/>
    <w:lvl w:ilvl="0">
      <w:lvlJc w:val="left"/>
      <w:lvlText w:val="(%1)"/>
      <w:numFmt w:val="lowerLetter"/>
      <w:start w:val="6"/>
    </w:lvl>
    <w:lvl w:ilvl="1">
      <w:lvlJc w:val="left"/>
      <w:lvlText w:val="(%2)"/>
      <w:numFmt w:val="lowerRoman"/>
      <w:start w:val="1"/>
    </w:lvl>
  </w:abstractNum>
  <w:abstractNum w:abstractNumId="237">
    <w:nsid w:val="5476DE98"/>
    <w:multiLevelType w:val="hybridMultilevel"/>
    <w:lvl w:ilvl="0">
      <w:lvlJc w:val="left"/>
      <w:lvlText w:val="(%1)"/>
      <w:numFmt w:val="lowerLetter"/>
      <w:start w:val="1"/>
    </w:lvl>
  </w:abstractNum>
  <w:abstractNum w:abstractNumId="238">
    <w:nsid w:val="EA697F2"/>
    <w:multiLevelType w:val="hybridMultilevel"/>
    <w:lvl w:ilvl="0">
      <w:lvlJc w:val="left"/>
      <w:lvlText w:val="(%1)"/>
      <w:numFmt w:val="decimal"/>
      <w:start w:val="2"/>
    </w:lvl>
  </w:abstractNum>
  <w:abstractNum w:abstractNumId="239">
    <w:nsid w:val="70BA39EB"/>
    <w:multiLevelType w:val="hybridMultilevel"/>
    <w:lvl w:ilvl="0">
      <w:lvlJc w:val="left"/>
      <w:lvlText w:val="(%1)"/>
      <w:numFmt w:val="upperLetter"/>
      <w:start w:val="61"/>
    </w:lvl>
  </w:abstractNum>
  <w:abstractNum w:abstractNumId="240">
    <w:nsid w:val="4A8DB59C"/>
    <w:multiLevelType w:val="hybridMultilevel"/>
    <w:lvl w:ilvl="0">
      <w:lvlJc w:val="left"/>
      <w:lvlText w:val="%1."/>
      <w:numFmt w:val="decimal"/>
      <w:start w:val="1"/>
    </w:lvl>
  </w:abstractNum>
  <w:abstractNum w:abstractNumId="241">
    <w:nsid w:val="1AFD9053"/>
    <w:multiLevelType w:val="hybridMultilevel"/>
    <w:lvl w:ilvl="0">
      <w:lvlJc w:val="left"/>
      <w:lvlText w:val="%1."/>
      <w:numFmt w:val="decimal"/>
      <w:start w:val="2"/>
    </w:lvl>
  </w:abstractNum>
  <w:abstractNum w:abstractNumId="242">
    <w:nsid w:val="558BB10D"/>
    <w:multiLevelType w:val="hybridMultilevel"/>
    <w:lvl w:ilvl="0">
      <w:lvlJc w:val="left"/>
      <w:lvlText w:val="%1."/>
      <w:numFmt w:val="decimal"/>
      <w:start w:val="3"/>
    </w:lvl>
  </w:abstractNum>
  <w:abstractNum w:abstractNumId="243">
    <w:nsid w:val="43B27FA7"/>
    <w:multiLevelType w:val="hybridMultilevel"/>
    <w:lvl w:ilvl="0">
      <w:lvlJc w:val="left"/>
      <w:lvlText w:val="%1."/>
      <w:numFmt w:val="decimal"/>
      <w:start w:val="4"/>
    </w:lvl>
  </w:abstractNum>
  <w:abstractNum w:abstractNumId="244">
    <w:nsid w:val="27FADEFA"/>
    <w:multiLevelType w:val="hybridMultilevel"/>
    <w:lvl w:ilvl="0">
      <w:lvlJc w:val="left"/>
      <w:lvlText w:val="%1."/>
      <w:numFmt w:val="decimal"/>
      <w:start w:val="5"/>
    </w:lvl>
  </w:abstractNum>
  <w:abstractNum w:abstractNumId="245">
    <w:nsid w:val="78BB805A"/>
    <w:multiLevelType w:val="hybridMultilevel"/>
    <w:lvl w:ilvl="0">
      <w:lvlJc w:val="left"/>
      <w:lvlText w:val="%1."/>
      <w:numFmt w:val="decimal"/>
      <w:start w:val="7"/>
    </w:lvl>
  </w:abstractNum>
  <w:abstractNum w:abstractNumId="246">
    <w:nsid w:val="62548FD8"/>
    <w:multiLevelType w:val="hybridMultilevel"/>
    <w:lvl w:ilvl="0">
      <w:lvlJc w:val="left"/>
      <w:lvlText w:val="%1."/>
      <w:numFmt w:val="decimal"/>
      <w:start w:val="8"/>
    </w:lvl>
  </w:abstractNum>
  <w:abstractNum w:abstractNumId="247">
    <w:nsid w:val="FA085B0"/>
    <w:multiLevelType w:val="hybridMultilevel"/>
    <w:lvl w:ilvl="0">
      <w:lvlJc w:val="left"/>
      <w:lvlText w:val="%1."/>
      <w:numFmt w:val="decimal"/>
      <w:start w:val="9"/>
    </w:lvl>
  </w:abstractNum>
  <w:abstractNum w:abstractNumId="248">
    <w:nsid w:val="4E5DCB5"/>
    <w:multiLevelType w:val="hybridMultilevel"/>
    <w:lvl w:ilvl="0">
      <w:lvlJc w:val="left"/>
      <w:lvlText w:val="%1."/>
      <w:numFmt w:val="decimal"/>
      <w:start w:val="11"/>
    </w:lvl>
  </w:abstractNum>
  <w:abstractNum w:abstractNumId="249">
    <w:nsid w:val="41E96BDB"/>
    <w:multiLevelType w:val="hybridMultilevel"/>
    <w:lvl w:ilvl="0">
      <w:lvlJc w:val="left"/>
      <w:lvlText w:val="%1."/>
      <w:numFmt w:val="decimal"/>
      <w:start w:val="12"/>
    </w:lvl>
  </w:abstractNum>
  <w:abstractNum w:abstractNumId="250">
    <w:nsid w:val="331C4250"/>
    <w:multiLevelType w:val="hybridMultilevel"/>
    <w:lvl w:ilvl="0">
      <w:lvlJc w:val="left"/>
      <w:lvlText w:val="%1."/>
      <w:numFmt w:val="decimal"/>
      <w:start w:val="14"/>
    </w:lvl>
  </w:abstractNum>
  <w:abstractNum w:abstractNumId="251">
    <w:nsid w:val="1B1493C2"/>
    <w:multiLevelType w:val="hybridMultilevel"/>
    <w:lvl w:ilvl="0">
      <w:lvlJc w:val="left"/>
      <w:lvlText w:val="%1."/>
      <w:numFmt w:val="decimal"/>
      <w:start w:val="16"/>
    </w:lvl>
  </w:abstractNum>
  <w:abstractNum w:abstractNumId="252">
    <w:nsid w:val="39F06DFD"/>
    <w:multiLevelType w:val="hybridMultilevel"/>
    <w:lvl w:ilvl="0">
      <w:lvlJc w:val="left"/>
      <w:lvlText w:val="%1."/>
      <w:numFmt w:val="decimal"/>
      <w:start w:val="17"/>
    </w:lvl>
  </w:abstractNum>
  <w:abstractNum w:abstractNumId="253">
    <w:nsid w:val="14802F5D"/>
    <w:multiLevelType w:val="hybridMultilevel"/>
    <w:lvl w:ilvl="0">
      <w:lvlJc w:val="left"/>
      <w:lvlText w:val="%1."/>
      <w:numFmt w:val="decimal"/>
      <w:start w:val="19"/>
    </w:lvl>
  </w:abstractNum>
  <w:abstractNum w:abstractNumId="254">
    <w:nsid w:val="2774A209"/>
    <w:multiLevelType w:val="hybridMultilevel"/>
    <w:lvl w:ilvl="0">
      <w:lvlJc w:val="left"/>
      <w:lvlText w:val="%1."/>
      <w:numFmt w:val="decimal"/>
      <w:start w:val="20"/>
    </w:lvl>
  </w:abstractNum>
  <w:abstractNum w:abstractNumId="255">
    <w:nsid w:val="3785655A"/>
    <w:multiLevelType w:val="hybridMultilevel"/>
    <w:lvl w:ilvl="0">
      <w:lvlJc w:val="left"/>
      <w:lvlText w:val="☐"/>
      <w:numFmt w:val="bullet"/>
      <w:start w:val="1"/>
    </w:lvl>
  </w:abstractNum>
  <w:abstractNum w:abstractNumId="256">
    <w:nsid w:val="B2172A"/>
    <w:multiLevelType w:val="hybridMultilevel"/>
    <w:lvl w:ilvl="0">
      <w:lvlJc w:val="left"/>
      <w:lvlText w:val="☐"/>
      <w:numFmt w:val="bullet"/>
      <w:start w:val="1"/>
    </w:lvl>
  </w:abstractNum>
  <w:abstractNum w:abstractNumId="257">
    <w:nsid w:val="532C34A5"/>
    <w:multiLevelType w:val="hybridMultilevel"/>
    <w:lvl w:ilvl="0">
      <w:lvlJc w:val="left"/>
      <w:lvlText w:val="(%1)"/>
      <w:numFmt w:val="lowerRoman"/>
      <w:start w:val="1"/>
    </w:lvl>
  </w:abstractNum>
  <w:abstractNum w:abstractNumId="258">
    <w:nsid w:val="102809E2"/>
    <w:multiLevelType w:val="hybridMultilevel"/>
    <w:lvl w:ilvl="0">
      <w:lvlJc w:val="left"/>
      <w:lvlText w:val="(%1)"/>
      <w:numFmt w:val="lowerLetter"/>
      <w:start w:val="1"/>
    </w:lvl>
  </w:abstractNum>
  <w:abstractNum w:abstractNumId="259">
    <w:nsid w:val="3B2125A3"/>
    <w:multiLevelType w:val="hybridMultilevel"/>
    <w:lvl w:ilvl="0">
      <w:lvlJc w:val="left"/>
      <w:lvlText w:val="(%1)"/>
      <w:numFmt w:val="lowerLetter"/>
      <w:start w:val="2"/>
    </w:lvl>
  </w:abstractNum>
  <w:abstractNum w:abstractNumId="260">
    <w:nsid w:val="AC68FFB"/>
    <w:multiLevelType w:val="hybridMultilevel"/>
    <w:lvl w:ilvl="0">
      <w:lvlJc w:val="left"/>
      <w:lvlText w:val="(%1)"/>
      <w:numFmt w:val="lowerRoman"/>
      <w:start w:val="2"/>
    </w:lvl>
  </w:abstractNum>
  <w:abstractNum w:abstractNumId="261">
    <w:nsid w:val="63DF3FB7"/>
    <w:multiLevelType w:val="hybridMultilevel"/>
    <w:lvl w:ilvl="0">
      <w:lvlJc w:val="left"/>
      <w:lvlText w:val="(%1)"/>
      <w:numFmt w:val="lowerRoman"/>
      <w:start w:val="1"/>
    </w:lvl>
  </w:abstractNum>
  <w:abstractNum w:abstractNumId="262">
    <w:nsid w:val="64996E13"/>
    <w:multiLevelType w:val="hybridMultilevel"/>
    <w:lvl w:ilvl="0">
      <w:lvlJc w:val="left"/>
      <w:lvlText w:val="(%1)"/>
      <w:numFmt w:val="lowerLetter"/>
      <w:start w:val="1"/>
    </w:lvl>
  </w:abstractNum>
  <w:abstractNum w:abstractNumId="263">
    <w:nsid w:val="57A37D47"/>
    <w:multiLevelType w:val="hybridMultilevel"/>
    <w:lvl w:ilvl="0">
      <w:lvlJc w:val="left"/>
      <w:lvlText w:val="%1"/>
      <w:numFmt w:val="lowerLetter"/>
      <w:start w:val="1"/>
    </w:lvl>
    <w:lvl w:ilvl="1">
      <w:lvlJc w:val="left"/>
      <w:lvlText w:val="(%2)"/>
      <w:numFmt w:val="lowerLetter"/>
      <w:start w:val="1"/>
    </w:lvl>
  </w:abstractNum>
  <w:abstractNum w:abstractNumId="264">
    <w:nsid w:val="74824D54"/>
    <w:multiLevelType w:val="hybridMultilevel"/>
    <w:lvl w:ilvl="0">
      <w:lvlJc w:val="left"/>
      <w:lvlText w:val="(%1)"/>
      <w:numFmt w:val="lowerLetter"/>
      <w:start w:val="25"/>
    </w:lvl>
    <w:lvl w:ilvl="1">
      <w:lvlJc w:val="left"/>
      <w:lvlText w:val="%2"/>
      <w:numFmt w:val="lowerLetter"/>
      <w:start w:val="1"/>
    </w:lvl>
  </w:abstractNum>
  <w:abstractNum w:abstractNumId="265">
    <w:nsid w:val="6F00529A"/>
    <w:multiLevelType w:val="hybridMultilevel"/>
    <w:lvl w:ilvl="0">
      <w:lvlJc w:val="left"/>
      <w:lvlText w:val="%1"/>
      <w:numFmt w:val="lowerLetter"/>
      <w:start w:val="1"/>
    </w:lvl>
    <w:lvl w:ilvl="1">
      <w:lvlJc w:val="left"/>
      <w:lvlText w:val="(%2)"/>
      <w:numFmt w:val="lowerLetter"/>
      <w:start w:val="3"/>
    </w:lvl>
  </w:abstractNum>
  <w:abstractNum w:abstractNumId="266">
    <w:nsid w:val="805B331"/>
    <w:multiLevelType w:val="hybridMultilevel"/>
    <w:lvl w:ilvl="0">
      <w:lvlJc w:val="left"/>
      <w:lvlText w:val="(%1)"/>
      <w:numFmt w:val="lowerLetter"/>
      <w:start w:val="25"/>
    </w:lvl>
    <w:lvl w:ilvl="1">
      <w:lvlJc w:val="left"/>
      <w:lvlText w:val="(%2)"/>
      <w:numFmt w:val="lowerLetter"/>
      <w:start w:val="4"/>
    </w:lvl>
  </w:abstractNum>
  <w:abstractNum w:abstractNumId="267">
    <w:nsid w:val="60A1463"/>
    <w:multiLevelType w:val="hybridMultilevel"/>
    <w:lvl w:ilvl="0">
      <w:lvlJc w:val="left"/>
      <w:lvlText w:val="(%1)"/>
      <w:numFmt w:val="lowerLetter"/>
      <w:start w:val="3"/>
    </w:lvl>
  </w:abstractNum>
  <w:abstractNum w:abstractNumId="268">
    <w:nsid w:val="43773132"/>
    <w:multiLevelType w:val="hybridMultilevel"/>
    <w:lvl w:ilvl="0">
      <w:lvlJc w:val="left"/>
      <w:lvlText w:val="(%1)"/>
      <w:numFmt w:val="lowerLetter"/>
      <w:start w:val="2"/>
    </w:lvl>
  </w:abstractNum>
  <w:abstractNum w:abstractNumId="269">
    <w:nsid w:val="16AC4B23"/>
    <w:multiLevelType w:val="hybridMultilevel"/>
    <w:lvl w:ilvl="0">
      <w:lvlJc w:val="left"/>
      <w:lvlText w:val="(%1)"/>
      <w:numFmt w:val="lowerLetter"/>
      <w:start w:val="4"/>
    </w:lvl>
  </w:abstractNum>
  <w:abstractNum w:abstractNumId="270">
    <w:nsid w:val="76C44E4E"/>
    <w:multiLevelType w:val="hybridMultilevel"/>
    <w:lvl w:ilvl="0">
      <w:lvlJc w:val="left"/>
      <w:lvlText w:val="(%1)"/>
      <w:numFmt w:val="lowerLetter"/>
      <w:start w:val="2"/>
    </w:lvl>
  </w:abstractNum>
  <w:abstractNum w:abstractNumId="271">
    <w:nsid w:val="E04E6CE"/>
    <w:multiLevelType w:val="hybridMultilevel"/>
    <w:lvl w:ilvl="0">
      <w:lvlJc w:val="left"/>
      <w:lvlText w:val="(%1)"/>
      <w:numFmt w:val="lowerRoman"/>
      <w:start w:val="1"/>
    </w:lvl>
  </w:abstractNum>
  <w:abstractNum w:abstractNumId="272">
    <w:nsid w:val="31A9DB76"/>
    <w:multiLevelType w:val="hybridMultilevel"/>
    <w:lvl w:ilvl="0">
      <w:lvlJc w:val="left"/>
      <w:lvlText w:val="(%1)"/>
      <w:numFmt w:val="lowerRoman"/>
      <w:start w:val="1"/>
    </w:lvl>
  </w:abstractNum>
  <w:abstractNum w:abstractNumId="273">
    <w:nsid w:val="4C4FFF5B"/>
    <w:multiLevelType w:val="hybridMultilevel"/>
    <w:lvl w:ilvl="0">
      <w:lvlJc w:val="left"/>
      <w:lvlText w:val="(%1)"/>
      <w:numFmt w:val="lowerLetter"/>
      <w:start w:val="1"/>
    </w:lvl>
  </w:abstractNum>
  <w:abstractNum w:abstractNumId="274">
    <w:nsid w:val="51B76675"/>
    <w:multiLevelType w:val="hybridMultilevel"/>
    <w:lvl w:ilvl="0">
      <w:lvlJc w:val="left"/>
      <w:lvlText w:val="(%1)"/>
      <w:numFmt w:val="lowerLetter"/>
      <w:start w:val="3"/>
    </w:lvl>
  </w:abstractNum>
  <w:abstractNum w:abstractNumId="275">
    <w:nsid w:val="59A4BA71"/>
    <w:multiLevelType w:val="hybridMultilevel"/>
    <w:lvl w:ilvl="0">
      <w:lvlJc w:val="left"/>
      <w:lvlText w:val="(%1)"/>
      <w:numFmt w:val="lowerLetter"/>
      <w:start w:val="1"/>
    </w:lvl>
  </w:abstractNum>
  <w:abstractNum w:abstractNumId="276">
    <w:nsid w:val="450B7FB6"/>
    <w:multiLevelType w:val="hybridMultilevel"/>
    <w:lvl w:ilvl="0">
      <w:lvlJc w:val="left"/>
      <w:lvlText w:val="%1"/>
      <w:numFmt w:val="lowerRoman"/>
      <w:start w:val="1"/>
    </w:lvl>
    <w:lvl w:ilvl="1">
      <w:lvlJc w:val="left"/>
      <w:lvlText w:val="(%2)"/>
      <w:numFmt w:val="lowerLetter"/>
      <w:start w:val="4"/>
    </w:lvl>
  </w:abstractNum>
  <w:abstractNum w:abstractNumId="277">
    <w:nsid w:val="340BF64D"/>
    <w:multiLevelType w:val="hybridMultilevel"/>
    <w:lvl w:ilvl="0">
      <w:lvlJc w:val="left"/>
      <w:lvlText w:val="(%1)"/>
      <w:numFmt w:val="lowerRoman"/>
      <w:start w:val="6"/>
    </w:lvl>
    <w:lvl w:ilvl="1">
      <w:lvlJc w:val="left"/>
      <w:lvlText w:val="(%2)"/>
      <w:numFmt w:val="lowerLetter"/>
      <w:start w:val="8"/>
    </w:lvl>
  </w:abstractNum>
  <w:abstractNum w:abstractNumId="278">
    <w:nsid w:val="69454021"/>
    <w:multiLevelType w:val="hybridMultilevel"/>
    <w:lvl w:ilvl="0">
      <w:lvlJc w:val="left"/>
      <w:lvlText w:val="(%1)"/>
      <w:numFmt w:val="lowerRoman"/>
      <w:start w:val="3"/>
    </w:lvl>
    <w:lvl w:ilvl="1">
      <w:lvlJc w:val="left"/>
      <w:lvlText w:val="(%2)"/>
      <w:numFmt w:val="lowerLetter"/>
      <w:start w:val="11"/>
    </w:lvl>
  </w:abstractNum>
  <w:abstractNum w:abstractNumId="279">
    <w:nsid w:val="49F15C6B"/>
    <w:multiLevelType w:val="hybridMultilevel"/>
    <w:lvl w:ilvl="0">
      <w:lvlJc w:val="left"/>
      <w:lvlText w:val="(%1)"/>
      <w:numFmt w:val="lowerLetter"/>
      <w:start w:val="14"/>
    </w:lvl>
  </w:abstractNum>
  <w:abstractNum w:abstractNumId="280">
    <w:nsid w:val="75F56228"/>
    <w:multiLevelType w:val="hybridMultilevel"/>
    <w:lvl w:ilvl="0">
      <w:lvlJc w:val="left"/>
      <w:lvlText w:val="(%1)"/>
      <w:numFmt w:val="lowerLetter"/>
      <w:start w:val="1"/>
    </w:lvl>
  </w:abstractNum>
  <w:abstractNum w:abstractNumId="281">
    <w:nsid w:val="1C618271"/>
    <w:multiLevelType w:val="hybridMultilevel"/>
    <w:lvl w:ilvl="0">
      <w:lvlJc w:val="left"/>
      <w:lvlText w:val="(%1)"/>
      <w:numFmt w:val="lowerLetter"/>
      <w:start w:val="7"/>
    </w:lvl>
    <w:lvl w:ilvl="1">
      <w:lvlJc w:val="left"/>
      <w:lvlText w:val="(%2)"/>
      <w:numFmt w:val="lowerRoman"/>
      <w:start w:val="1"/>
    </w:lvl>
  </w:abstractNum>
  <w:abstractNum w:abstractNumId="282">
    <w:nsid w:val="6505F02E"/>
    <w:multiLevelType w:val="hybridMultilevel"/>
    <w:lvl w:ilvl="0">
      <w:lvlJc w:val="left"/>
      <w:lvlText w:val="%1"/>
      <w:numFmt w:val="lowerLetter"/>
      <w:start w:val="1"/>
    </w:lvl>
    <w:lvl w:ilvl="1">
      <w:lvlJc w:val="left"/>
      <w:lvlText w:val="(%2)"/>
      <w:numFmt w:val="lowerLetter"/>
      <w:start w:val="12"/>
    </w:lvl>
  </w:abstractNum>
  <w:abstractNum w:abstractNumId="283">
    <w:nsid w:val="2FE5D025"/>
    <w:multiLevelType w:val="hybridMultilevel"/>
    <w:lvl w:ilvl="0">
      <w:lvlJc w:val="left"/>
      <w:lvlText w:val="(%1)"/>
      <w:numFmt w:val="lowerLetter"/>
      <w:start w:val="61"/>
    </w:lvl>
    <w:lvl w:ilvl="1">
      <w:lvlJc w:val="left"/>
      <w:lvlText w:val="(%2)"/>
      <w:numFmt w:val="lowerLetter"/>
      <w:start w:val="14"/>
    </w:lvl>
  </w:abstractNum>
  <w:abstractNum w:abstractNumId="284">
    <w:nsid w:val="30E1B1CF"/>
    <w:multiLevelType w:val="hybridMultilevel"/>
    <w:lvl w:ilvl="0">
      <w:lvlJc w:val="left"/>
      <w:lvlText w:val="(%1)"/>
      <w:numFmt w:val="lowerLetter"/>
      <w:start w:val="4"/>
    </w:lvl>
  </w:abstractNum>
  <w:abstractNum w:abstractNumId="285">
    <w:nsid w:val="C7A9237"/>
    <w:multiLevelType w:val="hybridMultilevel"/>
    <w:lvl w:ilvl="0">
      <w:lvlJc w:val="left"/>
      <w:lvlText w:val="(%1)"/>
      <w:numFmt w:val="lowerLetter"/>
      <w:start w:val="1"/>
    </w:lvl>
  </w:abstractNum>
  <w:abstractNum w:abstractNumId="286">
    <w:nsid w:val="676B3580"/>
    <w:multiLevelType w:val="hybridMultilevel"/>
    <w:lvl w:ilvl="0">
      <w:lvlJc w:val="left"/>
      <w:lvlText w:val="(%1)"/>
      <w:numFmt w:val="lowerLetter"/>
      <w:start w:val="8"/>
    </w:lvl>
  </w:abstractNum>
  <w:abstractNum w:abstractNumId="287">
    <w:nsid w:val="3193C8F9"/>
    <w:multiLevelType w:val="hybridMultilevel"/>
    <w:lvl w:ilvl="0">
      <w:lvlJc w:val="left"/>
      <w:lvlText w:val="(%1)"/>
      <w:numFmt w:val="lowerLetter"/>
      <w:start w:val="9"/>
    </w:lvl>
  </w:abstractNum>
  <w:abstractNum w:abstractNumId="288">
    <w:nsid w:val="5FA6C6DC"/>
    <w:multiLevelType w:val="hybridMultilevel"/>
    <w:lvl w:ilvl="0">
      <w:lvlJc w:val="left"/>
      <w:lvlText w:val="(%1)"/>
      <w:numFmt w:val="lowerLetter"/>
      <w:start w:val="3"/>
    </w:lvl>
  </w:abstractNum>
  <w:abstractNum w:abstractNumId="289">
    <w:nsid w:val="77933F62"/>
    <w:multiLevelType w:val="hybridMultilevel"/>
    <w:lvl w:ilvl="0">
      <w:lvlJc w:val="left"/>
      <w:lvlText w:val="(%1)"/>
      <w:numFmt w:val="lowerLetter"/>
      <w:start w:val="2"/>
    </w:lvl>
  </w:abstractNum>
  <w:abstractNum w:abstractNumId="290">
    <w:nsid w:val="6CB4EE9C"/>
    <w:multiLevelType w:val="hybridMultilevel"/>
    <w:lvl w:ilvl="0">
      <w:lvlJc w:val="left"/>
      <w:lvlText w:val="(%1)"/>
      <w:numFmt w:val="lowerLetter"/>
      <w:start w:val="3"/>
    </w:lvl>
  </w:abstractNum>
  <w:abstractNum w:abstractNumId="291">
    <w:nsid w:val="6A6D56D7"/>
    <w:multiLevelType w:val="hybridMultilevel"/>
    <w:lvl w:ilvl="0">
      <w:lvlJc w:val="left"/>
      <w:lvlText w:val="(%1)"/>
      <w:numFmt w:val="lowerRoman"/>
      <w:start w:val="7"/>
    </w:lvl>
  </w:abstractNum>
  <w:abstractNum w:abstractNumId="292">
    <w:nsid w:val="5B727F19"/>
    <w:multiLevelType w:val="hybridMultilevel"/>
    <w:lvl w:ilvl="0">
      <w:lvlJc w:val="left"/>
      <w:lvlText w:val="(%1)"/>
      <w:numFmt w:val="lowerLetter"/>
      <w:start w:val="2"/>
    </w:lvl>
  </w:abstractNum>
  <w:abstractNum w:abstractNumId="293">
    <w:nsid w:val="514E5CB0"/>
    <w:multiLevelType w:val="hybridMultilevel"/>
    <w:lvl w:ilvl="0">
      <w:lvlJc w:val="left"/>
      <w:lvlText w:val="(%1)"/>
      <w:numFmt w:val="lowerLetter"/>
      <w:start w:val="4"/>
    </w:lvl>
  </w:abstractNum>
  <w:abstractNum w:abstractNumId="294">
    <w:nsid w:val="4210D41E"/>
    <w:multiLevelType w:val="hybridMultilevel"/>
    <w:lvl w:ilvl="0">
      <w:lvlJc w:val="left"/>
      <w:lvlText w:val="(%1)"/>
      <w:numFmt w:val="lowerLetter"/>
      <w:start w:val="1"/>
    </w:lvl>
  </w:abstractNum>
  <w:abstractNum w:abstractNumId="295">
    <w:nsid w:val="4FF4CC6D"/>
    <w:multiLevelType w:val="hybridMultilevel"/>
    <w:lvl w:ilvl="0">
      <w:lvlJc w:val="left"/>
      <w:lvlText w:val="(%1)"/>
      <w:numFmt w:val="lowerLetter"/>
      <w:start w:val="1"/>
    </w:lvl>
  </w:abstractNum>
  <w:abstractNum w:abstractNumId="296">
    <w:nsid w:val="404EAF4A"/>
    <w:multiLevelType w:val="hybridMultilevel"/>
    <w:lvl w:ilvl="0">
      <w:lvlJc w:val="left"/>
      <w:lvlText w:val="(%1)"/>
      <w:numFmt w:val="lowerLetter"/>
      <w:start w:val="7"/>
    </w:lvl>
  </w:abstractNum>
  <w:abstractNum w:abstractNumId="297">
    <w:nsid w:val="4A16874F"/>
    <w:multiLevelType w:val="hybridMultilevel"/>
    <w:lvl w:ilvl="0">
      <w:lvlJc w:val="left"/>
      <w:lvlText w:val="(%1)"/>
      <w:numFmt w:val="lowerLetter"/>
      <w:start w:val="1"/>
    </w:lvl>
  </w:abstractNum>
  <w:abstractNum w:abstractNumId="298">
    <w:nsid w:val="55FEE0D1"/>
    <w:multiLevelType w:val="hybridMultilevel"/>
    <w:lvl w:ilvl="0">
      <w:lvlJc w:val="left"/>
      <w:lvlText w:val="%1"/>
      <w:numFmt w:val="lowerLetter"/>
      <w:start w:val="1"/>
    </w:lvl>
    <w:lvl w:ilvl="1">
      <w:lvlJc w:val="left"/>
      <w:lvlText w:val="(%2)"/>
      <w:numFmt w:val="lowerLetter"/>
      <w:start w:val="3"/>
    </w:lvl>
  </w:abstractNum>
  <w:abstractNum w:abstractNumId="299">
    <w:nsid w:val="3C5E07C"/>
    <w:multiLevelType w:val="hybridMultilevel"/>
    <w:lvl w:ilvl="0">
      <w:lvlJc w:val="left"/>
      <w:lvlText w:val="(%1)"/>
      <w:numFmt w:val="lowerLetter"/>
      <w:start w:val="1"/>
    </w:lvl>
    <w:lvl w:ilvl="1">
      <w:lvlJc w:val="left"/>
      <w:lvlText w:val="(%2)"/>
      <w:numFmt w:val="lowerLetter"/>
      <w:start w:val="10"/>
    </w:lvl>
  </w:abstractNum>
  <w:abstractNum w:abstractNumId="300">
    <w:nsid w:val="60C2D273"/>
    <w:multiLevelType w:val="hybridMultilevel"/>
    <w:lvl w:ilvl="0">
      <w:lvlJc w:val="left"/>
      <w:lvlText w:val="(%1)"/>
      <w:numFmt w:val="decimal"/>
      <w:start w:val="5"/>
    </w:lvl>
  </w:abstractNum>
  <w:abstractNum w:abstractNumId="301">
    <w:nsid w:val="4CC32F1F"/>
    <w:multiLevelType w:val="hybridMultilevel"/>
    <w:lvl w:ilvl="0">
      <w:lvlJc w:val="left"/>
      <w:lvlText w:val="(%1)"/>
      <w:numFmt w:val="lowerLetter"/>
      <w:start w:val="1"/>
    </w:lvl>
  </w:abstractNum>
  <w:abstractNum w:abstractNumId="302">
    <w:nsid w:val="11CAC74A"/>
    <w:multiLevelType w:val="hybridMultilevel"/>
    <w:lvl w:ilvl="0">
      <w:lvlJc w:val="left"/>
      <w:lvlText w:val="(%1)"/>
      <w:numFmt w:val="lowerLetter"/>
      <w:start w:val="2"/>
    </w:lvl>
  </w:abstractNum>
  <w:abstractNum w:abstractNumId="303">
    <w:nsid w:val="126CADE9"/>
    <w:multiLevelType w:val="hybridMultilevel"/>
    <w:lvl w:ilvl="0">
      <w:lvlJc w:val="left"/>
      <w:lvlText w:val="%1"/>
      <w:numFmt w:val="lowerLetter"/>
      <w:start w:val="1"/>
    </w:lvl>
    <w:lvl w:ilvl="1">
      <w:lvlJc w:val="left"/>
      <w:lvlText w:val="(%2)"/>
      <w:numFmt w:val="lowerRoman"/>
      <w:start w:val="1"/>
    </w:lvl>
  </w:abstractNum>
  <w:abstractNum w:abstractNumId="304">
    <w:nsid w:val="19132E7B"/>
    <w:multiLevelType w:val="hybridMultilevel"/>
    <w:lvl w:ilvl="0">
      <w:lvlJc w:val="left"/>
      <w:lvlText w:val="(%1)"/>
      <w:numFmt w:val="lowerLetter"/>
      <w:start w:val="25"/>
    </w:lvl>
    <w:lvl w:ilvl="1">
      <w:lvlJc w:val="left"/>
      <w:lvlText w:val="(%2)"/>
      <w:numFmt w:val="lowerRoman"/>
      <w:start w:val="3"/>
    </w:lvl>
  </w:abstractNum>
  <w:abstractNum w:abstractNumId="305">
    <w:nsid w:val="63822DC0"/>
    <w:multiLevelType w:val="hybridMultilevel"/>
    <w:lvl w:ilvl="0">
      <w:lvlJc w:val="left"/>
      <w:lvlText w:val="%1"/>
      <w:numFmt w:val="upperLetter"/>
      <w:start w:val="1"/>
    </w:lvl>
    <w:lvl w:ilvl="1">
      <w:lvlJc w:val="left"/>
      <w:lvlText w:val="(%2)"/>
      <w:numFmt w:val="lowerRoman"/>
      <w:start w:val="4"/>
    </w:lvl>
  </w:abstractNum>
  <w:abstractNum w:abstractNumId="306">
    <w:nsid w:val="6C11685A"/>
    <w:multiLevelType w:val="hybridMultilevel"/>
    <w:lvl w:ilvl="0">
      <w:lvlJc w:val="left"/>
      <w:lvlText w:val="(%1)"/>
      <w:numFmt w:val="upperLetter"/>
      <w:start w:val="2"/>
    </w:lvl>
    <w:lvl w:ilvl="1">
      <w:lvlJc w:val="left"/>
      <w:lvlText w:val="%2"/>
      <w:numFmt w:val="lowerRoman"/>
      <w:start w:val="1"/>
    </w:lvl>
  </w:abstractNum>
  <w:abstractNum w:abstractNumId="307">
    <w:nsid w:val="5E1EAE31"/>
    <w:multiLevelType w:val="hybridMultilevel"/>
    <w:lvl w:ilvl="0">
      <w:lvlJc w:val="left"/>
      <w:lvlText w:val="(%1)"/>
      <w:numFmt w:val="lowerLetter"/>
      <w:start w:val="1"/>
    </w:lvl>
  </w:abstractNum>
  <w:abstractNum w:abstractNumId="308">
    <w:nsid w:val="178E240D"/>
    <w:multiLevelType w:val="hybridMultilevel"/>
    <w:lvl w:ilvl="0">
      <w:lvlJc w:val="left"/>
      <w:lvlText w:val="(%1)"/>
      <w:numFmt w:val="lowerLetter"/>
      <w:start w:val="3"/>
    </w:lvl>
  </w:abstractNum>
  <w:abstractNum w:abstractNumId="309">
    <w:nsid w:val="5556A87B"/>
    <w:multiLevelType w:val="hybridMultilevel"/>
    <w:lvl w:ilvl="0">
      <w:lvlJc w:val="left"/>
      <w:lvlText w:val="(%1)"/>
      <w:numFmt w:val="decimal"/>
      <w:start w:val="3"/>
    </w:lvl>
    <w:lvl w:ilvl="1">
      <w:lvlJc w:val="left"/>
      <w:lvlText w:val="(%2)"/>
      <w:numFmt w:val="lowerLetter"/>
      <w:start w:val="1"/>
    </w:lvl>
  </w:abstractNum>
  <w:abstractNum w:abstractNumId="310">
    <w:nsid w:val="28100A9C"/>
    <w:multiLevelType w:val="hybridMultilevel"/>
    <w:lvl w:ilvl="0">
      <w:lvlJc w:val="left"/>
      <w:lvlText w:val="(%1)"/>
      <w:numFmt w:val="lowerLetter"/>
      <w:start w:val="1"/>
    </w:lvl>
  </w:abstractNum>
  <w:abstractNum w:abstractNumId="311">
    <w:nsid w:val="D838636"/>
    <w:multiLevelType w:val="hybridMultilevel"/>
    <w:lvl w:ilvl="0">
      <w:lvlJc w:val="left"/>
      <w:lvlText w:val="(%1)"/>
      <w:numFmt w:val="lowerLetter"/>
      <w:start w:val="1"/>
    </w:lvl>
  </w:abstractNum>
  <w:abstractNum w:abstractNumId="312">
    <w:nsid w:val="71B82AED"/>
    <w:multiLevelType w:val="hybridMultilevel"/>
    <w:lvl w:ilvl="0">
      <w:lvlJc w:val="left"/>
      <w:lvlText w:val="(%1)"/>
      <w:numFmt w:val="lowerLetter"/>
      <w:start w:val="3"/>
    </w:lvl>
  </w:abstractNum>
  <w:abstractNum w:abstractNumId="313">
    <w:nsid w:val="D15FACA"/>
    <w:multiLevelType w:val="hybridMultilevel"/>
    <w:lvl w:ilvl="0">
      <w:lvlJc w:val="left"/>
      <w:lvlText w:val="(%1)"/>
      <w:numFmt w:val="lowerLetter"/>
      <w:start w:val="1"/>
    </w:lvl>
  </w:abstractNum>
  <w:abstractNum w:abstractNumId="314">
    <w:nsid w:val="3D69565B"/>
    <w:multiLevelType w:val="hybridMultilevel"/>
    <w:lvl w:ilvl="0">
      <w:lvlJc w:val="left"/>
      <w:lvlText w:val="%1"/>
      <w:numFmt w:val="decimal"/>
      <w:start w:val="1"/>
    </w:lvl>
    <w:lvl w:ilvl="1">
      <w:lvlJc w:val="left"/>
      <w:lvlText w:val="(%2)"/>
      <w:numFmt w:val="lowerLetter"/>
      <w:start w:val="2"/>
    </w:lvl>
  </w:abstractNum>
  <w:abstractNum w:abstractNumId="315">
    <w:nsid w:val="2299DCBC"/>
    <w:multiLevelType w:val="hybridMultilevel"/>
    <w:lvl w:ilvl="0">
      <w:lvlJc w:val="left"/>
      <w:lvlText w:val="(%1)"/>
      <w:numFmt w:val="decimal"/>
      <w:start w:val="3"/>
    </w:lvl>
    <w:lvl w:ilvl="1">
      <w:lvlJc w:val="left"/>
      <w:lvlText w:val="%2"/>
      <w:numFmt w:val="lowerLetter"/>
      <w:start w:val="1"/>
    </w:lvl>
  </w:abstractNum>
  <w:abstractNum w:abstractNumId="316">
    <w:nsid w:val="19908D02"/>
    <w:multiLevelType w:val="hybridMultilevel"/>
    <w:lvl w:ilvl="0">
      <w:lvlJc w:val="left"/>
      <w:lvlText w:val="(%1)"/>
      <w:numFmt w:val="lowerLetter"/>
      <w:start w:val="3"/>
    </w:lvl>
  </w:abstractNum>
  <w:abstractNum w:abstractNumId="317">
    <w:nsid w:val="24D48BDB"/>
    <w:multiLevelType w:val="hybridMultilevel"/>
    <w:lvl w:ilvl="0">
      <w:lvlJc w:val="left"/>
      <w:lvlText w:val="(%1)"/>
      <w:numFmt w:val="lowerLetter"/>
      <w:start w:val="5"/>
    </w:lvl>
  </w:abstractNum>
  <w:abstractNum w:abstractNumId="318">
    <w:nsid w:val="542DA5B5"/>
    <w:multiLevelType w:val="hybridMultilevel"/>
    <w:lvl w:ilvl="0">
      <w:lvlJc w:val="left"/>
      <w:lvlText w:val="(%1)"/>
      <w:numFmt w:val="lowerLetter"/>
      <w:start w:val="6"/>
    </w:lvl>
  </w:abstractNum>
  <w:abstractNum w:abstractNumId="319">
    <w:nsid w:val="793753DE"/>
    <w:multiLevelType w:val="hybridMultilevel"/>
    <w:lvl w:ilvl="0">
      <w:lvlJc w:val="left"/>
      <w:lvlText w:val="(%1)"/>
      <w:numFmt w:val="lowerLetter"/>
      <w:start w:val="7"/>
    </w:lvl>
  </w:abstractNum>
  <w:abstractNum w:abstractNumId="320">
    <w:nsid w:val="1C67CB3D"/>
    <w:multiLevelType w:val="hybridMultilevel"/>
    <w:lvl w:ilvl="0">
      <w:lvlJc w:val="left"/>
      <w:lvlText w:val="%1"/>
      <w:numFmt w:val="upperLetter"/>
      <w:start w:val="1"/>
    </w:lvl>
    <w:lvl w:ilvl="1">
      <w:lvlJc w:val="left"/>
      <w:lvlText w:val="(%2)"/>
      <w:numFmt w:val="lowerRoman"/>
      <w:start w:val="1"/>
    </w:lvl>
  </w:abstractNum>
  <w:abstractNum w:abstractNumId="321">
    <w:nsid w:val="40E29452"/>
    <w:multiLevelType w:val="hybridMultilevel"/>
    <w:lvl w:ilvl="0">
      <w:lvlJc w:val="left"/>
      <w:lvlText w:val="(%1)"/>
      <w:numFmt w:val="upperLetter"/>
      <w:start w:val="2"/>
    </w:lvl>
    <w:lvl w:ilvl="1">
      <w:lvlJc w:val="left"/>
      <w:lvlText w:val="%2"/>
      <w:numFmt w:val="lowerRoman"/>
      <w:start w:val="1"/>
    </w:lvl>
  </w:abstractNum>
  <w:abstractNum w:abstractNumId="322">
    <w:nsid w:val="63A4AAB6"/>
    <w:multiLevelType w:val="hybridMultilevel"/>
    <w:lvl w:ilvl="0">
      <w:lvlJc w:val="left"/>
      <w:lvlText w:val="%1"/>
      <w:numFmt w:val="lowerRoman"/>
      <w:start w:val="1"/>
    </w:lvl>
    <w:lvl w:ilvl="1">
      <w:lvlJc w:val="left"/>
      <w:lvlText w:val="(%2)"/>
      <w:numFmt w:val="lowerLetter"/>
      <w:start w:val="10"/>
    </w:lvl>
  </w:abstractNum>
  <w:abstractNum w:abstractNumId="323">
    <w:nsid w:val="77DA4A57"/>
    <w:multiLevelType w:val="hybridMultilevel"/>
    <w:lvl w:ilvl="0">
      <w:lvlJc w:val="left"/>
      <w:lvlText w:val="(%1)"/>
      <w:numFmt w:val="lowerRoman"/>
      <w:start w:val="4"/>
    </w:lvl>
    <w:lvl w:ilvl="1">
      <w:lvlJc w:val="left"/>
      <w:lvlText w:val="%2"/>
      <w:numFmt w:val="lowerLetter"/>
      <w:start w:val="1"/>
    </w:lvl>
  </w:abstractNum>
  <w:abstractNum w:abstractNumId="324">
    <w:nsid w:val="1230F102"/>
    <w:multiLevelType w:val="hybridMultilevel"/>
    <w:lvl w:ilvl="0">
      <w:lvlJc w:val="left"/>
      <w:lvlText w:val="(%1)"/>
      <w:numFmt w:val="lowerLetter"/>
      <w:start w:val="12"/>
    </w:lvl>
  </w:abstractNum>
  <w:abstractNum w:abstractNumId="325">
    <w:nsid w:val="25B57ED4"/>
    <w:multiLevelType w:val="hybridMultilevel"/>
    <w:lvl w:ilvl="0">
      <w:lvlJc w:val="left"/>
      <w:lvlText w:val="(%1)"/>
      <w:numFmt w:val="lowerLetter"/>
      <w:start w:val="1"/>
    </w:lvl>
  </w:abstractNum>
  <w:abstractNum w:abstractNumId="326">
    <w:nsid w:val="47CF16C4"/>
    <w:multiLevelType w:val="hybridMultilevel"/>
    <w:lvl w:ilvl="0">
      <w:lvlJc w:val="left"/>
      <w:lvlText w:val="(%1)"/>
      <w:numFmt w:val="lowerLetter"/>
      <w:start w:val="2"/>
    </w:lvl>
  </w:abstractNum>
  <w:abstractNum w:abstractNumId="327">
    <w:nsid w:val="527FA04C"/>
    <w:multiLevelType w:val="hybridMultilevel"/>
    <w:lvl w:ilvl="0">
      <w:lvlJc w:val="left"/>
      <w:lvlText w:val="(%1)"/>
      <w:numFmt w:val="lowerLetter"/>
      <w:start w:val="1"/>
    </w:lvl>
  </w:abstractNum>
  <w:abstractNum w:abstractNumId="328">
    <w:nsid w:val="6FCC0624"/>
    <w:multiLevelType w:val="hybridMultilevel"/>
    <w:lvl w:ilvl="0">
      <w:lvlJc w:val="left"/>
      <w:lvlText w:val="%1"/>
      <w:numFmt w:val="lowerRoman"/>
      <w:start w:val="1"/>
    </w:lvl>
    <w:lvl w:ilvl="1">
      <w:lvlJc w:val="left"/>
      <w:lvlText w:val="(%2)"/>
      <w:numFmt w:val="lowerLetter"/>
      <w:start w:val="2"/>
    </w:lvl>
  </w:abstractNum>
  <w:abstractNum w:abstractNumId="329">
    <w:nsid w:val="1DCDF795"/>
    <w:multiLevelType w:val="hybridMultilevel"/>
    <w:lvl w:ilvl="0">
      <w:lvlJc w:val="left"/>
      <w:lvlText w:val="(%1)"/>
      <w:numFmt w:val="lowerRoman"/>
      <w:start w:val="1"/>
    </w:lvl>
    <w:lvl w:ilvl="1">
      <w:lvlJc w:val="left"/>
      <w:lvlText w:val="%2"/>
      <w:numFmt w:val="lowerLetter"/>
      <w:start w:val="1"/>
    </w:lvl>
  </w:abstractNum>
  <w:abstractNum w:abstractNumId="330">
    <w:nsid w:val="564580C8"/>
    <w:multiLevelType w:val="hybridMultilevel"/>
    <w:lvl w:ilvl="0">
      <w:lvlJc w:val="left"/>
      <w:lvlText w:val="(%1)"/>
      <w:numFmt w:val="lowerLetter"/>
      <w:start w:val="4"/>
    </w:lvl>
  </w:abstractNum>
  <w:abstractNum w:abstractNumId="331">
    <w:nsid w:val="508ED897"/>
    <w:multiLevelType w:val="hybridMultilevel"/>
    <w:lvl w:ilvl="0">
      <w:lvlJc w:val="left"/>
      <w:lvlText w:val="(%1)"/>
      <w:numFmt w:val="lowerLetter"/>
      <w:start w:val="1"/>
    </w:lvl>
  </w:abstractNum>
  <w:abstractNum w:abstractNumId="332">
    <w:nsid w:val="6A9126B5"/>
    <w:multiLevelType w:val="hybridMultilevel"/>
    <w:lvl w:ilvl="0">
      <w:lvlJc w:val="left"/>
      <w:lvlText w:val="(%1)"/>
      <w:numFmt w:val="lowerLetter"/>
      <w:start w:val="5"/>
    </w:lvl>
  </w:abstractNum>
  <w:abstractNum w:abstractNumId="333">
    <w:nsid w:val="68104812"/>
    <w:multiLevelType w:val="hybridMultilevel"/>
    <w:lvl w:ilvl="0">
      <w:lvlJc w:val="left"/>
      <w:lvlText w:val="%1"/>
      <w:numFmt w:val="lowerLetter"/>
      <w:start w:val="1"/>
    </w:lvl>
    <w:lvl w:ilvl="1">
      <w:lvlJc w:val="left"/>
      <w:lvlText w:val="(%2)"/>
      <w:numFmt w:val="lowerLetter"/>
      <w:start w:val="7"/>
    </w:lvl>
  </w:abstractNum>
  <w:abstractNum w:abstractNumId="334">
    <w:nsid w:val="62FB8680"/>
    <w:multiLevelType w:val="hybridMultilevel"/>
    <w:lvl w:ilvl="0">
      <w:lvlJc w:val="left"/>
      <w:lvlText w:val="(%1)"/>
      <w:numFmt w:val="lowerLetter"/>
      <w:start w:val="35"/>
    </w:lvl>
    <w:lvl w:ilvl="1">
      <w:lvlJc w:val="left"/>
      <w:lvlText w:val="%2"/>
      <w:numFmt w:val="lowerLetter"/>
      <w:start w:val="1"/>
    </w:lvl>
  </w:abstractNum>
  <w:abstractNum w:abstractNumId="335">
    <w:nsid w:val="3A45530"/>
    <w:multiLevelType w:val="hybridMultilevel"/>
    <w:lvl w:ilvl="0">
      <w:lvlJc w:val="left"/>
      <w:lvlText w:val="%1"/>
      <w:numFmt w:val="lowerLetter"/>
      <w:start w:val="1"/>
    </w:lvl>
    <w:lvl w:ilvl="1">
      <w:lvlJc w:val="left"/>
      <w:lvlText w:val="(%2)"/>
      <w:numFmt w:val="lowerLetter"/>
      <w:start w:val="1"/>
    </w:lvl>
  </w:abstractNum>
  <w:abstractNum w:abstractNumId="336">
    <w:nsid w:val="4B9275D2"/>
    <w:multiLevelType w:val="hybridMultilevel"/>
    <w:lvl w:ilvl="0">
      <w:lvlJc w:val="left"/>
      <w:lvlText w:val="(%1)"/>
      <w:numFmt w:val="lowerLetter"/>
      <w:start w:val="61"/>
    </w:lvl>
    <w:lvl w:ilvl="1">
      <w:lvlJc w:val="left"/>
      <w:lvlText w:val="(%2)"/>
      <w:numFmt w:val="lowerLetter"/>
      <w:start w:val="2"/>
    </w:lvl>
  </w:abstractNum>
  <w:abstractNum w:abstractNumId="337">
    <w:nsid w:val="4F0CEEDB"/>
    <w:multiLevelType w:val="hybridMultilevel"/>
    <w:lvl w:ilvl="0">
      <w:lvlJc w:val="left"/>
      <w:lvlText w:val="(%1)"/>
      <w:numFmt w:val="lowerLetter"/>
      <w:start w:val="3"/>
    </w:lvl>
  </w:abstractNum>
  <w:abstractNum w:abstractNumId="338">
    <w:nsid w:val="61C30361"/>
    <w:multiLevelType w:val="hybridMultilevel"/>
    <w:lvl w:ilvl="0">
      <w:lvlJc w:val="left"/>
      <w:lvlText w:val="(%1)"/>
      <w:numFmt w:val="lowerLetter"/>
      <w:start w:val="1"/>
    </w:lvl>
  </w:abstractNum>
  <w:abstractNum w:abstractNumId="339">
    <w:nsid w:val="632099E0"/>
    <w:multiLevelType w:val="hybridMultilevel"/>
    <w:lvl w:ilvl="0">
      <w:lvlJc w:val="left"/>
      <w:lvlText w:val="(%1)"/>
      <w:numFmt w:val="lowerLetter"/>
      <w:start w:val="3"/>
    </w:lvl>
  </w:abstractNum>
  <w:abstractNum w:abstractNumId="340">
    <w:nsid w:val="24639756"/>
    <w:multiLevelType w:val="hybridMultilevel"/>
    <w:lvl w:ilvl="0">
      <w:lvlJc w:val="left"/>
      <w:lvlText w:val="(%1)"/>
      <w:numFmt w:val="lowerLetter"/>
      <w:start w:val="1"/>
    </w:lvl>
  </w:abstractNum>
  <w:abstractNum w:abstractNumId="341">
    <w:nsid w:val="9D30DFD"/>
    <w:multiLevelType w:val="hybridMultilevel"/>
    <w:lvl w:ilvl="0">
      <w:lvlJc w:val="left"/>
      <w:lvlText w:val="%1"/>
      <w:numFmt w:val="decimal"/>
      <w:start w:val="1"/>
    </w:lvl>
    <w:lvl w:ilvl="1">
      <w:lvlJc w:val="left"/>
      <w:lvlText w:val="(%2)"/>
      <w:numFmt w:val="lowerLetter"/>
      <w:start w:val="2"/>
    </w:lvl>
  </w:abstractNum>
  <w:abstractNum w:abstractNumId="342">
    <w:nsid w:val="70A42016"/>
    <w:multiLevelType w:val="hybridMultilevel"/>
    <w:lvl w:ilvl="0">
      <w:lvlJc w:val="left"/>
      <w:lvlText w:val="(%1)"/>
      <w:numFmt w:val="decimal"/>
      <w:start w:val="10"/>
    </w:lvl>
    <w:lvl w:ilvl="1">
      <w:lvlJc w:val="left"/>
      <w:lvlText w:val="(%2)"/>
      <w:numFmt w:val="lowerLetter"/>
      <w:start w:val="3"/>
    </w:lvl>
  </w:abstractNum>
  <w:abstractNum w:abstractNumId="343">
    <w:nsid w:val="161BC243"/>
    <w:multiLevelType w:val="hybridMultilevel"/>
    <w:lvl w:ilvl="0">
      <w:lvlJc w:val="left"/>
      <w:lvlText w:val="(%1)"/>
      <w:numFmt w:val="lowerLetter"/>
      <w:start w:val="1"/>
    </w:lvl>
  </w:abstractNum>
  <w:abstractNum w:abstractNumId="344">
    <w:nsid w:val="16E908C8"/>
    <w:multiLevelType w:val="hybridMultilevel"/>
    <w:lvl w:ilvl="0">
      <w:lvlJc w:val="left"/>
      <w:lvlText w:val="%1"/>
      <w:numFmt w:val="lowerLetter"/>
      <w:start w:val="1"/>
    </w:lvl>
    <w:lvl w:ilvl="1">
      <w:lvlJc w:val="left"/>
      <w:lvlText w:val="(%2)"/>
      <w:numFmt w:val="lowerLetter"/>
      <w:start w:val="2"/>
    </w:lvl>
  </w:abstractNum>
  <w:abstractNum w:abstractNumId="345">
    <w:nsid w:val="2E0D7671"/>
    <w:multiLevelType w:val="hybridMultilevel"/>
    <w:lvl w:ilvl="0">
      <w:lvlJc w:val="left"/>
      <w:lvlText w:val="(%1)"/>
      <w:numFmt w:val="lowerLetter"/>
      <w:start w:val="61"/>
    </w:lvl>
    <w:lvl w:ilvl="1">
      <w:lvlJc w:val="left"/>
      <w:lvlText w:val="(%2)"/>
      <w:numFmt w:val="lowerLetter"/>
      <w:start w:val="6"/>
    </w:lvl>
  </w:abstractNum>
  <w:abstractNum w:abstractNumId="346">
    <w:nsid w:val="38B59EFF"/>
    <w:multiLevelType w:val="hybridMultilevel"/>
    <w:lvl w:ilvl="0">
      <w:lvlJc w:val="left"/>
      <w:lvlText w:val="%1"/>
      <w:numFmt w:val="lowerRoman"/>
      <w:start w:val="1"/>
    </w:lvl>
    <w:lvl w:ilvl="1">
      <w:lvlJc w:val="left"/>
      <w:lvlText w:val="(%2)"/>
      <w:numFmt w:val="lowerLetter"/>
      <w:start w:val="1"/>
    </w:lvl>
  </w:abstractNum>
  <w:abstractNum w:abstractNumId="347">
    <w:nsid w:val="307995CA"/>
    <w:multiLevelType w:val="hybridMultilevel"/>
    <w:lvl w:ilvl="0">
      <w:lvlJc w:val="left"/>
      <w:lvlText w:val="(%1)"/>
      <w:numFmt w:val="lowerRoman"/>
      <w:start w:val="1"/>
    </w:lvl>
    <w:lvl w:ilvl="1">
      <w:lvlJc w:val="left"/>
      <w:lvlText w:val="%2"/>
      <w:numFmt w:val="lowerLetter"/>
      <w:start w:val="1"/>
    </w:lvl>
  </w:abstractNum>
  <w:abstractNum w:abstractNumId="348">
    <w:nsid w:val="52E2024D"/>
    <w:multiLevelType w:val="hybridMultilevel"/>
    <w:lvl w:ilvl="0">
      <w:lvlJc w:val="left"/>
      <w:lvlText w:val="(%1)"/>
      <w:numFmt w:val="lowerLetter"/>
      <w:start w:val="2"/>
    </w:lvl>
  </w:abstractNum>
  <w:abstractNum w:abstractNumId="349">
    <w:nsid w:val="CE344B5"/>
    <w:multiLevelType w:val="hybridMultilevel"/>
    <w:lvl w:ilvl="0">
      <w:lvlJc w:val="left"/>
      <w:lvlText w:val="%1"/>
      <w:numFmt w:val="lowerLetter"/>
      <w:start w:val="1"/>
    </w:lvl>
    <w:lvl w:ilvl="1">
      <w:lvlJc w:val="left"/>
      <w:lvlText w:val="(%2)"/>
      <w:numFmt w:val="lowerLetter"/>
      <w:start w:val="3"/>
    </w:lvl>
  </w:abstractNum>
  <w:abstractNum w:abstractNumId="350">
    <w:nsid w:val="29B0E9A8"/>
    <w:multiLevelType w:val="hybridMultilevel"/>
    <w:lvl w:ilvl="0">
      <w:lvlJc w:val="left"/>
      <w:lvlText w:val="(%1)"/>
      <w:numFmt w:val="lowerLetter"/>
      <w:start w:val="35"/>
    </w:lvl>
    <w:lvl w:ilvl="1">
      <w:lvlJc w:val="left"/>
      <w:lvlText w:val="%2"/>
      <w:numFmt w:val="lowerLetter"/>
      <w:start w:val="1"/>
    </w:lvl>
  </w:abstractNum>
  <w:abstractNum w:abstractNumId="351">
    <w:nsid w:val="6F49CD8A"/>
    <w:multiLevelType w:val="hybridMultilevel"/>
    <w:lvl w:ilvl="0">
      <w:lvlJc w:val="left"/>
      <w:lvlText w:val="(%1)"/>
      <w:numFmt w:val="lowerLetter"/>
      <w:start w:val="1"/>
    </w:lvl>
  </w:abstractNum>
  <w:abstractNum w:abstractNumId="352">
    <w:nsid w:val="4DC5D907"/>
    <w:multiLevelType w:val="hybridMultilevel"/>
    <w:lvl w:ilvl="0">
      <w:lvlJc w:val="left"/>
      <w:lvlText w:val="(%1)"/>
      <w:numFmt w:val="lowerRoman"/>
      <w:start w:val="1"/>
    </w:lvl>
  </w:abstractNum>
  <w:abstractNum w:abstractNumId="353">
    <w:nsid w:val="D55945E"/>
    <w:multiLevelType w:val="hybridMultilevel"/>
    <w:lvl w:ilvl="0">
      <w:lvlJc w:val="left"/>
      <w:lvlText w:val="(%1)"/>
      <w:numFmt w:val="lowerLetter"/>
      <w:start w:val="2"/>
    </w:lvl>
  </w:abstractNum>
  <w:abstractNum w:abstractNumId="354">
    <w:nsid w:val="672417E1"/>
    <w:multiLevelType w:val="hybridMultilevel"/>
    <w:lvl w:ilvl="0">
      <w:lvlJc w:val="left"/>
      <w:lvlText w:val="(%1)"/>
      <w:numFmt w:val="lowerLetter"/>
      <w:start w:val="3"/>
    </w:lvl>
  </w:abstractNum>
  <w:abstractNum w:abstractNumId="355">
    <w:nsid w:val="5FF6CA09"/>
    <w:multiLevelType w:val="hybridMultilevel"/>
    <w:lvl w:ilvl="0">
      <w:lvlJc w:val="left"/>
      <w:lvlText w:val="(%1)"/>
      <w:numFmt w:val="lowerLetter"/>
      <w:start w:val="3"/>
    </w:lvl>
  </w:abstractNum>
  <w:abstractNum w:abstractNumId="356">
    <w:nsid w:val="330B1333"/>
    <w:multiLevelType w:val="hybridMultilevel"/>
    <w:lvl w:ilvl="0">
      <w:lvlJc w:val="left"/>
      <w:lvlText w:val="(%1)"/>
      <w:numFmt w:val="lowerLetter"/>
      <w:start w:val="1"/>
    </w:lvl>
  </w:abstractNum>
  <w:abstractNum w:abstractNumId="357">
    <w:nsid w:val="2EF32EA6"/>
    <w:multiLevelType w:val="hybridMultilevel"/>
    <w:lvl w:ilvl="0">
      <w:lvlJc w:val="left"/>
      <w:lvlText w:val="%1"/>
      <w:numFmt w:val="lowerRoman"/>
      <w:start w:val="1"/>
    </w:lvl>
    <w:lvl w:ilvl="1">
      <w:lvlJc w:val="left"/>
      <w:lvlText w:val="(%2)"/>
      <w:numFmt w:val="lowerLetter"/>
      <w:start w:val="5"/>
    </w:lvl>
  </w:abstractNum>
  <w:abstractNum w:abstractNumId="358">
    <w:nsid w:val="32766A55"/>
    <w:multiLevelType w:val="hybridMultilevel"/>
    <w:lvl w:ilvl="0">
      <w:lvlJc w:val="left"/>
      <w:lvlText w:val="(%1)"/>
      <w:numFmt w:val="lowerRoman"/>
      <w:start w:val="1"/>
    </w:lvl>
    <w:lvl w:ilvl="1">
      <w:lvlJc w:val="left"/>
      <w:lvlText w:val="%2"/>
      <w:numFmt w:val="lowerLetter"/>
      <w:start w:val="1"/>
    </w:lvl>
  </w:abstractNum>
  <w:abstractNum w:abstractNumId="359">
    <w:nsid w:val="22D71957"/>
    <w:multiLevelType w:val="hybridMultilevel"/>
    <w:lvl w:ilvl="0">
      <w:lvlJc w:val="left"/>
      <w:lvlText w:val="(%1)"/>
      <w:numFmt w:val="lowerRoman"/>
      <w:start w:val="4"/>
    </w:lvl>
    <w:lvl w:ilvl="1">
      <w:lvlJc w:val="left"/>
      <w:lvlText w:val="(%2)"/>
      <w:numFmt w:val="upperLetter"/>
      <w:start w:val="1"/>
    </w:lvl>
  </w:abstractNum>
  <w:abstractNum w:abstractNumId="360">
    <w:nsid w:val="4CC1263B"/>
    <w:multiLevelType w:val="hybridMultilevel"/>
    <w:lvl w:ilvl="0">
      <w:lvlJc w:val="left"/>
      <w:lvlText w:val="(%1)"/>
      <w:numFmt w:val="lowerRoman"/>
      <w:start w:val="10"/>
    </w:lvl>
    <w:lvl w:ilvl="1">
      <w:lvlJc w:val="left"/>
      <w:lvlText w:val="(%2)"/>
      <w:numFmt w:val="upperLetter"/>
      <w:start w:val="2"/>
    </w:lvl>
  </w:abstractNum>
  <w:abstractNum w:abstractNumId="361">
    <w:nsid w:val="8BBEB1D"/>
    <w:multiLevelType w:val="hybridMultilevel"/>
    <w:lvl w:ilvl="0">
      <w:lvlJc w:val="left"/>
      <w:lvlText w:val="(%1)"/>
      <w:numFmt w:val="lowerRoman"/>
      <w:start w:val="5"/>
    </w:lvl>
  </w:abstractNum>
  <w:abstractNum w:abstractNumId="362">
    <w:nsid w:val="7365F1EE"/>
    <w:multiLevelType w:val="hybridMultilevel"/>
    <w:lvl w:ilvl="0">
      <w:lvlJc w:val="left"/>
      <w:lvlText w:val="(%1)"/>
      <w:numFmt w:val="lowerLetter"/>
      <w:start w:val="7"/>
    </w:lvl>
  </w:abstractNum>
  <w:abstractNum w:abstractNumId="363">
    <w:nsid w:val="37524CF0"/>
    <w:multiLevelType w:val="hybridMultilevel"/>
    <w:lvl w:ilvl="0">
      <w:lvlJc w:val="left"/>
      <w:lvlText w:val="(%1)"/>
      <w:numFmt w:val="lowerLetter"/>
      <w:start w:val="8"/>
    </w:lvl>
  </w:abstractNum>
  <w:abstractNum w:abstractNumId="364">
    <w:nsid w:val="70CC332F"/>
    <w:multiLevelType w:val="hybridMultilevel"/>
    <w:lvl w:ilvl="0">
      <w:lvlJc w:val="left"/>
      <w:lvlText w:val="(%1)"/>
      <w:numFmt w:val="lowerLetter"/>
      <w:start w:val="1"/>
    </w:lvl>
  </w:abstractNum>
  <w:abstractNum w:abstractNumId="365">
    <w:nsid w:val="5661786E"/>
    <w:multiLevelType w:val="hybridMultilevel"/>
    <w:lvl w:ilvl="0">
      <w:lvlJc w:val="left"/>
      <w:lvlText w:val="%1"/>
      <w:numFmt w:val="lowerLetter"/>
      <w:start w:val="1"/>
    </w:lvl>
    <w:lvl w:ilvl="1">
      <w:lvlJc w:val="left"/>
      <w:lvlText w:val="(%2)"/>
      <w:numFmt w:val="lowerLetter"/>
      <w:start w:val="2"/>
    </w:lvl>
  </w:abstractNum>
  <w:abstractNum w:abstractNumId="366">
    <w:nsid w:val="3AF6A220"/>
    <w:multiLevelType w:val="hybridMultilevel"/>
    <w:lvl w:ilvl="0">
      <w:lvlJc w:val="left"/>
      <w:lvlText w:val="(%1)"/>
      <w:numFmt w:val="lowerLetter"/>
      <w:start w:val="35"/>
    </w:lvl>
    <w:lvl w:ilvl="1">
      <w:lvlJc w:val="left"/>
      <w:lvlText w:val="%2"/>
      <w:numFmt w:val="lowerLetter"/>
      <w:start w:val="1"/>
    </w:lvl>
  </w:abstractNum>
  <w:abstractNum w:abstractNumId="367">
    <w:nsid w:val="3C5EA902"/>
    <w:multiLevelType w:val="hybridMultilevel"/>
    <w:lvl w:ilvl="0">
      <w:lvlJc w:val="left"/>
      <w:lvlText w:val="%1"/>
      <w:numFmt w:val="lowerLetter"/>
      <w:start w:val="1"/>
    </w:lvl>
    <w:lvl w:ilvl="1">
      <w:lvlJc w:val="left"/>
      <w:lvlText w:val="(%2)"/>
      <w:numFmt w:val="lowerLetter"/>
      <w:start w:val="3"/>
    </w:lvl>
  </w:abstractNum>
  <w:abstractNum w:abstractNumId="368">
    <w:nsid w:val="256E6749"/>
    <w:multiLevelType w:val="hybridMultilevel"/>
    <w:lvl w:ilvl="0">
      <w:lvlJc w:val="left"/>
      <w:lvlText w:val="(%1)"/>
      <w:numFmt w:val="lowerLetter"/>
      <w:start w:val="35"/>
    </w:lvl>
    <w:lvl w:ilvl="1">
      <w:lvlJc w:val="left"/>
      <w:lvlText w:val="%2"/>
      <w:numFmt w:val="lowerLetter"/>
      <w:start w:val="1"/>
    </w:lvl>
  </w:abstractNum>
  <w:abstractNum w:abstractNumId="369">
    <w:nsid w:val="1CB9A581"/>
    <w:multiLevelType w:val="hybridMultilevel"/>
    <w:lvl w:ilvl="0">
      <w:lvlJc w:val="left"/>
      <w:lvlText w:val="(%1)"/>
      <w:numFmt w:val="lowerLetter"/>
      <w:start w:val="4"/>
    </w:lvl>
  </w:abstractNum>
  <w:abstractNum w:abstractNumId="370">
    <w:nsid w:val="1F7F42E2"/>
    <w:multiLevelType w:val="hybridMultilevel"/>
    <w:lvl w:ilvl="0">
      <w:lvlJc w:val="left"/>
      <w:lvlText w:val="%1"/>
      <w:numFmt w:val="lowerLetter"/>
      <w:start w:val="1"/>
    </w:lvl>
    <w:lvl w:ilvl="1">
      <w:lvlJc w:val="left"/>
      <w:lvlText w:val="(%2)"/>
      <w:numFmt w:val="lowerLetter"/>
      <w:start w:val="1"/>
    </w:lvl>
  </w:abstractNum>
  <w:abstractNum w:abstractNumId="371">
    <w:nsid w:val="49D1FEA0"/>
    <w:multiLevelType w:val="hybridMultilevel"/>
    <w:lvl w:ilvl="0">
      <w:lvlJc w:val="left"/>
      <w:lvlText w:val="(%1)"/>
      <w:numFmt w:val="lowerLetter"/>
      <w:start w:val="24"/>
    </w:lvl>
    <w:lvl w:ilvl="1">
      <w:lvlJc w:val="left"/>
      <w:lvlText w:val="%2"/>
      <w:numFmt w:val="lowerLetter"/>
      <w:start w:val="1"/>
    </w:lvl>
  </w:abstractNum>
  <w:abstractNum w:abstractNumId="372">
    <w:nsid w:val="268CB37F"/>
    <w:multiLevelType w:val="hybridMultilevel"/>
    <w:lvl w:ilvl="0">
      <w:lvlJc w:val="left"/>
      <w:lvlText w:val="(%1)"/>
      <w:numFmt w:val="lowerLetter"/>
      <w:start w:val="1"/>
    </w:lvl>
  </w:abstractNum>
  <w:abstractNum w:abstractNumId="373">
    <w:nsid w:val="102362F8"/>
    <w:multiLevelType w:val="hybridMultilevel"/>
    <w:lvl w:ilvl="0">
      <w:lvlJc w:val="left"/>
      <w:lvlText w:val="%1"/>
      <w:numFmt w:val="lowerLetter"/>
      <w:start w:val="1"/>
    </w:lvl>
    <w:lvl w:ilvl="1">
      <w:lvlJc w:val="left"/>
      <w:lvlText w:val="(%2)"/>
      <w:numFmt w:val="lowerLetter"/>
      <w:start w:val="3"/>
    </w:lvl>
  </w:abstractNum>
  <w:abstractNum w:abstractNumId="374">
    <w:nsid w:val="5FEDC0E3"/>
    <w:multiLevelType w:val="hybridMultilevel"/>
    <w:lvl w:ilvl="0">
      <w:lvlJc w:val="left"/>
      <w:lvlText w:val="(%1)"/>
      <w:numFmt w:val="lowerLetter"/>
      <w:start w:val="9"/>
    </w:lvl>
    <w:lvl w:ilvl="1">
      <w:lvlJc w:val="left"/>
      <w:lvlText w:val="%2"/>
      <w:numFmt w:val="lowerLetter"/>
      <w:start w:val="1"/>
    </w:lvl>
  </w:abstractNum>
  <w:abstractNum w:abstractNumId="375">
    <w:nsid w:val="3D75BC47"/>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376">
    <w:nsid w:val="3E30D969"/>
    <w:multiLevelType w:val="hybridMultilevel"/>
    <w:lvl w:ilvl="0">
      <w:lvlJc w:val="left"/>
      <w:lvlText w:val="(%1)"/>
      <w:numFmt w:val="decimal"/>
      <w:start w:val="1"/>
    </w:lvl>
    <w:lvl w:ilvl="1">
      <w:lvlJc w:val="left"/>
      <w:lvlText w:val="(%2)"/>
      <w:numFmt w:val="lowerRoman"/>
      <w:start w:val="3"/>
    </w:lvl>
    <w:lvl w:ilvl="2">
      <w:lvlJc w:val="left"/>
      <w:lvlText w:val="(%3)"/>
      <w:numFmt w:val="lowerLetter"/>
      <w:start w:val="5"/>
    </w:lvl>
  </w:abstractNum>
  <w:abstractNum w:abstractNumId="377">
    <w:nsid w:val="18A35FE3"/>
    <w:multiLevelType w:val="hybridMultilevel"/>
    <w:lvl w:ilvl="0">
      <w:lvlJc w:val="left"/>
      <w:lvlText w:val="(%1)"/>
      <w:numFmt w:val="lowerLetter"/>
      <w:start w:val="1"/>
    </w:lvl>
  </w:abstractNum>
  <w:abstractNum w:abstractNumId="378">
    <w:nsid w:val="6DEF5211"/>
    <w:multiLevelType w:val="hybridMultilevel"/>
    <w:lvl w:ilvl="0">
      <w:lvlJc w:val="left"/>
      <w:lvlText w:val="(%1)"/>
      <w:numFmt w:val="lowerLetter"/>
      <w:start w:val="2"/>
    </w:lvl>
  </w:abstractNum>
  <w:abstractNum w:abstractNumId="379">
    <w:nsid w:val="1112DBB6"/>
    <w:multiLevelType w:val="hybridMultilevel"/>
    <w:lvl w:ilvl="0">
      <w:lvlJc w:val="left"/>
      <w:lvlText w:val="(%1)"/>
      <w:numFmt w:val="lowerLetter"/>
      <w:start w:val="1"/>
    </w:lvl>
  </w:abstractNum>
  <w:abstractNum w:abstractNumId="380">
    <w:nsid w:val="2586A498"/>
    <w:multiLevelType w:val="hybridMultilevel"/>
    <w:lvl w:ilvl="0">
      <w:lvlJc w:val="left"/>
      <w:lvlText w:val="(%1)"/>
      <w:numFmt w:val="lowerLetter"/>
      <w:start w:val="1"/>
    </w:lvl>
  </w:abstractNum>
  <w:abstractNum w:abstractNumId="381">
    <w:nsid w:val="17A03BB9"/>
    <w:multiLevelType w:val="hybridMultilevel"/>
    <w:lvl w:ilvl="0">
      <w:lvlJc w:val="left"/>
      <w:lvlText w:val="(%1)"/>
      <w:numFmt w:val="lowerLetter"/>
      <w:start w:val="2"/>
    </w:lvl>
  </w:abstractNum>
  <w:abstractNum w:abstractNumId="382">
    <w:nsid w:val="5CA941"/>
    <w:multiLevelType w:val="hybridMultilevel"/>
    <w:lvl w:ilvl="0">
      <w:lvlJc w:val="left"/>
      <w:lvlText w:val="%1"/>
      <w:numFmt w:val="lowerLetter"/>
      <w:start w:val="1"/>
    </w:lvl>
    <w:lvl w:ilvl="1">
      <w:lvlJc w:val="left"/>
      <w:lvlText w:val="(%2)"/>
      <w:numFmt w:val="lowerLetter"/>
      <w:start w:val="1"/>
    </w:lvl>
  </w:abstractNum>
  <w:abstractNum w:abstractNumId="383">
    <w:nsid w:val="734C7D9F"/>
    <w:multiLevelType w:val="hybridMultilevel"/>
    <w:lvl w:ilvl="0">
      <w:lvlJc w:val="left"/>
      <w:lvlText w:val="(%1)"/>
      <w:numFmt w:val="lowerLetter"/>
      <w:start w:val="61"/>
    </w:lvl>
    <w:lvl w:ilvl="1">
      <w:lvlJc w:val="left"/>
      <w:lvlText w:val="%2"/>
      <w:numFmt w:val="lowerLetter"/>
      <w:start w:val="1"/>
    </w:lvl>
  </w:abstractNum>
  <w:abstractNum w:abstractNumId="384">
    <w:nsid w:val="24F5D018"/>
    <w:multiLevelType w:val="hybridMultilevel"/>
    <w:lvl w:ilvl="0">
      <w:lvlJc w:val="left"/>
      <w:lvlText w:val="(%1)"/>
      <w:numFmt w:val="lowerLetter"/>
      <w:start w:val="2"/>
    </w:lvl>
  </w:abstractNum>
  <w:abstractNum w:abstractNumId="385">
    <w:nsid w:val="6780C122"/>
    <w:multiLevelType w:val="hybridMultilevel"/>
    <w:lvl w:ilvl="0">
      <w:lvlJc w:val="left"/>
      <w:lvlText w:val="%1"/>
      <w:numFmt w:val="lowerLetter"/>
      <w:start w:val="1"/>
    </w:lvl>
    <w:lvl w:ilvl="1">
      <w:lvlJc w:val="left"/>
      <w:lvlText w:val="(%2)"/>
      <w:numFmt w:val="lowerLetter"/>
      <w:start w:val="1"/>
    </w:lvl>
  </w:abstractNum>
  <w:abstractNum w:abstractNumId="386">
    <w:nsid w:val="534347A8"/>
    <w:multiLevelType w:val="hybridMultilevel"/>
    <w:lvl w:ilvl="0">
      <w:lvlJc w:val="left"/>
      <w:lvlText w:val="(%1)"/>
      <w:numFmt w:val="lowerLetter"/>
      <w:start w:val="9"/>
    </w:lvl>
    <w:lvl w:ilvl="1">
      <w:lvlJc w:val="left"/>
      <w:lvlText w:val="(%2)"/>
      <w:numFmt w:val="lowerLetter"/>
      <w:start w:val="2"/>
    </w:lvl>
  </w:abstractNum>
  <w:abstractNum w:abstractNumId="387">
    <w:nsid w:val="5800E34B"/>
    <w:multiLevelType w:val="hybridMultilevel"/>
    <w:lvl w:ilvl="0">
      <w:lvlJc w:val="left"/>
      <w:lvlText w:val="(%1)"/>
      <w:numFmt w:val="lowerLetter"/>
      <w:start w:val="1"/>
    </w:lvl>
  </w:abstractNum>
  <w:abstractNum w:abstractNumId="388">
    <w:nsid w:val="1673EFC8"/>
    <w:multiLevelType w:val="hybridMultilevel"/>
    <w:lvl w:ilvl="0">
      <w:lvlJc w:val="left"/>
      <w:lvlText w:val="(%1)"/>
      <w:numFmt w:val="lowerLetter"/>
      <w:start w:val="1"/>
    </w:lvl>
  </w:abstractNum>
  <w:abstractNum w:abstractNumId="389">
    <w:nsid w:val="5B9B1FD"/>
    <w:multiLevelType w:val="hybridMultilevel"/>
    <w:lvl w:ilvl="0">
      <w:lvlJc w:val="left"/>
      <w:lvlText w:val="%1"/>
      <w:numFmt w:val="lowerRoman"/>
      <w:start w:val="1"/>
    </w:lvl>
    <w:lvl w:ilvl="1">
      <w:lvlJc w:val="left"/>
      <w:lvlText w:val="(%2)"/>
      <w:numFmt w:val="lowerLetter"/>
      <w:start w:val="5"/>
    </w:lvl>
  </w:abstractNum>
  <w:abstractNum w:abstractNumId="390">
    <w:nsid w:val="7AD7FCA2"/>
    <w:multiLevelType w:val="hybridMultilevel"/>
    <w:lvl w:ilvl="0">
      <w:lvlJc w:val="left"/>
      <w:lvlText w:val="(%1)"/>
      <w:numFmt w:val="lowerRoman"/>
      <w:start w:val="1"/>
    </w:lvl>
    <w:lvl w:ilvl="1">
      <w:lvlJc w:val="left"/>
      <w:lvlText w:val="%2"/>
      <w:numFmt w:val="lowerLetter"/>
      <w:start w:val="1"/>
    </w:lvl>
  </w:abstractNum>
  <w:abstractNum w:abstractNumId="391">
    <w:nsid w:val="63351604"/>
    <w:multiLevelType w:val="hybridMultilevel"/>
    <w:lvl w:ilvl="0">
      <w:lvlJc w:val="left"/>
      <w:lvlText w:val="(%1)"/>
      <w:numFmt w:val="lowerRoman"/>
      <w:start w:val="4"/>
    </w:lvl>
    <w:lvl w:ilvl="1">
      <w:lvlJc w:val="left"/>
      <w:lvlText w:val="(%2)"/>
      <w:numFmt w:val="lowerLetter"/>
      <w:start w:val="8"/>
    </w:lvl>
  </w:abstractNum>
  <w:abstractNum w:abstractNumId="392">
    <w:nsid w:val="E759D1A"/>
    <w:multiLevelType w:val="hybridMultilevel"/>
    <w:lvl w:ilvl="0">
      <w:lvlJc w:val="left"/>
      <w:lvlText w:val="(%1)"/>
      <w:numFmt w:val="lowerRoman"/>
      <w:start w:val="1"/>
    </w:lvl>
    <w:lvl w:ilvl="1">
      <w:lvlJc w:val="left"/>
      <w:lvlText w:val="(%2)"/>
      <w:numFmt w:val="lowerLetter"/>
      <w:start w:val="11"/>
    </w:lvl>
  </w:abstractNum>
  <w:abstractNum w:abstractNumId="393">
    <w:nsid w:val="6E3DEE90"/>
    <w:multiLevelType w:val="hybridMultilevel"/>
    <w:lvl w:ilvl="0">
      <w:lvlJc w:val="left"/>
      <w:lvlText w:val="(%1)"/>
      <w:numFmt w:val="lowerLetter"/>
      <w:start w:val="1"/>
    </w:lvl>
  </w:abstractNum>
  <w:abstractNum w:abstractNumId="394">
    <w:nsid w:val="1A8762F4"/>
    <w:multiLevelType w:val="hybridMultilevel"/>
    <w:lvl w:ilvl="0">
      <w:lvlJc w:val="left"/>
      <w:lvlText w:val="(%1)"/>
      <w:numFmt w:val="lowerLetter"/>
      <w:start w:val="1"/>
    </w:lvl>
  </w:abstractNum>
  <w:abstractNum w:abstractNumId="395">
    <w:nsid w:val="7F41D049"/>
    <w:multiLevelType w:val="hybridMultilevel"/>
    <w:lvl w:ilvl="0">
      <w:lvlJc w:val="left"/>
      <w:lvlText w:val="(%1)"/>
      <w:numFmt w:val="lowerRoman"/>
      <w:start w:val="2"/>
    </w:lvl>
  </w:abstractNum>
  <w:abstractNum w:abstractNumId="396">
    <w:nsid w:val="449F66FE"/>
    <w:multiLevelType w:val="hybridMultilevel"/>
    <w:lvl w:ilvl="0">
      <w:lvlJc w:val="left"/>
      <w:lvlText w:val="%1"/>
      <w:numFmt w:val="lowerLetter"/>
      <w:start w:val="1"/>
    </w:lvl>
    <w:lvl w:ilvl="1">
      <w:lvlJc w:val="left"/>
      <w:lvlText w:val="(%2)"/>
      <w:numFmt w:val="lowerLetter"/>
      <w:start w:val="1"/>
    </w:lvl>
  </w:abstractNum>
  <w:abstractNum w:abstractNumId="397">
    <w:nsid w:val="557E0515"/>
    <w:multiLevelType w:val="hybridMultilevel"/>
    <w:lvl w:ilvl="0">
      <w:lvlJc w:val="left"/>
      <w:lvlText w:val="(%1)"/>
      <w:numFmt w:val="lowerLetter"/>
      <w:start w:val="35"/>
    </w:lvl>
    <w:lvl w:ilvl="1">
      <w:lvlJc w:val="left"/>
      <w:lvlText w:val="%2"/>
      <w:numFmt w:val="lowerLetter"/>
      <w:start w:val="1"/>
    </w:lvl>
  </w:abstractNum>
  <w:abstractNum w:abstractNumId="398">
    <w:nsid w:val="3BA0794B"/>
    <w:multiLevelType w:val="hybridMultilevel"/>
    <w:lvl w:ilvl="0">
      <w:lvlJc w:val="left"/>
      <w:lvlText w:val="(%1)"/>
      <w:numFmt w:val="lowerLetter"/>
      <w:start w:val="3"/>
    </w:lvl>
  </w:abstractNum>
  <w:abstractNum w:abstractNumId="399">
    <w:nsid w:val="6A0DCE48"/>
    <w:multiLevelType w:val="hybridMultilevel"/>
    <w:lvl w:ilvl="0">
      <w:lvlJc w:val="left"/>
      <w:lvlText w:val="%1"/>
      <w:numFmt w:val="decimal"/>
      <w:start w:val="1"/>
    </w:lvl>
    <w:lvl w:ilvl="1">
      <w:lvlJc w:val="left"/>
      <w:lvlText w:val="(%2)"/>
      <w:numFmt w:val="lowerLetter"/>
      <w:start w:val="5"/>
    </w:lvl>
  </w:abstractNum>
  <w:abstractNum w:abstractNumId="400">
    <w:nsid w:val="7237AA96"/>
    <w:multiLevelType w:val="hybridMultilevel"/>
    <w:lvl w:ilvl="0">
      <w:lvlJc w:val="left"/>
      <w:lvlText w:val="(%1)"/>
      <w:numFmt w:val="decimal"/>
      <w:start w:val="120"/>
    </w:lvl>
    <w:lvl w:ilvl="1">
      <w:lvlJc w:val="left"/>
      <w:lvlText w:val="(%2)"/>
      <w:numFmt w:val="lowerLetter"/>
      <w:start w:val="6"/>
    </w:lvl>
  </w:abstractNum>
  <w:abstractNum w:abstractNumId="401">
    <w:nsid w:val="5B1FBC2D"/>
    <w:multiLevelType w:val="hybridMultilevel"/>
    <w:lvl w:ilvl="0">
      <w:lvlJc w:val="left"/>
      <w:lvlText w:val="%1"/>
      <w:numFmt w:val="lowerLetter"/>
      <w:start w:val="1"/>
    </w:lvl>
    <w:lvl w:ilvl="1">
      <w:lvlJc w:val="left"/>
      <w:lvlText w:val="(%2)"/>
      <w:numFmt w:val="lowerLetter"/>
      <w:start w:val="1"/>
    </w:lvl>
  </w:abstractNum>
  <w:abstractNum w:abstractNumId="402">
    <w:nsid w:val="33DFCCE8"/>
    <w:multiLevelType w:val="hybridMultilevel"/>
    <w:lvl w:ilvl="0">
      <w:lvlJc w:val="left"/>
      <w:lvlText w:val="(%1)"/>
      <w:numFmt w:val="lowerLetter"/>
      <w:start w:val="35"/>
    </w:lvl>
    <w:lvl w:ilvl="1">
      <w:lvlJc w:val="left"/>
      <w:lvlText w:val="(%2)"/>
      <w:numFmt w:val="lowerLetter"/>
      <w:start w:val="2"/>
    </w:lvl>
  </w:abstractNum>
  <w:abstractNum w:abstractNumId="403">
    <w:nsid w:val="18C45E15"/>
    <w:multiLevelType w:val="hybridMultilevel"/>
    <w:lvl w:ilvl="0">
      <w:lvlJc w:val="left"/>
      <w:lvlText w:val="%1"/>
      <w:numFmt w:val="lowerLetter"/>
      <w:start w:val="1"/>
    </w:lvl>
    <w:lvl w:ilvl="1">
      <w:lvlJc w:val="left"/>
      <w:lvlText w:val="(%2)"/>
      <w:numFmt w:val="lowerLetter"/>
      <w:start w:val="7"/>
    </w:lvl>
  </w:abstractNum>
  <w:abstractNum w:abstractNumId="404">
    <w:nsid w:val="6B431F25"/>
    <w:multiLevelType w:val="hybridMultilevel"/>
    <w:lvl w:ilvl="0">
      <w:lvlJc w:val="left"/>
      <w:lvlText w:val="(%1)"/>
      <w:numFmt w:val="lowerLetter"/>
      <w:start w:val="9"/>
    </w:lvl>
    <w:lvl w:ilvl="1">
      <w:lvlJc w:val="left"/>
      <w:lvlText w:val="(%2)"/>
      <w:numFmt w:val="lowerLetter"/>
      <w:start w:val="9"/>
    </w:lvl>
  </w:abstractNum>
  <w:abstractNum w:abstractNumId="405">
    <w:nsid w:val="13CD8DCB"/>
    <w:multiLevelType w:val="hybridMultilevel"/>
    <w:lvl w:ilvl="0">
      <w:lvlJc w:val="left"/>
      <w:lvlText w:val="%1"/>
      <w:numFmt w:val="lowerLetter"/>
      <w:start w:val="1"/>
    </w:lvl>
    <w:lvl w:ilvl="1">
      <w:lvlJc w:val="left"/>
      <w:lvlText w:val="(%2)"/>
      <w:numFmt w:val="lowerLetter"/>
      <w:start w:val="11"/>
    </w:lvl>
  </w:abstractNum>
  <w:abstractNum w:abstractNumId="406">
    <w:nsid w:val="563A1A5C"/>
    <w:multiLevelType w:val="hybridMultilevel"/>
    <w:lvl w:ilvl="0">
      <w:lvlJc w:val="left"/>
      <w:lvlText w:val="(%1)"/>
      <w:numFmt w:val="lowerLetter"/>
      <w:start w:val="35"/>
    </w:lvl>
    <w:lvl w:ilvl="1">
      <w:lvlJc w:val="left"/>
      <w:lvlText w:val="(%2)"/>
      <w:numFmt w:val="lowerLetter"/>
      <w:start w:val="12"/>
    </w:lvl>
  </w:abstractNum>
  <w:abstractNum w:abstractNumId="407">
    <w:nsid w:val="2973F88F"/>
    <w:multiLevelType w:val="hybridMultilevel"/>
    <w:lvl w:ilvl="0">
      <w:lvlJc w:val="left"/>
      <w:lvlText w:val="(%1)"/>
      <w:numFmt w:val="lowerLetter"/>
      <w:start w:val="25"/>
    </w:lvl>
    <w:lvl w:ilvl="1">
      <w:lvlJc w:val="left"/>
      <w:lvlText w:val="(%2)"/>
      <w:numFmt w:val="lowerLetter"/>
      <w:start w:val="14"/>
    </w:lvl>
  </w:abstractNum>
  <w:abstractNum w:abstractNumId="408">
    <w:nsid w:val="2C70EDAE"/>
    <w:multiLevelType w:val="hybridMultilevel"/>
    <w:lvl w:ilvl="0">
      <w:lvlJc w:val="left"/>
      <w:lvlText w:val="(%1)"/>
      <w:numFmt w:val="lowerLetter"/>
      <w:start w:val="24"/>
    </w:lvl>
    <w:lvl w:ilvl="1">
      <w:lvlJc w:val="left"/>
      <w:lvlText w:val="(%2)"/>
      <w:numFmt w:val="lowerLetter"/>
      <w:start w:val="16"/>
    </w:lvl>
  </w:abstractNum>
  <w:abstractNum w:abstractNumId="409">
    <w:nsid w:val="44296C6D"/>
    <w:multiLevelType w:val="hybridMultilevel"/>
    <w:lvl w:ilvl="0">
      <w:lvlJc w:val="left"/>
      <w:lvlText w:val="(%1)"/>
      <w:numFmt w:val="lowerLetter"/>
      <w:start w:val="20"/>
    </w:lvl>
  </w:abstractNum>
  <w:abstractNum w:abstractNumId="410">
    <w:nsid w:val="3A86D445"/>
    <w:multiLevelType w:val="hybridMultilevel"/>
    <w:lvl w:ilvl="0">
      <w:lvlJc w:val="left"/>
      <w:lvlText w:val="(%1)"/>
      <w:numFmt w:val="lowerLetter"/>
      <w:start w:val="21"/>
    </w:lvl>
  </w:abstractNum>
  <w:abstractNum w:abstractNumId="411">
    <w:nsid w:val="51F79246"/>
    <w:multiLevelType w:val="hybridMultilevel"/>
    <w:lvl w:ilvl="0">
      <w:lvlJc w:val="left"/>
      <w:lvlText w:val="%1"/>
      <w:numFmt w:val="upperLetter"/>
      <w:start w:val="1"/>
    </w:lvl>
    <w:lvl w:ilvl="1">
      <w:lvlJc w:val="left"/>
      <w:lvlText w:val="(%2)"/>
      <w:numFmt w:val="lowerLetter"/>
      <w:start w:val="1"/>
    </w:lvl>
  </w:abstractNum>
  <w:abstractNum w:abstractNumId="412">
    <w:nsid w:val="5BC9A827"/>
    <w:multiLevelType w:val="hybridMultilevel"/>
    <w:lvl w:ilvl="0">
      <w:lvlJc w:val="left"/>
      <w:lvlText w:val="(%1)"/>
      <w:numFmt w:val="upperLetter"/>
      <w:start w:val="1"/>
    </w:lvl>
    <w:lvl w:ilvl="1">
      <w:lvlJc w:val="left"/>
      <w:lvlText w:val="%2"/>
      <w:numFmt w:val="lowerLetter"/>
      <w:start w:val="1"/>
    </w:lvl>
  </w:abstractNum>
  <w:abstractNum w:abstractNumId="413">
    <w:nsid w:val="3AE37D86"/>
    <w:multiLevelType w:val="hybridMultilevel"/>
    <w:lvl w:ilvl="0">
      <w:lvlJc w:val="left"/>
      <w:lvlText w:val="(%1)"/>
      <w:numFmt w:val="lowerLetter"/>
      <w:start w:val="4"/>
    </w:lvl>
  </w:abstractNum>
  <w:abstractNum w:abstractNumId="414">
    <w:nsid w:val="45440FE5"/>
    <w:multiLevelType w:val="hybridMultilevel"/>
    <w:lvl w:ilvl="0">
      <w:lvlJc w:val="left"/>
      <w:lvlText w:val="(%1)"/>
      <w:numFmt w:val="lowerLetter"/>
      <w:start w:val="7"/>
    </w:lvl>
  </w:abstractNum>
  <w:abstractNum w:abstractNumId="415">
    <w:nsid w:val="BF783F"/>
    <w:multiLevelType w:val="hybridMultilevel"/>
    <w:lvl w:ilvl="0">
      <w:lvlJc w:val="left"/>
      <w:lvlText w:val="%1"/>
      <w:numFmt w:val="lowerLetter"/>
      <w:start w:val="1"/>
    </w:lvl>
    <w:lvl w:ilvl="1">
      <w:lvlJc w:val="left"/>
      <w:lvlText w:val="(%2)"/>
      <w:numFmt w:val="lowerLetter"/>
      <w:start w:val="17"/>
    </w:lvl>
  </w:abstractNum>
  <w:abstractNum w:abstractNumId="416">
    <w:nsid w:val="22643EA9"/>
    <w:multiLevelType w:val="hybridMultilevel"/>
    <w:lvl w:ilvl="0">
      <w:lvlJc w:val="left"/>
      <w:lvlText w:val="(%1)"/>
      <w:numFmt w:val="lowerLetter"/>
      <w:start w:val="21"/>
    </w:lvl>
    <w:lvl w:ilvl="1">
      <w:lvlJc w:val="left"/>
      <w:lvlText w:val="%2"/>
      <w:numFmt w:val="lowerLetter"/>
      <w:start w:val="1"/>
    </w:lvl>
  </w:abstractNum>
  <w:abstractNum w:abstractNumId="417">
    <w:nsid w:val="1887578D"/>
    <w:multiLevelType w:val="hybridMultilevel"/>
    <w:lvl w:ilvl="0">
      <w:lvlJc w:val="left"/>
      <w:lvlText w:val="%1"/>
      <w:numFmt w:val="lowerRoman"/>
      <w:start w:val="1"/>
    </w:lvl>
    <w:lvl w:ilvl="1">
      <w:lvlJc w:val="left"/>
      <w:lvlText w:val="(%2)"/>
      <w:numFmt w:val="lowerLetter"/>
      <w:start w:val="1"/>
    </w:lvl>
  </w:abstractNum>
  <w:abstractNum w:abstractNumId="418">
    <w:nsid w:val="58C05B8A"/>
    <w:multiLevelType w:val="hybridMultilevel"/>
    <w:lvl w:ilvl="0">
      <w:lvlJc w:val="left"/>
      <w:lvlText w:val="(%1)"/>
      <w:numFmt w:val="lowerRoman"/>
      <w:start w:val="1"/>
    </w:lvl>
    <w:lvl w:ilvl="1">
      <w:lvlJc w:val="left"/>
      <w:lvlText w:val="(%2)"/>
      <w:numFmt w:val="lowerLetter"/>
      <w:start w:val="2"/>
    </w:lvl>
  </w:abstractNum>
  <w:abstractNum w:abstractNumId="419">
    <w:nsid w:val="38D82E71"/>
    <w:multiLevelType w:val="hybridMultilevel"/>
    <w:lvl w:ilvl="0">
      <w:lvlJc w:val="left"/>
      <w:lvlText w:val="(%1)"/>
      <w:numFmt w:val="lowerLetter"/>
      <w:start w:val="3"/>
    </w:lvl>
  </w:abstractNum>
  <w:abstractNum w:abstractNumId="420">
    <w:nsid w:val="1E41098A"/>
    <w:multiLevelType w:val="hybridMultilevel"/>
    <w:lvl w:ilvl="0">
      <w:lvlJc w:val="left"/>
      <w:lvlText w:val="(%1)"/>
      <w:numFmt w:val="lowerLetter"/>
      <w:start w:val="1"/>
    </w:lvl>
  </w:abstractNum>
  <w:abstractNum w:abstractNumId="421">
    <w:nsid w:val="5398582C"/>
    <w:multiLevelType w:val="hybridMultilevel"/>
    <w:lvl w:ilvl="0">
      <w:lvlJc w:val="left"/>
      <w:lvlText w:val="%1"/>
      <w:numFmt w:val="lowerLetter"/>
      <w:start w:val="1"/>
    </w:lvl>
    <w:lvl w:ilvl="1">
      <w:lvlJc w:val="left"/>
      <w:lvlText w:val="(%2)"/>
      <w:numFmt w:val="lowerLetter"/>
      <w:start w:val="4"/>
    </w:lvl>
  </w:abstractNum>
  <w:abstractNum w:abstractNumId="422">
    <w:nsid w:val="1C0D4475"/>
    <w:multiLevelType w:val="hybridMultilevel"/>
    <w:lvl w:ilvl="0">
      <w:lvlJc w:val="left"/>
      <w:lvlText w:val="(%1)"/>
      <w:numFmt w:val="lowerLetter"/>
      <w:start w:val="35"/>
    </w:lvl>
    <w:lvl w:ilvl="1">
      <w:lvlJc w:val="left"/>
      <w:lvlText w:val="(%2)"/>
      <w:numFmt w:val="lowerLetter"/>
      <w:start w:val="6"/>
    </w:lvl>
  </w:abstractNum>
  <w:abstractNum w:abstractNumId="423">
    <w:nsid w:val="2CB6A6A4"/>
    <w:multiLevelType w:val="hybridMultilevel"/>
    <w:lvl w:ilvl="0">
      <w:lvlJc w:val="left"/>
      <w:lvlText w:val="(%1)"/>
      <w:numFmt w:val="lowerLetter"/>
      <w:start w:val="7"/>
    </w:lvl>
  </w:abstractNum>
  <w:abstractNum w:abstractNumId="424">
    <w:nsid w:val="41D646BC"/>
    <w:multiLevelType w:val="hybridMultilevel"/>
    <w:lvl w:ilvl="0">
      <w:lvlJc w:val="left"/>
      <w:lvlText w:val="(%1)"/>
      <w:numFmt w:val="lowerLetter"/>
      <w:start w:val="16"/>
    </w:lvl>
  </w:abstractNum>
  <w:abstractNum w:abstractNumId="425">
    <w:nsid w:val="3694A76A"/>
    <w:multiLevelType w:val="hybridMultilevel"/>
    <w:lvl w:ilvl="0">
      <w:lvlJc w:val="left"/>
      <w:lvlText w:val="(%1)"/>
      <w:numFmt w:val="lowerLetter"/>
      <w:start w:val="24"/>
    </w:lvl>
  </w:abstractNum>
  <w:abstractNum w:abstractNumId="426">
    <w:nsid w:val="2BF876EE"/>
    <w:multiLevelType w:val="hybridMultilevel"/>
    <w:lvl w:ilvl="0">
      <w:lvlJc w:val="left"/>
      <w:lvlText w:val="(%1)"/>
      <w:numFmt w:val="lowerLetter"/>
      <w:start w:val="27"/>
    </w:lvl>
  </w:abstractNum>
  <w:abstractNum w:abstractNumId="427">
    <w:nsid w:val="675ADBA"/>
    <w:multiLevelType w:val="hybridMultilevel"/>
    <w:lvl w:ilvl="0">
      <w:lvlJc w:val="left"/>
      <w:lvlText w:val="%1"/>
      <w:numFmt w:val="lowerLetter"/>
      <w:start w:val="1"/>
    </w:lvl>
    <w:lvl w:ilvl="1">
      <w:lvlJc w:val="left"/>
      <w:lvlText w:val="(%2)"/>
      <w:numFmt w:val="lowerLetter"/>
      <w:start w:val="1"/>
    </w:lvl>
  </w:abstractNum>
  <w:abstractNum w:abstractNumId="428">
    <w:nsid w:val="C12AC7F"/>
    <w:multiLevelType w:val="hybridMultilevel"/>
    <w:lvl w:ilvl="0">
      <w:lvlJc w:val="left"/>
      <w:lvlText w:val="(%1)"/>
      <w:numFmt w:val="lowerLetter"/>
      <w:start w:val="61"/>
    </w:lvl>
    <w:lvl w:ilvl="1">
      <w:lvlJc w:val="left"/>
      <w:lvlText w:val="%2"/>
      <w:numFmt w:val="lowerLetter"/>
      <w:start w:val="1"/>
    </w:lvl>
  </w:abstractNum>
  <w:abstractNum w:abstractNumId="429">
    <w:nsid w:val="6798F039"/>
    <w:multiLevelType w:val="hybridMultilevel"/>
    <w:lvl w:ilvl="0">
      <w:lvlJc w:val="left"/>
      <w:lvlText w:val="(%1)"/>
      <w:numFmt w:val="lowerLetter"/>
      <w:start w:val="5"/>
    </w:lvl>
  </w:abstractNum>
  <w:abstractNum w:abstractNumId="430">
    <w:nsid w:val="70837C02"/>
    <w:multiLevelType w:val="hybridMultilevel"/>
    <w:lvl w:ilvl="0">
      <w:lvlJc w:val="left"/>
      <w:lvlText w:val="%1"/>
      <w:numFmt w:val="upperLetter"/>
      <w:start w:val="1"/>
    </w:lvl>
    <w:lvl w:ilvl="1">
      <w:lvlJc w:val="left"/>
      <w:lvlText w:val="(%2)"/>
      <w:numFmt w:val="lowerLetter"/>
      <w:start w:val="14"/>
    </w:lvl>
  </w:abstractNum>
  <w:abstractNum w:abstractNumId="431">
    <w:nsid w:val="7E4A5715"/>
    <w:multiLevelType w:val="hybridMultilevel"/>
    <w:lvl w:ilvl="0">
      <w:lvlJc w:val="left"/>
      <w:lvlText w:val="(%1)"/>
      <w:numFmt w:val="upperLetter"/>
      <w:start w:val="1"/>
    </w:lvl>
    <w:lvl w:ilvl="1">
      <w:lvlJc w:val="left"/>
      <w:lvlText w:val="%2"/>
      <w:numFmt w:val="lowerLetter"/>
      <w:start w:val="1"/>
    </w:lvl>
  </w:abstractNum>
  <w:abstractNum w:abstractNumId="432">
    <w:nsid w:val="42B8AC67"/>
    <w:multiLevelType w:val="hybridMultilevel"/>
    <w:lvl w:ilvl="0">
      <w:lvlJc w:val="left"/>
      <w:lvlText w:val="(%1)"/>
      <w:numFmt w:val="lowerLetter"/>
      <w:start w:val="1"/>
    </w:lvl>
  </w:abstractNum>
  <w:abstractNum w:abstractNumId="433">
    <w:nsid w:val="246348EA"/>
    <w:multiLevelType w:val="hybridMultilevel"/>
    <w:lvl w:ilvl="0">
      <w:lvlJc w:val="left"/>
      <w:lvlText w:val="(%1)"/>
      <w:numFmt w:val="lowerLetter"/>
      <w:start w:val="4"/>
    </w:lvl>
  </w:abstractNum>
  <w:abstractNum w:abstractNumId="434">
    <w:nsid w:val="170EB52B"/>
    <w:multiLevelType w:val="hybridMultilevel"/>
    <w:lvl w:ilvl="0">
      <w:lvlJc w:val="left"/>
      <w:lvlText w:val="(%1)"/>
      <w:numFmt w:val="lowerLetter"/>
      <w:start w:val="15"/>
    </w:lvl>
  </w:abstractNum>
  <w:abstractNum w:abstractNumId="435">
    <w:nsid w:val="2DFBCB8C"/>
    <w:multiLevelType w:val="hybridMultilevel"/>
    <w:lvl w:ilvl="0">
      <w:lvlJc w:val="left"/>
      <w:lvlText w:val="%1"/>
      <w:numFmt w:val="lowerLetter"/>
      <w:start w:val="1"/>
    </w:lvl>
    <w:lvl w:ilvl="1">
      <w:lvlJc w:val="left"/>
      <w:lvlText w:val="(%2)"/>
      <w:numFmt w:val="lowerLetter"/>
      <w:start w:val="1"/>
    </w:lvl>
  </w:abstractNum>
  <w:abstractNum w:abstractNumId="436">
    <w:nsid w:val="3830D6B6"/>
    <w:multiLevelType w:val="hybridMultilevel"/>
    <w:lvl w:ilvl="0">
      <w:lvlJc w:val="left"/>
      <w:lvlText w:val="(%1)"/>
      <w:numFmt w:val="lowerLetter"/>
      <w:start w:val="9"/>
    </w:lvl>
    <w:lvl w:ilvl="1">
      <w:lvlJc w:val="left"/>
      <w:lvlText w:val="%2"/>
      <w:numFmt w:val="lowerLetter"/>
      <w:start w:val="1"/>
    </w:lvl>
  </w:abstractNum>
  <w:abstractNum w:abstractNumId="437">
    <w:nsid w:val="6D48CF87"/>
    <w:multiLevelType w:val="hybridMultilevel"/>
    <w:lvl w:ilvl="0">
      <w:lvlJc w:val="left"/>
      <w:lvlText w:val="(%1)"/>
      <w:numFmt w:val="lowerRoman"/>
      <w:start w:val="2"/>
    </w:lvl>
    <w:lvl w:ilvl="1">
      <w:lvlJc w:val="left"/>
      <w:lvlText w:val="(%2)"/>
      <w:numFmt w:val="lowerLetter"/>
      <w:start w:val="4"/>
    </w:lvl>
  </w:abstractNum>
  <w:abstractNum w:abstractNumId="438">
    <w:nsid w:val="576FC41B"/>
    <w:multiLevelType w:val="hybridMultilevel"/>
    <w:lvl w:ilvl="0">
      <w:lvlJc w:val="left"/>
      <w:lvlText w:val="%1"/>
      <w:numFmt w:val="lowerRoman"/>
      <w:start w:val="1"/>
    </w:lvl>
    <w:lvl w:ilvl="1">
      <w:lvlJc w:val="left"/>
      <w:lvlText w:val="(%2)"/>
      <w:numFmt w:val="lowerLetter"/>
      <w:start w:val="1"/>
    </w:lvl>
  </w:abstractNum>
  <w:abstractNum w:abstractNumId="439">
    <w:nsid w:val="64A1C464"/>
    <w:multiLevelType w:val="hybridMultilevel"/>
    <w:lvl w:ilvl="0">
      <w:lvlJc w:val="left"/>
      <w:lvlText w:val="(%1)"/>
      <w:numFmt w:val="lowerRoman"/>
      <w:start w:val="1"/>
    </w:lvl>
    <w:lvl w:ilvl="1">
      <w:lvlJc w:val="left"/>
      <w:lvlText w:val="%2"/>
      <w:numFmt w:val="lowerLetter"/>
      <w:start w:val="1"/>
    </w:lvl>
  </w:abstractNum>
  <w:abstractNum w:abstractNumId="440">
    <w:nsid w:val="31723BF5"/>
    <w:multiLevelType w:val="hybridMultilevel"/>
    <w:lvl w:ilvl="0">
      <w:lvlJc w:val="left"/>
      <w:lvlText w:val="(%1)"/>
      <w:numFmt w:val="lowerLetter"/>
      <w:start w:val="22"/>
    </w:lvl>
    <w:lvl w:ilvl="1">
      <w:lvlJc w:val="left"/>
      <w:lvlText w:val="(%2)"/>
      <w:numFmt w:val="lowerLetter"/>
      <w:start w:val="2"/>
    </w:lvl>
  </w:abstractNum>
  <w:abstractNum w:abstractNumId="441">
    <w:nsid w:val="11F69861"/>
    <w:multiLevelType w:val="hybridMultilevel"/>
    <w:lvl w:ilvl="0">
      <w:lvlJc w:val="left"/>
      <w:lvlText w:val="(%1)"/>
      <w:numFmt w:val="lowerRoman"/>
      <w:start w:val="1"/>
    </w:lvl>
    <w:lvl w:ilvl="1">
      <w:lvlJc w:val="left"/>
      <w:lvlText w:val="(%2)"/>
      <w:numFmt w:val="upperLetter"/>
      <w:start w:val="1"/>
    </w:lvl>
  </w:abstractNum>
  <w:abstractNum w:abstractNumId="442">
    <w:nsid w:val="369956AB"/>
    <w:multiLevelType w:val="hybridMultilevel"/>
    <w:lvl w:ilvl="0">
      <w:lvlJc w:val="left"/>
      <w:lvlText w:val="%1"/>
      <w:numFmt w:val="lowerRoman"/>
      <w:start w:val="1"/>
    </w:lvl>
    <w:lvl w:ilvl="1">
      <w:lvlJc w:val="left"/>
      <w:lvlText w:val="(%2)"/>
      <w:numFmt w:val="upperLetter"/>
      <w:start w:val="4"/>
    </w:lvl>
  </w:abstractNum>
  <w:abstractNum w:abstractNumId="443">
    <w:nsid w:val="D3BE41C"/>
    <w:multiLevelType w:val="hybridMultilevel"/>
    <w:lvl w:ilvl="0">
      <w:lvlJc w:val="left"/>
      <w:lvlText w:val="(%1)"/>
      <w:numFmt w:val="lowerRoman"/>
      <w:start w:val="2"/>
    </w:lvl>
    <w:lvl w:ilvl="1">
      <w:lvlJc w:val="left"/>
      <w:lvlText w:val="(%2)"/>
      <w:numFmt w:val="upperLetter"/>
      <w:start w:val="1"/>
    </w:lvl>
  </w:abstractNum>
  <w:abstractNum w:abstractNumId="444">
    <w:nsid w:val="4CDA15E7"/>
    <w:multiLevelType w:val="hybridMultilevel"/>
    <w:lvl w:ilvl="0">
      <w:lvlJc w:val="left"/>
      <w:lvlText w:val="(%1)"/>
      <w:numFmt w:val="lowerLetter"/>
      <w:start w:val="1"/>
    </w:lvl>
  </w:abstractNum>
  <w:abstractNum w:abstractNumId="445">
    <w:nsid w:val="7BDD6690"/>
    <w:multiLevelType w:val="hybridMultilevel"/>
    <w:lvl w:ilvl="0">
      <w:lvlJc w:val="left"/>
      <w:lvlText w:val="(%1)"/>
      <w:numFmt w:val="lowerLetter"/>
      <w:start w:val="6"/>
    </w:lvl>
  </w:abstractNum>
  <w:abstractNum w:abstractNumId="446">
    <w:nsid w:val="DFB5C5B"/>
    <w:multiLevelType w:val="hybridMultilevel"/>
    <w:lvl w:ilvl="0">
      <w:lvlJc w:val="left"/>
      <w:lvlText w:val="%1"/>
      <w:numFmt w:val="lowerLetter"/>
      <w:start w:val="1"/>
    </w:lvl>
    <w:lvl w:ilvl="1">
      <w:lvlJc w:val="left"/>
      <w:lvlText w:val="(%2)"/>
      <w:numFmt w:val="lowerLetter"/>
      <w:start w:val="8"/>
    </w:lvl>
  </w:abstractNum>
  <w:abstractNum w:abstractNumId="447">
    <w:nsid w:val="6F3E5490"/>
    <w:multiLevelType w:val="hybridMultilevel"/>
    <w:lvl w:ilvl="0">
      <w:lvlJc w:val="left"/>
      <w:lvlText w:val="(%1)"/>
      <w:numFmt w:val="lowerLetter"/>
      <w:start w:val="9"/>
    </w:lvl>
    <w:lvl w:ilvl="1">
      <w:lvlJc w:val="left"/>
      <w:lvlText w:val="(%2)"/>
      <w:numFmt w:val="lowerLetter"/>
      <w:start w:val="9"/>
    </w:lvl>
  </w:abstractNum>
  <w:abstractNum w:abstractNumId="448">
    <w:nsid w:val="1464BE1E"/>
    <w:multiLevelType w:val="hybridMultilevel"/>
    <w:lvl w:ilvl="0">
      <w:lvlJc w:val="left"/>
      <w:lvlText w:val="(%1)"/>
      <w:numFmt w:val="lowerLetter"/>
      <w:start w:val="12"/>
    </w:lvl>
  </w:abstractNum>
  <w:abstractNum w:abstractNumId="449">
    <w:nsid w:val="66BBB7E5"/>
    <w:multiLevelType w:val="hybridMultilevel"/>
    <w:lvl w:ilvl="0">
      <w:lvlJc w:val="left"/>
      <w:lvlText w:val="(%1)"/>
      <w:numFmt w:val="lowerLetter"/>
      <w:start w:val="1"/>
    </w:lvl>
  </w:abstractNum>
  <w:abstractNum w:abstractNumId="450">
    <w:nsid w:val="28168302"/>
    <w:multiLevelType w:val="hybridMultilevel"/>
    <w:lvl w:ilvl="0">
      <w:lvlJc w:val="left"/>
      <w:lvlText w:val="%1"/>
      <w:numFmt w:val="lowerLetter"/>
      <w:start w:val="1"/>
    </w:lvl>
    <w:lvl w:ilvl="1">
      <w:lvlJc w:val="left"/>
      <w:lvlText w:val="(%2)"/>
      <w:numFmt w:val="lowerLetter"/>
      <w:start w:val="3"/>
    </w:lvl>
  </w:abstractNum>
  <w:abstractNum w:abstractNumId="451">
    <w:nsid w:val="32A5C7A8"/>
    <w:multiLevelType w:val="hybridMultilevel"/>
    <w:lvl w:ilvl="0">
      <w:lvlJc w:val="left"/>
      <w:lvlText w:val="(%1)"/>
      <w:numFmt w:val="lowerLetter"/>
      <w:start w:val="9"/>
    </w:lvl>
    <w:lvl w:ilvl="1">
      <w:lvlJc w:val="left"/>
      <w:lvlText w:val="%2"/>
      <w:numFmt w:val="lowerLetter"/>
      <w:start w:val="1"/>
    </w:lvl>
  </w:abstractNum>
  <w:abstractNum w:abstractNumId="452">
    <w:nsid w:val="3A541011"/>
    <w:multiLevelType w:val="hybridMultilevel"/>
    <w:lvl w:ilvl="0">
      <w:lvlJc w:val="left"/>
      <w:lvlText w:val="(%1)"/>
      <w:numFmt w:val="lowerLetter"/>
      <w:start w:val="35"/>
    </w:lvl>
    <w:lvl w:ilvl="1">
      <w:lvlJc w:val="left"/>
      <w:lvlText w:val="(%2)"/>
      <w:numFmt w:val="lowerLetter"/>
      <w:start w:val="4"/>
    </w:lvl>
  </w:abstractNum>
  <w:abstractNum w:abstractNumId="453">
    <w:nsid w:val="4423C777"/>
    <w:multiLevelType w:val="hybridMultilevel"/>
    <w:lvl w:ilvl="0">
      <w:lvlJc w:val="left"/>
      <w:lvlText w:val="(%1)"/>
      <w:numFmt w:val="lowerRoman"/>
      <w:start w:val="1"/>
    </w:lvl>
  </w:abstractNum>
  <w:abstractNum w:abstractNumId="454">
    <w:nsid w:val="5F5C6E4D"/>
    <w:multiLevelType w:val="hybridMultilevel"/>
    <w:lvl w:ilvl="0">
      <w:lvlJc w:val="left"/>
      <w:lvlText w:val="(%1)"/>
      <w:numFmt w:val="lowerLetter"/>
      <w:start w:val="7"/>
    </w:lvl>
  </w:abstractNum>
  <w:abstractNum w:abstractNumId="455">
    <w:nsid w:val="7C2A56CD"/>
    <w:multiLevelType w:val="hybridMultilevel"/>
    <w:lvl w:ilvl="0">
      <w:lvlJc w:val="left"/>
      <w:lvlText w:val="%1"/>
      <w:numFmt w:val="lowerRoman"/>
      <w:start w:val="1"/>
    </w:lvl>
    <w:lvl w:ilvl="1">
      <w:lvlJc w:val="left"/>
      <w:lvlText w:val="(%2)"/>
      <w:numFmt w:val="lowerLetter"/>
      <w:start w:val="1"/>
    </w:lvl>
  </w:abstractNum>
  <w:abstractNum w:abstractNumId="456">
    <w:nsid w:val="7AB86EE1"/>
    <w:multiLevelType w:val="hybridMultilevel"/>
    <w:lvl w:ilvl="0">
      <w:lvlJc w:val="left"/>
      <w:lvlText w:val="(%1)"/>
      <w:numFmt w:val="lowerRoman"/>
      <w:start w:val="4"/>
    </w:lvl>
    <w:lvl w:ilvl="1">
      <w:lvlJc w:val="left"/>
      <w:lvlText w:val="%2"/>
      <w:numFmt w:val="lowerLetter"/>
      <w:start w:val="1"/>
    </w:lvl>
  </w:abstractNum>
  <w:abstractNum w:abstractNumId="457">
    <w:nsid w:val="B54E53B"/>
    <w:multiLevelType w:val="hybridMultilevel"/>
    <w:lvl w:ilvl="0">
      <w:lvlJc w:val="left"/>
      <w:lvlText w:val="(%1)"/>
      <w:numFmt w:val="lowerLetter"/>
      <w:start w:val="3"/>
    </w:lvl>
  </w:abstractNum>
  <w:abstractNum w:abstractNumId="458">
    <w:nsid w:val="2A00487"/>
    <w:multiLevelType w:val="hybridMultilevel"/>
    <w:lvl w:ilvl="0">
      <w:lvlJc w:val="left"/>
      <w:lvlText w:val="(%1)"/>
      <w:numFmt w:val="lowerLetter"/>
      <w:start w:val="1"/>
    </w:lvl>
  </w:abstractNum>
  <w:abstractNum w:abstractNumId="459">
    <w:nsid w:val="6CB1B60"/>
    <w:multiLevelType w:val="hybridMultilevel"/>
    <w:lvl w:ilvl="0">
      <w:lvlJc w:val="left"/>
      <w:lvlText w:val="(%1)"/>
      <w:numFmt w:val="lowerLetter"/>
      <w:start w:val="2"/>
    </w:lvl>
  </w:abstractNum>
  <w:abstractNum w:abstractNumId="460">
    <w:nsid w:val="72EDD574"/>
    <w:multiLevelType w:val="hybridMultilevel"/>
    <w:lvl w:ilvl="0">
      <w:lvlJc w:val="left"/>
      <w:lvlText w:val="(%1)"/>
      <w:numFmt w:val="lowerLetter"/>
      <w:start w:val="4"/>
    </w:lvl>
  </w:abstractNum>
  <w:abstractNum w:abstractNumId="461">
    <w:nsid w:val="7323808A"/>
    <w:multiLevelType w:val="hybridMultilevel"/>
    <w:lvl w:ilvl="0">
      <w:lvlJc w:val="left"/>
      <w:lvlText w:val="(%1)"/>
      <w:numFmt w:val="lowerLetter"/>
      <w:start w:val="1"/>
    </w:lvl>
  </w:abstractNum>
  <w:abstractNum w:abstractNumId="462">
    <w:nsid w:val="5157276"/>
    <w:multiLevelType w:val="hybridMultilevel"/>
    <w:lvl w:ilvl="0">
      <w:lvlJc w:val="left"/>
      <w:lvlText w:val="(%1)"/>
      <w:numFmt w:val="lowerLetter"/>
      <w:start w:val="1"/>
    </w:lvl>
  </w:abstractNum>
  <w:abstractNum w:abstractNumId="463">
    <w:nsid w:val="35A681DB"/>
    <w:multiLevelType w:val="hybridMultilevel"/>
    <w:lvl w:ilvl="0">
      <w:lvlJc w:val="left"/>
      <w:lvlText w:val="(%1)"/>
      <w:numFmt w:val="lowerLetter"/>
      <w:start w:val="3"/>
    </w:lvl>
  </w:abstractNum>
  <w:abstractNum w:abstractNumId="464">
    <w:nsid w:val="1786C974"/>
    <w:multiLevelType w:val="hybridMultilevel"/>
    <w:lvl w:ilvl="0">
      <w:lvlJc w:val="left"/>
      <w:lvlText w:val="(%1)"/>
      <w:numFmt w:val="lowerLetter"/>
      <w:start w:val="1"/>
    </w:lvl>
  </w:abstractNum>
  <w:abstractNum w:abstractNumId="465">
    <w:nsid w:val="1C2427A1"/>
    <w:multiLevelType w:val="hybridMultilevel"/>
    <w:lvl w:ilvl="0">
      <w:lvlJc w:val="left"/>
      <w:lvlText w:val="(%1)"/>
      <w:numFmt w:val="lowerLetter"/>
      <w:start w:val="2"/>
    </w:lvl>
  </w:abstractNum>
  <w:abstractNum w:abstractNumId="466">
    <w:nsid w:val="63A24D68"/>
    <w:multiLevelType w:val="hybridMultilevel"/>
    <w:lvl w:ilvl="0">
      <w:lvlJc w:val="left"/>
      <w:lvlText w:val="(%1)"/>
      <w:numFmt w:val="lowerRoman"/>
      <w:start w:val="2"/>
    </w:lvl>
  </w:abstractNum>
  <w:abstractNum w:abstractNumId="467">
    <w:nsid w:val="4FB7A02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68">
    <w:nsid w:val="96CF728"/>
    <w:multiLevelType w:val="hybridMultilevel"/>
    <w:lvl w:ilvl="0">
      <w:lvlJc w:val="left"/>
      <w:lvlText w:val="%1"/>
      <w:numFmt w:val="lowerLetter"/>
      <w:start w:val="1"/>
    </w:lvl>
    <w:lvl w:ilvl="1">
      <w:lvlJc w:val="left"/>
      <w:lvlText w:val="(%2)"/>
      <w:numFmt w:val="lowerLetter"/>
      <w:start w:val="25"/>
    </w:lvl>
    <w:lvl w:ilvl="2">
      <w:lvlJc w:val="left"/>
      <w:lvlText w:val="%3"/>
      <w:numFmt w:val="lowerLetter"/>
      <w:start w:val="1"/>
    </w:lvl>
  </w:abstractNum>
  <w:abstractNum w:abstractNumId="469">
    <w:nsid w:val="3B121183"/>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470">
    <w:nsid w:val="3459648F"/>
    <w:multiLevelType w:val="hybridMultilevel"/>
    <w:lvl w:ilvl="0">
      <w:lvlJc w:val="left"/>
      <w:lvlText w:val="(%1)"/>
      <w:numFmt w:val="lowerRoman"/>
      <w:start w:val="2"/>
    </w:lvl>
    <w:lvl w:ilvl="1">
      <w:lvlJc w:val="left"/>
      <w:lvlText w:val="(%2)"/>
      <w:numFmt w:val="lowerLetter"/>
      <w:start w:val="2"/>
    </w:lvl>
  </w:abstractNum>
  <w:abstractNum w:abstractNumId="471">
    <w:nsid w:val="3ADF331D"/>
    <w:multiLevelType w:val="hybridMultilevel"/>
    <w:lvl w:ilvl="0">
      <w:lvlJc w:val="left"/>
      <w:lvlText w:val="(%1)"/>
      <w:numFmt w:val="lowerLetter"/>
      <w:start w:val="3"/>
    </w:lvl>
  </w:abstractNum>
  <w:abstractNum w:abstractNumId="472">
    <w:nsid w:val="4D08A9E4"/>
    <w:multiLevelType w:val="hybridMultilevel"/>
    <w:lvl w:ilvl="0">
      <w:lvlJc w:val="left"/>
      <w:lvlText w:val="%1"/>
      <w:numFmt w:val="lowerLetter"/>
      <w:start w:val="1"/>
    </w:lvl>
    <w:lvl w:ilvl="1">
      <w:lvlJc w:val="left"/>
      <w:lvlText w:val="(%2)"/>
      <w:numFmt w:val="lowerLetter"/>
      <w:start w:val="1"/>
    </w:lvl>
  </w:abstractNum>
  <w:abstractNum w:abstractNumId="473">
    <w:nsid w:val="6AF2BB3A"/>
    <w:multiLevelType w:val="hybridMultilevel"/>
    <w:lvl w:ilvl="0">
      <w:lvlJc w:val="left"/>
      <w:lvlText w:val="(%1)"/>
      <w:numFmt w:val="lowerLetter"/>
      <w:start w:val="9"/>
    </w:lvl>
    <w:lvl w:ilvl="1">
      <w:lvlJc w:val="left"/>
      <w:lvlText w:val="%2"/>
      <w:numFmt w:val="lowerLetter"/>
      <w:start w:val="1"/>
    </w:lvl>
  </w:abstractNum>
  <w:abstractNum w:abstractNumId="474">
    <w:nsid w:val="481B1739"/>
    <w:multiLevelType w:val="hybridMultilevel"/>
    <w:lvl w:ilvl="0">
      <w:lvlJc w:val="left"/>
      <w:lvlText w:val="(%1)"/>
      <w:numFmt w:val="lowerRoman"/>
      <w:start w:val="2"/>
    </w:lvl>
  </w:abstractNum>
  <w:abstractNum w:abstractNumId="475">
    <w:nsid w:val="19E2BFCC"/>
    <w:multiLevelType w:val="hybridMultilevel"/>
    <w:lvl w:ilvl="0">
      <w:lvlJc w:val="left"/>
      <w:lvlText w:val="(%1)"/>
      <w:numFmt w:val="lowerRoman"/>
      <w:start w:val="3"/>
    </w:lvl>
  </w:abstractNum>
  <w:abstractNum w:abstractNumId="476">
    <w:nsid w:val="66D021CA"/>
    <w:multiLevelType w:val="hybridMultilevel"/>
    <w:lvl w:ilvl="0">
      <w:lvlJc w:val="left"/>
      <w:lvlText w:val="(%1)"/>
      <w:numFmt w:val="lowerLetter"/>
      <w:start w:val="2"/>
    </w:lvl>
  </w:abstractNum>
  <w:abstractNum w:abstractNumId="477">
    <w:nsid w:val="56167394"/>
    <w:multiLevelType w:val="hybridMultilevel"/>
    <w:lvl w:ilvl="0">
      <w:lvlJc w:val="left"/>
      <w:lvlText w:val="(%1)"/>
      <w:numFmt w:val="lowerLetter"/>
      <w:start w:val="35"/>
    </w:lvl>
    <w:lvl w:ilvl="1">
      <w:lvlJc w:val="left"/>
      <w:lvlText w:val="(%2)"/>
      <w:numFmt w:val="lowerLetter"/>
      <w:start w:val="3"/>
    </w:lvl>
  </w:abstractNum>
  <w:abstractNum w:abstractNumId="478">
    <w:nsid w:val="921145C"/>
    <w:multiLevelType w:val="hybridMultilevel"/>
    <w:lvl w:ilvl="0">
      <w:lvlJc w:val="left"/>
      <w:lvlText w:val="%1"/>
      <w:numFmt w:val="lowerRoman"/>
      <w:start w:val="1"/>
    </w:lvl>
    <w:lvl w:ilvl="1">
      <w:lvlJc w:val="left"/>
      <w:lvlText w:val="(%2)"/>
      <w:numFmt w:val="lowerLetter"/>
      <w:start w:val="1"/>
    </w:lvl>
  </w:abstractNum>
  <w:abstractNum w:abstractNumId="479">
    <w:nsid w:val="7B34DFE8"/>
    <w:multiLevelType w:val="hybridMultilevel"/>
    <w:lvl w:ilvl="0">
      <w:lvlJc w:val="left"/>
      <w:lvlText w:val="(%1)"/>
      <w:numFmt w:val="lowerRoman"/>
      <w:start w:val="1"/>
    </w:lvl>
    <w:lvl w:ilvl="1">
      <w:lvlJc w:val="left"/>
      <w:lvlText w:val="%2"/>
      <w:numFmt w:val="lowerLetter"/>
      <w:start w:val="1"/>
    </w:lvl>
  </w:abstractNum>
  <w:abstractNum w:abstractNumId="480">
    <w:nsid w:val="3CD22B79"/>
    <w:multiLevelType w:val="hybridMultilevel"/>
    <w:lvl w:ilvl="0">
      <w:lvlJc w:val="left"/>
      <w:lvlText w:val="(%1)"/>
      <w:numFmt w:val="lowerRoman"/>
      <w:start w:val="3"/>
    </w:lvl>
  </w:abstractNum>
  <w:abstractNum w:abstractNumId="481">
    <w:nsid w:val="3137975E"/>
    <w:multiLevelType w:val="hybridMultilevel"/>
    <w:lvl w:ilvl="0">
      <w:lvlJc w:val="left"/>
      <w:lvlText w:val="(%1)"/>
      <w:numFmt w:val="lowerLetter"/>
      <w:start w:val="3"/>
    </w:lvl>
  </w:abstractNum>
  <w:abstractNum w:abstractNumId="482">
    <w:nsid w:val="2DDAA791"/>
    <w:multiLevelType w:val="hybridMultilevel"/>
    <w:lvl w:ilvl="0">
      <w:lvlJc w:val="left"/>
      <w:lvlText w:val="(%1)"/>
      <w:numFmt w:val="lowerLetter"/>
      <w:start w:val="5"/>
    </w:lvl>
  </w:abstractNum>
  <w:abstractNum w:abstractNumId="483">
    <w:nsid w:val="77263B8A"/>
    <w:multiLevelType w:val="hybridMultilevel"/>
    <w:lvl w:ilvl="0">
      <w:lvlJc w:val="left"/>
      <w:lvlText w:val="(%1)"/>
      <w:numFmt w:val="lowerLetter"/>
      <w:start w:val="6"/>
    </w:lvl>
  </w:abstractNum>
  <w:abstractNum w:abstractNumId="484">
    <w:nsid w:val="755B5ED6"/>
    <w:multiLevelType w:val="hybridMultilevel"/>
    <w:lvl w:ilvl="0">
      <w:lvlJc w:val="left"/>
      <w:lvlText w:val="(%1)"/>
      <w:numFmt w:val="lowerLetter"/>
      <w:start w:val="1"/>
    </w:lvl>
  </w:abstractNum>
  <w:abstractNum w:abstractNumId="485">
    <w:nsid w:val="D3715DE"/>
    <w:multiLevelType w:val="hybridMultilevel"/>
    <w:lvl w:ilvl="0">
      <w:lvlJc w:val="left"/>
      <w:lvlText w:val="(%1)"/>
      <w:numFmt w:val="lowerRoman"/>
      <w:start w:val="1"/>
    </w:lvl>
  </w:abstractNum>
  <w:abstractNum w:abstractNumId="486">
    <w:nsid w:val="73509257"/>
    <w:multiLevelType w:val="hybridMultilevel"/>
    <w:lvl w:ilvl="0">
      <w:lvlJc w:val="left"/>
      <w:lvlText w:val="(%1)"/>
      <w:numFmt w:val="lowerLetter"/>
      <w:start w:val="2"/>
    </w:lvl>
  </w:abstractNum>
  <w:abstractNum w:abstractNumId="487">
    <w:nsid w:val="7013CDB7"/>
    <w:multiLevelType w:val="hybridMultilevel"/>
    <w:lvl w:ilvl="0">
      <w:lvlJc w:val="left"/>
      <w:lvlText w:val="%1"/>
      <w:numFmt w:val="lowerLetter"/>
      <w:start w:val="1"/>
    </w:lvl>
    <w:lvl w:ilvl="1">
      <w:lvlJc w:val="left"/>
      <w:lvlText w:val="(%2)"/>
      <w:numFmt w:val="lowerLetter"/>
      <w:start w:val="3"/>
    </w:lvl>
  </w:abstractNum>
  <w:abstractNum w:abstractNumId="488">
    <w:nsid w:val="188BFB19"/>
    <w:multiLevelType w:val="hybridMultilevel"/>
    <w:lvl w:ilvl="0">
      <w:lvlJc w:val="left"/>
      <w:lvlText w:val="(%1)"/>
      <w:numFmt w:val="lowerLetter"/>
      <w:start w:val="1"/>
    </w:lvl>
    <w:lvl w:ilvl="1">
      <w:lvlJc w:val="left"/>
      <w:lvlText w:val="%2"/>
      <w:numFmt w:val="lowerLetter"/>
      <w:start w:val="1"/>
    </w:lvl>
  </w:abstractNum>
  <w:abstractNum w:abstractNumId="489">
    <w:nsid w:val="75F096DF"/>
    <w:multiLevelType w:val="hybridMultilevel"/>
    <w:lvl w:ilvl="0">
      <w:lvlJc w:val="left"/>
      <w:lvlText w:val="(%1)"/>
      <w:numFmt w:val="lowerLetter"/>
      <w:start w:val="4"/>
    </w:lvl>
  </w:abstractNum>
  <w:abstractNum w:abstractNumId="490">
    <w:nsid w:val="76DEE918"/>
    <w:multiLevelType w:val="hybridMultilevel"/>
    <w:lvl w:ilvl="0">
      <w:lvlJc w:val="left"/>
      <w:lvlText w:val="(%1)"/>
      <w:numFmt w:val="lowerLetter"/>
      <w:start w:val="1"/>
    </w:lvl>
  </w:abstractNum>
  <w:abstractNum w:abstractNumId="491">
    <w:nsid w:val="B79D08D"/>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abstractNum>
  <w:abstractNum w:abstractNumId="492">
    <w:nsid w:val="6914176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493">
    <w:nsid w:val="7BF45B8E"/>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abstractNum>
  <w:abstractNum w:abstractNumId="494">
    <w:nsid w:val="41205269"/>
    <w:multiLevelType w:val="hybridMultilevel"/>
    <w:lvl w:ilvl="0">
      <w:lvlJc w:val="left"/>
      <w:lvlText w:val="(%1)"/>
      <w:numFmt w:val="upperLetter"/>
      <w:start w:val="4"/>
    </w:lvl>
  </w:abstractNum>
  <w:abstractNum w:abstractNumId="495">
    <w:nsid w:val="9AE0DD"/>
    <w:multiLevelType w:val="hybridMultilevel"/>
    <w:lvl w:ilvl="0">
      <w:lvlJc w:val="left"/>
      <w:lvlText w:val="(%1)"/>
      <w:numFmt w:val="lowerLetter"/>
      <w:start w:val="5"/>
    </w:lvl>
    <w:lvl w:ilvl="1">
      <w:lvlJc w:val="left"/>
      <w:lvlText w:val="(%2)"/>
      <w:numFmt w:val="lowerRoman"/>
      <w:start w:val="3"/>
    </w:lvl>
  </w:abstractNum>
  <w:abstractNum w:abstractNumId="496">
    <w:nsid w:val="1818832F"/>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1"/>
    </w:lvl>
  </w:abstractNum>
  <w:abstractNum w:abstractNumId="497">
    <w:nsid w:val="24C29FD1"/>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
    </w:lvl>
  </w:abstractNum>
  <w:abstractNum w:abstractNumId="498">
    <w:nsid w:val="50528108"/>
    <w:multiLevelType w:val="hybridMultilevel"/>
    <w:lvl w:ilvl="0">
      <w:lvlJc w:val="left"/>
      <w:lvlText w:val="(%1)"/>
      <w:numFmt w:val="lowerLetter"/>
      <w:start w:val="4"/>
    </w:lvl>
  </w:abstractNum>
  <w:abstractNum w:abstractNumId="499">
    <w:nsid w:val="21857A5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abstractNum>
  <w:abstractNum w:abstractNumId="500">
    <w:nsid w:val="5FD4B154"/>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501">
    <w:nsid w:val="4ABE597"/>
    <w:multiLevelType w:val="hybridMultilevel"/>
    <w:lvl w:ilvl="0">
      <w:lvlJc w:val="left"/>
      <w:lvlText w:val="(%1)"/>
      <w:numFmt w:val="lowerLetter"/>
      <w:start w:val="5"/>
    </w:lvl>
    <w:lvl w:ilvl="1">
      <w:lvlJc w:val="left"/>
      <w:lvlText w:val="(%2)"/>
      <w:numFmt w:val="lowerLetter"/>
      <w:start w:val="35"/>
    </w:lvl>
    <w:lvl w:ilvl="2">
      <w:lvlJc w:val="left"/>
      <w:lvlText w:val="%3"/>
      <w:numFmt w:val="lowerLetter"/>
      <w:start w:val="1"/>
    </w:lvl>
  </w:abstractNum>
  <w:abstractNum w:abstractNumId="502">
    <w:nsid w:val="5C64AD75"/>
    <w:multiLevelType w:val="hybridMultilevel"/>
    <w:lvl w:ilvl="0">
      <w:lvlJc w:val="left"/>
      <w:lvlText w:val="(%1)"/>
      <w:numFmt w:val="lowerRoman"/>
      <w:start w:val="3"/>
    </w:lvl>
  </w:abstractNum>
  <w:abstractNum w:abstractNumId="503">
    <w:nsid w:val="2CDD5B39"/>
    <w:multiLevelType w:val="hybridMultilevel"/>
    <w:lvl w:ilvl="0">
      <w:lvlJc w:val="left"/>
      <w:lvlText w:val="%1"/>
      <w:numFmt w:val="upperLetter"/>
      <w:start w:val="1"/>
    </w:lvl>
    <w:lvl w:ilvl="1">
      <w:lvlJc w:val="left"/>
      <w:lvlText w:val="(%2)"/>
      <w:numFmt w:val="lowerRoman"/>
      <w:start w:val="4"/>
    </w:lvl>
  </w:abstractNum>
  <w:abstractNum w:abstractNumId="504">
    <w:nsid w:val="6F9EA0D1"/>
    <w:multiLevelType w:val="hybridMultilevel"/>
    <w:lvl w:ilvl="0">
      <w:lvlJc w:val="left"/>
      <w:lvlText w:val="(%1)"/>
      <w:numFmt w:val="upperLetter"/>
      <w:start w:val="1"/>
    </w:lvl>
    <w:lvl w:ilvl="1">
      <w:lvlJc w:val="left"/>
      <w:lvlText w:val="(%2)"/>
      <w:numFmt w:val="lowerRoman"/>
      <w:start w:val="5"/>
    </w:lvl>
  </w:abstractNum>
  <w:abstractNum w:abstractNumId="505">
    <w:nsid w:val="247FC4AE"/>
    <w:multiLevelType w:val="hybridMultilevel"/>
    <w:lvl w:ilvl="0">
      <w:lvlJc w:val="left"/>
      <w:lvlText w:val="(%1)"/>
      <w:numFmt w:val="lowerLetter"/>
      <w:start w:val="25"/>
    </w:lvl>
  </w:abstractNum>
  <w:abstractNum w:abstractNumId="506">
    <w:nsid w:val="46C01B05"/>
    <w:multiLevelType w:val="hybridMultilevel"/>
    <w:lvl w:ilvl="0">
      <w:lvlJc w:val="left"/>
      <w:lvlText w:val="(%1)"/>
      <w:numFmt w:val="lowerLetter"/>
      <w:start w:val="1"/>
    </w:lvl>
  </w:abstractNum>
  <w:abstractNum w:abstractNumId="507">
    <w:nsid w:val="566EC29B"/>
    <w:multiLevelType w:val="hybridMultilevel"/>
    <w:lvl w:ilvl="0">
      <w:lvlJc w:val="left"/>
      <w:lvlText w:val="(%1)"/>
      <w:numFmt w:val="lowerLetter"/>
      <w:start w:val="5"/>
    </w:lvl>
  </w:abstractNum>
  <w:abstractNum w:abstractNumId="508">
    <w:nsid w:val="7A963843"/>
    <w:multiLevelType w:val="hybridMultilevel"/>
    <w:lvl w:ilvl="0">
      <w:lvlJc w:val="left"/>
      <w:lvlText w:val="(%1)"/>
      <w:numFmt w:val="decimal"/>
      <w:start w:val="1"/>
    </w:lvl>
  </w:abstractNum>
  <w:abstractNum w:abstractNumId="509">
    <w:nsid w:val="4FE12F61"/>
    <w:multiLevelType w:val="hybridMultilevel"/>
    <w:lvl w:ilvl="0">
      <w:lvlJc w:val="left"/>
      <w:lvlText w:val="(%1)"/>
      <w:numFmt w:val="lowerLetter"/>
      <w:start w:val="1"/>
    </w:lvl>
  </w:abstractNum>
  <w:abstractNum w:abstractNumId="510">
    <w:nsid w:val="51A3A284"/>
    <w:multiLevelType w:val="hybridMultilevel"/>
    <w:lvl w:ilvl="0">
      <w:lvlJc w:val="left"/>
      <w:lvlText w:val="(%1)"/>
      <w:numFmt w:val="lowerLetter"/>
      <w:start w:val="3"/>
    </w:lvl>
  </w:abstractNum>
  <w:abstractNum w:abstractNumId="511">
    <w:nsid w:val="376863BC"/>
    <w:multiLevelType w:val="hybridMultilevel"/>
    <w:lvl w:ilvl="0">
      <w:lvlJc w:val="left"/>
      <w:lvlText w:val="(%1)"/>
      <w:numFmt w:val="lowerLetter"/>
      <w:start w:val="1"/>
    </w:lvl>
  </w:abstractNum>
  <w:abstractNum w:abstractNumId="512">
    <w:nsid w:val="118C6C0"/>
    <w:multiLevelType w:val="hybridMultilevel"/>
    <w:lvl w:ilvl="0">
      <w:lvlJc w:val="left"/>
      <w:lvlText w:val="%1"/>
      <w:numFmt w:val="lowerRoman"/>
      <w:start w:val="1"/>
    </w:lvl>
    <w:lvl w:ilvl="1">
      <w:lvlJc w:val="left"/>
      <w:lvlText w:val="(%2)"/>
      <w:numFmt w:val="lowerLetter"/>
      <w:start w:val="2"/>
    </w:lvl>
  </w:abstractNum>
  <w:abstractNum w:abstractNumId="513">
    <w:nsid w:val="7F7E4A15"/>
    <w:multiLevelType w:val="hybridMultilevel"/>
    <w:lvl w:ilvl="0">
      <w:lvlJc w:val="left"/>
      <w:lvlText w:val="(%1)"/>
      <w:numFmt w:val="lowerRoman"/>
      <w:start w:val="1"/>
    </w:lvl>
    <w:lvl w:ilvl="1">
      <w:lvlJc w:val="left"/>
      <w:lvlText w:val="%2"/>
      <w:numFmt w:val="lowerLetter"/>
      <w:start w:val="1"/>
    </w:lvl>
  </w:abstractNum>
  <w:abstractNum w:abstractNumId="514">
    <w:nsid w:val="2E8E9F47"/>
    <w:multiLevelType w:val="hybridMultilevel"/>
    <w:lvl w:ilvl="0">
      <w:lvlJc w:val="left"/>
      <w:lvlText w:val="(%1)"/>
      <w:numFmt w:val="lowerLetter"/>
      <w:start w:val="1"/>
    </w:lvl>
  </w:abstractNum>
  <w:abstractNum w:abstractNumId="515">
    <w:nsid w:val="76742596"/>
    <w:multiLevelType w:val="hybridMultilevel"/>
    <w:lvl w:ilvl="0">
      <w:lvlJc w:val="left"/>
      <w:lvlText w:val="(%1)"/>
      <w:numFmt w:val="lowerLetter"/>
      <w:start w:val="3"/>
    </w:lvl>
  </w:abstractNum>
  <w:abstractNum w:abstractNumId="516">
    <w:nsid w:val="CB55FF3"/>
    <w:multiLevelType w:val="hybridMultilevel"/>
    <w:lvl w:ilvl="0">
      <w:lvlJc w:val="left"/>
      <w:lvlText w:val="(%1)"/>
      <w:numFmt w:val="lowerLetter"/>
      <w:start w:val="1"/>
    </w:lvl>
  </w:abstractNum>
  <w:abstractNum w:abstractNumId="517">
    <w:nsid w:val="21DF319E"/>
    <w:multiLevelType w:val="hybridMultilevel"/>
    <w:lvl w:ilvl="0">
      <w:lvlJc w:val="left"/>
      <w:lvlText w:val="(%1)"/>
      <w:numFmt w:val="lowerLetter"/>
      <w:start w:val="2"/>
    </w:lvl>
  </w:abstractNum>
  <w:abstractNum w:abstractNumId="518">
    <w:nsid w:val="6687F34D"/>
    <w:multiLevelType w:val="hybridMultilevel"/>
    <w:lvl w:ilvl="0">
      <w:lvlJc w:val="left"/>
      <w:lvlText w:val="(%1)"/>
      <w:numFmt w:val="lowerLetter"/>
      <w:start w:val="1"/>
    </w:lvl>
  </w:abstractNum>
  <w:abstractNum w:abstractNumId="519">
    <w:nsid w:val="25415B0C"/>
    <w:multiLevelType w:val="hybridMultilevel"/>
    <w:lvl w:ilvl="0">
      <w:lvlJc w:val="left"/>
      <w:lvlText w:val="(%1)"/>
      <w:numFmt w:val="lowerLetter"/>
      <w:start w:val="3"/>
    </w:lvl>
  </w:abstractNum>
  <w:abstractNum w:abstractNumId="520">
    <w:nsid w:val="17CFC87D"/>
    <w:multiLevelType w:val="hybridMultilevel"/>
    <w:lvl w:ilvl="0">
      <w:lvlJc w:val="left"/>
      <w:lvlText w:val="1"/>
      <w:numFmt w:val="bullet"/>
      <w:start w:val="1"/>
    </w:lvl>
  </w:abstractNum>
  <w:abstractNum w:abstractNumId="521">
    <w:nsid w:val="5D66DC65"/>
    <w:multiLevelType w:val="hybridMultilevel"/>
    <w:lvl w:ilvl="0">
      <w:lvlJc w:val="left"/>
      <w:lvlText w:val="1"/>
      <w:numFmt w:val="bullet"/>
      <w:start w:val="1"/>
    </w:lvl>
  </w:abstractNum>
  <w:abstractNum w:abstractNumId="522">
    <w:nsid w:val="30BB2B99"/>
    <w:multiLevelType w:val="hybridMultilevel"/>
    <w:lvl w:ilvl="0">
      <w:lvlJc w:val="left"/>
      <w:lvlText w:val="1"/>
      <w:numFmt w:val="bullet"/>
      <w:start w:val="1"/>
    </w:lvl>
  </w:abstractNum>
  <w:abstractNum w:abstractNumId="523">
    <w:nsid w:val="E3DFE6"/>
    <w:multiLevelType w:val="hybridMultilevel"/>
    <w:lvl w:ilvl="0">
      <w:lvlJc w:val="left"/>
      <w:lvlText w:val="%1."/>
      <w:numFmt w:val="decimal"/>
      <w:start w:val="1"/>
    </w:lvl>
  </w:abstractNum>
  <w:abstractNum w:abstractNumId="524">
    <w:nsid w:val="595B37F3"/>
    <w:multiLevelType w:val="hybridMultilevel"/>
    <w:lvl w:ilvl="0">
      <w:lvlJc w:val="left"/>
      <w:lvlText w:val="%1."/>
      <w:numFmt w:val="decimal"/>
      <w:start w:val="2"/>
    </w:lvl>
  </w:abstractNum>
  <w:abstractNum w:abstractNumId="525">
    <w:nsid w:val="71DB7E02"/>
    <w:multiLevelType w:val="hybridMultilevel"/>
    <w:lvl w:ilvl="0">
      <w:lvlJc w:val="left"/>
      <w:lvlText w:val="%1."/>
      <w:numFmt w:val="decimal"/>
      <w:start w:val="3"/>
    </w:lvl>
  </w:abstractNum>
  <w:abstractNum w:abstractNumId="526">
    <w:nsid w:val="17EC0C4"/>
    <w:multiLevelType w:val="hybridMultilevel"/>
    <w:lvl w:ilvl="0">
      <w:lvlJc w:val="left"/>
      <w:lvlText w:val="%1"/>
      <w:numFmt w:val="decimal"/>
      <w:start w:val="1"/>
    </w:lvl>
    <w:lvl w:ilvl="1">
      <w:lvlJc w:val="left"/>
      <w:lvlText w:val="%2."/>
      <w:numFmt w:val="decimal"/>
      <w:start w:val="1"/>
    </w:lvl>
  </w:abstractNum>
  <w:abstractNum w:abstractNumId="527">
    <w:nsid w:val="7173BB22"/>
    <w:multiLevelType w:val="hybridMultilevel"/>
    <w:lvl w:ilvl="0">
      <w:lvlJc w:val="left"/>
      <w:lvlText w:val="(%1)"/>
      <w:numFmt w:val="decimal"/>
      <w:start w:val="5"/>
    </w:lvl>
    <w:lvl w:ilvl="1">
      <w:lvlJc w:val="left"/>
      <w:lvlText w:val="%2"/>
      <w:numFmt w:val="decimal"/>
      <w:start w:val="1"/>
    </w:lvl>
  </w:abstractNum>
  <w:abstractNum w:abstractNumId="528">
    <w:nsid w:val="169E1DD3"/>
    <w:multiLevelType w:val="hybridMultilevel"/>
    <w:lvl w:ilvl="0">
      <w:lvlJc w:val="left"/>
      <w:lvlText w:val="%1."/>
      <w:numFmt w:val="decimal"/>
      <w:start w:val="7"/>
    </w:lvl>
  </w:abstractNum>
  <w:abstractNum w:abstractNumId="529">
    <w:nsid w:val="51D141CC"/>
    <w:multiLevelType w:val="hybridMultilevel"/>
    <w:lvl w:ilvl="0">
      <w:lvlJc w:val="left"/>
      <w:lvlText w:val="%1"/>
      <w:numFmt w:val="decimal"/>
      <w:start w:val="1"/>
    </w:lvl>
    <w:lvl w:ilvl="1">
      <w:lvlJc w:val="left"/>
      <w:lvlText w:val="%2."/>
      <w:numFmt w:val="upperLetter"/>
      <w:start w:val="1"/>
    </w:lvl>
  </w:abstractNum>
  <w:abstractNum w:abstractNumId="530">
    <w:nsid w:val="12F9357A"/>
    <w:multiLevelType w:val="hybridMultilevel"/>
    <w:lvl w:ilvl="0">
      <w:lvlJc w:val="left"/>
      <w:lvlText w:val="%1."/>
      <w:numFmt w:val="decimal"/>
      <w:start w:val="1"/>
    </w:lvl>
    <w:lvl w:ilvl="1">
      <w:lvlJc w:val="left"/>
      <w:lvlText w:val="%2"/>
      <w:numFmt w:val="upperLetter"/>
      <w:start w:val="1"/>
    </w:lvl>
  </w:abstractNum>
  <w:abstractNum w:abstractNumId="531">
    <w:nsid w:val="7672CF28"/>
    <w:multiLevelType w:val="hybridMultilevel"/>
    <w:lvl w:ilvl="0">
      <w:lvlJc w:val="left"/>
      <w:lvlText w:val="4"/>
      <w:numFmt w:val="bullet"/>
      <w:start w:val="1"/>
    </w:lvl>
  </w:abstractNum>
  <w:abstractNum w:abstractNumId="532">
    <w:nsid w:val="567D2763"/>
    <w:multiLevelType w:val="hybridMultilevel"/>
    <w:lvl w:ilvl="0">
      <w:lvlJc w:val="left"/>
      <w:lvlText w:val="%1."/>
      <w:numFmt w:val="decimal"/>
      <w:start w:val="2"/>
    </w:lvl>
  </w:abstractNum>
  <w:abstractNum w:abstractNumId="533">
    <w:nsid w:val="6F5DE2EF"/>
    <w:multiLevelType w:val="hybridMultilevel"/>
    <w:lvl w:ilvl="0">
      <w:lvlJc w:val="left"/>
      <w:lvlText w:val="%1."/>
      <w:numFmt w:val="decimal"/>
      <w:start w:val="5"/>
    </w:lvl>
  </w:abstractNum>
  <w:abstractNum w:abstractNumId="534">
    <w:nsid w:val="23502A61"/>
    <w:multiLevelType w:val="hybridMultilevel"/>
    <w:lvl w:ilvl="0">
      <w:lvlJc w:val="left"/>
      <w:lvlText w:val="%1."/>
      <w:numFmt w:val="decimal"/>
      <w:start w:val="6"/>
    </w:lvl>
    <w:lvl w:ilvl="1">
      <w:lvlJc w:val="left"/>
      <w:lvlText w:val="%2."/>
      <w:numFmt w:val="upperLetter"/>
      <w:start w:val="3"/>
    </w:lvl>
    <w:lvl w:ilvl="2">
      <w:lvlJc w:val="left"/>
      <w:lvlText w:val="%3."/>
      <w:numFmt w:val="upperLetter"/>
      <w:start w:val="2"/>
    </w:lvl>
    <w:lvl w:ilvl="3">
      <w:lvlJc w:val="left"/>
      <w:lvlText w:val="%4."/>
      <w:numFmt w:val="upperLetter"/>
      <w:start w:val="4"/>
    </w:lvl>
  </w:abstractNum>
  <w:abstractNum w:abstractNumId="535">
    <w:nsid w:val="461BC83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5"/>
    </w:lvl>
  </w:abstractNum>
  <w:abstractNum w:abstractNumId="536">
    <w:nsid w:val="13DDA79D"/>
    <w:multiLevelType w:val="hybridMultilevel"/>
    <w:lvl w:ilvl="0">
      <w:lvlJc w:val="left"/>
      <w:lvlText w:val="%1"/>
      <w:numFmt w:val="lowerRoman"/>
      <w:start w:val="1"/>
    </w:lvl>
    <w:lvl w:ilvl="1">
      <w:lvlJc w:val="left"/>
      <w:lvlText w:val="%2."/>
      <w:numFmt w:val="decimal"/>
      <w:start w:val="12"/>
    </w:lvl>
    <w:lvl w:ilvl="2">
      <w:lvlJc w:val="left"/>
      <w:lvlText w:val="%3"/>
      <w:numFmt w:val="upperLetter"/>
      <w:start w:val="1"/>
    </w:lvl>
  </w:abstractNum>
  <w:abstractNum w:abstractNumId="537">
    <w:nsid w:val="6A104566"/>
    <w:multiLevelType w:val="hybridMultilevel"/>
    <w:lvl w:ilvl="0">
      <w:lvlJc w:val="left"/>
      <w:lvlText w:val="(%1)"/>
      <w:numFmt w:val="lowerRoman"/>
      <w:start w:val="3"/>
    </w:lvl>
    <w:lvl w:ilvl="1">
      <w:lvlJc w:val="left"/>
      <w:lvlText w:val="%2."/>
      <w:numFmt w:val="decimal"/>
      <w:start w:val="13"/>
    </w:lvl>
    <w:lvl w:ilvl="2">
      <w:lvlJc w:val="left"/>
      <w:lvlText w:val="%3"/>
      <w:numFmt w:val="upperLetter"/>
      <w:start w:val="1"/>
    </w:lvl>
  </w:abstractNum>
  <w:abstractNum w:abstractNumId="538">
    <w:nsid w:val="1C8A8ACF"/>
    <w:multiLevelType w:val="hybridMultilevel"/>
    <w:lvl w:ilvl="0">
      <w:lvlJc w:val="left"/>
      <w:lvlText w:val="(%1)"/>
      <w:numFmt w:val="lowerLetter"/>
      <w:start w:val="2"/>
    </w:lvl>
  </w:abstractNum>
  <w:abstractNum w:abstractNumId="539">
    <w:nsid w:val="E73DFE0"/>
    <w:multiLevelType w:val="hybridMultilevel"/>
    <w:lvl w:ilvl="0">
      <w:lvlJc w:val="left"/>
      <w:lvlText w:val="%1."/>
      <w:numFmt w:val="decimal"/>
      <w:start w:val="1"/>
    </w:lvl>
  </w:abstractNum>
  <w:abstractNum w:abstractNumId="540">
    <w:nsid w:val="39F174C7"/>
    <w:multiLevelType w:val="hybridMultilevel"/>
    <w:lvl w:ilvl="0">
      <w:lvlJc w:val="left"/>
      <w:lvlText w:val="%1."/>
      <w:numFmt w:val="decimal"/>
      <w:start w:val="4"/>
    </w:lvl>
  </w:abstractNum>
  <w:abstractNum w:abstractNumId="541">
    <w:nsid w:val="6E2E2D53"/>
    <w:multiLevelType w:val="hybridMultilevel"/>
    <w:lvl w:ilvl="0">
      <w:lvlJc w:val="left"/>
      <w:lvlText w:val="(%1)"/>
      <w:numFmt w:val="lowerRoman"/>
      <w:start w:val="3"/>
    </w:lvl>
  </w:abstractNum>
  <w:abstractNum w:abstractNumId="542">
    <w:nsid w:val="45DC439D"/>
    <w:multiLevelType w:val="hybridMultilevel"/>
    <w:lvl w:ilvl="0">
      <w:lvlJc w:val="left"/>
      <w:lvlText w:val="%1."/>
      <w:numFmt w:val="decimal"/>
      <w:start w:val="1"/>
    </w:lvl>
  </w:abstractNum>
  <w:abstractNum w:abstractNumId="543">
    <w:nsid w:val="3B0A3B87"/>
    <w:multiLevelType w:val="hybridMultilevel"/>
    <w:lvl w:ilvl="0">
      <w:lvlJc w:val="left"/>
      <w:lvlText w:val="5"/>
      <w:numFmt w:val="bullet"/>
      <w:start w:val="1"/>
    </w:lvl>
  </w:abstractNum>
  <w:abstractNum w:abstractNumId="544">
    <w:nsid w:val="6DAC7768"/>
    <w:multiLevelType w:val="hybridMultilevel"/>
    <w:lvl w:ilvl="0">
      <w:lvlJc w:val="left"/>
      <w:lvlText w:val="6"/>
      <w:numFmt w:val="bullet"/>
      <w:start w:val="1"/>
    </w:lvl>
  </w:abstractNum>
  <w:abstractNum w:abstractNumId="545">
    <w:nsid w:val="746AE2E4"/>
    <w:multiLevelType w:val="hybridMultilevel"/>
    <w:lvl w:ilvl="0">
      <w:lvlJc w:val="left"/>
      <w:lvlText w:val="7"/>
      <w:numFmt w:val="bullet"/>
      <w:start w:val="1"/>
    </w:lvl>
  </w:abstractNum>
  <w:abstractNum w:abstractNumId="546">
    <w:nsid w:val="317E611D"/>
    <w:multiLevelType w:val="hybridMultilevel"/>
    <w:lvl w:ilvl="0">
      <w:lvlJc w:val="left"/>
      <w:lvlText w:val="%1."/>
      <w:numFmt w:val="decimal"/>
      <w:start w:val="1"/>
    </w:lvl>
  </w:abstractNum>
  <w:abstractNum w:abstractNumId="547">
    <w:nsid w:val="7A61D75B"/>
    <w:multiLevelType w:val="hybridMultilevel"/>
    <w:lvl w:ilvl="0">
      <w:lvlJc w:val="left"/>
      <w:lvlText w:val="%1."/>
      <w:numFmt w:val="decimal"/>
      <w:start w:val="1"/>
    </w:lvl>
  </w:abstractNum>
  <w:abstractNum w:abstractNumId="548">
    <w:nsid w:val="164A1482"/>
    <w:multiLevelType w:val="hybridMultilevel"/>
    <w:lvl w:ilvl="0">
      <w:lvlJc w:val="left"/>
      <w:lvlText w:val="(%1)"/>
      <w:numFmt w:val="decimal"/>
      <w:start w:val="1"/>
    </w:lvl>
  </w:abstractNum>
  <w:abstractNum w:abstractNumId="549">
    <w:nsid w:val="1806546B"/>
    <w:multiLevelType w:val="hybridMultilevel"/>
    <w:lvl w:ilvl="0">
      <w:lvlJc w:val="left"/>
      <w:lvlText w:val="(%1)"/>
      <w:numFmt w:val="decimal"/>
      <w:start w:val="7"/>
    </w:lvl>
  </w:abstractNum>
  <w:abstractNum w:abstractNumId="550">
    <w:nsid w:val="1FA33267"/>
    <w:multiLevelType w:val="hybridMultilevel"/>
    <w:lvl w:ilvl="0">
      <w:lvlJc w:val="left"/>
      <w:lvlText w:val="(%1)"/>
      <w:numFmt w:val="lowerLetter"/>
      <w:start w:val="2"/>
    </w:lvl>
  </w:abstractNum>
  <w:abstractNum w:abstractNumId="551">
    <w:nsid w:val="2E19DD00"/>
    <w:multiLevelType w:val="hybridMultilevel"/>
    <w:lvl w:ilvl="0">
      <w:lvlJc w:val="left"/>
      <w:lvlText w:val="(%1)"/>
      <w:numFmt w:val="lowerLetter"/>
      <w:start w:val="6"/>
    </w:lvl>
  </w:abstractNum>
  <w:abstractNum w:abstractNumId="552">
    <w:nsid w:val="756D30D0"/>
    <w:multiLevelType w:val="hybridMultilevel"/>
    <w:lvl w:ilvl="0">
      <w:lvlJc w:val="left"/>
      <w:lvlText w:val="(%1)"/>
      <w:numFmt w:val="lowerLetter"/>
      <w:start w:val="1"/>
    </w:lvl>
  </w:abstractNum>
  <w:abstractNum w:abstractNumId="553">
    <w:nsid w:val="505E5E01"/>
    <w:multiLevelType w:val="hybridMultilevel"/>
    <w:lvl w:ilvl="0">
      <w:lvlJc w:val="left"/>
      <w:lvlText w:val="(%1)"/>
      <w:numFmt w:val="lowerLetter"/>
      <w:start w:val="1"/>
    </w:lvl>
  </w:abstractNum>
  <w:abstractNum w:abstractNumId="554">
    <w:nsid w:val="2EFDBCE6"/>
    <w:multiLevelType w:val="hybridMultilevel"/>
    <w:lvl w:ilvl="0">
      <w:lvlJc w:val="left"/>
      <w:lvlText w:val="(%1)"/>
      <w:numFmt w:val="lowerLetter"/>
      <w:start w:val="3"/>
    </w:lvl>
  </w:abstractNum>
  <w:abstractNum w:abstractNumId="555">
    <w:nsid w:val="4EC868C4"/>
    <w:multiLevelType w:val="hybridMultilevel"/>
    <w:lvl w:ilvl="0">
      <w:lvlJc w:val="left"/>
      <w:lvlText w:val="(%1)"/>
      <w:numFmt w:val="lowerLetter"/>
      <w:start w:val="2"/>
    </w:lvl>
  </w:abstractNum>
  <w:abstractNum w:abstractNumId="556">
    <w:nsid w:val="4239DC03"/>
    <w:multiLevelType w:val="hybridMultilevel"/>
    <w:lvl w:ilvl="0">
      <w:lvlJc w:val="left"/>
      <w:lvlText w:val="(%1)"/>
      <w:numFmt w:val="lowerLetter"/>
      <w:start w:val="2"/>
    </w:lvl>
  </w:abstractNum>
  <w:abstractNum w:abstractNumId="557">
    <w:nsid w:val="307C7DAA"/>
    <w:multiLevelType w:val="hybridMultilevel"/>
    <w:lvl w:ilvl="0">
      <w:lvlJc w:val="left"/>
      <w:lvlText w:val="(%1)"/>
      <w:numFmt w:val="lowerRoman"/>
      <w:start w:val="1"/>
    </w:lvl>
  </w:abstractNum>
  <w:abstractNum w:abstractNumId="558">
    <w:nsid w:val="403C23E6"/>
    <w:multiLevelType w:val="hybridMultilevel"/>
    <w:lvl w:ilvl="0">
      <w:lvlJc w:val="left"/>
      <w:lvlText w:val="(%1)"/>
      <w:numFmt w:val="lowerLetter"/>
      <w:start w:val="2"/>
    </w:lvl>
  </w:abstractNum>
  <w:abstractNum w:abstractNumId="559">
    <w:nsid w:val="58D7F9D7"/>
    <w:multiLevelType w:val="hybridMultilevel"/>
    <w:lvl w:ilvl="0">
      <w:lvlJc w:val="left"/>
      <w:lvlText w:val="(%1)"/>
      <w:numFmt w:val="lowerLetter"/>
      <w:start w:val="3"/>
    </w:lvl>
  </w:abstractNum>
  <w:abstractNum w:abstractNumId="560">
    <w:nsid w:val="24DBF76"/>
    <w:multiLevelType w:val="hybridMultilevel"/>
    <w:lvl w:ilvl="0">
      <w:lvlJc w:val="left"/>
      <w:lvlText w:val="%1"/>
      <w:numFmt w:val="lowerLetter"/>
      <w:start w:val="1"/>
    </w:lvl>
    <w:lvl w:ilvl="1">
      <w:lvlJc w:val="left"/>
      <w:lvlText w:val="(%2)"/>
      <w:numFmt w:val="lowerLetter"/>
      <w:start w:val="2"/>
    </w:lvl>
  </w:abstractNum>
  <w:abstractNum w:abstractNumId="561">
    <w:nsid w:val="53355960"/>
    <w:multiLevelType w:val="hybridMultilevel"/>
    <w:lvl w:ilvl="0">
      <w:lvlJc w:val="left"/>
      <w:lvlText w:val="(%1)"/>
      <w:numFmt w:val="lowerLetter"/>
      <w:start w:val="35"/>
    </w:lvl>
    <w:lvl w:ilvl="1">
      <w:lvlJc w:val="left"/>
      <w:lvlText w:val="%2"/>
      <w:numFmt w:val="lowerLetter"/>
      <w:start w:val="1"/>
    </w:lvl>
  </w:abstractNum>
  <w:abstractNum w:abstractNumId="562">
    <w:nsid w:val="4F4AC8FF"/>
    <w:multiLevelType w:val="hybridMultilevel"/>
    <w:lvl w:ilvl="0">
      <w:lvlJc w:val="left"/>
      <w:lvlText w:val="(%1)"/>
      <w:numFmt w:val="lowerLetter"/>
      <w:start w:val="1"/>
    </w:lvl>
  </w:abstractNum>
  <w:abstractNum w:abstractNumId="563">
    <w:nsid w:val="58CAE6D9"/>
    <w:multiLevelType w:val="hybridMultilevel"/>
    <w:lvl w:ilvl="0">
      <w:lvlJc w:val="left"/>
      <w:lvlText w:val="(%1)"/>
      <w:numFmt w:val="lowerLetter"/>
      <w:start w:val="2"/>
    </w:lvl>
  </w:abstractNum>
  <w:abstractNum w:abstractNumId="564">
    <w:nsid w:val="42933C4F"/>
    <w:multiLevelType w:val="hybridMultilevel"/>
    <w:lvl w:ilvl="0">
      <w:lvlJc w:val="left"/>
      <w:lvlText w:val="%1"/>
      <w:numFmt w:val="lowerLetter"/>
      <w:start w:val="1"/>
    </w:lvl>
    <w:lvl w:ilvl="1">
      <w:lvlJc w:val="left"/>
      <w:lvlText w:val="(%2)"/>
      <w:numFmt w:val="lowerRoman"/>
      <w:start w:val="2"/>
    </w:lvl>
  </w:abstractNum>
  <w:abstractNum w:abstractNumId="565">
    <w:nsid w:val="729AF360"/>
    <w:multiLevelType w:val="hybridMultilevel"/>
    <w:lvl w:ilvl="0">
      <w:lvlJc w:val="left"/>
      <w:lvlText w:val="(%1)"/>
      <w:numFmt w:val="lowerLetter"/>
      <w:start w:val="2"/>
    </w:lvl>
    <w:lvl w:ilvl="1">
      <w:lvlJc w:val="left"/>
      <w:lvlText w:val="%2"/>
      <w:numFmt w:val="lowerRoman"/>
      <w:start w:val="1"/>
    </w:lvl>
  </w:abstractNum>
  <w:abstractNum w:abstractNumId="566">
    <w:nsid w:val="1EE6AF0D"/>
    <w:multiLevelType w:val="hybridMultilevel"/>
    <w:lvl w:ilvl="0">
      <w:lvlJc w:val="left"/>
      <w:lvlText w:val="(%1)"/>
      <w:numFmt w:val="lowerRoman"/>
      <w:start w:val="2"/>
    </w:lvl>
  </w:abstractNum>
  <w:abstractNum w:abstractNumId="567">
    <w:nsid w:val="5670E3ED"/>
    <w:multiLevelType w:val="hybridMultilevel"/>
    <w:lvl w:ilvl="0">
      <w:lvlJc w:val="left"/>
      <w:lvlText w:val="(%1)"/>
      <w:numFmt w:val="lowerLetter"/>
      <w:start w:val="2"/>
    </w:lvl>
  </w:abstractNum>
  <w:abstractNum w:abstractNumId="568">
    <w:nsid w:val="5CAB38C6"/>
    <w:multiLevelType w:val="hybridMultilevel"/>
    <w:lvl w:ilvl="0">
      <w:lvlJc w:val="left"/>
      <w:lvlText w:val="(%1)"/>
      <w:numFmt w:val="lowerRoman"/>
      <w:start w:val="2"/>
    </w:lvl>
  </w:abstractNum>
  <w:abstractNum w:abstractNumId="569">
    <w:nsid w:val="3B7139DD"/>
    <w:multiLevelType w:val="hybridMultilevel"/>
    <w:lvl w:ilvl="0">
      <w:lvlJc w:val="left"/>
      <w:lvlText w:val="(%1)"/>
      <w:numFmt w:val="upperLetter"/>
      <w:start w:val="3"/>
    </w:lvl>
  </w:abstractNum>
  <w:abstractNum w:abstractNumId="570">
    <w:nsid w:val="64E4C3CD"/>
    <w:multiLevelType w:val="hybridMultilevel"/>
    <w:lvl w:ilvl="0">
      <w:lvlJc w:val="left"/>
      <w:lvlText w:val="%1"/>
      <w:numFmt w:val="lowerLetter"/>
      <w:start w:val="1"/>
    </w:lvl>
    <w:lvl w:ilvl="1">
      <w:lvlJc w:val="left"/>
      <w:lvlText w:val="(%2)"/>
      <w:numFmt w:val="lowerLetter"/>
      <w:start w:val="2"/>
    </w:lvl>
  </w:abstractNum>
  <w:abstractNum w:abstractNumId="571">
    <w:nsid w:val="169CAD8D"/>
    <w:multiLevelType w:val="hybridMultilevel"/>
    <w:lvl w:ilvl="0">
      <w:lvlJc w:val="left"/>
      <w:lvlText w:val="(%1)"/>
      <w:numFmt w:val="lowerLetter"/>
      <w:start w:val="25"/>
    </w:lvl>
    <w:lvl w:ilvl="1">
      <w:lvlJc w:val="left"/>
      <w:lvlText w:val="%2"/>
      <w:numFmt w:val="lowerLetter"/>
      <w:start w:val="1"/>
    </w:lvl>
  </w:abstractNum>
  <w:abstractNum w:abstractNumId="572">
    <w:nsid w:val="299F6730"/>
    <w:multiLevelType w:val="hybridMultilevel"/>
    <w:lvl w:ilvl="0">
      <w:lvlJc w:val="left"/>
      <w:lvlText w:val="(%1)"/>
      <w:numFmt w:val="lowerLetter"/>
      <w:start w:val="3"/>
    </w:lvl>
  </w:abstractNum>
  <w:abstractNum w:abstractNumId="573">
    <w:nsid w:val="2AC1076A"/>
    <w:multiLevelType w:val="hybridMultilevel"/>
    <w:lvl w:ilvl="0">
      <w:lvlJc w:val="left"/>
      <w:lvlText w:val="(%1)"/>
      <w:numFmt w:val="lowerLetter"/>
      <w:start w:val="2"/>
    </w:lvl>
  </w:abstractNum>
  <w:abstractNum w:abstractNumId="574">
    <w:nsid w:val="51A6E915"/>
    <w:multiLevelType w:val="hybridMultilevel"/>
    <w:lvl w:ilvl="0">
      <w:lvlJc w:val="left"/>
      <w:lvlText w:val="(%1)"/>
      <w:numFmt w:val="lowerLetter"/>
      <w:start w:val="1"/>
    </w:lvl>
  </w:abstractNum>
  <w:abstractNum w:abstractNumId="575">
    <w:nsid w:val="174BDE99"/>
    <w:multiLevelType w:val="hybridMultilevel"/>
    <w:lvl w:ilvl="0">
      <w:lvlJc w:val="left"/>
      <w:lvlText w:val="(%1)"/>
      <w:numFmt w:val="decimal"/>
      <w:start w:val="5"/>
    </w:lvl>
  </w:abstractNum>
  <w:abstractNum w:abstractNumId="576">
    <w:nsid w:val="1F2BEA4E"/>
    <w:multiLevelType w:val="hybridMultilevel"/>
    <w:lvl w:ilvl="0">
      <w:lvlJc w:val="left"/>
      <w:lvlText w:val="(%1)"/>
      <w:numFmt w:val="lowerLetter"/>
      <w:start w:val="2"/>
    </w:lvl>
  </w:abstractNum>
  <w:abstractNum w:abstractNumId="577">
    <w:nsid w:val="3254A32"/>
    <w:multiLevelType w:val="hybridMultilevel"/>
    <w:lvl w:ilvl="0">
      <w:lvlJc w:val="left"/>
      <w:lvlText w:val="(%1)"/>
      <w:numFmt w:val="lowerLetter"/>
      <w:start w:val="2"/>
    </w:lvl>
  </w:abstractNum>
  <w:abstractNum w:abstractNumId="578">
    <w:nsid w:val="11ADB5F4"/>
    <w:multiLevelType w:val="hybridMultilevel"/>
    <w:lvl w:ilvl="0">
      <w:lvlJc w:val="left"/>
      <w:lvlText w:val="(%1)"/>
      <w:numFmt w:val="lowerRoman"/>
      <w:start w:val="10"/>
    </w:lvl>
  </w:abstractNum>
  <w:abstractNum w:abstractNumId="579">
    <w:nsid w:val="3575FED1"/>
    <w:multiLevelType w:val="hybridMultilevel"/>
    <w:lvl w:ilvl="0">
      <w:lvlJc w:val="left"/>
      <w:lvlText w:val="(%1)"/>
      <w:numFmt w:val="lowerLetter"/>
      <w:start w:val="1"/>
    </w:lvl>
  </w:abstractNum>
  <w:abstractNum w:abstractNumId="580">
    <w:nsid w:val="1B2B9E9D"/>
    <w:multiLevelType w:val="hybridMultilevel"/>
    <w:lvl w:ilvl="0">
      <w:lvlJc w:val="left"/>
      <w:lvlText w:val="(%1)"/>
      <w:numFmt w:val="lowerLetter"/>
      <w:start w:val="5"/>
    </w:lvl>
  </w:abstractNum>
  <w:abstractNum w:abstractNumId="581">
    <w:nsid w:val="3150E85C"/>
    <w:multiLevelType w:val="hybridMultilevel"/>
    <w:lvl w:ilvl="0">
      <w:lvlJc w:val="left"/>
      <w:lvlText w:val="%1"/>
      <w:numFmt w:val="lowerLetter"/>
      <w:start w:val="1"/>
    </w:lvl>
    <w:lvl w:ilvl="1">
      <w:lvlJc w:val="left"/>
      <w:lvlText w:val="(%2)"/>
      <w:numFmt w:val="lowerLetter"/>
      <w:start w:val="1"/>
    </w:lvl>
  </w:abstractNum>
  <w:abstractNum w:abstractNumId="582">
    <w:nsid w:val="638FDBD1"/>
    <w:multiLevelType w:val="hybridMultilevel"/>
    <w:lvl w:ilvl="0">
      <w:lvlJc w:val="left"/>
      <w:lvlText w:val="(%1)"/>
      <w:numFmt w:val="lowerLetter"/>
      <w:start w:val="61"/>
    </w:lvl>
    <w:lvl w:ilvl="1">
      <w:lvlJc w:val="left"/>
      <w:lvlText w:val="(%2)"/>
      <w:numFmt w:val="lowerLetter"/>
      <w:start w:val="2"/>
    </w:lvl>
  </w:abstractNum>
  <w:abstractNum w:abstractNumId="583">
    <w:nsid w:val="1098CF6E"/>
    <w:multiLevelType w:val="hybridMultilevel"/>
    <w:lvl w:ilvl="0">
      <w:lvlJc w:val="left"/>
      <w:lvlText w:val="(%1)"/>
      <w:numFmt w:val="lowerLetter"/>
      <w:start w:val="2"/>
    </w:lvl>
  </w:abstractNum>
  <w:abstractNum w:abstractNumId="584">
    <w:nsid w:val="1AF465D"/>
    <w:multiLevelType w:val="hybridMultilevel"/>
    <w:lvl w:ilvl="0">
      <w:lvlJc w:val="left"/>
      <w:lvlText w:val="(%1)"/>
      <w:numFmt w:val="lowerLetter"/>
      <w:start w:val="1"/>
    </w:lvl>
  </w:abstractNum>
  <w:abstractNum w:abstractNumId="585">
    <w:nsid w:val="128D98B7"/>
    <w:multiLevelType w:val="hybridMultilevel"/>
    <w:lvl w:ilvl="0">
      <w:lvlJc w:val="left"/>
      <w:lvlText w:val="(%1)"/>
      <w:numFmt w:val="lowerLetter"/>
      <w:start w:val="2"/>
    </w:lvl>
  </w:abstractNum>
  <w:abstractNum w:abstractNumId="586">
    <w:nsid w:val="5F613832"/>
    <w:multiLevelType w:val="hybridMultilevel"/>
    <w:lvl w:ilvl="0">
      <w:lvlJc w:val="left"/>
      <w:lvlText w:val="%1."/>
      <w:numFmt w:val="decimal"/>
      <w:start w:val="1"/>
    </w:lvl>
  </w:abstractNum>
  <w:abstractNum w:abstractNumId="587">
    <w:nsid w:val="43E92260"/>
    <w:multiLevelType w:val="hybridMultilevel"/>
    <w:lvl w:ilvl="0">
      <w:lvlJc w:val="left"/>
      <w:lvlText w:val="%1."/>
      <w:numFmt w:val="decimal"/>
      <w:start w:val="1"/>
    </w:lvl>
  </w:abstractNum>
  <w:abstractNum w:abstractNumId="588">
    <w:nsid w:val="430A1662"/>
    <w:multiLevelType w:val="hybridMultilevel"/>
    <w:lvl w:ilvl="0">
      <w:lvlJc w:val="left"/>
      <w:lvlText w:val="%1"/>
      <w:numFmt w:val="lowerRoman"/>
      <w:start w:val="1"/>
    </w:lvl>
    <w:lvl w:ilvl="1">
      <w:lvlJc w:val="left"/>
      <w:lvlText w:val="%2."/>
      <w:numFmt w:val="decimal"/>
      <w:start w:val="2"/>
    </w:lvl>
  </w:abstractNum>
  <w:abstractNum w:abstractNumId="589">
    <w:nsid w:val="1F9D5C18"/>
    <w:multiLevelType w:val="hybridMultilevel"/>
    <w:lvl w:ilvl="0">
      <w:lvlJc w:val="left"/>
      <w:lvlText w:val="(%1)"/>
      <w:numFmt w:val="lowerRoman"/>
      <w:start w:val="1"/>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2020-07-09T16:27:57Z</dcterms:created>
  <dcterms:modified xsi:type="dcterms:W3CDTF">2020-07-09T16:27:57Z</dcterms:modified>
</cp:coreProperties>
</file>