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923925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263525</wp:posOffset>
            </wp:positionV>
            <wp:extent cx="323278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7" w:right="2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9"/>
          <w:szCs w:val="19"/>
          <w:b w:val="1"/>
          <w:bCs w:val="1"/>
          <w:color w:val="auto"/>
        </w:rPr>
        <w:t>Entry into a Material Agreement.</w:t>
      </w:r>
    </w:p>
    <w:p>
      <w:pPr>
        <w:spacing w:after="0" w:line="2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April 5, 2017, Winnebago Industries, Inc. (“Winnebago”) and Summit Partners Growth Equity Fund VIII-A, L.P., Summit Partners Growth Equity Fund VIII-B, L.P., Summit Partners Entrepreneur Advisors Fund I, L.P., Summit Investors I, LLC, Summit Investors I (UK), L.P., SP GE VIII-B GD RV Holdings, L.P. (collectively the “Summit Selling Shareholders”) entered into an underwriting agreement with Morgan Stanley &amp; Co. LLC (“Underwriter”) pursuant to which the Summit Selling Shareholders agreed to sell 2,293,277 shares of Winnebago common stock to the Underwriter (the “Offering”). The Underwriter purchased the shares of Common Stock from the Summit Selling Shareholders at $26.68 per share before expenses and underwriting discount. The Offering closed on April 11, 2017. Winnebago did not sell any shares in the Offering and did not receive any proceeds from the Offering.</w:t>
      </w:r>
    </w:p>
    <w:p>
      <w:pPr>
        <w:spacing w:after="0" w:line="20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Offering was made pursuant to a prospectus supplement dated April 5, 2017 to the prospectus dated January 30, 2017, included in the registration statement on Form S-3 (File No. 333-215641), which was filed with the Securities and Exchange Commission on January 20, 2017.</w:t>
      </w:r>
    </w:p>
    <w:p>
      <w:pPr>
        <w:spacing w:after="0" w:line="1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Underwriting Agreement contains customary representations, warranties and covenants and includes the terms and conditions for the sale of the shares of common stock by the Summit Selling Shareholders to the Underwriter, indemnification and contribution obligations and other terms and conditions customary in agreements of this type.</w:t>
      </w:r>
    </w:p>
    <w:p>
      <w:pPr>
        <w:spacing w:after="0" w:line="202"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A copy of the Underwriting Agreement is filed as Exhibit 1.1 hereto. The above description is qualified in its entirety by reference to such Exhibit. A copy of the press release issued April 5, 2017 is filed as Exhibit 99.1 hereto.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197"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8200" w:type="dxa"/>
            <w:vAlign w:val="bottom"/>
          </w:tcPr>
          <w:p>
            <w:pPr>
              <w:spacing w:after="0"/>
              <w:rPr>
                <w:sz w:val="17"/>
                <w:szCs w:val="17"/>
                <w:color w:val="auto"/>
              </w:rPr>
            </w:pPr>
          </w:p>
        </w:tc>
      </w:tr>
      <w:tr>
        <w:trPr>
          <w:trHeight w:val="246"/>
        </w:trPr>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Number</w:t>
            </w:r>
          </w:p>
        </w:tc>
        <w:tc>
          <w:tcPr>
            <w:tcW w:w="82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Description</w:t>
            </w:r>
          </w:p>
        </w:tc>
      </w:tr>
      <w:tr>
        <w:trPr>
          <w:trHeight w:val="243"/>
        </w:trPr>
        <w:tc>
          <w:tcPr>
            <w:tcW w:w="940" w:type="dxa"/>
            <w:vAlign w:val="bottom"/>
          </w:tcPr>
          <w:p>
            <w:pPr>
              <w:ind w:left="40"/>
              <w:spacing w:after="0"/>
              <w:rPr>
                <w:sz w:val="20"/>
                <w:szCs w:val="20"/>
                <w:color w:val="auto"/>
              </w:rPr>
            </w:pPr>
            <w:r>
              <w:rPr>
                <w:rFonts w:ascii="Arial" w:cs="Arial" w:eastAsia="Arial" w:hAnsi="Arial"/>
                <w:sz w:val="18"/>
                <w:szCs w:val="18"/>
                <w:color w:val="auto"/>
              </w:rPr>
              <w:t>1.1</w:t>
            </w:r>
          </w:p>
        </w:tc>
        <w:tc>
          <w:tcPr>
            <w:tcW w:w="8200" w:type="dxa"/>
            <w:vAlign w:val="bottom"/>
          </w:tcPr>
          <w:p>
            <w:pPr>
              <w:ind w:left="240"/>
              <w:spacing w:after="0"/>
              <w:rPr>
                <w:sz w:val="20"/>
                <w:szCs w:val="20"/>
                <w:color w:val="auto"/>
              </w:rPr>
            </w:pPr>
            <w:r>
              <w:rPr>
                <w:rFonts w:ascii="Arial" w:cs="Arial" w:eastAsia="Arial" w:hAnsi="Arial"/>
                <w:sz w:val="18"/>
                <w:szCs w:val="18"/>
                <w:color w:val="auto"/>
              </w:rPr>
              <w:t>Underwriting Agreement dated as of April 5, 2017</w:t>
            </w:r>
          </w:p>
        </w:tc>
      </w:tr>
      <w:tr>
        <w:trPr>
          <w:trHeight w:val="270"/>
        </w:trPr>
        <w:tc>
          <w:tcPr>
            <w:tcW w:w="940" w:type="dxa"/>
            <w:vAlign w:val="bottom"/>
          </w:tcPr>
          <w:p>
            <w:pPr>
              <w:ind w:left="40"/>
              <w:spacing w:after="0"/>
              <w:rPr>
                <w:sz w:val="20"/>
                <w:szCs w:val="20"/>
                <w:color w:val="auto"/>
              </w:rPr>
            </w:pPr>
            <w:r>
              <w:rPr>
                <w:rFonts w:ascii="Arial" w:cs="Arial" w:eastAsia="Arial" w:hAnsi="Arial"/>
                <w:sz w:val="18"/>
                <w:szCs w:val="18"/>
                <w:color w:val="auto"/>
              </w:rPr>
              <w:t>99.1</w:t>
            </w:r>
          </w:p>
        </w:tc>
        <w:tc>
          <w:tcPr>
            <w:tcW w:w="8200" w:type="dxa"/>
            <w:vAlign w:val="bottom"/>
          </w:tcPr>
          <w:p>
            <w:pPr>
              <w:ind w:left="240"/>
              <w:spacing w:after="0"/>
              <w:rPr>
                <w:sz w:val="20"/>
                <w:szCs w:val="20"/>
                <w:color w:val="auto"/>
              </w:rPr>
            </w:pPr>
            <w:r>
              <w:rPr>
                <w:rFonts w:ascii="Arial" w:cs="Arial" w:eastAsia="Arial" w:hAnsi="Arial"/>
                <w:sz w:val="18"/>
                <w:szCs w:val="18"/>
                <w:color w:val="auto"/>
              </w:rPr>
              <w:t>Press Release Issued by Winnebago Industries, Inc. on April 5,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SIGNATURE</w:t>
      </w:r>
    </w:p>
    <w:p>
      <w:pPr>
        <w:spacing w:after="0" w:line="25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3000" w:type="dxa"/>
            <w:vAlign w:val="bottom"/>
          </w:tcPr>
          <w:p>
            <w:pPr>
              <w:spacing w:after="0"/>
              <w:rPr>
                <w:sz w:val="22"/>
                <w:szCs w:val="22"/>
                <w:color w:val="auto"/>
              </w:rPr>
            </w:pPr>
          </w:p>
        </w:tc>
        <w:tc>
          <w:tcPr>
            <w:tcW w:w="7240" w:type="dxa"/>
            <w:vAlign w:val="bottom"/>
            <w:gridSpan w:val="2"/>
          </w:tcPr>
          <w:p>
            <w:pPr>
              <w:ind w:left="1220"/>
              <w:spacing w:after="0"/>
              <w:rPr>
                <w:sz w:val="20"/>
                <w:szCs w:val="20"/>
                <w:color w:val="auto"/>
              </w:rPr>
            </w:pPr>
            <w:r>
              <w:rPr>
                <w:rFonts w:ascii="Arial" w:cs="Arial" w:eastAsia="Arial" w:hAnsi="Arial"/>
                <w:sz w:val="22"/>
                <w:szCs w:val="22"/>
                <w:color w:val="auto"/>
              </w:rPr>
              <w:t>W</w:t>
            </w:r>
            <w:r>
              <w:rPr>
                <w:rFonts w:ascii="Arial" w:cs="Arial" w:eastAsia="Arial" w:hAnsi="Arial"/>
                <w:sz w:val="18"/>
                <w:szCs w:val="18"/>
                <w:color w:val="auto"/>
              </w:rPr>
              <w:t>INNEBAGO</w:t>
            </w:r>
            <w:r>
              <w:rPr>
                <w:rFonts w:ascii="Arial" w:cs="Arial" w:eastAsia="Arial" w:hAnsi="Arial"/>
                <w:sz w:val="22"/>
                <w:szCs w:val="22"/>
                <w:color w:val="auto"/>
              </w:rPr>
              <w:t xml:space="preserve"> I</w:t>
            </w:r>
            <w:r>
              <w:rPr>
                <w:rFonts w:ascii="Arial" w:cs="Arial" w:eastAsia="Arial" w:hAnsi="Arial"/>
                <w:sz w:val="18"/>
                <w:szCs w:val="18"/>
                <w:color w:val="auto"/>
              </w:rPr>
              <w:t>NDUSTRIES,</w:t>
            </w:r>
            <w:r>
              <w:rPr>
                <w:rFonts w:ascii="Arial" w:cs="Arial" w:eastAsia="Arial" w:hAnsi="Arial"/>
                <w:sz w:val="22"/>
                <w:szCs w:val="22"/>
                <w:color w:val="auto"/>
              </w:rPr>
              <w:t xml:space="preserve"> I</w:t>
            </w:r>
            <w:r>
              <w:rPr>
                <w:rFonts w:ascii="Arial" w:cs="Arial" w:eastAsia="Arial" w:hAnsi="Arial"/>
                <w:sz w:val="18"/>
                <w:szCs w:val="18"/>
                <w:color w:val="auto"/>
              </w:rPr>
              <w:t>NC.</w:t>
            </w:r>
          </w:p>
        </w:tc>
      </w:tr>
      <w:tr>
        <w:trPr>
          <w:trHeight w:val="564"/>
        </w:trPr>
        <w:tc>
          <w:tcPr>
            <w:tcW w:w="3000" w:type="dxa"/>
            <w:vAlign w:val="bottom"/>
          </w:tcPr>
          <w:p>
            <w:pPr>
              <w:spacing w:after="0"/>
              <w:rPr>
                <w:sz w:val="20"/>
                <w:szCs w:val="20"/>
                <w:color w:val="auto"/>
              </w:rPr>
            </w:pPr>
            <w:r>
              <w:rPr>
                <w:rFonts w:ascii="Arial" w:cs="Arial" w:eastAsia="Arial" w:hAnsi="Arial"/>
                <w:sz w:val="18"/>
                <w:szCs w:val="18"/>
                <w:color w:val="auto"/>
              </w:rPr>
              <w:t>Date:   April 11, 2017</w:t>
            </w:r>
          </w:p>
        </w:tc>
        <w:tc>
          <w:tcPr>
            <w:tcW w:w="2000" w:type="dxa"/>
            <w:vAlign w:val="bottom"/>
          </w:tcPr>
          <w:p>
            <w:pPr>
              <w:ind w:left="12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/s/ Scott C. Folkers</w:t>
            </w:r>
          </w:p>
        </w:tc>
      </w:tr>
      <w:tr>
        <w:trPr>
          <w:trHeight w:val="243"/>
        </w:trPr>
        <w:tc>
          <w:tcPr>
            <w:tcW w:w="3000" w:type="dxa"/>
            <w:vAlign w:val="bottom"/>
          </w:tcPr>
          <w:p>
            <w:pPr>
              <w:spacing w:after="0"/>
              <w:rPr>
                <w:sz w:val="21"/>
                <w:szCs w:val="21"/>
                <w:color w:val="auto"/>
              </w:rPr>
            </w:pPr>
          </w:p>
        </w:tc>
        <w:tc>
          <w:tcPr>
            <w:tcW w:w="2000" w:type="dxa"/>
            <w:vAlign w:val="bottom"/>
          </w:tcPr>
          <w:p>
            <w:pPr>
              <w:ind w:left="1220"/>
              <w:spacing w:after="0"/>
              <w:rPr>
                <w:sz w:val="20"/>
                <w:szCs w:val="20"/>
                <w:color w:val="auto"/>
              </w:rPr>
            </w:pPr>
            <w:r>
              <w:rPr>
                <w:rFonts w:ascii="Arial" w:cs="Arial" w:eastAsia="Arial" w:hAnsi="Arial"/>
                <w:sz w:val="18"/>
                <w:szCs w:val="18"/>
                <w:color w:val="auto"/>
              </w:rPr>
              <w:t>Name:</w:t>
            </w:r>
          </w:p>
        </w:tc>
        <w:tc>
          <w:tcPr>
            <w:tcW w:w="5240" w:type="dxa"/>
            <w:vAlign w:val="bottom"/>
          </w:tcPr>
          <w:p>
            <w:pPr>
              <w:ind w:left="40"/>
              <w:spacing w:after="0"/>
              <w:rPr>
                <w:sz w:val="20"/>
                <w:szCs w:val="20"/>
                <w:color w:val="auto"/>
              </w:rPr>
            </w:pPr>
            <w:r>
              <w:rPr>
                <w:rFonts w:ascii="Arial" w:cs="Arial" w:eastAsia="Arial" w:hAnsi="Arial"/>
                <w:sz w:val="18"/>
                <w:szCs w:val="18"/>
                <w:color w:val="auto"/>
              </w:rPr>
              <w:t>Scott C. Folkers</w:t>
            </w:r>
          </w:p>
        </w:tc>
      </w:tr>
      <w:tr>
        <w:trPr>
          <w:trHeight w:val="270"/>
        </w:trPr>
        <w:tc>
          <w:tcPr>
            <w:tcW w:w="3000" w:type="dxa"/>
            <w:vAlign w:val="bottom"/>
          </w:tcPr>
          <w:p>
            <w:pPr>
              <w:spacing w:after="0"/>
              <w:rPr>
                <w:sz w:val="23"/>
                <w:szCs w:val="23"/>
                <w:color w:val="auto"/>
              </w:rPr>
            </w:pPr>
          </w:p>
        </w:tc>
        <w:tc>
          <w:tcPr>
            <w:tcW w:w="2000" w:type="dxa"/>
            <w:vAlign w:val="bottom"/>
          </w:tcPr>
          <w:p>
            <w:pPr>
              <w:ind w:left="1220"/>
              <w:spacing w:after="0"/>
              <w:rPr>
                <w:sz w:val="20"/>
                <w:szCs w:val="20"/>
                <w:color w:val="auto"/>
              </w:rPr>
            </w:pPr>
            <w:r>
              <w:rPr>
                <w:rFonts w:ascii="Arial" w:cs="Arial" w:eastAsia="Arial" w:hAnsi="Arial"/>
                <w:sz w:val="18"/>
                <w:szCs w:val="18"/>
                <w:color w:val="auto"/>
              </w:rPr>
              <w:t>Title:</w:t>
            </w:r>
          </w:p>
        </w:tc>
        <w:tc>
          <w:tcPr>
            <w:tcW w:w="5240" w:type="dxa"/>
            <w:vAlign w:val="bottom"/>
          </w:tcPr>
          <w:p>
            <w:pPr>
              <w:ind w:left="40"/>
              <w:spacing w:after="0"/>
              <w:rPr>
                <w:sz w:val="20"/>
                <w:szCs w:val="20"/>
                <w:color w:val="auto"/>
              </w:rPr>
            </w:pPr>
            <w:r>
              <w:rPr>
                <w:rFonts w:ascii="Arial" w:cs="Arial" w:eastAsia="Arial" w:hAnsi="Arial"/>
                <w:sz w:val="18"/>
                <w:szCs w:val="18"/>
                <w:color w:val="auto"/>
              </w:rPr>
              <w:t>Vice President, General Counsel and Secretary</w:t>
            </w:r>
          </w:p>
        </w:tc>
      </w:tr>
      <w:tr>
        <w:trPr>
          <w:trHeight w:val="453"/>
        </w:trPr>
        <w:tc>
          <w:tcPr>
            <w:tcW w:w="3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40" w:type="dxa"/>
            <w:vAlign w:val="bottom"/>
          </w:tcPr>
          <w:p>
            <w:pPr>
              <w:jc w:val="right"/>
              <w:ind w:right="4432"/>
              <w:spacing w:after="0"/>
              <w:rPr>
                <w:sz w:val="20"/>
                <w:szCs w:val="20"/>
                <w:color w:val="auto"/>
              </w:rPr>
            </w:pPr>
            <w:r>
              <w:rPr>
                <w:rFonts w:ascii="Arial" w:cs="Arial" w:eastAsia="Arial" w:hAnsi="Arial"/>
                <w:sz w:val="16"/>
                <w:szCs w:val="16"/>
                <w:color w:val="auto"/>
              </w:rPr>
              <w:t>2</w:t>
            </w:r>
          </w:p>
        </w:tc>
      </w:tr>
    </w:tbl>
    <w:p>
      <w:pPr>
        <w:sectPr>
          <w:pgSz w:w="11900" w:h="16838" w:orient="portrait"/>
          <w:cols w:equalWidth="0" w:num="1">
            <w:col w:w="11400"/>
          </w:cols>
          <w:pgMar w:left="240" w:top="774"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780" w:type="dxa"/>
            <w:vAlign w:val="bottom"/>
          </w:tcPr>
          <w:p>
            <w:pPr>
              <w:jc w:val="center"/>
              <w:ind w:left="150"/>
              <w:spacing w:after="0"/>
              <w:rPr>
                <w:sz w:val="20"/>
                <w:szCs w:val="20"/>
                <w:color w:val="auto"/>
              </w:rPr>
            </w:pPr>
            <w:r>
              <w:rPr>
                <w:rFonts w:ascii="Arial" w:cs="Arial" w:eastAsia="Arial" w:hAnsi="Arial"/>
                <w:sz w:val="18"/>
                <w:szCs w:val="18"/>
                <w:color w:val="auto"/>
                <w:w w:val="98"/>
              </w:rPr>
              <w:t>Exhibit Index</w:t>
            </w:r>
          </w:p>
        </w:tc>
      </w:tr>
      <w:tr>
        <w:trPr>
          <w:trHeight w:val="662"/>
        </w:trPr>
        <w:tc>
          <w:tcPr>
            <w:tcW w:w="13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5920" w:type="dxa"/>
            <w:vAlign w:val="bottom"/>
            <w:gridSpan w:val="3"/>
          </w:tcPr>
          <w:p>
            <w:pPr>
              <w:ind w:left="440"/>
              <w:spacing w:after="0"/>
              <w:rPr>
                <w:sz w:val="20"/>
                <w:szCs w:val="20"/>
                <w:color w:val="auto"/>
              </w:rPr>
            </w:pPr>
            <w:r>
              <w:rPr>
                <w:rFonts w:ascii="Arial" w:cs="Arial" w:eastAsia="Arial" w:hAnsi="Arial"/>
                <w:sz w:val="18"/>
                <w:szCs w:val="18"/>
                <w:color w:val="auto"/>
              </w:rPr>
              <w:t>Description of Exhibit</w:t>
            </w:r>
          </w:p>
        </w:tc>
      </w:tr>
      <w:tr>
        <w:trPr>
          <w:trHeight w:val="20"/>
        </w:trPr>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Underwriting Agreement dated as of April 5, 2017</w:t>
            </w:r>
          </w:p>
        </w:tc>
      </w:tr>
      <w:tr>
        <w:trPr>
          <w:trHeight w:val="257"/>
        </w:trPr>
        <w:tc>
          <w:tcPr>
            <w:tcW w:w="860" w:type="dxa"/>
            <w:vAlign w:val="bottom"/>
          </w:tcPr>
          <w:p>
            <w:pPr>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2"/>
                <w:szCs w:val="22"/>
                <w:color w:val="auto"/>
              </w:rPr>
            </w:pPr>
          </w:p>
        </w:tc>
        <w:tc>
          <w:tcPr>
            <w:tcW w:w="5920" w:type="dxa"/>
            <w:vAlign w:val="bottom"/>
            <w:gridSpan w:val="3"/>
          </w:tcPr>
          <w:p>
            <w:pPr>
              <w:ind w:left="440"/>
              <w:spacing w:after="0"/>
              <w:rPr>
                <w:sz w:val="20"/>
                <w:szCs w:val="20"/>
                <w:color w:val="auto"/>
              </w:rPr>
            </w:pPr>
            <w:r>
              <w:rPr>
                <w:rFonts w:ascii="Arial" w:cs="Arial" w:eastAsia="Arial" w:hAnsi="Arial"/>
                <w:sz w:val="18"/>
                <w:szCs w:val="18"/>
                <w:color w:val="auto"/>
                <w:w w:val="99"/>
              </w:rPr>
              <w:t>Press Release Issued by Winnebago Industries, Inc. on April 5, 2017</w:t>
            </w:r>
          </w:p>
        </w:tc>
      </w:tr>
      <w:tr>
        <w:trPr>
          <w:trHeight w:val="642"/>
        </w:trPr>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20" w:type="dxa"/>
            <w:vAlign w:val="bottom"/>
            <w:gridSpan w:val="3"/>
          </w:tcPr>
          <w:p>
            <w:pPr>
              <w:jc w:val="right"/>
              <w:ind w:right="1630"/>
              <w:spacing w:after="0"/>
              <w:rPr>
                <w:sz w:val="20"/>
                <w:szCs w:val="20"/>
                <w:color w:val="auto"/>
              </w:rPr>
            </w:pPr>
            <w:r>
              <w:rPr>
                <w:rFonts w:ascii="Arial" w:cs="Arial" w:eastAsia="Arial" w:hAnsi="Arial"/>
                <w:sz w:val="16"/>
                <w:szCs w:val="16"/>
                <w:color w:val="auto"/>
              </w:rPr>
              <w:t>3</w:t>
            </w:r>
          </w:p>
        </w:tc>
      </w:tr>
    </w:tbl>
    <w:p>
      <w:pPr>
        <w:sectPr>
          <w:pgSz w:w="11900" w:h="16838" w:orient="portrait"/>
          <w:cols w:equalWidth="0" w:num="1">
            <w:col w:w="9979"/>
          </w:cols>
          <w:pgMar w:left="480" w:top="733"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i w:val="1"/>
          <w:iCs w:val="1"/>
          <w:color w:val="auto"/>
        </w:rPr>
        <w:t>Executed Version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 Winnebago Industries, Inc.</w:t>
      </w:r>
    </w:p>
    <w:p>
      <w:pPr>
        <w:spacing w:after="0" w:line="32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2,293,277 Shares</w:t>
      </w:r>
    </w:p>
    <w:p>
      <w:pPr>
        <w:spacing w:after="0" w:line="22"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4"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($0.50 par value)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Underwriting Agreement</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New York, New York</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April 5, 2017</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22"/>
          <w:szCs w:val="22"/>
          <w:color w:val="auto"/>
        </w:rPr>
        <w:t>Morgan Stanley &amp; Co. LLC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22"/>
          <w:szCs w:val="22"/>
          <w:color w:val="auto"/>
        </w:rPr>
        <w:t>1585 Broadway</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New York, New York 10036</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The stockholders named in Schedule II hereto (the “Selling Stockholders”) propose to sell (severally and not jointly) to Morgan Stanley &amp; Co. LLC (the “Underwriter”) the number of shares of common stock, $0.50 par value (“Common Stock”) of Winnebago Industries, Inc., a corporation organized under the laws of Iowa (the “Company”) set forth in Schedule I hereto (said shares to be sold by the Selling Stockholders collectively being hereinafter called the “Securities”). To the extent there are no additional Underwriters listed on Schedule I other than you, the term Underwriter shall mean either the singular or plural as the context requires. The use of the neuter in this Agreement shall include the feminine and masculine wherever appropriate. Any reference herein to the Registration Statement, the Base Prospectus, any Preliminary Prospectus or the Final Prospectus shall be deemed to refer to and include the documents incorporated by reference therein pursuant to Item 12 of Form S-3 which were filed under the Exchange Act on or before the Effective Date of the Registration Statement or the issue date of the Base Prospectus, any Preliminary Prospectus or the Final Prospectus, as the case may be; and any reference herein to the terms “amend,” “amendment” or “supplement” with respect to the Registration Statement, the Base Prospectus, any Preliminary Prospectus or the Final Prospectus shall be deemed to refer to and include the filing of any document under the Exchange Act after the Effective Date of the Registration Statement or the issue date of the Base Prospectus, any Preliminary Prospectus or the Final Prospectus, as the case may be, deemed to be incorporated therein by reference. Certain terms used herein are defined in Section 20 hereof.</w:t>
      </w:r>
    </w:p>
    <w:p>
      <w:pPr>
        <w:spacing w:after="0" w:line="158" w:lineRule="exact"/>
        <w:rPr>
          <w:sz w:val="20"/>
          <w:szCs w:val="20"/>
          <w:color w:val="auto"/>
        </w:rPr>
      </w:pPr>
    </w:p>
    <w:p>
      <w:pPr>
        <w:ind w:left="2120" w:hanging="815"/>
        <w:spacing w:after="0"/>
        <w:tabs>
          <w:tab w:leader="none" w:pos="212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2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The Company represents and warrants to, and agrees with, the Underwriter as set forth below in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Section 1.</w:t>
      </w:r>
    </w:p>
    <w:p>
      <w:pPr>
        <w:spacing w:after="0" w:line="202" w:lineRule="exact"/>
        <w:rPr>
          <w:sz w:val="20"/>
          <w:szCs w:val="20"/>
          <w:color w:val="auto"/>
        </w:rPr>
      </w:pPr>
    </w:p>
    <w:p>
      <w:pPr>
        <w:jc w:val="both"/>
        <w:ind w:left="660" w:firstLine="645"/>
        <w:spacing w:after="0" w:line="312" w:lineRule="auto"/>
        <w:tabs>
          <w:tab w:leader="none" w:pos="2196"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Company meets the requirements for use of Form S-3 under the Act and has prepared and filed with the Commission a registration statement (file number 333-215641) on Form S-3, including a related Base Prospectus, for registration under the Act of the offering and sale of the Securities. Such Registration Statement, including 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45" w:right="239" w:bottom="1440" w:gutter="0" w:footer="0" w:header="0"/>
        </w:sectPr>
      </w:pPr>
    </w:p>
    <w:bookmarkStart w:id="4" w:name="page5"/>
    <w:bookmarkEnd w:id="4"/>
    <w:p>
      <w:pPr>
        <w:jc w:val="both"/>
        <w:spacing w:after="0" w:line="288" w:lineRule="auto"/>
        <w:rPr>
          <w:sz w:val="20"/>
          <w:szCs w:val="20"/>
          <w:color w:val="auto"/>
        </w:rPr>
      </w:pPr>
      <w:r>
        <w:rPr>
          <w:rFonts w:ascii="Arial" w:cs="Arial" w:eastAsia="Arial" w:hAnsi="Arial"/>
          <w:sz w:val="19"/>
          <w:szCs w:val="19"/>
          <w:color w:val="auto"/>
        </w:rPr>
        <w:t>amendments thereto filed prior to the Execution Time, has become effective. The Company may have filed with the Commission, as part of an amendment to the Registration Statement or pursuant to Rule 424(b), one or more preliminary prospectus supplements relating to the Securities, each of which has previously been furnished to you. The Company will file with the Commission a final prospectus supplement relating to the Securities in accordance with Rule 424(b). As filed, such final prospectus supplement shall contain all information required by the Act and the rules thereunder, and, except to the extent the Underwriter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Base Prospectus and any Preliminary Prospectus) as the Company has advised you, prior to the Execution Time, will be included or made therein. The Registration Statement, at the Execution Time, meets the requirements set forth in Rule 415(a)(1)(x). The initial Effective Date of the Registration Statement was not earlier than the date three years before the Execution Time.</w:t>
      </w:r>
    </w:p>
    <w:p>
      <w:pPr>
        <w:spacing w:after="0" w:line="155" w:lineRule="exact"/>
        <w:rPr>
          <w:sz w:val="20"/>
          <w:szCs w:val="20"/>
          <w:color w:val="auto"/>
        </w:rPr>
      </w:pPr>
    </w:p>
    <w:p>
      <w:pPr>
        <w:jc w:val="both"/>
        <w:ind w:firstLine="645"/>
        <w:spacing w:after="0" w:line="257" w:lineRule="auto"/>
        <w:tabs>
          <w:tab w:leader="none" w:pos="1549" w:val="left"/>
        </w:tabs>
        <w:numPr>
          <w:ilvl w:val="0"/>
          <w:numId w:val="5"/>
        </w:numPr>
        <w:rPr>
          <w:rFonts w:ascii="Arial" w:cs="Arial" w:eastAsia="Arial" w:hAnsi="Arial"/>
          <w:sz w:val="21"/>
          <w:szCs w:val="21"/>
          <w:color w:val="auto"/>
        </w:rPr>
      </w:pPr>
      <w:r>
        <w:rPr>
          <w:rFonts w:ascii="Arial" w:cs="Arial" w:eastAsia="Arial" w:hAnsi="Arial"/>
          <w:sz w:val="21"/>
          <w:szCs w:val="21"/>
          <w:color w:val="auto"/>
        </w:rPr>
        <w:t xml:space="preserve">On each Effective Date, the Registration Statement did, and when the Final Prospectus is first filed in accordance with Rule 424(b) and on the Closing Date (as defined herein), the Final Prospectus (and any supplement thereto) will, comply in all material respects with the applicable requirements of the Act and the Exchange Act and the respective rules thereunder; on each Effective Date, at the Execution Time and on the Closing Date,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the Final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Company makes no representations or warranties as to the information contained in or omitted from the Registration Statement or the Final Prospectus (or any supplement thereto) in reliance upon and in conformity with information furnished in writing to the Company by the Underwriter or by the Selling Stockholders pursuant to clause (ii)(e) of this Section 1 specifically for inclusion in the Registration Statement or the Final Prospectus (or any supplement thereto), it being understood and agreed that the only such information furnished by the Underwriter consists of the information described as such in Section 8 hereof.</w:t>
      </w:r>
    </w:p>
    <w:p>
      <w:pPr>
        <w:spacing w:after="0" w:line="186" w:lineRule="exact"/>
        <w:rPr>
          <w:rFonts w:ascii="Arial" w:cs="Arial" w:eastAsia="Arial" w:hAnsi="Arial"/>
          <w:sz w:val="21"/>
          <w:szCs w:val="21"/>
          <w:color w:val="auto"/>
        </w:rPr>
      </w:pPr>
    </w:p>
    <w:p>
      <w:pPr>
        <w:jc w:val="both"/>
        <w:ind w:firstLine="645"/>
        <w:spacing w:after="0" w:line="294" w:lineRule="auto"/>
        <w:tabs>
          <w:tab w:leader="none" w:pos="1622"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Disclosure Package, when taken together as a whole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the Underwriter specifically for use therein, it being understood and agreed that the only such information furnished by the Underwriter consists of the information described as such in Section 8 hereof.</w:t>
      </w:r>
    </w:p>
    <w:p>
      <w:pPr>
        <w:spacing w:after="0" w:line="393"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0"/>
          </w:cols>
          <w:pgMar w:left="900" w:top="375" w:right="239" w:bottom="1440" w:gutter="0" w:footer="0" w:header="0"/>
        </w:sectPr>
      </w:pPr>
    </w:p>
    <w:bookmarkStart w:id="5" w:name="page6"/>
    <w:bookmarkEnd w:id="5"/>
    <w:p>
      <w:pPr>
        <w:jc w:val="both"/>
        <w:ind w:left="-540" w:firstLine="645"/>
        <w:spacing w:after="0" w:line="263" w:lineRule="auto"/>
        <w:tabs>
          <w:tab w:leader="none" w:pos="1069" w:val="left"/>
        </w:tabs>
        <w:numPr>
          <w:ilvl w:val="0"/>
          <w:numId w:val="6"/>
        </w:numPr>
        <w:rPr>
          <w:rFonts w:ascii="Arial" w:cs="Arial" w:eastAsia="Arial" w:hAnsi="Arial"/>
          <w:sz w:val="21"/>
          <w:szCs w:val="21"/>
          <w:color w:val="auto"/>
        </w:rPr>
      </w:pPr>
      <w:r>
        <w:rPr>
          <w:rFonts w:ascii="Arial" w:cs="Arial" w:eastAsia="Arial" w:hAnsi="Arial"/>
          <w:sz w:val="21"/>
          <w:szCs w:val="21"/>
          <w:color w:val="auto"/>
        </w:rPr>
        <w:t xml:space="preserve">(i) At the earliest time after the filing of the Registration Statement that the Company or another offering participant made a </w:t>
      </w:r>
      <w:r>
        <w:rPr>
          <w:rFonts w:ascii="Arial" w:cs="Arial" w:eastAsia="Arial" w:hAnsi="Arial"/>
          <w:sz w:val="21"/>
          <w:szCs w:val="21"/>
          <w:i w:val="1"/>
          <w:iCs w:val="1"/>
          <w:color w:val="auto"/>
        </w:rPr>
        <w:t>bona fide</w:t>
      </w:r>
      <w:r>
        <w:rPr>
          <w:rFonts w:ascii="Arial" w:cs="Arial" w:eastAsia="Arial" w:hAnsi="Arial"/>
          <w:sz w:val="21"/>
          <w:szCs w:val="21"/>
          <w:color w:val="auto"/>
        </w:rPr>
        <w:t xml:space="preserve"> offer (within the meaning of Rule 164(h)(2)) of the Securities and (ii) as of the Execution Time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175" w:lineRule="exact"/>
        <w:rPr>
          <w:rFonts w:ascii="Arial" w:cs="Arial" w:eastAsia="Arial" w:hAnsi="Arial"/>
          <w:sz w:val="21"/>
          <w:szCs w:val="21"/>
          <w:color w:val="auto"/>
        </w:rPr>
      </w:pPr>
    </w:p>
    <w:p>
      <w:pPr>
        <w:jc w:val="both"/>
        <w:ind w:left="-540" w:firstLine="645"/>
        <w:spacing w:after="0" w:line="294" w:lineRule="auto"/>
        <w:tabs>
          <w:tab w:leader="none" w:pos="996" w:val="left"/>
        </w:tabs>
        <w:numPr>
          <w:ilvl w:val="0"/>
          <w:numId w:val="6"/>
        </w:numPr>
        <w:rPr>
          <w:rFonts w:ascii="Arial" w:cs="Arial" w:eastAsia="Arial" w:hAnsi="Arial"/>
          <w:sz w:val="19"/>
          <w:szCs w:val="19"/>
          <w:color w:val="auto"/>
        </w:rPr>
      </w:pPr>
      <w:r>
        <w:rPr>
          <w:rFonts w:ascii="Arial" w:cs="Arial" w:eastAsia="Arial" w:hAnsi="Arial"/>
          <w:sz w:val="19"/>
          <w:szCs w:val="19"/>
          <w:color w:val="auto"/>
        </w:rPr>
        <w:t>Each Issuer Free Writing Prospectus does not include any information that conflicts with the information contained in the Registration Statement, including any document incorporated therein by reference and any prospectus supplement deemed to be a part thereof that has not been superseded or modified. The foregoing sentence does not apply to statements in or omissions from any Issuer Free Writing Prospectus based upon and in conformity with written information furnished to the Company by the Underwriter specifically for use therein, it being understood and agreed that the only such information furnished by the Underwriter consists of the information described as such in Section 8 hereof.</w:t>
      </w:r>
    </w:p>
    <w:p>
      <w:pPr>
        <w:spacing w:after="0" w:line="149" w:lineRule="exact"/>
        <w:rPr>
          <w:rFonts w:ascii="Arial" w:cs="Arial" w:eastAsia="Arial" w:hAnsi="Arial"/>
          <w:sz w:val="19"/>
          <w:szCs w:val="19"/>
          <w:color w:val="auto"/>
        </w:rPr>
      </w:pPr>
    </w:p>
    <w:p>
      <w:pPr>
        <w:jc w:val="both"/>
        <w:ind w:left="-540" w:firstLine="645"/>
        <w:spacing w:after="0" w:line="292" w:lineRule="auto"/>
        <w:tabs>
          <w:tab w:leader="none" w:pos="972" w:val="left"/>
        </w:tabs>
        <w:numPr>
          <w:ilvl w:val="0"/>
          <w:numId w:val="6"/>
        </w:numPr>
        <w:rPr>
          <w:rFonts w:ascii="Arial" w:cs="Arial" w:eastAsia="Arial" w:hAnsi="Arial"/>
          <w:sz w:val="19"/>
          <w:szCs w:val="19"/>
          <w:color w:val="auto"/>
        </w:rPr>
      </w:pPr>
      <w:r>
        <w:rPr>
          <w:rFonts w:ascii="Arial" w:cs="Arial" w:eastAsia="Arial" w:hAnsi="Arial"/>
          <w:sz w:val="19"/>
          <w:szCs w:val="19"/>
          <w:color w:val="auto"/>
        </w:rPr>
        <w:t>Each of the Company and its subsidiaries has been duly incorporated and is validly existing as a corporation in good standing under the laws of the jurisdiction in which it is chartered or organized with full corporate power and authority to own or lease, as the case may be, and to operate its properties and conduct its business as described in the Disclosure Package and the Final Prospectus, and is duly qualified to do business as a foreign corporation and is in good standing under the laws of each jurisdiction which requires such qualification, and in which the failure to so qualify or to so be in good standing would have a material adverse effect on the condition (financial or otherwise), earnings, business or properties of the Company and its subsidiaries, taken as a whole (“Material Adverse Effect”).</w:t>
      </w:r>
    </w:p>
    <w:p>
      <w:pPr>
        <w:spacing w:after="0" w:line="151" w:lineRule="exact"/>
        <w:rPr>
          <w:rFonts w:ascii="Arial" w:cs="Arial" w:eastAsia="Arial" w:hAnsi="Arial"/>
          <w:sz w:val="19"/>
          <w:szCs w:val="19"/>
          <w:color w:val="auto"/>
        </w:rPr>
      </w:pPr>
    </w:p>
    <w:p>
      <w:pPr>
        <w:jc w:val="both"/>
        <w:ind w:left="-540" w:firstLine="645"/>
        <w:spacing w:after="0" w:line="248" w:lineRule="auto"/>
        <w:tabs>
          <w:tab w:leader="none" w:pos="1009" w:val="left"/>
        </w:tabs>
        <w:numPr>
          <w:ilvl w:val="0"/>
          <w:numId w:val="6"/>
        </w:numPr>
        <w:rPr>
          <w:rFonts w:ascii="Arial" w:cs="Arial" w:eastAsia="Arial" w:hAnsi="Arial"/>
          <w:sz w:val="22"/>
          <w:szCs w:val="22"/>
          <w:color w:val="auto"/>
        </w:rPr>
      </w:pPr>
      <w:r>
        <w:rPr>
          <w:rFonts w:ascii="Arial" w:cs="Arial" w:eastAsia="Arial" w:hAnsi="Arial"/>
          <w:sz w:val="22"/>
          <w:szCs w:val="22"/>
          <w:color w:val="auto"/>
        </w:rPr>
        <w:t>All the outstanding shares of capital stock of each subsidiary have been duly and validly authorized and issued and are fully paid and nonassessable, and, except as otherwise set forth in the Disclosure Package and the Final Prospectus, all outstanding shares of capital stock of the subsidiaries are owned by the Company either directly or through wholly owned subsidiaries free and clear of any perfected security interest or any other security interests, claims, liens or encumbrances;</w:t>
      </w:r>
    </w:p>
    <w:p>
      <w:pPr>
        <w:spacing w:after="0" w:line="192" w:lineRule="exact"/>
        <w:rPr>
          <w:rFonts w:ascii="Arial" w:cs="Arial" w:eastAsia="Arial" w:hAnsi="Arial"/>
          <w:sz w:val="22"/>
          <w:szCs w:val="22"/>
          <w:color w:val="auto"/>
        </w:rPr>
      </w:pPr>
    </w:p>
    <w:p>
      <w:pPr>
        <w:ind w:left="-540" w:firstLine="645"/>
        <w:spacing w:after="0" w:line="263" w:lineRule="auto"/>
        <w:tabs>
          <w:tab w:leader="none" w:pos="1009"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outstanding shares of Common Stock have been duly and validly authorized and issued and are fully paid and nonassessable;</w:t>
      </w:r>
    </w:p>
    <w:p>
      <w:pPr>
        <w:spacing w:after="0" w:line="174" w:lineRule="exact"/>
        <w:rPr>
          <w:rFonts w:ascii="Arial" w:cs="Arial" w:eastAsia="Arial" w:hAnsi="Arial"/>
          <w:sz w:val="22"/>
          <w:szCs w:val="22"/>
          <w:color w:val="auto"/>
        </w:rPr>
      </w:pPr>
    </w:p>
    <w:p>
      <w:pPr>
        <w:ind w:left="960" w:hanging="855"/>
        <w:spacing w:after="0"/>
        <w:tabs>
          <w:tab w:leader="none" w:pos="96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This Agreement has been duly authorized, executed and delivered by the Company.</w:t>
      </w:r>
    </w:p>
    <w:p>
      <w:pPr>
        <w:spacing w:after="0" w:line="219" w:lineRule="exact"/>
        <w:rPr>
          <w:rFonts w:ascii="Arial" w:cs="Arial" w:eastAsia="Arial" w:hAnsi="Arial"/>
          <w:sz w:val="22"/>
          <w:szCs w:val="22"/>
          <w:color w:val="auto"/>
        </w:rPr>
      </w:pPr>
    </w:p>
    <w:p>
      <w:pPr>
        <w:ind w:left="-540" w:firstLine="645"/>
        <w:spacing w:after="0" w:line="263" w:lineRule="auto"/>
        <w:tabs>
          <w:tab w:leader="none" w:pos="96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Company is not required to register as an “investment company” as defined in the Investment Company Act of 1940, as amended.</w:t>
      </w:r>
    </w:p>
    <w:p>
      <w:pPr>
        <w:spacing w:after="0" w:line="174" w:lineRule="exact"/>
        <w:rPr>
          <w:rFonts w:ascii="Arial" w:cs="Arial" w:eastAsia="Arial" w:hAnsi="Arial"/>
          <w:sz w:val="22"/>
          <w:szCs w:val="22"/>
          <w:color w:val="auto"/>
        </w:rPr>
      </w:pPr>
    </w:p>
    <w:p>
      <w:pPr>
        <w:ind w:left="-540" w:firstLine="645"/>
        <w:spacing w:after="0" w:line="263" w:lineRule="auto"/>
        <w:tabs>
          <w:tab w:leader="none" w:pos="1009" w:val="left"/>
        </w:tabs>
        <w:numPr>
          <w:ilvl w:val="0"/>
          <w:numId w:val="6"/>
        </w:numPr>
        <w:rPr>
          <w:rFonts w:ascii="Arial" w:cs="Arial" w:eastAsia="Arial" w:hAnsi="Arial"/>
          <w:sz w:val="22"/>
          <w:szCs w:val="22"/>
          <w:color w:val="auto"/>
        </w:rPr>
      </w:pPr>
      <w:r>
        <w:rPr>
          <w:rFonts w:ascii="Arial" w:cs="Arial" w:eastAsia="Arial" w:hAnsi="Arial"/>
          <w:sz w:val="22"/>
          <w:szCs w:val="22"/>
          <w:color w:val="auto"/>
        </w:rPr>
        <w:t>No consent, approval, authorization, filing with or order of any court or governmental agency or body is required in connection with the transactions contemplated</w:t>
      </w:r>
    </w:p>
    <w:p>
      <w:pPr>
        <w:spacing w:after="0" w:line="200" w:lineRule="exact"/>
        <w:rPr>
          <w:sz w:val="20"/>
          <w:szCs w:val="20"/>
          <w:color w:val="auto"/>
        </w:rPr>
      </w:pPr>
    </w:p>
    <w:p>
      <w:pPr>
        <w:spacing w:after="0" w:line="21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20"/>
          </w:cols>
          <w:pgMar w:left="1440" w:top="375" w:right="239" w:bottom="1440" w:gutter="0" w:footer="0" w:header="0"/>
        </w:sectPr>
      </w:pPr>
    </w:p>
    <w:bookmarkStart w:id="6" w:name="page7"/>
    <w:bookmarkEnd w:id="6"/>
    <w:p>
      <w:pPr>
        <w:jc w:val="both"/>
        <w:spacing w:after="0" w:line="253" w:lineRule="auto"/>
        <w:rPr>
          <w:sz w:val="20"/>
          <w:szCs w:val="20"/>
          <w:color w:val="auto"/>
        </w:rPr>
      </w:pPr>
      <w:r>
        <w:rPr>
          <w:rFonts w:ascii="Arial" w:cs="Arial" w:eastAsia="Arial" w:hAnsi="Arial"/>
          <w:sz w:val="22"/>
          <w:szCs w:val="22"/>
          <w:color w:val="auto"/>
        </w:rPr>
        <w:t>herein, except such as have been obtained under the Act and such as may be required under the blue sky laws of any jurisdiction in connection with the purchase and distribution of the Securities by the Underwriter in the manner contemplated herein and in the Disclosure Package and the Final Prospectus.</w:t>
      </w:r>
    </w:p>
    <w:p>
      <w:pPr>
        <w:spacing w:after="0" w:line="186" w:lineRule="exact"/>
        <w:rPr>
          <w:sz w:val="20"/>
          <w:szCs w:val="20"/>
          <w:color w:val="auto"/>
        </w:rPr>
      </w:pPr>
    </w:p>
    <w:p>
      <w:pPr>
        <w:jc w:val="both"/>
        <w:ind w:firstLine="645"/>
        <w:spacing w:after="0" w:line="288" w:lineRule="auto"/>
        <w:tabs>
          <w:tab w:leader="none" w:pos="1500" w:val="left"/>
        </w:tabs>
        <w:numPr>
          <w:ilvl w:val="0"/>
          <w:numId w:val="7"/>
        </w:numPr>
        <w:rPr>
          <w:rFonts w:ascii="Arial" w:cs="Arial" w:eastAsia="Arial" w:hAnsi="Arial"/>
          <w:sz w:val="19"/>
          <w:szCs w:val="19"/>
          <w:color w:val="auto"/>
        </w:rPr>
      </w:pPr>
      <w:r>
        <w:rPr>
          <w:rFonts w:ascii="Arial" w:cs="Arial" w:eastAsia="Arial" w:hAnsi="Arial"/>
          <w:sz w:val="19"/>
          <w:szCs w:val="19"/>
          <w:color w:val="auto"/>
        </w:rPr>
        <w:t>Neither the consummation of the transactions herein contemplated nor the Company’s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except as would not, singly or in the aggregate, reasonably be expected to result in a Material Adverse Effect,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except as would not, singly or in the aggregate, reasonably be expected to result in a Material Adverse Effect.</w:t>
      </w:r>
    </w:p>
    <w:p>
      <w:pPr>
        <w:spacing w:after="0" w:line="160" w:lineRule="exact"/>
        <w:rPr>
          <w:rFonts w:ascii="Arial" w:cs="Arial" w:eastAsia="Arial" w:hAnsi="Arial"/>
          <w:sz w:val="19"/>
          <w:szCs w:val="19"/>
          <w:color w:val="auto"/>
        </w:rPr>
      </w:pPr>
    </w:p>
    <w:p>
      <w:pPr>
        <w:jc w:val="both"/>
        <w:ind w:firstLine="645"/>
        <w:spacing w:after="0" w:line="286" w:lineRule="auto"/>
        <w:tabs>
          <w:tab w:leader="none" w:pos="1608"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consolidated historical financial statements and schedules of the Company and its consolidated subsidiaries incorporated by reference in the Preliminary Prospectus, the Final Prospectus and the Registration Statement present fairly the financial condition, results of operations and cash flows of the entities to which they relate as of the dates and for the periods indicated, comply as to form with the applicable accounting requirements of the Act and have been prepared in conformity with U.S. generally accepted accounting principles (“GAAP”) applied on a consistent basis throughout the periods involved (except as otherwise noted therein). The pro forma financial statements incorporated by reference in the Preliminary Prospectus, the Final Prospectus and the Registration Statement present fairly the information shown therein and include assumptions that provide a reasonable basis for presenting the significant effects directly attributable to the transactions and events described therein. The pro forma financial statements incorporated by reference in the Preliminary Prospectus, the Final Prospectus and the Registration Statement comply as to form in all material respects with the applicable accounting requirements of Regulation S-X under the Act and the Commission’s rules and guidelines with respect to pro forma financial statements and the pro forma adjustments have been properly applied to the historical amounts in the compilation of those statements.</w:t>
      </w:r>
    </w:p>
    <w:p>
      <w:pPr>
        <w:spacing w:after="0" w:line="167" w:lineRule="exact"/>
        <w:rPr>
          <w:rFonts w:ascii="Arial" w:cs="Arial" w:eastAsia="Arial" w:hAnsi="Arial"/>
          <w:sz w:val="19"/>
          <w:szCs w:val="19"/>
          <w:color w:val="auto"/>
        </w:rPr>
      </w:pPr>
    </w:p>
    <w:p>
      <w:pPr>
        <w:jc w:val="both"/>
        <w:ind w:firstLine="645"/>
        <w:spacing w:after="0" w:line="248" w:lineRule="auto"/>
        <w:tabs>
          <w:tab w:leader="none" w:pos="1549" w:val="left"/>
        </w:tabs>
        <w:numPr>
          <w:ilvl w:val="0"/>
          <w:numId w:val="7"/>
        </w:numPr>
        <w:rPr>
          <w:rFonts w:ascii="Arial" w:cs="Arial" w:eastAsia="Arial" w:hAnsi="Arial"/>
          <w:sz w:val="22"/>
          <w:szCs w:val="22"/>
          <w:color w:val="auto"/>
        </w:rPr>
      </w:pPr>
      <w:r>
        <w:rPr>
          <w:rFonts w:ascii="Arial" w:cs="Arial" w:eastAsia="Arial" w:hAnsi="Arial"/>
          <w:sz w:val="22"/>
          <w:szCs w:val="22"/>
          <w:color w:val="auto"/>
        </w:rPr>
        <w:t>No action, suit or proceeding by or before any court or governmental agency, authority or body or any arbitrator involving the Company or any of its subsidiaries or its or their property is pending or, to the knowledge of the Company, threatened that (i) could reasonably be expected to have a material adverse effect on the performance of this Agreement or the consummation of any of the transactions contemplated hereby or (ii) could reasonably be expected to have a Material Adverse Effect, except as set forth in or</w:t>
      </w:r>
    </w:p>
    <w:p>
      <w:pPr>
        <w:spacing w:after="0" w:line="200" w:lineRule="exact"/>
        <w:rPr>
          <w:sz w:val="20"/>
          <w:szCs w:val="20"/>
          <w:color w:val="auto"/>
        </w:rPr>
      </w:pPr>
    </w:p>
    <w:p>
      <w:pPr>
        <w:spacing w:after="0" w:line="235"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60"/>
          </w:cols>
          <w:pgMar w:left="900" w:top="375"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contemplated in the Disclosure Package and the Final Prospectus (exclusive of any supplement thereto).</w:t>
      </w:r>
    </w:p>
    <w:p>
      <w:pPr>
        <w:spacing w:after="0" w:line="220" w:lineRule="exact"/>
        <w:rPr>
          <w:sz w:val="20"/>
          <w:szCs w:val="20"/>
          <w:color w:val="auto"/>
        </w:rPr>
      </w:pPr>
    </w:p>
    <w:p>
      <w:pPr>
        <w:jc w:val="both"/>
        <w:ind w:firstLine="645"/>
        <w:spacing w:after="0" w:line="259" w:lineRule="auto"/>
        <w:tabs>
          <w:tab w:leader="none" w:pos="1549" w:val="left"/>
        </w:tabs>
        <w:numPr>
          <w:ilvl w:val="0"/>
          <w:numId w:val="8"/>
        </w:numPr>
        <w:rPr>
          <w:rFonts w:ascii="Arial" w:cs="Arial" w:eastAsia="Arial" w:hAnsi="Arial"/>
          <w:sz w:val="21"/>
          <w:szCs w:val="21"/>
          <w:color w:val="auto"/>
        </w:rPr>
      </w:pPr>
      <w:r>
        <w:rPr>
          <w:rFonts w:ascii="Arial" w:cs="Arial" w:eastAsia="Arial" w:hAnsi="Arial"/>
          <w:sz w:val="21"/>
          <w:szCs w:val="21"/>
          <w:color w:val="auto"/>
        </w:rPr>
        <w:t>(i) Deloitte &amp; Touche LLP, who have certified certain financial statements of the Company and its consolidated subsidiaries and delivered their report with respect to the audited consolidated financial statements and schedules included and/or incorporated by reference in the Disclosure Package and the Final Prospectus, are independent public accountants with respect to the Company within the meaning of the Act and the applicable published rules and regulations thereunder; and (ii) Crowe Horwath LLP, who have certified certain financial statements of Grand Design RV, LLC and its consolidated subsidiaries and delivered their report with respect to the audited consolidated financial statements and schedules incorporated by reference in the Disclosure Package and the Final Prospectus, are independent public accountants with respect to Grand Design RV, LLC within the meaning of the Act and the applicable published rules and regulations thereunder.</w:t>
      </w:r>
    </w:p>
    <w:p>
      <w:pPr>
        <w:spacing w:after="0" w:line="180" w:lineRule="exact"/>
        <w:rPr>
          <w:rFonts w:ascii="Arial" w:cs="Arial" w:eastAsia="Arial" w:hAnsi="Arial"/>
          <w:sz w:val="21"/>
          <w:szCs w:val="21"/>
          <w:color w:val="auto"/>
        </w:rPr>
      </w:pPr>
    </w:p>
    <w:p>
      <w:pPr>
        <w:jc w:val="both"/>
        <w:ind w:firstLine="645"/>
        <w:spacing w:after="0" w:line="292" w:lineRule="auto"/>
        <w:tabs>
          <w:tab w:leader="none" w:pos="1549"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Company has filed all tax returns that are required to be filed or has requested extensions thereof (except in any case in which the failure so to file would not have a Material Adverse Effect, except as set forth in or contemplated in the Disclosure Package and the Final Prospectus (exclusive of any supplement thereto)) and has paid all taxes required to be paid by it and any other assessment, fine or penalty levied against it, to the extent that any of the foregoing is due and payable, except for any such assessment, fine or penalty the amount or validity of which is currently being contested in good faith or as would not have a Material Adverse Effect, except as set forth in or contemplated in the Disclosure Package and the Final Prospectus (exclusive of any supplement thereto).</w:t>
      </w:r>
    </w:p>
    <w:p>
      <w:pPr>
        <w:spacing w:after="0" w:line="151" w:lineRule="exact"/>
        <w:rPr>
          <w:rFonts w:ascii="Arial" w:cs="Arial" w:eastAsia="Arial" w:hAnsi="Arial"/>
          <w:sz w:val="19"/>
          <w:szCs w:val="19"/>
          <w:color w:val="auto"/>
        </w:rPr>
      </w:pPr>
    </w:p>
    <w:p>
      <w:pPr>
        <w:jc w:val="both"/>
        <w:ind w:firstLine="645"/>
        <w:spacing w:after="0" w:line="250" w:lineRule="auto"/>
        <w:tabs>
          <w:tab w:leader="none" w:pos="1549" w:val="left"/>
        </w:tabs>
        <w:numPr>
          <w:ilvl w:val="0"/>
          <w:numId w:val="8"/>
        </w:numPr>
        <w:rPr>
          <w:rFonts w:ascii="Arial" w:cs="Arial" w:eastAsia="Arial" w:hAnsi="Arial"/>
          <w:sz w:val="22"/>
          <w:szCs w:val="22"/>
          <w:color w:val="auto"/>
        </w:rPr>
      </w:pPr>
      <w:r>
        <w:rPr>
          <w:rFonts w:ascii="Arial" w:cs="Arial" w:eastAsia="Arial" w:hAnsi="Arial"/>
          <w:sz w:val="22"/>
          <w:szCs w:val="22"/>
          <w:color w:val="auto"/>
        </w:rPr>
        <w:t>No strike or labor dispute with the employees of the Company or any of its subsidiaries exists or, to the knowledge of the Company, is threatened except as would not reasonably be expected to result in a Material Adverse Effect, except as set forth in or contemplated in the Registration Statement, Disclosure Package and the Final Prospectus (exclusive of any supplement thereto).</w:t>
      </w:r>
    </w:p>
    <w:p>
      <w:pPr>
        <w:spacing w:after="0" w:line="188" w:lineRule="exact"/>
        <w:rPr>
          <w:rFonts w:ascii="Arial" w:cs="Arial" w:eastAsia="Arial" w:hAnsi="Arial"/>
          <w:sz w:val="22"/>
          <w:szCs w:val="22"/>
          <w:color w:val="auto"/>
        </w:rPr>
      </w:pPr>
    </w:p>
    <w:p>
      <w:pPr>
        <w:jc w:val="both"/>
        <w:ind w:firstLine="645"/>
        <w:spacing w:after="0" w:line="261" w:lineRule="auto"/>
        <w:tabs>
          <w:tab w:leader="none" w:pos="1512"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Company and each of its subsidiaries maintain insurance against such losses and risks and in such amounts as are adequate and customarily maintained by companies engaged in the same or similar businesses operating in the same or similar locations; all premiums in respect of such insurance have been paid to the extent due and payable; and there are no claims by the Company or any of its subsidiaries under any such policy or instrument as to which any insurance company is denying liability or defending under a reservation of rights clause where such claims would be reasonably expected to have a Material Adverse Effect.</w:t>
      </w:r>
    </w:p>
    <w:p>
      <w:pPr>
        <w:spacing w:after="0" w:line="180" w:lineRule="exact"/>
        <w:rPr>
          <w:rFonts w:ascii="Arial" w:cs="Arial" w:eastAsia="Arial" w:hAnsi="Arial"/>
          <w:sz w:val="21"/>
          <w:szCs w:val="21"/>
          <w:color w:val="auto"/>
        </w:rPr>
      </w:pPr>
    </w:p>
    <w:p>
      <w:pPr>
        <w:jc w:val="both"/>
        <w:ind w:firstLine="645"/>
        <w:spacing w:after="0" w:line="302" w:lineRule="auto"/>
        <w:tabs>
          <w:tab w:leader="none" w:pos="1524" w:val="left"/>
        </w:tabs>
        <w:numPr>
          <w:ilvl w:val="0"/>
          <w:numId w:val="8"/>
        </w:numPr>
        <w:rPr>
          <w:rFonts w:ascii="Arial" w:cs="Arial" w:eastAsia="Arial" w:hAnsi="Arial"/>
          <w:sz w:val="19"/>
          <w:szCs w:val="19"/>
          <w:color w:val="auto"/>
        </w:rPr>
      </w:pPr>
      <w:r>
        <w:rPr>
          <w:rFonts w:ascii="Arial" w:cs="Arial" w:eastAsia="Arial" w:hAnsi="Arial"/>
          <w:sz w:val="19"/>
          <w:szCs w:val="19"/>
          <w:color w:val="auto"/>
        </w:rPr>
        <w:t>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provided under applicable</w:t>
      </w:r>
    </w:p>
    <w:p>
      <w:pPr>
        <w:spacing w:after="0" w:line="386"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60"/>
          </w:cols>
          <w:pgMar w:left="900" w:top="375" w:right="239" w:bottom="1440" w:gutter="0" w:footer="0" w:header="0"/>
        </w:sectPr>
      </w:pPr>
    </w:p>
    <w:bookmarkStart w:id="8" w:name="page9"/>
    <w:bookmarkEnd w:id="8"/>
    <w:p>
      <w:pPr>
        <w:ind w:right="20"/>
        <w:spacing w:after="0" w:line="263" w:lineRule="auto"/>
        <w:rPr>
          <w:sz w:val="20"/>
          <w:szCs w:val="20"/>
          <w:color w:val="auto"/>
        </w:rPr>
      </w:pPr>
      <w:r>
        <w:rPr>
          <w:rFonts w:ascii="Arial" w:cs="Arial" w:eastAsia="Arial" w:hAnsi="Arial"/>
          <w:sz w:val="22"/>
          <w:szCs w:val="22"/>
          <w:color w:val="auto"/>
        </w:rPr>
        <w:t>law or as described in or contemplated by the Disclosure Package and the Final Prospectus (exclusive of any supplement thereto).</w:t>
      </w:r>
    </w:p>
    <w:p>
      <w:pPr>
        <w:spacing w:after="0" w:line="175" w:lineRule="exact"/>
        <w:rPr>
          <w:sz w:val="20"/>
          <w:szCs w:val="20"/>
          <w:color w:val="auto"/>
        </w:rPr>
      </w:pPr>
    </w:p>
    <w:p>
      <w:pPr>
        <w:jc w:val="both"/>
        <w:ind w:firstLine="645"/>
        <w:spacing w:after="0" w:line="259" w:lineRule="auto"/>
        <w:tabs>
          <w:tab w:leader="none" w:pos="150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Company and its subsidiaries possess all licenses, certificates, permits and other authorizations issued by all applicable governmental authorities necessary to conduct their respective businesses as set forth in the Disclosure Package and the Final Prospectus, except where the failure to so possess would not, individually or in the aggregate, reasonably be expected to have a Material Adverse Effect, and neither the Company nor any such subsidiary has received any written notice of proceedings relating to the revocation or modification of any such certificate, authorization or permit which, singly or in the aggregate, if the subject of an unfavorable decision, ruling or finding, would have a Material Adverse Effect, except as set forth in or contemplated in the Disclosure Package and the Final Prospectus (exclusive of any supplement thereto).</w:t>
      </w:r>
    </w:p>
    <w:p>
      <w:pPr>
        <w:spacing w:after="0" w:line="184" w:lineRule="exact"/>
        <w:rPr>
          <w:rFonts w:ascii="Arial" w:cs="Arial" w:eastAsia="Arial" w:hAnsi="Arial"/>
          <w:sz w:val="21"/>
          <w:szCs w:val="21"/>
          <w:color w:val="auto"/>
        </w:rPr>
      </w:pPr>
    </w:p>
    <w:p>
      <w:pPr>
        <w:jc w:val="both"/>
        <w:ind w:firstLine="645"/>
        <w:spacing w:after="0" w:line="286" w:lineRule="auto"/>
        <w:tabs>
          <w:tab w:leader="none" w:pos="1549"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the Preliminary Prospectus and the Final Prospectus is in compliance with the Commission’s published rules, regulations and guidelines applicable thereto. There were no material weaknesses in the Company’s and its subsidiaries’ internal control over financial reporting (as defined in Rule 13a-15(f) of the Exchange Act) as of the end of the period covered by the most recent audited financial statements included or incorporated by reference in the Disclosure Package and the Final Prospectus. The Company and its subsidiaries’ internal controls over financial reporting are effective as of the end of the period covered by the most recent audited financial statements included or incorporated by reference in the Disclosure Package and the Final Prospectus.</w:t>
      </w:r>
    </w:p>
    <w:p>
      <w:pPr>
        <w:spacing w:after="0" w:line="167" w:lineRule="exact"/>
        <w:rPr>
          <w:rFonts w:ascii="Arial" w:cs="Arial" w:eastAsia="Arial" w:hAnsi="Arial"/>
          <w:sz w:val="19"/>
          <w:szCs w:val="19"/>
          <w:color w:val="auto"/>
        </w:rPr>
      </w:pPr>
    </w:p>
    <w:p>
      <w:pPr>
        <w:jc w:val="both"/>
        <w:ind w:firstLine="645"/>
        <w:spacing w:after="0" w:line="250" w:lineRule="auto"/>
        <w:tabs>
          <w:tab w:leader="none" w:pos="1549"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Company and its subsidiaries maintain “disclosure controls and procedures” (as such term is defined in Rule 13a-15(e) under the Exchange Act) and such disclosure controls and procedures were effective as of the end of the period covered by the most recent unaudited financial statements included or incorporated by reference in the Disclosure Package and the Final Prospectus.</w:t>
      </w:r>
    </w:p>
    <w:p>
      <w:pPr>
        <w:spacing w:after="0" w:line="188" w:lineRule="exact"/>
        <w:rPr>
          <w:rFonts w:ascii="Arial" w:cs="Arial" w:eastAsia="Arial" w:hAnsi="Arial"/>
          <w:sz w:val="22"/>
          <w:szCs w:val="22"/>
          <w:color w:val="auto"/>
        </w:rPr>
      </w:pPr>
    </w:p>
    <w:p>
      <w:pPr>
        <w:jc w:val="both"/>
        <w:ind w:firstLine="645"/>
        <w:spacing w:after="0" w:line="271" w:lineRule="auto"/>
        <w:tabs>
          <w:tab w:leader="none" w:pos="1596"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Company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67" w:lineRule="exact"/>
        <w:rPr>
          <w:rFonts w:ascii="Arial" w:cs="Arial" w:eastAsia="Arial" w:hAnsi="Arial"/>
          <w:sz w:val="21"/>
          <w:szCs w:val="21"/>
          <w:color w:val="auto"/>
        </w:rPr>
      </w:pPr>
    </w:p>
    <w:p>
      <w:pPr>
        <w:ind w:firstLine="645"/>
        <w:spacing w:after="0" w:line="263" w:lineRule="auto"/>
        <w:tabs>
          <w:tab w:leader="none" w:pos="1549" w:val="left"/>
        </w:tabs>
        <w:numPr>
          <w:ilvl w:val="0"/>
          <w:numId w:val="9"/>
        </w:numPr>
        <w:rPr>
          <w:rFonts w:ascii="Arial" w:cs="Arial" w:eastAsia="Arial" w:hAnsi="Arial"/>
          <w:sz w:val="22"/>
          <w:szCs w:val="22"/>
          <w:color w:val="auto"/>
        </w:rPr>
      </w:pPr>
      <w:r>
        <w:rPr>
          <w:rFonts w:ascii="Arial" w:cs="Arial" w:eastAsia="Arial" w:hAnsi="Arial"/>
          <w:sz w:val="22"/>
          <w:szCs w:val="22"/>
          <w:color w:val="auto"/>
        </w:rPr>
        <w:t>Except as described in the Disclosure Package and the Final Prospectus or as would not, singly or in the aggregate, reasonably be expected to result in a Material</w:t>
      </w:r>
    </w:p>
    <w:p>
      <w:pPr>
        <w:spacing w:after="0" w:line="200" w:lineRule="exact"/>
        <w:rPr>
          <w:sz w:val="20"/>
          <w:szCs w:val="20"/>
          <w:color w:val="auto"/>
        </w:rPr>
      </w:pPr>
    </w:p>
    <w:p>
      <w:pPr>
        <w:spacing w:after="0" w:line="218"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60"/>
          </w:cols>
          <w:pgMar w:left="900" w:top="375" w:right="2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21"/>
          <w:szCs w:val="21"/>
          <w:color w:val="auto"/>
        </w:rPr>
        <w:t>Adverse Effect, the Company and its subsidiaries are (i) in compliance with any and all applicable foreign, federal, state and local laws and regulations relating to the protection of human health and safety, the environment or hazardous or toxic substances or wastes, pollutants or contaminants (“Environmental Laws”), (ii) have received and are in compliance with all permits, licenses or other approvals required of them under applicable Environmental Laws to conduct their respective businesses and (iii) have not received written notice of any actual or potential liability under any Environmental Laws. Except as set forth in the Disclosure Package and the Final Prospectus, neither the Company nor any of the subsidiaries has been named as a “potentially responsible party” under the Comprehensive Environmental Response, Compensation, and Liability Act of 1980, as amended.</w:t>
      </w:r>
    </w:p>
    <w:p>
      <w:pPr>
        <w:spacing w:after="0" w:line="184" w:lineRule="exact"/>
        <w:rPr>
          <w:sz w:val="20"/>
          <w:szCs w:val="20"/>
          <w:color w:val="auto"/>
        </w:rPr>
      </w:pPr>
    </w:p>
    <w:p>
      <w:pPr>
        <w:jc w:val="both"/>
        <w:ind w:firstLine="645"/>
        <w:spacing w:after="0" w:line="285" w:lineRule="auto"/>
        <w:tabs>
          <w:tab w:leader="none" w:pos="1549" w:val="left"/>
        </w:tabs>
        <w:numPr>
          <w:ilvl w:val="0"/>
          <w:numId w:val="10"/>
        </w:numPr>
        <w:rPr>
          <w:rFonts w:ascii="Arial" w:cs="Arial" w:eastAsia="Arial" w:hAnsi="Arial"/>
          <w:sz w:val="19"/>
          <w:szCs w:val="19"/>
          <w:color w:val="auto"/>
        </w:rPr>
      </w:pPr>
      <w:r>
        <w:rPr>
          <w:rFonts w:ascii="Arial" w:cs="Arial" w:eastAsia="Arial" w:hAnsi="Arial"/>
          <w:sz w:val="19"/>
          <w:szCs w:val="19"/>
          <w:color w:val="auto"/>
        </w:rPr>
        <w:t>None of the following events has occurred or exists: (i) a failure to fulfill the obligations, if any, under the minimum funding standards of Section 302 of the United States Employee Retirement Income Security Act of 1974, as amended (“ERISA”), and the regulations and published interpretations thereunder with respect to a Plan, determined without regard to any waiver of such obligations or extension of any amortization period; or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any of its subsidiaries, which audit or investigation if resulting in an unfavorable decision, ruling or finding would have a Material Adverse Effect. None of the following events has occurred: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or (iii) any event or condition giving rise to a liability under Title IV of ERISA that could have a Material Adverse Effect. For purposes of this paragraph, the term “Plan” means a plan (within the meaning of Section 3(3) of ERISA) subject to Title IV of ERISA with respect to which the Company or any of its subsidiaries may have any liability.</w:t>
      </w:r>
    </w:p>
    <w:p>
      <w:pPr>
        <w:spacing w:after="0" w:line="170" w:lineRule="exact"/>
        <w:rPr>
          <w:rFonts w:ascii="Arial" w:cs="Arial" w:eastAsia="Arial" w:hAnsi="Arial"/>
          <w:sz w:val="19"/>
          <w:szCs w:val="19"/>
          <w:color w:val="auto"/>
        </w:rPr>
      </w:pPr>
    </w:p>
    <w:p>
      <w:pPr>
        <w:jc w:val="both"/>
        <w:ind w:firstLine="645"/>
        <w:spacing w:after="0" w:line="265" w:lineRule="auto"/>
        <w:tabs>
          <w:tab w:leader="none" w:pos="1536"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There is and has been no failure on the part of the Company and any of the Company’s directors or officers, in their capacities as such, to comply in all material respects with any provision of the Sarbanes-Oxley Act of 2002 and the rules and regulations promulgated in connection therewith (the “Sarbanes-Oxley Act”) applicable to the Company, including Section 402 relating to loans and Sections 302 and 906 relating to certifications.</w:t>
      </w:r>
    </w:p>
    <w:p>
      <w:pPr>
        <w:spacing w:after="0" w:line="176" w:lineRule="exact"/>
        <w:rPr>
          <w:sz w:val="20"/>
          <w:szCs w:val="20"/>
          <w:color w:val="auto"/>
        </w:rPr>
      </w:pPr>
    </w:p>
    <w:p>
      <w:pPr>
        <w:jc w:val="both"/>
        <w:ind w:firstLine="645"/>
        <w:spacing w:after="0" w:line="312" w:lineRule="auto"/>
        <w:tabs>
          <w:tab w:leader="none" w:pos="1632" w:val="left"/>
        </w:tabs>
        <w:numPr>
          <w:ilvl w:val="0"/>
          <w:numId w:val="11"/>
        </w:numPr>
        <w:rPr>
          <w:rFonts w:ascii="Arial" w:cs="Arial" w:eastAsia="Arial" w:hAnsi="Arial"/>
          <w:sz w:val="19"/>
          <w:szCs w:val="19"/>
          <w:color w:val="auto"/>
        </w:rPr>
      </w:pPr>
      <w:r>
        <w:rPr>
          <w:rFonts w:ascii="Arial" w:cs="Arial" w:eastAsia="Arial" w:hAnsi="Arial"/>
          <w:sz w:val="19"/>
          <w:szCs w:val="19"/>
          <w:color w:val="auto"/>
        </w:rPr>
        <w:t>Neither the Company nor any of its subsidiaries nor, to the knowledge of the Company, any director, officer, agent, employee or affiliate of the Company or any of its subsidiaries is aware of or has taken any action, directly or indirectly, with regard to the Company or its subsidiaries that could result in a violation by such persons of the Foreign</w:t>
      </w:r>
    </w:p>
    <w:p>
      <w:pPr>
        <w:spacing w:after="0" w:line="377"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60"/>
          </w:cols>
          <w:pgMar w:left="900" w:top="375" w:right="239" w:bottom="1440" w:gutter="0" w:footer="0" w:header="0"/>
        </w:sectPr>
      </w:pPr>
    </w:p>
    <w:bookmarkStart w:id="10" w:name="page11"/>
    <w:bookmarkEnd w:id="10"/>
    <w:p>
      <w:pPr>
        <w:jc w:val="both"/>
        <w:ind w:left="660"/>
        <w:spacing w:after="0" w:line="253" w:lineRule="auto"/>
        <w:rPr>
          <w:sz w:val="20"/>
          <w:szCs w:val="20"/>
          <w:color w:val="auto"/>
        </w:rPr>
      </w:pPr>
      <w:r>
        <w:rPr>
          <w:rFonts w:ascii="Arial" w:cs="Arial" w:eastAsia="Arial" w:hAnsi="Arial"/>
          <w:sz w:val="22"/>
          <w:szCs w:val="22"/>
          <w:color w:val="auto"/>
        </w:rPr>
        <w:t>Corrupt Practices Act of 1977 or the U.K. Bribery Act 2010, each as may be amended, or similar law of any other relevant jurisdiction, or the rules or regulations thereunder; and the Company and its subsidiaries have instituted and maintain policies and procedures designed to ensure compliance therewith.</w:t>
      </w:r>
    </w:p>
    <w:p>
      <w:pPr>
        <w:spacing w:after="0" w:line="186" w:lineRule="exact"/>
        <w:rPr>
          <w:sz w:val="20"/>
          <w:szCs w:val="20"/>
          <w:color w:val="auto"/>
        </w:rPr>
      </w:pPr>
    </w:p>
    <w:p>
      <w:pPr>
        <w:jc w:val="both"/>
        <w:ind w:left="660" w:firstLine="645"/>
        <w:spacing w:after="0" w:line="292" w:lineRule="auto"/>
        <w:tabs>
          <w:tab w:leader="none" w:pos="2317"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operations of the Company and its subsidiaries (at such times that they have been subsidiaries of the Company)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51" w:lineRule="exact"/>
        <w:rPr>
          <w:rFonts w:ascii="Arial" w:cs="Arial" w:eastAsia="Arial" w:hAnsi="Arial"/>
          <w:sz w:val="19"/>
          <w:szCs w:val="19"/>
          <w:color w:val="auto"/>
        </w:rPr>
      </w:pPr>
    </w:p>
    <w:p>
      <w:pPr>
        <w:jc w:val="both"/>
        <w:ind w:left="660" w:firstLine="645"/>
        <w:spacing w:after="0" w:line="289" w:lineRule="auto"/>
        <w:tabs>
          <w:tab w:leader="none" w:pos="2292" w:val="left"/>
        </w:tabs>
        <w:numPr>
          <w:ilvl w:val="0"/>
          <w:numId w:val="12"/>
        </w:numPr>
        <w:rPr>
          <w:rFonts w:ascii="Arial" w:cs="Arial" w:eastAsia="Arial" w:hAnsi="Arial"/>
          <w:sz w:val="19"/>
          <w:szCs w:val="19"/>
          <w:color w:val="auto"/>
        </w:rPr>
      </w:pPr>
      <w:r>
        <w:rPr>
          <w:rFonts w:ascii="Arial" w:cs="Arial" w:eastAsia="Arial" w:hAnsi="Arial"/>
          <w:sz w:val="19"/>
          <w:szCs w:val="19"/>
          <w:color w:val="auto"/>
        </w:rPr>
        <w:t>Neither the Company nor any of its subsidiaries nor, to the knowledge of the Company, any director, officer, employee or affiliate of the Company or any of its subsidiaries (i) is, or is a controlled affiliate of, an individual or entity that is currently subject to any sanctions administered or enforced by the United States (including any administered or enforced by the Office of Foreign Assets Control of the U.S. Treasury Department, the U.S. Department of State, or the Bureau of Industry and Security of the U.S. Department of Commerce), the United Nations Security Council, the European Union, the United Kingdom (including sanctions administered or enforced by Her Majesty’s Treasury) or other relevant sanctions authority (collectively, “Sanctions” and such persons, “Sanctioned Persons”), or (ii) is located, organized or resident in a country or territory that is, or whose government is, the subject of Sanctions that broadly prohibit dealings with that country or territory (collectively, “Sanctioned Countries” and each, a “Sanctioned Country”).</w:t>
      </w:r>
    </w:p>
    <w:p>
      <w:pPr>
        <w:spacing w:after="0" w:line="157" w:lineRule="exact"/>
        <w:rPr>
          <w:rFonts w:ascii="Arial" w:cs="Arial" w:eastAsia="Arial" w:hAnsi="Arial"/>
          <w:sz w:val="19"/>
          <w:szCs w:val="19"/>
          <w:color w:val="auto"/>
        </w:rPr>
      </w:pPr>
    </w:p>
    <w:p>
      <w:pPr>
        <w:jc w:val="both"/>
        <w:ind w:left="660" w:firstLine="645"/>
        <w:spacing w:after="0" w:line="247" w:lineRule="auto"/>
        <w:tabs>
          <w:tab w:leader="none" w:pos="2317" w:val="left"/>
        </w:tabs>
        <w:numPr>
          <w:ilvl w:val="0"/>
          <w:numId w:val="12"/>
        </w:numPr>
        <w:rPr>
          <w:rFonts w:ascii="Arial" w:cs="Arial" w:eastAsia="Arial" w:hAnsi="Arial"/>
          <w:sz w:val="22"/>
          <w:szCs w:val="22"/>
          <w:color w:val="auto"/>
        </w:rPr>
      </w:pPr>
      <w:r>
        <w:rPr>
          <w:rFonts w:ascii="Arial" w:cs="Arial" w:eastAsia="Arial" w:hAnsi="Arial"/>
          <w:sz w:val="22"/>
          <w:szCs w:val="22"/>
          <w:color w:val="auto"/>
        </w:rPr>
        <w:t>Except as has been disclosed to the Underwriter or is not material to the analysis under any Sanctions, neither the Company nor any of its subsidiaries (for such times that they have been subsidiaries of the Company) has engaged in any dealings or transactions with or for the benefit of a Sanctioned Person, or with or in a Sanctioned Country while such country or territory was a Sanctioned Country, in the preceding 3 years, nor does the Company or any of its subsidiaries have any plans to increase its dealings or transactions with or for the benefit of Sanctioned Persons, or with or in Sanctioned Countries.</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certificate signed by any officer of the Company and delivered to the Underwriter or counsel for the Underwriter in connection with the offering of the Securities shall be deemed a representation and warranty by the Company, as to matters covered thereby, to the Underwriter.</w:t>
      </w:r>
    </w:p>
    <w:p>
      <w:pPr>
        <w:spacing w:after="0" w:line="186" w:lineRule="exact"/>
        <w:rPr>
          <w:sz w:val="20"/>
          <w:szCs w:val="20"/>
          <w:color w:val="auto"/>
        </w:rPr>
      </w:pPr>
    </w:p>
    <w:p>
      <w:pPr>
        <w:ind w:left="1200" w:hanging="544"/>
        <w:spacing w:after="0"/>
        <w:tabs>
          <w:tab w:leader="none" w:pos="12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Each Selling Stockholder, severally and not jointly, represents and warrants to, and agrees with, the Underwriter that:</w:t>
      </w:r>
    </w:p>
    <w:p>
      <w:pPr>
        <w:spacing w:after="0" w:line="254" w:lineRule="exact"/>
        <w:rPr>
          <w:rFonts w:ascii="Arial" w:cs="Arial" w:eastAsia="Arial" w:hAnsi="Arial"/>
          <w:sz w:val="19"/>
          <w:szCs w:val="19"/>
          <w:color w:val="auto"/>
        </w:rPr>
      </w:pPr>
    </w:p>
    <w:p>
      <w:pPr>
        <w:jc w:val="both"/>
        <w:ind w:left="660" w:firstLine="645"/>
        <w:spacing w:after="0" w:line="253" w:lineRule="auto"/>
        <w:tabs>
          <w:tab w:leader="none" w:pos="2196" w:val="left"/>
        </w:tabs>
        <w:numPr>
          <w:ilvl w:val="1"/>
          <w:numId w:val="13"/>
        </w:numPr>
        <w:rPr>
          <w:rFonts w:ascii="Arial" w:cs="Arial" w:eastAsia="Arial" w:hAnsi="Arial"/>
          <w:sz w:val="22"/>
          <w:szCs w:val="22"/>
          <w:color w:val="auto"/>
        </w:rPr>
      </w:pPr>
      <w:r>
        <w:rPr>
          <w:rFonts w:ascii="Arial" w:cs="Arial" w:eastAsia="Arial" w:hAnsi="Arial"/>
          <w:sz w:val="22"/>
          <w:szCs w:val="22"/>
          <w:color w:val="auto"/>
        </w:rPr>
        <w:t>No consent, approval, authorization, order, registration or qualification of or with any court or governmental body or agency is necessary for the execution and delivery by or on behalf of such Selling Stockholder of this Agreement for the sale and delivery 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75" w:right="239" w:bottom="1440" w:gutter="0" w:footer="0" w:header="0"/>
        </w:sectPr>
      </w:pPr>
    </w:p>
    <w:bookmarkStart w:id="11" w:name="page12"/>
    <w:bookmarkEnd w:id="11"/>
    <w:p>
      <w:pPr>
        <w:jc w:val="both"/>
        <w:ind w:left="4"/>
        <w:spacing w:after="0" w:line="292" w:lineRule="auto"/>
        <w:rPr>
          <w:sz w:val="20"/>
          <w:szCs w:val="20"/>
          <w:color w:val="auto"/>
        </w:rPr>
      </w:pPr>
      <w:r>
        <w:rPr>
          <w:rFonts w:ascii="Arial" w:cs="Arial" w:eastAsia="Arial" w:hAnsi="Arial"/>
          <w:sz w:val="19"/>
          <w:szCs w:val="19"/>
          <w:color w:val="auto"/>
        </w:rPr>
        <w:t>the Securities to be sold by such Selling Stockholder hereunder, except for the registration under the Act of the Securities, the approval by FINRA of the underwriting terms and arrangements, such consents, approvals, authorizations, orders, registrations or qualifications as may be required under state securities or blue sky laws in connection with the purchase and distribution of the Securities by the Underwriter, and except for such consents, approvals, authorizations, orders, registrations or qualifications as would not reasonably be expected to impair the consummation of such Selling Stockholder’s obligations hereunder; and such Selling Stockholder has full right, power and authority to enter into this Agreement and to sell, assign, transfer and deliver the Securities to be sold by such Selling Stockholder hereunder.</w:t>
      </w:r>
    </w:p>
    <w:p>
      <w:pPr>
        <w:spacing w:after="0" w:line="151" w:lineRule="exact"/>
        <w:rPr>
          <w:sz w:val="20"/>
          <w:szCs w:val="20"/>
          <w:color w:val="auto"/>
        </w:rPr>
      </w:pPr>
    </w:p>
    <w:p>
      <w:pPr>
        <w:jc w:val="both"/>
        <w:ind w:left="4" w:firstLine="645"/>
        <w:spacing w:after="0" w:line="291" w:lineRule="auto"/>
        <w:tabs>
          <w:tab w:leader="none" w:pos="1552" w:val="left"/>
        </w:tabs>
        <w:numPr>
          <w:ilvl w:val="1"/>
          <w:numId w:val="14"/>
        </w:numPr>
        <w:rPr>
          <w:rFonts w:ascii="Arial" w:cs="Arial" w:eastAsia="Arial" w:hAnsi="Arial"/>
          <w:sz w:val="19"/>
          <w:szCs w:val="19"/>
          <w:color w:val="auto"/>
        </w:rPr>
      </w:pPr>
      <w:r>
        <w:rPr>
          <w:rFonts w:ascii="Arial" w:cs="Arial" w:eastAsia="Arial" w:hAnsi="Arial"/>
          <w:sz w:val="19"/>
          <w:szCs w:val="19"/>
          <w:color w:val="auto"/>
        </w:rPr>
        <w:t>The sale of the Securities to be sold by such Selling Stockholder hereunder and the compliance by such Selling Stockholder with this Agreement and the consummation of the transactions herein and therein contemplated will not</w:t>
      </w:r>
    </w:p>
    <w:p>
      <w:pPr>
        <w:spacing w:after="0" w:line="1" w:lineRule="exact"/>
        <w:rPr>
          <w:rFonts w:ascii="Arial" w:cs="Arial" w:eastAsia="Arial" w:hAnsi="Arial"/>
          <w:sz w:val="19"/>
          <w:szCs w:val="19"/>
          <w:color w:val="auto"/>
        </w:rPr>
      </w:pPr>
    </w:p>
    <w:p>
      <w:pPr>
        <w:jc w:val="both"/>
        <w:ind w:left="4" w:hanging="4"/>
        <w:spacing w:after="0" w:line="256" w:lineRule="auto"/>
        <w:tabs>
          <w:tab w:leader="none" w:pos="377" w:val="left"/>
        </w:tabs>
        <w:numPr>
          <w:ilvl w:val="0"/>
          <w:numId w:val="15"/>
        </w:numPr>
        <w:rPr>
          <w:rFonts w:ascii="Arial" w:cs="Arial" w:eastAsia="Arial" w:hAnsi="Arial"/>
          <w:sz w:val="21"/>
          <w:szCs w:val="21"/>
          <w:color w:val="auto"/>
        </w:rPr>
      </w:pPr>
      <w:r>
        <w:rPr>
          <w:rFonts w:ascii="Arial" w:cs="Arial" w:eastAsia="Arial" w:hAnsi="Arial"/>
          <w:sz w:val="21"/>
          <w:szCs w:val="21"/>
          <w:color w:val="auto"/>
        </w:rPr>
        <w:t>conflict with or result in a breach or violation of any of the terms or provisions of, or constitute a default under, any indenture, mortgage, deed of trust, loan agreement, lease or other agreement or instrument to which such Selling Stockholder is a party or by which such Selling Stockholder is bound or to which any of the property or assets of such Selling Stockholder is subject, (B) result in any violation of the provisions of the Certificate of Incorporation or By laws of such Selling Stockholder if such Selling Stockholder is a corporation, the Partnership Agreement of such Selling Stockholder if such Selling Stockholder is a partnership or similar governing documents if such Selling Stockholder is another type of entity, or (C) result in a violation of any statute or any order, rule or regulation of any court or governmental agency or body having jurisdiction over such Selling Stockholder, or any property or assets of such Selling Stockholder; except, in the case of (A) and (C), for such conflicts, breaches, violations or defaults that would not, individually or in the aggregate, reasonably be expected to adversely affect the ability of such Selling Stockholder to perform its obligations hereunder.</w:t>
      </w:r>
    </w:p>
    <w:p>
      <w:pPr>
        <w:spacing w:after="0" w:line="187" w:lineRule="exact"/>
        <w:rPr>
          <w:rFonts w:ascii="Arial" w:cs="Arial" w:eastAsia="Arial" w:hAnsi="Arial"/>
          <w:sz w:val="21"/>
          <w:szCs w:val="21"/>
          <w:color w:val="auto"/>
        </w:rPr>
      </w:pPr>
    </w:p>
    <w:p>
      <w:pPr>
        <w:jc w:val="both"/>
        <w:ind w:left="4" w:firstLine="645"/>
        <w:spacing w:after="0" w:line="247" w:lineRule="auto"/>
        <w:tabs>
          <w:tab w:leader="none" w:pos="1540" w:val="left"/>
        </w:tabs>
        <w:numPr>
          <w:ilvl w:val="1"/>
          <w:numId w:val="15"/>
        </w:numPr>
        <w:rPr>
          <w:rFonts w:ascii="Arial" w:cs="Arial" w:eastAsia="Arial" w:hAnsi="Arial"/>
          <w:sz w:val="22"/>
          <w:szCs w:val="22"/>
          <w:color w:val="auto"/>
        </w:rPr>
      </w:pPr>
      <w:r>
        <w:rPr>
          <w:rFonts w:ascii="Arial" w:cs="Arial" w:eastAsia="Arial" w:hAnsi="Arial"/>
          <w:sz w:val="22"/>
          <w:szCs w:val="22"/>
          <w:color w:val="auto"/>
        </w:rPr>
        <w:t>Such Selling Stockholder has, and immediately prior to the Closing Date such Selling Stockholder will have, good and valid title to the Securities to be sold by such Selling Stockholder hereunder at the Closing Date, free and clear of all liens, encumbrances, equities or claims; and, upon delivery of such Securities and payment therefor pursuant hereto, good and valid title or a valid “security entitlement” within the meaning of Section 8-501 of the New York Uniform Commercial Code, as applicable, to such Securities, free and clear of all liens, encumbrances, equities or claims, will pass to the Underwriter.</w:t>
      </w:r>
    </w:p>
    <w:p>
      <w:pPr>
        <w:spacing w:after="0" w:line="193" w:lineRule="exact"/>
        <w:rPr>
          <w:rFonts w:ascii="Arial" w:cs="Arial" w:eastAsia="Arial" w:hAnsi="Arial"/>
          <w:sz w:val="22"/>
          <w:szCs w:val="22"/>
          <w:color w:val="auto"/>
        </w:rPr>
      </w:pPr>
    </w:p>
    <w:p>
      <w:pPr>
        <w:jc w:val="both"/>
        <w:ind w:left="4" w:firstLine="645"/>
        <w:spacing w:after="0" w:line="253" w:lineRule="auto"/>
        <w:tabs>
          <w:tab w:leader="none" w:pos="1552" w:val="left"/>
        </w:tabs>
        <w:numPr>
          <w:ilvl w:val="1"/>
          <w:numId w:val="15"/>
        </w:numPr>
        <w:rPr>
          <w:rFonts w:ascii="Arial" w:cs="Arial" w:eastAsia="Arial" w:hAnsi="Arial"/>
          <w:sz w:val="22"/>
          <w:szCs w:val="22"/>
          <w:color w:val="auto"/>
        </w:rPr>
      </w:pPr>
      <w:r>
        <w:rPr>
          <w:rFonts w:ascii="Arial" w:cs="Arial" w:eastAsia="Arial" w:hAnsi="Arial"/>
          <w:sz w:val="22"/>
          <w:szCs w:val="22"/>
          <w:color w:val="auto"/>
        </w:rPr>
        <w:t>Such Selling Stockholder has not taken and will not take, directly or indirectly, any action that is designed to or that has constituted or might reasonably be expected to cause or result in stabilization or manipulation of the price of any security of the Company to facilitate the sale or resale of the Securities.</w:t>
      </w:r>
    </w:p>
    <w:p>
      <w:pPr>
        <w:spacing w:after="0" w:line="185" w:lineRule="exact"/>
        <w:rPr>
          <w:rFonts w:ascii="Arial" w:cs="Arial" w:eastAsia="Arial" w:hAnsi="Arial"/>
          <w:sz w:val="22"/>
          <w:szCs w:val="22"/>
          <w:color w:val="auto"/>
        </w:rPr>
      </w:pPr>
    </w:p>
    <w:p>
      <w:pPr>
        <w:jc w:val="both"/>
        <w:ind w:left="4" w:firstLine="645"/>
        <w:spacing w:after="0" w:line="253" w:lineRule="auto"/>
        <w:tabs>
          <w:tab w:leader="none" w:pos="1540" w:val="left"/>
        </w:tabs>
        <w:numPr>
          <w:ilvl w:val="1"/>
          <w:numId w:val="15"/>
        </w:numPr>
        <w:rPr>
          <w:rFonts w:ascii="Arial" w:cs="Arial" w:eastAsia="Arial" w:hAnsi="Arial"/>
          <w:sz w:val="22"/>
          <w:szCs w:val="22"/>
          <w:color w:val="auto"/>
        </w:rPr>
      </w:pPr>
      <w:r>
        <w:rPr>
          <w:rFonts w:ascii="Arial" w:cs="Arial" w:eastAsia="Arial" w:hAnsi="Arial"/>
          <w:sz w:val="22"/>
          <w:szCs w:val="22"/>
          <w:color w:val="auto"/>
        </w:rPr>
        <w:t>To the extent that any statements or omissions made in the Registration Statement, any Preliminary Prospectus, the Final Prospectus or any amendment or supplement thereto are made in reliance upon and in conformity with information</w:t>
      </w:r>
    </w:p>
    <w:p>
      <w:pPr>
        <w:spacing w:after="0" w:line="200" w:lineRule="exact"/>
        <w:rPr>
          <w:sz w:val="20"/>
          <w:szCs w:val="20"/>
          <w:color w:val="auto"/>
        </w:rPr>
      </w:pPr>
    </w:p>
    <w:p>
      <w:pPr>
        <w:spacing w:after="0" w:line="229"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764"/>
          </w:cols>
          <w:pgMar w:left="896" w:top="375" w:right="239" w:bottom="1440" w:gutter="0" w:footer="0" w:header="0"/>
        </w:sectPr>
      </w:pPr>
    </w:p>
    <w:bookmarkStart w:id="12" w:name="page13"/>
    <w:bookmarkEnd w:id="12"/>
    <w:p>
      <w:pPr>
        <w:jc w:val="both"/>
        <w:ind w:left="660"/>
        <w:spacing w:after="0" w:line="258" w:lineRule="auto"/>
        <w:rPr>
          <w:sz w:val="20"/>
          <w:szCs w:val="20"/>
          <w:color w:val="auto"/>
        </w:rPr>
      </w:pPr>
      <w:r>
        <w:rPr>
          <w:rFonts w:ascii="Arial" w:cs="Arial" w:eastAsia="Arial" w:hAnsi="Arial"/>
          <w:sz w:val="21"/>
          <w:szCs w:val="21"/>
          <w:color w:val="auto"/>
        </w:rPr>
        <w:t>furnished in writing to the Company by a Selling Stockholder expressly for use therein, which information shall consist of only (A) the legal name and address and the number of shares of Common Stock owned by such Selling Stockholder prior to the offering of the Securities, and (B) the other information (excluding percentages) with respect to such Selling Stockholder which appears in the table and corresponding footnotes under the caption “Selling Shareholders” in the Registration Statement, Preliminary Prospectus or Final Prospectus (“Selling Stockholder Information”), such Registration Statement and Preliminary Prospectus did, and the Final Prospectus and any further amendments or supplements to the Registration Statement and the Final Prospectus will, when they become effective or are filed with the Commission, as the case may be, not contain any untrue statement of a material fact or omit to state any material fact required to be stated therein or necessary to make the statements therein not misleading (in the case of the Base Prospectus, Preliminary Prospectus, the Final Prospectus, or any amendment or supplement thereto in light of the circumstances under which they were made).</w:t>
      </w:r>
    </w:p>
    <w:p>
      <w:pPr>
        <w:spacing w:after="0" w:line="183" w:lineRule="exact"/>
        <w:rPr>
          <w:sz w:val="20"/>
          <w:szCs w:val="20"/>
          <w:color w:val="auto"/>
        </w:rPr>
      </w:pPr>
    </w:p>
    <w:p>
      <w:pPr>
        <w:jc w:val="both"/>
        <w:ind w:left="660" w:firstLine="645"/>
        <w:spacing w:after="0" w:line="253" w:lineRule="auto"/>
        <w:tabs>
          <w:tab w:leader="none" w:pos="2172" w:val="left"/>
        </w:tabs>
        <w:numPr>
          <w:ilvl w:val="0"/>
          <w:numId w:val="16"/>
        </w:numPr>
        <w:rPr>
          <w:rFonts w:ascii="Arial" w:cs="Arial" w:eastAsia="Arial" w:hAnsi="Arial"/>
          <w:sz w:val="22"/>
          <w:szCs w:val="22"/>
          <w:color w:val="auto"/>
        </w:rPr>
      </w:pPr>
      <w:r>
        <w:rPr>
          <w:rFonts w:ascii="Arial" w:cs="Arial" w:eastAsia="Arial" w:hAnsi="Arial"/>
          <w:sz w:val="22"/>
          <w:szCs w:val="22"/>
          <w:color w:val="auto"/>
        </w:rPr>
        <w:t>Such Selling Stockholder is not prompted by any material non-public information concerning the Company or any of its subsidiaries that is not disclosed in the Preliminary Prospectus to sell its Securities pursuant to this Agreement.</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Any certificate signed by any officer or authorized signer of any Selling Stockholder and delivered to the Underwriter or counsel for the Underwriter in connection with the offering of the Securities shall be deemed a representation and warranty by such Selling Stockholder, as to matters covered thereby, to the Underwriter.</w:t>
      </w:r>
    </w:p>
    <w:p>
      <w:pPr>
        <w:spacing w:after="0" w:line="186" w:lineRule="exact"/>
        <w:rPr>
          <w:sz w:val="20"/>
          <w:szCs w:val="20"/>
          <w:color w:val="auto"/>
        </w:rPr>
      </w:pPr>
    </w:p>
    <w:p>
      <w:pPr>
        <w:jc w:val="both"/>
        <w:ind w:firstLine="1305"/>
        <w:spacing w:after="0" w:line="250" w:lineRule="auto"/>
        <w:tabs>
          <w:tab w:leader="none" w:pos="2107"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Purchase and Sale</w:t>
      </w:r>
      <w:r>
        <w:rPr>
          <w:rFonts w:ascii="Arial" w:cs="Arial" w:eastAsia="Arial" w:hAnsi="Arial"/>
          <w:sz w:val="22"/>
          <w:szCs w:val="22"/>
          <w:color w:val="auto"/>
        </w:rPr>
        <w:t>. Subject to the terms and conditions and in reliance upon the representations and warranties herein set forth, the Selling Stockholders agree, severally and not jointly, to sell to the Underwriter, and the Underwriter agrees to purchase from the Selling Stockholders, at a purchase price of $26.68 per share, the number of Securities set forth opposite such Underwriter’s name in Schedule I hereto.</w:t>
      </w:r>
    </w:p>
    <w:p>
      <w:pPr>
        <w:spacing w:after="0" w:line="188" w:lineRule="exact"/>
        <w:rPr>
          <w:rFonts w:ascii="Arial" w:cs="Arial" w:eastAsia="Arial" w:hAnsi="Arial"/>
          <w:sz w:val="22"/>
          <w:szCs w:val="22"/>
          <w:color w:val="auto"/>
        </w:rPr>
      </w:pPr>
    </w:p>
    <w:p>
      <w:pPr>
        <w:jc w:val="both"/>
        <w:ind w:firstLine="1305"/>
        <w:spacing w:after="0" w:line="290" w:lineRule="auto"/>
        <w:tabs>
          <w:tab w:leader="none" w:pos="2107"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Delivery and Payment</w:t>
      </w:r>
      <w:r>
        <w:rPr>
          <w:rFonts w:ascii="Arial" w:cs="Arial" w:eastAsia="Arial" w:hAnsi="Arial"/>
          <w:sz w:val="19"/>
          <w:szCs w:val="19"/>
          <w:color w:val="auto"/>
        </w:rPr>
        <w:t>. Delivery of and payment for the Securities shall be on April 11, 2017 at 9:30 a.m., or at such time on such later date not more than three Business Days after the foregoing date as the Underwriter shall designate, which date and time may be postponed by agreement among the Underwriter, the Company and the Selling Stockholders or as provided in Section 9 hereof (such date and time of delivery and payment for the Securities being herein called the “Closing Date”). Delivery of the Securities shall be made to the Underwriter against payment by the Underwriter of the aggregate purchase price of the Securities being sold by the Selling Stockholders to or upon the order of the Selling Stockholders by wire transfer payable in same-day funds to the accounts specified by the Selling Stockholders. Delivery of the Securities shall be made through the facilities of The Depository Trust Company unless the Underwriter shall otherwise instruct.</w:t>
      </w:r>
    </w:p>
    <w:p>
      <w:pPr>
        <w:spacing w:after="0" w:line="15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Each Selling Stockholder will pay all applicable state transfer taxes, if any, involved in the transfer to the Underwriter of the Securities to be purchased by it from such Selling Stockholder and the Underwriter will pay any additional stock transfer taxes involved in further transfers by the Underwriter.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13" w:name="page14"/>
    <w:bookmarkEnd w:id="13"/>
    <w:p>
      <w:pPr>
        <w:ind w:firstLine="1305"/>
        <w:spacing w:after="0" w:line="263" w:lineRule="auto"/>
        <w:tabs>
          <w:tab w:leader="none" w:pos="2107"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Offering by Underwriter</w:t>
      </w:r>
      <w:r>
        <w:rPr>
          <w:rFonts w:ascii="Arial" w:cs="Arial" w:eastAsia="Arial" w:hAnsi="Arial"/>
          <w:sz w:val="22"/>
          <w:szCs w:val="22"/>
          <w:color w:val="auto"/>
        </w:rPr>
        <w:t>. It is understood that the Underwriter proposes to offer the Securities for sale to the public as set forth in the Final Prospectus.</w:t>
      </w:r>
    </w:p>
    <w:p>
      <w:pPr>
        <w:spacing w:after="0" w:line="174" w:lineRule="exact"/>
        <w:rPr>
          <w:rFonts w:ascii="Arial" w:cs="Arial" w:eastAsia="Arial" w:hAnsi="Arial"/>
          <w:sz w:val="22"/>
          <w:szCs w:val="22"/>
          <w:color w:val="auto"/>
        </w:rPr>
      </w:pPr>
    </w:p>
    <w:p>
      <w:pPr>
        <w:ind w:left="2120" w:hanging="815"/>
        <w:spacing w:after="0"/>
        <w:tabs>
          <w:tab w:leader="none" w:pos="212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Agreements</w:t>
      </w:r>
      <w:r>
        <w:rPr>
          <w:rFonts w:ascii="Arial" w:cs="Arial" w:eastAsia="Arial" w:hAnsi="Arial"/>
          <w:sz w:val="22"/>
          <w:szCs w:val="22"/>
          <w:color w:val="auto"/>
        </w:rPr>
        <w:t>.</w:t>
      </w:r>
    </w:p>
    <w:p>
      <w:pPr>
        <w:spacing w:after="0" w:line="220" w:lineRule="exact"/>
        <w:rPr>
          <w:sz w:val="20"/>
          <w:szCs w:val="20"/>
          <w:color w:val="auto"/>
        </w:rPr>
      </w:pPr>
    </w:p>
    <w:p>
      <w:pPr>
        <w:ind w:left="1780" w:hanging="475"/>
        <w:spacing w:after="0"/>
        <w:tabs>
          <w:tab w:leader="none" w:pos="17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Company agrees with the Underwriter that:</w:t>
      </w:r>
    </w:p>
    <w:p>
      <w:pPr>
        <w:spacing w:after="0" w:line="220" w:lineRule="exact"/>
        <w:rPr>
          <w:sz w:val="20"/>
          <w:szCs w:val="20"/>
          <w:color w:val="auto"/>
        </w:rPr>
      </w:pPr>
    </w:p>
    <w:p>
      <w:pPr>
        <w:jc w:val="both"/>
        <w:ind w:left="660" w:firstLine="645"/>
        <w:spacing w:after="0" w:line="284" w:lineRule="auto"/>
        <w:tabs>
          <w:tab w:leader="none" w:pos="2196" w:val="left"/>
        </w:tabs>
        <w:numPr>
          <w:ilvl w:val="0"/>
          <w:numId w:val="20"/>
        </w:numPr>
        <w:rPr>
          <w:rFonts w:ascii="Arial" w:cs="Arial" w:eastAsia="Arial" w:hAnsi="Arial"/>
          <w:sz w:val="19"/>
          <w:szCs w:val="19"/>
          <w:color w:val="auto"/>
        </w:rPr>
      </w:pPr>
      <w:r>
        <w:rPr>
          <w:rFonts w:ascii="Arial" w:cs="Arial" w:eastAsia="Arial" w:hAnsi="Arial"/>
          <w:sz w:val="19"/>
          <w:szCs w:val="19"/>
          <w:color w:val="auto"/>
        </w:rPr>
        <w:t>Prior to the termination of the offering of the Securities, the Company will not file any amendment of the Registration Statement or supplement (including the Final Prospectus or any Preliminary Prospectus) to the Base Prospectus or any Rule 462(b) Registration Statement unless the Company has furnished you a copy for your review prior to filing and will not file any such proposed amendment or supplement to which you reasonably object. The Company will cause the Final Prospectus, properly completed, and any supplement thereto to be filed in a form approved by the Underwriter with the Commission pursuant to the applicable paragraph of Rule 424(b) within the time period prescribed and will provide evidence satisfactory to the Underwriter of such timely filing. The Company will promptly advise the Underwriter (i) when the Final Prospectus, and any supplement thereto, shall have been filed (if required)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of the Registration Statement, or any Rule 462(b) Registration Statement, or for any supplement to the Final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Securities for sale in any jurisdiction or the institution or threatening of any proceeding for such purpose. The Company will use its reasonable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reasonable best efforts to have such amendment or new registration statement declared effective as soon as practicable.</w:t>
      </w:r>
    </w:p>
    <w:p>
      <w:pPr>
        <w:spacing w:after="0" w:line="175" w:lineRule="exact"/>
        <w:rPr>
          <w:rFonts w:ascii="Arial" w:cs="Arial" w:eastAsia="Arial" w:hAnsi="Arial"/>
          <w:sz w:val="19"/>
          <w:szCs w:val="19"/>
          <w:color w:val="auto"/>
        </w:rPr>
      </w:pPr>
    </w:p>
    <w:p>
      <w:pPr>
        <w:jc w:val="both"/>
        <w:ind w:left="660" w:firstLine="645"/>
        <w:spacing w:after="0" w:line="294" w:lineRule="auto"/>
        <w:tabs>
          <w:tab w:leader="none" w:pos="2209" w:val="left"/>
        </w:tabs>
        <w:numPr>
          <w:ilvl w:val="0"/>
          <w:numId w:val="20"/>
        </w:numPr>
        <w:rPr>
          <w:rFonts w:ascii="Arial" w:cs="Arial" w:eastAsia="Arial" w:hAnsi="Arial"/>
          <w:sz w:val="19"/>
          <w:szCs w:val="19"/>
          <w:color w:val="auto"/>
        </w:rPr>
      </w:pPr>
      <w:r>
        <w:rPr>
          <w:rFonts w:ascii="Arial" w:cs="Arial" w:eastAsia="Arial" w:hAnsi="Arial"/>
          <w:sz w:val="19"/>
          <w:szCs w:val="19"/>
          <w:color w:val="auto"/>
        </w:rPr>
        <w:t>If, at any time prior to the filing of the Final Prospectus pursuant to Rule 424(b), any event occurs as a result of which the Disclosure Package would include any untrue statement of a material fact or omit to state any material fact necessary in order to make the statements therein in the light of the circumstances under which they were made at such time not misleading, the Company will (i) notify promptly the Underwriter so that any use of the Disclosure Package may cease until it is amended or supplemented; (ii) amend or supplement the Disclosure Package to correct such statement or omission; and (iii) supply any amendment or supplement to you in such quantities as you may reasonably request.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75" w:right="239" w:bottom="1440" w:gutter="0" w:footer="0" w:header="0"/>
        </w:sectPr>
      </w:pPr>
    </w:p>
    <w:bookmarkStart w:id="14" w:name="page15"/>
    <w:bookmarkEnd w:id="14"/>
    <w:p>
      <w:pPr>
        <w:jc w:val="both"/>
        <w:ind w:left="4" w:firstLine="645"/>
        <w:spacing w:after="0" w:line="284" w:lineRule="auto"/>
        <w:tabs>
          <w:tab w:leader="none" w:pos="1540" w:val="left"/>
        </w:tabs>
        <w:numPr>
          <w:ilvl w:val="1"/>
          <w:numId w:val="21"/>
        </w:numPr>
        <w:rPr>
          <w:rFonts w:ascii="Arial" w:cs="Arial" w:eastAsia="Arial" w:hAnsi="Arial"/>
          <w:sz w:val="19"/>
          <w:szCs w:val="19"/>
          <w:color w:val="auto"/>
        </w:rPr>
      </w:pPr>
      <w:r>
        <w:rPr>
          <w:rFonts w:ascii="Arial" w:cs="Arial" w:eastAsia="Arial" w:hAnsi="Arial"/>
          <w:sz w:val="19"/>
          <w:szCs w:val="19"/>
          <w:color w:val="auto"/>
        </w:rPr>
        <w:t>If, at any time when a prospectus relating to the Securities is required to be delivered under the Act (including in circumstances where such requirement may be satisfied pursuant to Rule 172), any event occurs as a result of which the Final Prospectus as then supplemented would include any untrue statement of a material fact or omit to state any material fact necessary in order to make the statements therein in the light of the circumstances under which they were made or the circumstances then prevailing not misleading, or if it shall be necessary to amend the Registration Statement, file a new registration statement or supplement the Final Prospectus to comply with the Act or the Exchange Act or the respective rules thereunder, including in connection with use or delivery of the Final Prospectus, the Company promptly will (i) notify the Underwriter of any such event, (ii) prepare and file with the Commission, subject to the second sentence of paragraph</w:t>
      </w:r>
    </w:p>
    <w:p>
      <w:pPr>
        <w:spacing w:after="0" w:line="2" w:lineRule="exact"/>
        <w:rPr>
          <w:rFonts w:ascii="Arial" w:cs="Arial" w:eastAsia="Arial" w:hAnsi="Arial"/>
          <w:sz w:val="19"/>
          <w:szCs w:val="19"/>
          <w:color w:val="auto"/>
        </w:rPr>
      </w:pPr>
    </w:p>
    <w:p>
      <w:pPr>
        <w:jc w:val="both"/>
        <w:ind w:left="4" w:hanging="4"/>
        <w:spacing w:after="0" w:line="295" w:lineRule="auto"/>
        <w:tabs>
          <w:tab w:leader="none" w:pos="333" w:val="left"/>
        </w:tabs>
        <w:numPr>
          <w:ilvl w:val="0"/>
          <w:numId w:val="22"/>
        </w:numPr>
        <w:rPr>
          <w:rFonts w:ascii="Arial" w:cs="Arial" w:eastAsia="Arial" w:hAnsi="Arial"/>
          <w:sz w:val="19"/>
          <w:szCs w:val="19"/>
          <w:color w:val="auto"/>
        </w:rPr>
      </w:pPr>
      <w:r>
        <w:rPr>
          <w:rFonts w:ascii="Arial" w:cs="Arial" w:eastAsia="Arial" w:hAnsi="Arial"/>
          <w:sz w:val="19"/>
          <w:szCs w:val="19"/>
          <w:color w:val="auto"/>
        </w:rPr>
        <w:t>of this Section 5, an amendment or supplement or new registration statement which will correct such statement or omission or effect such compliance, (iii) use its reasonable best efforts to have any amendment to the Registration Statement or new registration statement declared effective as soon as practicable in order to avoid any disruption in use of the Final Prospectus and (iv) supply any supplemented Final Prospectus to you in such quantities as you may reasonably request.</w:t>
      </w:r>
    </w:p>
    <w:p>
      <w:pPr>
        <w:spacing w:after="0" w:line="150" w:lineRule="exact"/>
        <w:rPr>
          <w:rFonts w:ascii="Arial" w:cs="Arial" w:eastAsia="Arial" w:hAnsi="Arial"/>
          <w:sz w:val="19"/>
          <w:szCs w:val="19"/>
          <w:color w:val="auto"/>
        </w:rPr>
      </w:pPr>
    </w:p>
    <w:p>
      <w:pPr>
        <w:jc w:val="both"/>
        <w:ind w:left="4" w:firstLine="645"/>
        <w:spacing w:after="0" w:line="253" w:lineRule="auto"/>
        <w:tabs>
          <w:tab w:leader="none" w:pos="1552" w:val="left"/>
        </w:tabs>
        <w:numPr>
          <w:ilvl w:val="1"/>
          <w:numId w:val="22"/>
        </w:numPr>
        <w:rPr>
          <w:rFonts w:ascii="Arial" w:cs="Arial" w:eastAsia="Arial" w:hAnsi="Arial"/>
          <w:sz w:val="22"/>
          <w:szCs w:val="22"/>
          <w:color w:val="auto"/>
        </w:rPr>
      </w:pPr>
      <w:r>
        <w:rPr>
          <w:rFonts w:ascii="Arial" w:cs="Arial" w:eastAsia="Arial" w:hAnsi="Arial"/>
          <w:sz w:val="22"/>
          <w:szCs w:val="22"/>
          <w:color w:val="auto"/>
        </w:rPr>
        <w:t>As soon as practicable, the Company will make generally available to its security holders and to the Underwriter an earnings statement or statements of the Company and its subsidiaries which will satisfy the provisions of Section 11(a) of the Act and Rule 158.</w:t>
      </w:r>
    </w:p>
    <w:p>
      <w:pPr>
        <w:spacing w:after="0" w:line="185" w:lineRule="exact"/>
        <w:rPr>
          <w:rFonts w:ascii="Arial" w:cs="Arial" w:eastAsia="Arial" w:hAnsi="Arial"/>
          <w:sz w:val="22"/>
          <w:szCs w:val="22"/>
          <w:color w:val="auto"/>
        </w:rPr>
      </w:pPr>
    </w:p>
    <w:p>
      <w:pPr>
        <w:jc w:val="both"/>
        <w:ind w:left="4" w:firstLine="645"/>
        <w:spacing w:after="0" w:line="263" w:lineRule="auto"/>
        <w:tabs>
          <w:tab w:leader="none" w:pos="1540" w:val="left"/>
        </w:tabs>
        <w:numPr>
          <w:ilvl w:val="1"/>
          <w:numId w:val="22"/>
        </w:numPr>
        <w:rPr>
          <w:rFonts w:ascii="Arial" w:cs="Arial" w:eastAsia="Arial" w:hAnsi="Arial"/>
          <w:sz w:val="21"/>
          <w:szCs w:val="21"/>
          <w:color w:val="auto"/>
        </w:rPr>
      </w:pPr>
      <w:r>
        <w:rPr>
          <w:rFonts w:ascii="Arial" w:cs="Arial" w:eastAsia="Arial" w:hAnsi="Arial"/>
          <w:sz w:val="21"/>
          <w:szCs w:val="21"/>
          <w:color w:val="auto"/>
        </w:rPr>
        <w:t>If requested in writing, the Company will furnish to the Underwriter and counsel for the Underwriter signed copies of the Registration Statement (including exhibits thereto) and, so long as delivery of a prospectus by an Underwriter or dealer may be required by the Act (including in circumstances where such requirement may be satisfied pursuant to Rule 172), as many copies of each Preliminary Prospectus, the Final Prospectus and each Issuer Free Writing Prospectus and any supplement thereto as the Underwriter may reasonably request.</w:t>
      </w:r>
    </w:p>
    <w:p>
      <w:pPr>
        <w:spacing w:after="0" w:line="175" w:lineRule="exact"/>
        <w:rPr>
          <w:rFonts w:ascii="Arial" w:cs="Arial" w:eastAsia="Arial" w:hAnsi="Arial"/>
          <w:sz w:val="21"/>
          <w:szCs w:val="21"/>
          <w:color w:val="auto"/>
        </w:rPr>
      </w:pPr>
    </w:p>
    <w:p>
      <w:pPr>
        <w:jc w:val="both"/>
        <w:ind w:left="4" w:firstLine="645"/>
        <w:spacing w:after="0" w:line="297" w:lineRule="auto"/>
        <w:tabs>
          <w:tab w:leader="none" w:pos="1516"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Company will arrange, if necessary, for the qualification of the Securities for sale under the laws of such jurisdictions as the Underwriter may designate and will maintain such qualifications in effect so long as required for the distribution of the Securities; provided that in no event shall the Company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w:t>
      </w:r>
    </w:p>
    <w:p>
      <w:pPr>
        <w:spacing w:after="0" w:line="147" w:lineRule="exact"/>
        <w:rPr>
          <w:rFonts w:ascii="Arial" w:cs="Arial" w:eastAsia="Arial" w:hAnsi="Arial"/>
          <w:sz w:val="19"/>
          <w:szCs w:val="19"/>
          <w:color w:val="auto"/>
        </w:rPr>
      </w:pPr>
    </w:p>
    <w:p>
      <w:pPr>
        <w:jc w:val="both"/>
        <w:ind w:left="4" w:firstLine="645"/>
        <w:spacing w:after="0" w:line="247" w:lineRule="auto"/>
        <w:tabs>
          <w:tab w:leader="none" w:pos="1552"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The Company agrees that, unless it has or shall have obtained the prior written consent of the Underwriter, and the Underwriter agrees with the Company that, unless it has or shall have obtained, as the case may be, the prior written consent of the Company, it has not made and will not make any offer relating to the Securities that would constitute an Issuer Free Writing Prospectus or that would otherwise constitute a “free writing prospectus” (as defined in Rule 405) required to be filed by the Company with the Commission or retained by the Company under Rule 433; provided that the prior written</w:t>
      </w:r>
    </w:p>
    <w:p>
      <w:pPr>
        <w:spacing w:after="0" w:line="200" w:lineRule="exact"/>
        <w:rPr>
          <w:sz w:val="20"/>
          <w:szCs w:val="20"/>
          <w:color w:val="auto"/>
        </w:rPr>
      </w:pPr>
    </w:p>
    <w:p>
      <w:pPr>
        <w:spacing w:after="0" w:line="237"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764"/>
          </w:cols>
          <w:pgMar w:left="896" w:top="375" w:right="239" w:bottom="1440" w:gutter="0" w:footer="0" w:header="0"/>
        </w:sectPr>
      </w:pPr>
    </w:p>
    <w:bookmarkStart w:id="15" w:name="page16"/>
    <w:bookmarkEnd w:id="15"/>
    <w:p>
      <w:pPr>
        <w:jc w:val="both"/>
        <w:ind w:left="4"/>
        <w:spacing w:after="0" w:line="294" w:lineRule="auto"/>
        <w:rPr>
          <w:sz w:val="20"/>
          <w:szCs w:val="20"/>
          <w:color w:val="auto"/>
        </w:rPr>
      </w:pPr>
      <w:r>
        <w:rPr>
          <w:rFonts w:ascii="Arial" w:cs="Arial" w:eastAsia="Arial" w:hAnsi="Arial"/>
          <w:sz w:val="19"/>
          <w:szCs w:val="19"/>
          <w:color w:val="auto"/>
        </w:rPr>
        <w:t>consent of the parties hereto shall be deemed to have been given in respect of the Free Writing Prospectuses included in Schedule III hereto. Any such free writing prospectus consented to by the Underwriter or the Company is hereinafter referred to as a “Permitted Free Writing Prospectus.” The Company agrees that (x) it has treated and will treat, as the case may be, each Permitted Free Writing Prospectus as an Issuer Free Writing Prospectus and (y) it has complied and will comply, as the case may be, with the requirements of Rules 164 and 433 applicable to any Permitted Free Writing Prospectus, including in respect of timely filing with the Commission, legending and record keeping.</w:t>
      </w:r>
    </w:p>
    <w:p>
      <w:pPr>
        <w:spacing w:after="0" w:line="150" w:lineRule="exact"/>
        <w:rPr>
          <w:sz w:val="20"/>
          <w:szCs w:val="20"/>
          <w:color w:val="auto"/>
        </w:rPr>
      </w:pPr>
    </w:p>
    <w:p>
      <w:pPr>
        <w:jc w:val="both"/>
        <w:ind w:left="4" w:firstLine="645"/>
        <w:spacing w:after="0" w:line="287" w:lineRule="auto"/>
        <w:tabs>
          <w:tab w:leader="none" w:pos="1552" w:val="left"/>
        </w:tabs>
        <w:numPr>
          <w:ilvl w:val="1"/>
          <w:numId w:val="23"/>
        </w:numPr>
        <w:rPr>
          <w:rFonts w:ascii="Arial" w:cs="Arial" w:eastAsia="Arial" w:hAnsi="Arial"/>
          <w:sz w:val="19"/>
          <w:szCs w:val="19"/>
          <w:color w:val="auto"/>
        </w:rPr>
      </w:pPr>
      <w:r>
        <w:rPr>
          <w:rFonts w:ascii="Arial" w:cs="Arial" w:eastAsia="Arial" w:hAnsi="Arial"/>
          <w:sz w:val="19"/>
          <w:szCs w:val="19"/>
          <w:color w:val="auto"/>
        </w:rPr>
        <w:t xml:space="preserve">The Company will not, without the prior written consent of the Underwriter,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or publicly announce an intention to effect any such transaction for 30 days from the date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may issue and sell Common Stock pursuant to any employee stock option plan, stock ownership plan or dividend reinvestment plan of the Company in effect at the Execution Time and the Company may issue Common Stock issuable upon the conversion of securities or the exercise of warrants outstanding at the Execution Time.</w:t>
      </w: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jc w:val="both"/>
        <w:ind w:left="4" w:firstLine="645"/>
        <w:spacing w:after="0" w:line="253" w:lineRule="auto"/>
        <w:tabs>
          <w:tab w:leader="none" w:pos="1504"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85" w:lineRule="exact"/>
        <w:rPr>
          <w:rFonts w:ascii="Arial" w:cs="Arial" w:eastAsia="Arial" w:hAnsi="Arial"/>
          <w:sz w:val="22"/>
          <w:szCs w:val="22"/>
          <w:color w:val="auto"/>
        </w:rPr>
      </w:pPr>
    </w:p>
    <w:p>
      <w:pPr>
        <w:jc w:val="both"/>
        <w:ind w:left="4" w:firstLine="645"/>
        <w:spacing w:after="0" w:line="284" w:lineRule="auto"/>
        <w:tabs>
          <w:tab w:leader="none" w:pos="1504" w:val="left"/>
        </w:tabs>
        <w:numPr>
          <w:ilvl w:val="1"/>
          <w:numId w:val="23"/>
        </w:numPr>
        <w:rPr>
          <w:rFonts w:ascii="Arial" w:cs="Arial" w:eastAsia="Arial" w:hAnsi="Arial"/>
          <w:sz w:val="19"/>
          <w:szCs w:val="19"/>
          <w:color w:val="auto"/>
        </w:rPr>
      </w:pPr>
      <w:r>
        <w:rPr>
          <w:rFonts w:ascii="Arial" w:cs="Arial" w:eastAsia="Arial" w:hAnsi="Arial"/>
          <w:sz w:val="19"/>
          <w:szCs w:val="19"/>
          <w:color w:val="auto"/>
        </w:rPr>
        <w:t>The Company covenants and agrees with the Selling Stockholders and the Underwriter that the Company will pay or cause to be paid the costs and expenses relating to the following matters: (i) all registration and filing fees (including fees and expenses (A) with respect to filings required to be made with all applicable securities exchanges and/or the Financial Industry Regulatory Authority (“FINRA”) (including the reasonable fees and expenses of counsel for the Underwriter relating to such registration and qualification in an amount, together with the filing fees for FINRA, not to exceed $15,000) and (B) for compliance with blue sky laws including any fees and disbursements of counsel for the Underwriter in connection with qualifications under blue sky laws of the Securities in an amount not to exceed $15,000),</w:t>
      </w:r>
    </w:p>
    <w:p>
      <w:pPr>
        <w:spacing w:after="0" w:line="4" w:lineRule="exact"/>
        <w:rPr>
          <w:rFonts w:ascii="Arial" w:cs="Arial" w:eastAsia="Arial" w:hAnsi="Arial"/>
          <w:sz w:val="19"/>
          <w:szCs w:val="19"/>
          <w:color w:val="auto"/>
        </w:rPr>
      </w:pPr>
    </w:p>
    <w:p>
      <w:pPr>
        <w:jc w:val="both"/>
        <w:ind w:left="4" w:hanging="4"/>
        <w:spacing w:after="0" w:line="244" w:lineRule="auto"/>
        <w:tabs>
          <w:tab w:leader="none" w:pos="357" w:val="left"/>
        </w:tabs>
        <w:numPr>
          <w:ilvl w:val="0"/>
          <w:numId w:val="24"/>
        </w:numPr>
        <w:rPr>
          <w:rFonts w:ascii="Arial" w:cs="Arial" w:eastAsia="Arial" w:hAnsi="Arial"/>
          <w:sz w:val="22"/>
          <w:szCs w:val="22"/>
          <w:color w:val="auto"/>
        </w:rPr>
      </w:pPr>
      <w:r>
        <w:rPr>
          <w:rFonts w:ascii="Arial" w:cs="Arial" w:eastAsia="Arial" w:hAnsi="Arial"/>
          <w:sz w:val="22"/>
          <w:szCs w:val="22"/>
          <w:color w:val="auto"/>
        </w:rPr>
        <w:t>printing expenses (including expenses of printing certificates for Securities in a form eligible for deposit with The Depository Trust Company and of printing copies of the Registration Statement, Preliminary Prospectus, Final Prospectus and each Issuer Free Writing Prospectus as requested by the Underwriter under Section 5(i)(e)), (iii) messenger, telephone and delivery expenses of the Company, (iv) fees</w:t>
      </w:r>
    </w:p>
    <w:p>
      <w:pPr>
        <w:spacing w:after="0" w:line="200" w:lineRule="exact"/>
        <w:rPr>
          <w:sz w:val="20"/>
          <w:szCs w:val="20"/>
          <w:color w:val="auto"/>
        </w:rPr>
      </w:pPr>
    </w:p>
    <w:p>
      <w:pPr>
        <w:spacing w:after="0" w:line="239"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764"/>
          </w:cols>
          <w:pgMar w:left="896" w:top="375" w:right="239" w:bottom="1440" w:gutter="0" w:footer="0" w:header="0"/>
        </w:sectPr>
      </w:pPr>
    </w:p>
    <w:bookmarkStart w:id="16" w:name="page17"/>
    <w:bookmarkEnd w:id="16"/>
    <w:p>
      <w:pPr>
        <w:ind w:left="640"/>
        <w:spacing w:after="0"/>
        <w:rPr>
          <w:sz w:val="20"/>
          <w:szCs w:val="20"/>
          <w:color w:val="auto"/>
        </w:rPr>
      </w:pPr>
      <w:r>
        <w:rPr>
          <w:rFonts w:ascii="Arial" w:cs="Arial" w:eastAsia="Arial" w:hAnsi="Arial"/>
          <w:sz w:val="19"/>
          <w:szCs w:val="19"/>
          <w:color w:val="auto"/>
        </w:rPr>
        <w:t>and disbursements of counsel for the Company, (v) expenses of the Company incurred in connection with any road show,</w:t>
      </w:r>
    </w:p>
    <w:p>
      <w:pPr>
        <w:spacing w:after="0" w:line="56" w:lineRule="exact"/>
        <w:rPr>
          <w:sz w:val="20"/>
          <w:szCs w:val="20"/>
          <w:color w:val="auto"/>
        </w:rPr>
      </w:pPr>
    </w:p>
    <w:p>
      <w:pPr>
        <w:jc w:val="both"/>
        <w:ind w:left="640" w:hanging="4"/>
        <w:spacing w:after="0" w:line="287" w:lineRule="auto"/>
        <w:tabs>
          <w:tab w:leader="none" w:pos="1006" w:val="left"/>
        </w:tabs>
        <w:numPr>
          <w:ilvl w:val="0"/>
          <w:numId w:val="25"/>
        </w:numPr>
        <w:rPr>
          <w:rFonts w:ascii="Arial" w:cs="Arial" w:eastAsia="Arial" w:hAnsi="Arial"/>
          <w:sz w:val="19"/>
          <w:szCs w:val="19"/>
          <w:color w:val="auto"/>
        </w:rPr>
      </w:pPr>
      <w:r>
        <w:rPr>
          <w:rFonts w:ascii="Arial" w:cs="Arial" w:eastAsia="Arial" w:hAnsi="Arial"/>
          <w:sz w:val="19"/>
          <w:szCs w:val="19"/>
          <w:color w:val="auto"/>
        </w:rPr>
        <w:t>fees and disbursements of Deloitte &amp; Touche LLP and Crowe Horwath LLP (including, without limitation, the expenses relating to the letters from Deloitte &amp; Touche LLP and Crowe Horwath LLP described in Section 6(g)) and any other persons, including special experts, retained by the Company, and (vii) the reasonable fees and disbursements of one counsel for the Selling Stockholders, as a group, in connection herewith. For the avoidance of doubt, the Company shall not pay any other expenses of the Selling Stockholders in connection herewith or underwriting commissions attributable to the Securities. In addition, the Company shall bear all of its internal expenses (including all salaries and expenses of its officers and employees performing legal or accounting duties), the expense of any annual audit, the fees and expenses incurred in connection with the listing of the Securities to be registered on any securities exchange on which similar securities issued by the Company are then listed and the fees and expenses of any person, including special experts, retained by the Company.</w:t>
      </w:r>
    </w:p>
    <w:p>
      <w:pPr>
        <w:spacing w:after="0" w:line="156" w:lineRule="exact"/>
        <w:rPr>
          <w:rFonts w:ascii="Arial" w:cs="Arial" w:eastAsia="Arial" w:hAnsi="Arial"/>
          <w:sz w:val="19"/>
          <w:szCs w:val="19"/>
          <w:color w:val="auto"/>
        </w:rPr>
      </w:pPr>
    </w:p>
    <w:p>
      <w:pPr>
        <w:jc w:val="both"/>
        <w:ind w:left="640" w:firstLine="645"/>
        <w:spacing w:after="0" w:line="263" w:lineRule="auto"/>
        <w:tabs>
          <w:tab w:leader="none" w:pos="2189" w:val="left"/>
        </w:tabs>
        <w:numPr>
          <w:ilvl w:val="1"/>
          <w:numId w:val="25"/>
        </w:numPr>
        <w:rPr>
          <w:rFonts w:ascii="Arial" w:cs="Arial" w:eastAsia="Arial" w:hAnsi="Arial"/>
          <w:sz w:val="21"/>
          <w:szCs w:val="21"/>
          <w:color w:val="auto"/>
        </w:rPr>
      </w:pPr>
      <w:r>
        <w:rPr>
          <w:rFonts w:ascii="Arial" w:cs="Arial" w:eastAsia="Arial" w:hAnsi="Arial"/>
          <w:sz w:val="21"/>
          <w:szCs w:val="21"/>
          <w:color w:val="auto"/>
        </w:rPr>
        <w:t>If any Selling Stockholder is a not a United States person for U.S. federal income tax purposes, (i) the Company shall deliver to the Underwriter, on or prior to the Closing Date, a certificate to the effect that the Company is not a “United States real property holding corporation,” as described in Treasury Regulations Sections 1.897-2(h) and 1.1445-2(c)(3) and dated not more than thirty (30) days prior to the Closing Date, and (ii) the Company shall timely furnish the required notice to the IRS in accordance with Treasury Regulations 1.897-2(h)(2).</w:t>
      </w:r>
    </w:p>
    <w:p>
      <w:pPr>
        <w:spacing w:after="0" w:line="176" w:lineRule="exact"/>
        <w:rPr>
          <w:sz w:val="20"/>
          <w:szCs w:val="20"/>
          <w:color w:val="auto"/>
        </w:rPr>
      </w:pPr>
    </w:p>
    <w:p>
      <w:pPr>
        <w:ind w:left="1280"/>
        <w:spacing w:after="0"/>
        <w:tabs>
          <w:tab w:leader="none" w:pos="174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Each Selling Stockholder, severally and not jointly, agrees with the Underwriter that:</w:t>
      </w:r>
    </w:p>
    <w:p>
      <w:pPr>
        <w:spacing w:after="0" w:line="220" w:lineRule="exact"/>
        <w:rPr>
          <w:sz w:val="20"/>
          <w:szCs w:val="20"/>
          <w:color w:val="auto"/>
        </w:rPr>
      </w:pPr>
    </w:p>
    <w:p>
      <w:pPr>
        <w:jc w:val="both"/>
        <w:ind w:left="-20" w:firstLine="1305"/>
        <w:spacing w:after="0" w:line="253" w:lineRule="auto"/>
        <w:tabs>
          <w:tab w:leader="none" w:pos="2165"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That neither the Selling Stockholder nor any person acting on behalf of the Selling Stockholder (other than, if applicable, the Company and the Underwriter) shall use or refer to any “free writing prospectus” (as defined in Rule 405 under the Securities Act), relating to the Securities.</w:t>
      </w:r>
    </w:p>
    <w:p>
      <w:pPr>
        <w:spacing w:after="0" w:line="185" w:lineRule="exact"/>
        <w:rPr>
          <w:rFonts w:ascii="Arial" w:cs="Arial" w:eastAsia="Arial" w:hAnsi="Arial"/>
          <w:sz w:val="22"/>
          <w:szCs w:val="22"/>
          <w:color w:val="auto"/>
        </w:rPr>
      </w:pPr>
    </w:p>
    <w:p>
      <w:pPr>
        <w:jc w:val="both"/>
        <w:ind w:left="-20" w:firstLine="1305"/>
        <w:spacing w:after="0" w:line="253" w:lineRule="auto"/>
        <w:tabs>
          <w:tab w:leader="none" w:pos="2177" w:val="left"/>
        </w:tabs>
        <w:numPr>
          <w:ilvl w:val="0"/>
          <w:numId w:val="26"/>
        </w:numPr>
        <w:rPr>
          <w:rFonts w:ascii="Arial" w:cs="Arial" w:eastAsia="Arial" w:hAnsi="Arial"/>
          <w:sz w:val="22"/>
          <w:szCs w:val="22"/>
          <w:color w:val="auto"/>
        </w:rPr>
      </w:pPr>
      <w:r>
        <w:rPr>
          <w:rFonts w:ascii="Arial" w:cs="Arial" w:eastAsia="Arial" w:hAnsi="Arial"/>
          <w:sz w:val="22"/>
          <w:szCs w:val="22"/>
          <w:color w:val="auto"/>
        </w:rPr>
        <w:t>To deliver to the Underwriter prior to the Closing Date a properly completed and executed United States Treasury Department Form W-8 (if the Selling Stockholder is a non-United States person) or Form W-9 (if the Selling Stockholder is a United States person).</w:t>
      </w:r>
    </w:p>
    <w:p>
      <w:pPr>
        <w:spacing w:after="0" w:line="185" w:lineRule="exact"/>
        <w:rPr>
          <w:rFonts w:ascii="Arial" w:cs="Arial" w:eastAsia="Arial" w:hAnsi="Arial"/>
          <w:sz w:val="22"/>
          <w:szCs w:val="22"/>
          <w:color w:val="auto"/>
        </w:rPr>
      </w:pPr>
    </w:p>
    <w:p>
      <w:pPr>
        <w:jc w:val="both"/>
        <w:ind w:left="-20" w:right="20" w:firstLine="1305"/>
        <w:spacing w:after="0" w:line="253" w:lineRule="auto"/>
        <w:tabs>
          <w:tab w:leader="none" w:pos="2165"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Selling Stockholder will not take, directly or indirectly, any action designed to or that has constituted or that reasonably would be expected to cause or result in the stabilization or manipulation of the price of any security of the Company in connection with the offering of the Securities.</w:t>
      </w:r>
    </w:p>
    <w:p>
      <w:pPr>
        <w:spacing w:after="0" w:line="186" w:lineRule="exact"/>
        <w:rPr>
          <w:sz w:val="20"/>
          <w:szCs w:val="20"/>
          <w:color w:val="auto"/>
        </w:rPr>
      </w:pPr>
    </w:p>
    <w:p>
      <w:pPr>
        <w:jc w:val="both"/>
        <w:ind w:left="-20" w:firstLine="1305"/>
        <w:spacing w:after="0" w:line="302" w:lineRule="auto"/>
        <w:tabs>
          <w:tab w:leader="none" w:pos="2087"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Conditions to the Obligations of the Underwriter</w:t>
      </w:r>
      <w:r>
        <w:rPr>
          <w:rFonts w:ascii="Arial" w:cs="Arial" w:eastAsia="Arial" w:hAnsi="Arial"/>
          <w:sz w:val="19"/>
          <w:szCs w:val="19"/>
          <w:color w:val="auto"/>
        </w:rPr>
        <w:t>. The obligations of the Underwriter to purchase the Securities shall be subject to the accuracy of the representations and warranties on the part of the Company and the Selling Stockholders contained herein as of the Execution Time and the Closing Date pursuant to Section 3 hereof, to the accuracy of the statements of the Company and the Selling Stockholders made in any certificates pursuant to the provisions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00"/>
          </w:cols>
          <w:pgMar w:left="260" w:top="375" w:right="239" w:bottom="1440" w:gutter="0" w:footer="0" w:header="0"/>
        </w:sectPr>
      </w:pPr>
    </w:p>
    <w:bookmarkStart w:id="17" w:name="page18"/>
    <w:bookmarkEnd w:id="17"/>
    <w:p>
      <w:pPr>
        <w:spacing w:after="0" w:line="263" w:lineRule="auto"/>
        <w:rPr>
          <w:sz w:val="20"/>
          <w:szCs w:val="20"/>
          <w:color w:val="auto"/>
        </w:rPr>
      </w:pPr>
      <w:r>
        <w:rPr>
          <w:rFonts w:ascii="Arial" w:cs="Arial" w:eastAsia="Arial" w:hAnsi="Arial"/>
          <w:sz w:val="22"/>
          <w:szCs w:val="22"/>
          <w:color w:val="auto"/>
        </w:rPr>
        <w:t>hereof, to the performance by the Company and the Selling Stockholders of their respective obligations hereunder and to the following additional conditions:</w:t>
      </w:r>
    </w:p>
    <w:p>
      <w:pPr>
        <w:spacing w:after="0" w:line="175" w:lineRule="exact"/>
        <w:rPr>
          <w:sz w:val="20"/>
          <w:szCs w:val="20"/>
          <w:color w:val="auto"/>
        </w:rPr>
      </w:pPr>
    </w:p>
    <w:p>
      <w:pPr>
        <w:jc w:val="both"/>
        <w:ind w:left="660" w:firstLine="645"/>
        <w:spacing w:after="0" w:line="297" w:lineRule="auto"/>
        <w:tabs>
          <w:tab w:leader="none" w:pos="2196"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Final Prospectus, and any supplement thereto, have been filed in the manner and within the time period required by Rule 424(b); any other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147" w:lineRule="exact"/>
        <w:rPr>
          <w:rFonts w:ascii="Arial" w:cs="Arial" w:eastAsia="Arial" w:hAnsi="Arial"/>
          <w:sz w:val="19"/>
          <w:szCs w:val="19"/>
          <w:color w:val="auto"/>
        </w:rPr>
      </w:pPr>
    </w:p>
    <w:p>
      <w:pPr>
        <w:jc w:val="both"/>
        <w:ind w:left="660" w:firstLine="645"/>
        <w:spacing w:after="0" w:line="253" w:lineRule="auto"/>
        <w:tabs>
          <w:tab w:leader="none" w:pos="2209"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Company shall have requested and caused Lindquist &amp; Vennum LLP, counsel for the Company, to have furnished to the Underwriter their opinion, dated the Closing Date and addressed to the Underwriter, in form and substance reasonably satisfactory to the Underwriter.</w:t>
      </w:r>
    </w:p>
    <w:p>
      <w:pPr>
        <w:spacing w:after="0" w:line="185" w:lineRule="exact"/>
        <w:rPr>
          <w:rFonts w:ascii="Arial" w:cs="Arial" w:eastAsia="Arial" w:hAnsi="Arial"/>
          <w:sz w:val="22"/>
          <w:szCs w:val="22"/>
          <w:color w:val="auto"/>
        </w:rPr>
      </w:pPr>
    </w:p>
    <w:p>
      <w:pPr>
        <w:jc w:val="both"/>
        <w:ind w:left="660" w:firstLine="645"/>
        <w:spacing w:after="0" w:line="253" w:lineRule="auto"/>
        <w:tabs>
          <w:tab w:leader="none" w:pos="2196" w:val="left"/>
        </w:tabs>
        <w:numPr>
          <w:ilvl w:val="0"/>
          <w:numId w:val="28"/>
        </w:numPr>
        <w:rPr>
          <w:rFonts w:ascii="Arial" w:cs="Arial" w:eastAsia="Arial" w:hAnsi="Arial"/>
          <w:sz w:val="22"/>
          <w:szCs w:val="22"/>
          <w:color w:val="auto"/>
        </w:rPr>
      </w:pPr>
      <w:r>
        <w:rPr>
          <w:rFonts w:ascii="Arial" w:cs="Arial" w:eastAsia="Arial" w:hAnsi="Arial"/>
          <w:sz w:val="22"/>
          <w:szCs w:val="22"/>
          <w:color w:val="auto"/>
        </w:rPr>
        <w:t>Kirkland &amp; Ellis LLP, counsel for the Selling Stockholders shall have furnished to the Underwriter its written opinion, dated the Closing Date and addressed to the Underwriter, in form and substance reasonably satisfactory to the Underwriter.</w:t>
      </w:r>
    </w:p>
    <w:p>
      <w:pPr>
        <w:spacing w:after="0" w:line="185" w:lineRule="exact"/>
        <w:rPr>
          <w:rFonts w:ascii="Arial" w:cs="Arial" w:eastAsia="Arial" w:hAnsi="Arial"/>
          <w:sz w:val="22"/>
          <w:szCs w:val="22"/>
          <w:color w:val="auto"/>
        </w:rPr>
      </w:pPr>
    </w:p>
    <w:p>
      <w:pPr>
        <w:jc w:val="both"/>
        <w:ind w:left="660" w:firstLine="645"/>
        <w:spacing w:after="0" w:line="250" w:lineRule="auto"/>
        <w:tabs>
          <w:tab w:leader="none" w:pos="2209"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Underwriter shall have received from Latham &amp; Watkins LLP, counsel for the Underwriter, such opinion or opinions, dated the Closing Date and addressed to the Underwriter, and the Company and each Selling Stockholder shall have furnished to such counsel such documents as they request for the purpose of enabling them to pass upon such matters as the Underwriter reasonably requests.</w:t>
      </w:r>
    </w:p>
    <w:p>
      <w:pPr>
        <w:spacing w:after="0" w:line="188" w:lineRule="exact"/>
        <w:rPr>
          <w:rFonts w:ascii="Arial" w:cs="Arial" w:eastAsia="Arial" w:hAnsi="Arial"/>
          <w:sz w:val="22"/>
          <w:szCs w:val="22"/>
          <w:color w:val="auto"/>
        </w:rPr>
      </w:pPr>
    </w:p>
    <w:p>
      <w:pPr>
        <w:jc w:val="both"/>
        <w:ind w:left="660" w:firstLine="645"/>
        <w:spacing w:after="0" w:line="265" w:lineRule="auto"/>
        <w:tabs>
          <w:tab w:leader="none" w:pos="2196"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Company shall have furnished to the Underwriter a certificate of the Company, signed by Chief Executive Officer or the President and the principal financial or accounting officer of the Company, dated the Closing Date, to the effect that the signers of such certificate have carefully examined the Registration Statement, the Disclosure Package, the Final Prospectus and any supplements or amendments thereto and that:</w:t>
      </w:r>
    </w:p>
    <w:p>
      <w:pPr>
        <w:spacing w:after="0" w:line="175" w:lineRule="exact"/>
        <w:rPr>
          <w:rFonts w:ascii="Arial" w:cs="Arial" w:eastAsia="Arial" w:hAnsi="Arial"/>
          <w:sz w:val="21"/>
          <w:szCs w:val="21"/>
          <w:color w:val="auto"/>
        </w:rPr>
      </w:pPr>
    </w:p>
    <w:p>
      <w:pPr>
        <w:jc w:val="both"/>
        <w:ind w:left="1300" w:firstLine="653"/>
        <w:spacing w:after="0" w:line="312" w:lineRule="auto"/>
        <w:tabs>
          <w:tab w:leader="none" w:pos="2800"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33" w:lineRule="exact"/>
        <w:rPr>
          <w:rFonts w:ascii="Arial" w:cs="Arial" w:eastAsia="Arial" w:hAnsi="Arial"/>
          <w:sz w:val="19"/>
          <w:szCs w:val="19"/>
          <w:color w:val="auto"/>
        </w:rPr>
      </w:pPr>
    </w:p>
    <w:p>
      <w:pPr>
        <w:jc w:val="both"/>
        <w:ind w:left="1300" w:firstLine="653"/>
        <w:spacing w:after="0" w:line="253" w:lineRule="auto"/>
        <w:tabs>
          <w:tab w:leader="none" w:pos="2860" w:val="left"/>
        </w:tabs>
        <w:numPr>
          <w:ilvl w:val="1"/>
          <w:numId w:val="28"/>
        </w:numPr>
        <w:rPr>
          <w:rFonts w:ascii="Arial" w:cs="Arial" w:eastAsia="Arial" w:hAnsi="Arial"/>
          <w:sz w:val="22"/>
          <w:szCs w:val="22"/>
          <w:color w:val="auto"/>
        </w:rPr>
      </w:pPr>
      <w:r>
        <w:rPr>
          <w:rFonts w:ascii="Arial" w:cs="Arial" w:eastAsia="Arial" w:hAnsi="Arial"/>
          <w:sz w:val="22"/>
          <w:szCs w:val="22"/>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185" w:lineRule="exact"/>
        <w:rPr>
          <w:rFonts w:ascii="Arial" w:cs="Arial" w:eastAsia="Arial" w:hAnsi="Arial"/>
          <w:sz w:val="22"/>
          <w:szCs w:val="22"/>
          <w:color w:val="auto"/>
        </w:rPr>
      </w:pPr>
    </w:p>
    <w:p>
      <w:pPr>
        <w:jc w:val="both"/>
        <w:ind w:left="1300" w:firstLine="653"/>
        <w:spacing w:after="0" w:line="253" w:lineRule="auto"/>
        <w:tabs>
          <w:tab w:leader="none" w:pos="2920" w:val="left"/>
        </w:tabs>
        <w:numPr>
          <w:ilvl w:val="1"/>
          <w:numId w:val="28"/>
        </w:numPr>
        <w:rPr>
          <w:rFonts w:ascii="Arial" w:cs="Arial" w:eastAsia="Arial" w:hAnsi="Arial"/>
          <w:sz w:val="22"/>
          <w:szCs w:val="22"/>
          <w:color w:val="auto"/>
        </w:rPr>
      </w:pPr>
      <w:r>
        <w:rPr>
          <w:rFonts w:ascii="Arial" w:cs="Arial" w:eastAsia="Arial" w:hAnsi="Arial"/>
          <w:sz w:val="22"/>
          <w:szCs w:val="22"/>
          <w:color w:val="auto"/>
        </w:rPr>
        <w:t>since the date of the most recent financial statements included in the Disclosure Package and the Final Prospectus (exclusive of any supplement thereto), there has been no Material Adverse Effect, except as set forth in or contemplated in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75" w:right="239" w:bottom="1440" w:gutter="0" w:footer="0" w:header="0"/>
        </w:sectPr>
      </w:pPr>
    </w:p>
    <w:bookmarkStart w:id="18" w:name="page19"/>
    <w:bookmarkEnd w:id="18"/>
    <w:p>
      <w:pPr>
        <w:ind w:left="1300"/>
        <w:spacing w:after="0"/>
        <w:rPr>
          <w:sz w:val="20"/>
          <w:szCs w:val="20"/>
          <w:color w:val="auto"/>
        </w:rPr>
      </w:pPr>
      <w:r>
        <w:rPr>
          <w:rFonts w:ascii="Arial" w:cs="Arial" w:eastAsia="Arial" w:hAnsi="Arial"/>
          <w:sz w:val="22"/>
          <w:szCs w:val="22"/>
          <w:color w:val="auto"/>
        </w:rPr>
        <w:t>the Disclosure Package and the Final Prospectus (exclusive of any supplement thereto).</w:t>
      </w:r>
    </w:p>
    <w:p>
      <w:pPr>
        <w:spacing w:after="0" w:line="220" w:lineRule="exact"/>
        <w:rPr>
          <w:sz w:val="20"/>
          <w:szCs w:val="20"/>
          <w:color w:val="auto"/>
        </w:rPr>
      </w:pPr>
    </w:p>
    <w:p>
      <w:pPr>
        <w:jc w:val="both"/>
        <w:ind w:left="660" w:firstLine="645"/>
        <w:spacing w:after="0" w:line="250" w:lineRule="auto"/>
        <w:tabs>
          <w:tab w:leader="none" w:pos="2172" w:val="left"/>
        </w:tabs>
        <w:numPr>
          <w:ilvl w:val="0"/>
          <w:numId w:val="29"/>
        </w:numPr>
        <w:rPr>
          <w:rFonts w:ascii="Arial" w:cs="Arial" w:eastAsia="Arial" w:hAnsi="Arial"/>
          <w:sz w:val="22"/>
          <w:szCs w:val="22"/>
          <w:color w:val="auto"/>
        </w:rPr>
      </w:pPr>
      <w:r>
        <w:rPr>
          <w:rFonts w:ascii="Arial" w:cs="Arial" w:eastAsia="Arial" w:hAnsi="Arial"/>
          <w:sz w:val="22"/>
          <w:szCs w:val="22"/>
          <w:color w:val="auto"/>
        </w:rPr>
        <w:t>Each Selling Stockholder shall have furnished to the Underwriter a certificate, signed by an authorized signatory of such Selling Stockholder, dated the Closing Date, to the effect that the representations and warranties of such Selling Stockholder in this Agreement are true and correct in all material respects on and as of the Closing Date to the same effect as if made on the Closing Date.</w:t>
      </w:r>
    </w:p>
    <w:p>
      <w:pPr>
        <w:spacing w:after="0" w:line="188" w:lineRule="exact"/>
        <w:rPr>
          <w:rFonts w:ascii="Arial" w:cs="Arial" w:eastAsia="Arial" w:hAnsi="Arial"/>
          <w:sz w:val="22"/>
          <w:szCs w:val="22"/>
          <w:color w:val="auto"/>
        </w:rPr>
      </w:pPr>
    </w:p>
    <w:p>
      <w:pPr>
        <w:jc w:val="both"/>
        <w:ind w:left="660" w:firstLine="645"/>
        <w:spacing w:after="0" w:line="250" w:lineRule="auto"/>
        <w:tabs>
          <w:tab w:leader="none" w:pos="2209"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Company shall have requested and caused each of Deloitte &amp; Touche LLP and Crowe Horwath LLP to have furnished to the Underwriter, at the Execution Time and at the Closing Date, letters (which may refer to letters previously delivered to the Underwriter), dated respectively as of the Execution Time and as of the Closing Date, in form and substance satisfactory to the Underwriter.</w:t>
      </w:r>
    </w:p>
    <w:p>
      <w:pPr>
        <w:spacing w:after="0" w:line="188" w:lineRule="exact"/>
        <w:rPr>
          <w:rFonts w:ascii="Arial" w:cs="Arial" w:eastAsia="Arial" w:hAnsi="Arial"/>
          <w:sz w:val="22"/>
          <w:szCs w:val="22"/>
          <w:color w:val="auto"/>
        </w:rPr>
      </w:pPr>
    </w:p>
    <w:p>
      <w:pPr>
        <w:jc w:val="both"/>
        <w:ind w:left="660" w:firstLine="645"/>
        <w:spacing w:after="0" w:line="258" w:lineRule="auto"/>
        <w:tabs>
          <w:tab w:leader="none" w:pos="2209" w:val="left"/>
        </w:tabs>
        <w:numPr>
          <w:ilvl w:val="0"/>
          <w:numId w:val="29"/>
        </w:numPr>
        <w:rPr>
          <w:rFonts w:ascii="Arial" w:cs="Arial" w:eastAsia="Arial" w:hAnsi="Arial"/>
          <w:sz w:val="21"/>
          <w:szCs w:val="21"/>
          <w:color w:val="auto"/>
        </w:rPr>
      </w:pPr>
      <w:r>
        <w:rPr>
          <w:rFonts w:ascii="Arial" w:cs="Arial" w:eastAsia="Arial" w:hAnsi="Arial"/>
          <w:sz w:val="21"/>
          <w:szCs w:val="21"/>
          <w:color w:val="auto"/>
        </w:rPr>
        <w:t>Subsequent to the Execution Time or, if earlier, the dates as of which information is given in the Registration Statement (exclusive of any amendment thereof) and the Final Prospectus (exclusive of any amendment or supplement thereto), there shall not have been (i) any change or decrease specified in the letter or letters referred to in paragraph (g)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Disclosure Package and the Final Prospectus (exclusive of any amendment or supplement thereto) the effect of which, in any case referred to in clause (i) or (ii) above, is, in the sole judgment of the Underwriter, so material and adverse as to make it impractical or inadvisable to proceed with the offering or delivery of the Securities as contemplated by the Registration Statement (exclusive of any amendment thereof), the Disclosure Package and the Final Prospectus (exclusive of any amendment or supplement thereto).</w:t>
      </w:r>
    </w:p>
    <w:p>
      <w:pPr>
        <w:spacing w:after="0" w:line="183" w:lineRule="exact"/>
        <w:rPr>
          <w:rFonts w:ascii="Arial" w:cs="Arial" w:eastAsia="Arial" w:hAnsi="Arial"/>
          <w:sz w:val="21"/>
          <w:szCs w:val="21"/>
          <w:color w:val="auto"/>
        </w:rPr>
      </w:pPr>
    </w:p>
    <w:p>
      <w:pPr>
        <w:jc w:val="both"/>
        <w:ind w:left="660" w:firstLine="645"/>
        <w:spacing w:after="0" w:line="265" w:lineRule="auto"/>
        <w:tabs>
          <w:tab w:leader="none" w:pos="2160" w:val="left"/>
        </w:tabs>
        <w:numPr>
          <w:ilvl w:val="0"/>
          <w:numId w:val="29"/>
        </w:numPr>
        <w:rPr>
          <w:rFonts w:ascii="Arial" w:cs="Arial" w:eastAsia="Arial" w:hAnsi="Arial"/>
          <w:sz w:val="21"/>
          <w:szCs w:val="21"/>
          <w:color w:val="auto"/>
        </w:rPr>
      </w:pPr>
      <w:r>
        <w:rPr>
          <w:rFonts w:ascii="Arial" w:cs="Arial" w:eastAsia="Arial" w:hAnsi="Arial"/>
          <w:sz w:val="21"/>
          <w:szCs w:val="21"/>
          <w:color w:val="auto"/>
        </w:rPr>
        <w:t>Subsequent to the Execution Time, there shall not have been any decrease in the rating of any of the Company’s debt securities by any “nationally recognized statistical rating organization” (as defined for purposes of Rule 3(a)(62) under the Exchange Act) or any notice given of any intended or potential decrease in any such rating or of a possible change in any such rating that does not indicate the direction of the possible change.</w:t>
      </w:r>
    </w:p>
    <w:p>
      <w:pPr>
        <w:spacing w:after="0" w:line="175" w:lineRule="exact"/>
        <w:rPr>
          <w:rFonts w:ascii="Arial" w:cs="Arial" w:eastAsia="Arial" w:hAnsi="Arial"/>
          <w:sz w:val="21"/>
          <w:szCs w:val="21"/>
          <w:color w:val="auto"/>
        </w:rPr>
      </w:pPr>
    </w:p>
    <w:p>
      <w:pPr>
        <w:ind w:left="660" w:right="20" w:firstLine="645"/>
        <w:spacing w:after="0" w:line="287" w:lineRule="auto"/>
        <w:tabs>
          <w:tab w:leader="none" w:pos="2160" w:val="left"/>
        </w:tabs>
        <w:numPr>
          <w:ilvl w:val="0"/>
          <w:numId w:val="29"/>
        </w:numPr>
        <w:rPr>
          <w:rFonts w:ascii="Arial" w:cs="Arial" w:eastAsia="Arial" w:hAnsi="Arial"/>
          <w:sz w:val="21"/>
          <w:szCs w:val="21"/>
          <w:color w:val="auto"/>
        </w:rPr>
      </w:pPr>
      <w:r>
        <w:rPr>
          <w:rFonts w:ascii="Arial" w:cs="Arial" w:eastAsia="Arial" w:hAnsi="Arial"/>
          <w:sz w:val="21"/>
          <w:szCs w:val="21"/>
          <w:color w:val="auto"/>
        </w:rPr>
        <w:t>Prior to the Closing Date, the Company and the Selling Stockholders shall have furnished to the Underwriter such further information, certificates and documents as the Underwriter may reasonably request.</w:t>
      </w:r>
    </w:p>
    <w:p>
      <w:pPr>
        <w:spacing w:after="0" w:line="151" w:lineRule="exact"/>
        <w:rPr>
          <w:rFonts w:ascii="Arial" w:cs="Arial" w:eastAsia="Arial" w:hAnsi="Arial"/>
          <w:sz w:val="21"/>
          <w:szCs w:val="21"/>
          <w:color w:val="auto"/>
        </w:rPr>
      </w:pPr>
    </w:p>
    <w:p>
      <w:pPr>
        <w:ind w:left="660" w:right="20" w:firstLine="645"/>
        <w:spacing w:after="0" w:line="263" w:lineRule="auto"/>
        <w:tabs>
          <w:tab w:leader="none" w:pos="2209"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Securities shall have been listed and admitted and authorized for trading on the New York Stock Exchange, and satisfactory evidence of such actions shall have been provided to the Underwriter.</w:t>
      </w:r>
    </w:p>
    <w:p>
      <w:pPr>
        <w:spacing w:after="0" w:line="175"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If any of the conditions specified in this Section 6 shall not have been fulfilled when and as provided in this Agreement, or if any of the opinions and certificates mentioned above or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375" w:right="239" w:bottom="1440" w:gutter="0" w:footer="0" w:header="0"/>
        </w:sectPr>
      </w:pPr>
    </w:p>
    <w:bookmarkStart w:id="19" w:name="page20"/>
    <w:bookmarkEnd w:id="19"/>
    <w:p>
      <w:pPr>
        <w:jc w:val="both"/>
        <w:spacing w:after="0" w:line="250" w:lineRule="auto"/>
        <w:rPr>
          <w:sz w:val="20"/>
          <w:szCs w:val="20"/>
          <w:color w:val="auto"/>
        </w:rPr>
      </w:pPr>
      <w:r>
        <w:rPr>
          <w:rFonts w:ascii="Arial" w:cs="Arial" w:eastAsia="Arial" w:hAnsi="Arial"/>
          <w:sz w:val="22"/>
          <w:szCs w:val="22"/>
          <w:color w:val="auto"/>
        </w:rPr>
        <w:t>elsewhere in this Agreement shall not be reasonably satisfactory in form and substance to the Underwriter and counsel for the Underwriter, this Agreement and all obligations of the Underwriter hereunder may be canceled at, or at any time prior to, the Closing Date by the Underwriter. Notice of such cancellation shall be given to the Company and each Selling Stockholder in writing or by telephone or facsimile confirmed in writing.</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The documents required to be delivered by this Section 6 shall be delivered at the office of Latham &amp; Watkins LLP, counsel for the Underwriter, at 885 Third Avenue, New York, New York 10022, on the Closing Date.</w:t>
      </w:r>
    </w:p>
    <w:p>
      <w:pPr>
        <w:spacing w:after="0" w:line="175" w:lineRule="exact"/>
        <w:rPr>
          <w:sz w:val="20"/>
          <w:szCs w:val="20"/>
          <w:color w:val="auto"/>
        </w:rPr>
      </w:pPr>
    </w:p>
    <w:p>
      <w:pPr>
        <w:jc w:val="both"/>
        <w:ind w:firstLine="1305"/>
        <w:spacing w:after="0" w:line="246" w:lineRule="auto"/>
        <w:tabs>
          <w:tab w:leader="none" w:pos="2107"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Reimbursement of the Underwriter’s Expenses</w:t>
      </w:r>
      <w:r>
        <w:rPr>
          <w:rFonts w:ascii="Arial" w:cs="Arial" w:eastAsia="Arial" w:hAnsi="Arial"/>
          <w:sz w:val="22"/>
          <w:szCs w:val="22"/>
          <w:color w:val="auto"/>
        </w:rPr>
        <w:t>. If the sale of the Securities provided for herein is not consummated because any condition to the obligations of the Underwriter set forth in Section 6 hereof is not satisfied, because of any termination pursuant to Section 10 hereof or because of any refusal, inability or failure on the part of the Company or any Selling Stockholder to perform any agreement herein or comply with any provision hereof other than by reason of a default by any of the Underwriter, the Company will reimburse the Underwriter on demand for all expenses (including reasonable fees and disbursements of counsel) that shall have been incurred by them in connection with the proposed purchase and sale of the Securities. The payment of the costs and expenses of the Selling Stockholders by the Company is governed by the Registration Rights Agreement, dated as of October 2, 2016, by and among the Company, the Selling Stockholders and the other stockholders named therein.</w:t>
      </w:r>
    </w:p>
    <w:p>
      <w:pPr>
        <w:spacing w:after="0" w:line="191" w:lineRule="exact"/>
        <w:rPr>
          <w:rFonts w:ascii="Arial" w:cs="Arial" w:eastAsia="Arial" w:hAnsi="Arial"/>
          <w:sz w:val="22"/>
          <w:szCs w:val="22"/>
          <w:color w:val="auto"/>
        </w:rPr>
      </w:pPr>
    </w:p>
    <w:p>
      <w:pPr>
        <w:jc w:val="both"/>
        <w:ind w:left="80" w:firstLine="1306"/>
        <w:spacing w:after="0" w:line="286" w:lineRule="auto"/>
        <w:tabs>
          <w:tab w:leader="none" w:pos="2106"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Indemnification and Contribution.</w:t>
      </w:r>
      <w:r>
        <w:rPr>
          <w:rFonts w:ascii="Arial" w:cs="Arial" w:eastAsia="Arial" w:hAnsi="Arial"/>
          <w:sz w:val="19"/>
          <w:szCs w:val="19"/>
          <w:color w:val="auto"/>
        </w:rPr>
        <w:t xml:space="preserve"> (a) The Company agrees to indemnify and hold harmless the Underwriter, the directors, officers, employees, affiliates and agents of the Underwriter and each person who controls the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or in any Preliminary Prospectus, or the Final Prospectus or any Issuer Free Writing Prospectus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the Underwriter or the Selling Stockholders specifically for inclusion therein. This indemnity agreement will be in addition to any liability which the Company may otherwise have.</w:t>
      </w:r>
    </w:p>
    <w:p>
      <w:pPr>
        <w:spacing w:after="0" w:line="160" w:lineRule="exact"/>
        <w:rPr>
          <w:sz w:val="20"/>
          <w:szCs w:val="20"/>
          <w:color w:val="auto"/>
        </w:rPr>
      </w:pPr>
    </w:p>
    <w:p>
      <w:pPr>
        <w:ind w:firstLine="1305"/>
        <w:spacing w:after="0" w:line="263" w:lineRule="auto"/>
        <w:tabs>
          <w:tab w:leader="none" w:pos="2197" w:val="left"/>
        </w:tabs>
        <w:numPr>
          <w:ilvl w:val="0"/>
          <w:numId w:val="31"/>
        </w:numPr>
        <w:rPr>
          <w:rFonts w:ascii="Arial" w:cs="Arial" w:eastAsia="Arial" w:hAnsi="Arial"/>
          <w:sz w:val="22"/>
          <w:szCs w:val="22"/>
          <w:color w:val="auto"/>
        </w:rPr>
      </w:pPr>
      <w:r>
        <w:rPr>
          <w:rFonts w:ascii="Arial" w:cs="Arial" w:eastAsia="Arial" w:hAnsi="Arial"/>
          <w:sz w:val="22"/>
          <w:szCs w:val="22"/>
          <w:color w:val="auto"/>
        </w:rPr>
        <w:t>Each Selling Stockholder, severally and not jointly, agrees to indemnify and hold harmless the Underwriter, the directors, officers, employees, affiliates and agents of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375" w:right="239" w:bottom="1440" w:gutter="0" w:footer="0" w:header="0"/>
        </w:sectPr>
      </w:pPr>
    </w:p>
    <w:bookmarkStart w:id="20" w:name="page21"/>
    <w:bookmarkEnd w:id="20"/>
    <w:p>
      <w:pPr>
        <w:jc w:val="both"/>
        <w:spacing w:after="0" w:line="286" w:lineRule="auto"/>
        <w:rPr>
          <w:sz w:val="20"/>
          <w:szCs w:val="20"/>
          <w:color w:val="auto"/>
        </w:rPr>
      </w:pPr>
      <w:r>
        <w:rPr>
          <w:rFonts w:ascii="Arial" w:cs="Arial" w:eastAsia="Arial" w:hAnsi="Arial"/>
          <w:sz w:val="19"/>
          <w:szCs w:val="19"/>
          <w:color w:val="auto"/>
        </w:rPr>
        <w:t>Underwriter and each person who controls the Underwriter within the meaning of either the Act or the Exchange Act, against any and all losses, claims, damages or liabilities, joint or several, to which they or any of them may become subject under the Act, insofar as such losses, claims, damages or liabilities (or actions in respect thereof) arise out of or are based upon any untrue statement or alleged untrue statement of a material fact contained in the Registration Statement, in any Preliminary Prospectus, or the Final Prospectus or any Issuer Free Writing Prospectus or in any amendment thereof or supplement thereto, or arise out of or are based upon the omission or alleged omission to state therein a material fact required to be stated therein or necessary to make the statements therein not misleading, in each case, only with respect to such Selling Stockholder’s Selling Stockholder Information and to the extent, but only to the extent, that such untrue statement or alleged untrue statement or omission or alleged omission was made in reliance upon and in conformity with such Selling Stockholder’s Selling Stockholder Information; and agrees to reimburse the Underwriter, as incurred, for any legal or other expenses reasonably incurred by them in connection with investigating or defending any such loss, claim, damage, liability or action. Such Selling Stockholder’s liability under this subsection (b) shall not exceed the proceeds (net of underwriting discounts and commissions but before deducting expenses) received by such Selling Stockholder from the sale of the Securities sold by such Selling Stockholder hereunder less any amounts that such Selling Stockholder is obligated to pay under subsection (e) below.</w:t>
      </w:r>
    </w:p>
    <w:p>
      <w:pPr>
        <w:spacing w:after="0" w:line="200" w:lineRule="exact"/>
        <w:rPr>
          <w:sz w:val="20"/>
          <w:szCs w:val="20"/>
          <w:color w:val="auto"/>
        </w:rPr>
      </w:pPr>
    </w:p>
    <w:p>
      <w:pPr>
        <w:spacing w:after="0" w:line="224" w:lineRule="exact"/>
        <w:rPr>
          <w:sz w:val="20"/>
          <w:szCs w:val="20"/>
          <w:color w:val="auto"/>
        </w:rPr>
      </w:pPr>
    </w:p>
    <w:p>
      <w:pPr>
        <w:jc w:val="both"/>
        <w:ind w:firstLine="1305"/>
        <w:spacing w:after="0" w:line="257" w:lineRule="auto"/>
        <w:tabs>
          <w:tab w:leader="none" w:pos="2185"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Underwriter agrees to indemnify and hold harmless the Company, each of its directors, each of its officers who signs the Registration Statement, and each person who controls the Company within the meaning of either the Act or the Exchange Act and each Selling Stockholder, the directors, officers, employees, affiliates and agents of each Selling Stockholder and each person who controls each Selling Stockholder within the meaning of either the Act or the Exchange Act, to the same extent as the foregoing indemnity to the Underwriter, but only with reference to written information relating to such Underwriter furnished to the Company by the Underwriter specifically for inclusion in the documents referred to in the foregoing indemnity. This indemnity agreement will be in addition to any liability which the Underwriter may otherwise have. The Company and each Selling Stockholder acknowledge that the statements set forth (i) in the last paragraph of the cover page regarding delivery of the Securities and, under the heading “Underwriting” or “Plan of Distribution”, (ii) the Underwriter and its participation in the sale of the Securities, (iii) the sentences related to concessions and reallowances and (iv) the paragraph related to stabilization, syndicate covering transactions and penalty bids in the Preliminary Prospectus and the Final Prospectus constitute the only information furnished in writing by or on behalf of the Underwriter for inclusion in the Preliminary Prospectus, the Final Prospectus or any Issuer Free Writing Prospectus. This indemnity agreement will be in addition to any liability which the Underwriter may otherwise have.</w:t>
      </w:r>
    </w:p>
    <w:p>
      <w:pPr>
        <w:spacing w:after="0" w:line="188" w:lineRule="exact"/>
        <w:rPr>
          <w:rFonts w:ascii="Arial" w:cs="Arial" w:eastAsia="Arial" w:hAnsi="Arial"/>
          <w:sz w:val="21"/>
          <w:szCs w:val="21"/>
          <w:color w:val="auto"/>
        </w:rPr>
      </w:pPr>
    </w:p>
    <w:p>
      <w:pPr>
        <w:jc w:val="both"/>
        <w:ind w:firstLine="1305"/>
        <w:spacing w:after="0" w:line="247" w:lineRule="auto"/>
        <w:tabs>
          <w:tab w:leader="none" w:pos="2197" w:val="left"/>
        </w:tabs>
        <w:numPr>
          <w:ilvl w:val="0"/>
          <w:numId w:val="32"/>
        </w:numPr>
        <w:rPr>
          <w:rFonts w:ascii="Arial" w:cs="Arial" w:eastAsia="Arial" w:hAnsi="Arial"/>
          <w:sz w:val="22"/>
          <w:szCs w:val="22"/>
          <w:color w:val="auto"/>
        </w:rPr>
      </w:pPr>
      <w:r>
        <w:rPr>
          <w:rFonts w:ascii="Arial" w:cs="Arial" w:eastAsia="Arial" w:hAnsi="Arial"/>
          <w:sz w:val="22"/>
          <w:szCs w:val="22"/>
          <w:color w:val="auto"/>
        </w:rPr>
        <w:t>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(b) or (c) above unless and to the extent it did not otherwise learn of such action and such failure results in the forfeiture by the indemnifying party of substantial rights and defenses and (ii) will not, in any event, relieve the indemnifying party from any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375" w:right="239" w:bottom="1440" w:gutter="0" w:footer="0" w:header="0"/>
        </w:sectPr>
      </w:pPr>
    </w:p>
    <w:bookmarkStart w:id="21" w:name="page22"/>
    <w:bookmarkEnd w:id="21"/>
    <w:p>
      <w:pPr>
        <w:jc w:val="both"/>
        <w:spacing w:after="0" w:line="285" w:lineRule="auto"/>
        <w:rPr>
          <w:sz w:val="20"/>
          <w:szCs w:val="20"/>
          <w:color w:val="auto"/>
        </w:rPr>
      </w:pPr>
      <w:r>
        <w:rPr>
          <w:rFonts w:ascii="Arial" w:cs="Arial" w:eastAsia="Arial" w:hAnsi="Arial"/>
          <w:sz w:val="19"/>
          <w:szCs w:val="19"/>
          <w:color w:val="auto"/>
        </w:rPr>
        <w:t xml:space="preserve">obligations to any indemnified party other than the indemnification obligation provided in paragraph (a), (b) or (c)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an admission of fault.</w:t>
      </w:r>
    </w:p>
    <w:p>
      <w:pPr>
        <w:spacing w:after="0" w:line="162" w:lineRule="exact"/>
        <w:rPr>
          <w:sz w:val="20"/>
          <w:szCs w:val="20"/>
          <w:color w:val="auto"/>
        </w:rPr>
      </w:pPr>
    </w:p>
    <w:p>
      <w:pPr>
        <w:jc w:val="both"/>
        <w:ind w:firstLine="1305"/>
        <w:spacing w:after="0" w:line="286" w:lineRule="auto"/>
        <w:tabs>
          <w:tab w:leader="none" w:pos="2185" w:val="left"/>
        </w:tabs>
        <w:numPr>
          <w:ilvl w:val="0"/>
          <w:numId w:val="33"/>
        </w:numPr>
        <w:rPr>
          <w:rFonts w:ascii="Arial" w:cs="Arial" w:eastAsia="Arial" w:hAnsi="Arial"/>
          <w:sz w:val="19"/>
          <w:szCs w:val="19"/>
          <w:color w:val="auto"/>
        </w:rPr>
      </w:pPr>
      <w:r>
        <w:rPr>
          <w:rFonts w:ascii="Arial" w:cs="Arial" w:eastAsia="Arial" w:hAnsi="Arial"/>
          <w:sz w:val="19"/>
          <w:szCs w:val="19"/>
          <w:color w:val="auto"/>
        </w:rPr>
        <w:t>In the event that the indemnity provided in paragraph (a), (b) or (c) of this Section 8 is unavailable to or insufficient to hold harmless an indemnified party for any reason, then each indemnifying party shall contribute to the aggregate losses, claims, damages and liabilities (including legal or other expenses reasonably incurred in connection with investigating or defending same) (collectively “Losses”) to which the indemnified party may be subject in such proportion as is appropriate to reflect the relative benefits received by the Company, by the Selling Stockholders and by the Underwriter, as applicable, from the offering of the Securities. If the allocation provided by the immediately preceding sentence is unavailable for any reason, the indemnifying party shall contribute in such proportion as is appropriate to reflect not only such relative benefits but also the relative fault of the Company, of the Selling Stockholders and of the Underwriter, as applicable, in connection with the statements or omissions which resulted in such Losses as well as any other relevant equitable considerations. Benefits received by the Company and by each Selling Stockholder shall be deemed to be equal to the total net proceeds from the offering (before deducting expenses but after deducting underwriting fees) received by each of them, and benefits received by the Underwriter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the Selling Stockholders on the one hand or the Underwriter on the other, the intent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375" w:right="239" w:bottom="1440" w:gutter="0" w:footer="0" w:header="0"/>
        </w:sectPr>
      </w:pPr>
    </w:p>
    <w:bookmarkStart w:id="22" w:name="page23"/>
    <w:bookmarkEnd w:id="22"/>
    <w:p>
      <w:pPr>
        <w:jc w:val="both"/>
        <w:spacing w:after="0" w:line="285" w:lineRule="auto"/>
        <w:rPr>
          <w:sz w:val="20"/>
          <w:szCs w:val="20"/>
          <w:color w:val="auto"/>
        </w:rPr>
      </w:pPr>
      <w:r>
        <w:rPr>
          <w:rFonts w:ascii="Arial" w:cs="Arial" w:eastAsia="Arial" w:hAnsi="Arial"/>
          <w:sz w:val="19"/>
          <w:szCs w:val="19"/>
          <w:color w:val="auto"/>
        </w:rPr>
        <w:t>of the parties and their relative knowledge, access to information and opportunity to correct or prevent such untrue statement or omission. The Company, the Selling Stockholders and the Underwriter agree that it would not be just and equitable if contribution were determined by pro rata allocation or any other method of allocation which does not take account of the equitable considerations referred to above. Notwithstanding the provisions of this paragraph (e), in no event shall (i) the Underwriter be required to contribute any amount in excess of the amount by which the total underwriting discounts and commissions received by the Underwriter with respect to the offering of the Securities exceeds the amount of any damages that such Underwriter has otherwise been required to pay by reason of such untrue or alleged untrue statement or omission or alleged omission and (ii) each Selling Stockholder be required to contribute any amount in excess of the proceeds (net of underwriting discounts and commissions but before deducting expenses) received by such Selling Stockholder from the sale of the Securities sold by such Selling Stockholder hereunder. The Selling Stockholders’ obligations under this subsection (e) to contribute are several in proportion to their respective proceeds and not joint. No person guilty of fraudulent misrepresentation (within the meaning of Section 11(f) of the Act) shall be entitled to contribution from any person who was not guilty of such fraudulent misrepresentation. For purposes of this Section 8, each person who controls the Underwriter within the meaning of either the Act or the Exchange Act and each director, officer, employee, affiliate and agent of an Underwriter shall have the same rights to contribution as the Underwriter,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(e).</w:t>
      </w:r>
    </w:p>
    <w:p>
      <w:pPr>
        <w:spacing w:after="0" w:line="200" w:lineRule="exact"/>
        <w:rPr>
          <w:sz w:val="20"/>
          <w:szCs w:val="20"/>
          <w:color w:val="auto"/>
        </w:rPr>
      </w:pPr>
    </w:p>
    <w:p>
      <w:pPr>
        <w:spacing w:after="0" w:line="227" w:lineRule="exact"/>
        <w:rPr>
          <w:sz w:val="20"/>
          <w:szCs w:val="20"/>
          <w:color w:val="auto"/>
        </w:rPr>
      </w:pPr>
    </w:p>
    <w:p>
      <w:pPr>
        <w:ind w:left="2120" w:hanging="815"/>
        <w:spacing w:after="0"/>
        <w:tabs>
          <w:tab w:leader="none" w:pos="21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1305"/>
        <w:spacing w:after="0" w:line="288" w:lineRule="auto"/>
        <w:tabs>
          <w:tab w:leader="none" w:pos="2215"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shall be subject to termination in the absolute discretion of the Underwriter, by notice given to the Company and the Selling Stockholders prior to delivery of and payment for the Securities, if at any time prior to such payment and delivery (i) trading in the Company’s Common Stock shall have been suspended by the Commission or the New York Stock Exchange or trading in securities generally on the New York Stock Exchange shall have been suspended or limited or minimum prices shall have been established on such exchange, (ii) a banking moratorium shall have been declared either by Federal or New York State authorities, (iii) there shall have occurred a material disruption in commercial banking or securities settlement or clearance services or (iv) there shall have occurred any outbreak or escalation of hostilities, declaration by the United States of a national emergency or war, or other calamity or crisis the effect of which on financial markets is such as to make it, in the sole judgment of the Underwriter, impractical or inadvisable to proceed with the offering or delivery of the Securities as contemplated by any Preliminary Prospectus or the Final Prospectus (exclusive of any amendment or supplement thereto).</w:t>
      </w:r>
    </w:p>
    <w:p>
      <w:pPr>
        <w:spacing w:after="0" w:line="160" w:lineRule="exact"/>
        <w:rPr>
          <w:rFonts w:ascii="Arial" w:cs="Arial" w:eastAsia="Arial" w:hAnsi="Arial"/>
          <w:sz w:val="19"/>
          <w:szCs w:val="19"/>
          <w:color w:val="auto"/>
        </w:rPr>
      </w:pPr>
    </w:p>
    <w:p>
      <w:pPr>
        <w:jc w:val="both"/>
        <w:ind w:firstLine="1305"/>
        <w:spacing w:after="0" w:line="312" w:lineRule="auto"/>
        <w:tabs>
          <w:tab w:leader="none" w:pos="2207"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Representations and Indemnities to Survive</w:t>
      </w:r>
      <w:r>
        <w:rPr>
          <w:rFonts w:ascii="Arial" w:cs="Arial" w:eastAsia="Arial" w:hAnsi="Arial"/>
          <w:sz w:val="19"/>
          <w:szCs w:val="19"/>
          <w:color w:val="auto"/>
        </w:rPr>
        <w:t>. The respective agreements, representations, warranties, indemnities and other statements of the Company or its officers, of each Selling Stockholder and of the Underwriter set forth in or made pursuant to this Agreement will remain in full force and effect, regardless of any investigation made by or on behalf of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375" w:right="239" w:bottom="1440" w:gutter="0" w:footer="0" w:header="0"/>
        </w:sectPr>
      </w:pPr>
    </w:p>
    <w:bookmarkStart w:id="23" w:name="page24"/>
    <w:bookmarkEnd w:id="23"/>
    <w:p>
      <w:pPr>
        <w:jc w:val="both"/>
        <w:spacing w:after="0" w:line="253" w:lineRule="auto"/>
        <w:rPr>
          <w:sz w:val="20"/>
          <w:szCs w:val="20"/>
          <w:color w:val="auto"/>
        </w:rPr>
      </w:pPr>
      <w:r>
        <w:rPr>
          <w:rFonts w:ascii="Arial" w:cs="Arial" w:eastAsia="Arial" w:hAnsi="Arial"/>
          <w:sz w:val="22"/>
          <w:szCs w:val="22"/>
          <w:color w:val="auto"/>
        </w:rPr>
        <w:t>Underwriter, any Selling Stockholder or the Company or any of the officers, directors, employees, affiliates, agents or controlling persons referred to in Section 8 hereof, and will survive delivery of and payment for the Securities. The provisions of Sections 7 and 8 hereof shall survive the termination or cancellation of this Agreement.</w:t>
      </w:r>
    </w:p>
    <w:p>
      <w:pPr>
        <w:spacing w:after="0" w:line="186" w:lineRule="exact"/>
        <w:rPr>
          <w:sz w:val="20"/>
          <w:szCs w:val="20"/>
          <w:color w:val="auto"/>
        </w:rPr>
      </w:pPr>
    </w:p>
    <w:p>
      <w:pPr>
        <w:jc w:val="both"/>
        <w:ind w:firstLine="1305"/>
        <w:spacing w:after="0" w:line="262" w:lineRule="auto"/>
        <w:tabs>
          <w:tab w:leader="none" w:pos="2215" w:val="left"/>
        </w:tabs>
        <w:numPr>
          <w:ilvl w:val="1"/>
          <w:numId w:val="35"/>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communications hereunder will be in writing and effective only on receipt, and, if sent to the Underwriter, will be mailed, delivered or telefaxed to Morgan Stanley &amp; Co. LLC, 1585 Broadway, New York, New York 10036, Attention: Equity Syndicate Desk, with a copy to the Legal Department; or, if sent to the Company, will be mailed to P.O. Box 152, Forest City, Iowa 50436, delivered to 605 West Crystal Lake Road, Forest City, Iowa 50436, or telefaxed to (641) 585-6966 (with confirmation by mail), with a copy to Lindquist &amp; Vennum LLP, 2000 IDS Center, 80 South 8th Street, Minneapolis, Minnesota 55402, telefax: (612) 371-3207, Attention: Jonathan B. Levy, Esq.; or if sent to any Selling Stockholder, will be mailed, delivered or telefaxed to (617) 824-1100 and confirmed to it at c/o Summit Partners, L.P., 222 Berkeley Street, 18th floor, Boston, Massachusetts 02116, Attention: Chief Financial Officer, with a copy to Kirkland &amp; Ellis LLP, 300 North LaSalle, Chicago IL 60654, Attention: Brian Van Klompenberg.</w:t>
      </w:r>
    </w:p>
    <w:p>
      <w:pPr>
        <w:spacing w:after="0" w:line="179" w:lineRule="exact"/>
        <w:rPr>
          <w:rFonts w:ascii="Arial" w:cs="Arial" w:eastAsia="Arial" w:hAnsi="Arial"/>
          <w:sz w:val="21"/>
          <w:szCs w:val="21"/>
          <w:color w:val="auto"/>
        </w:rPr>
      </w:pPr>
    </w:p>
    <w:p>
      <w:pPr>
        <w:jc w:val="both"/>
        <w:ind w:firstLine="1305"/>
        <w:spacing w:after="0" w:line="253" w:lineRule="auto"/>
        <w:tabs>
          <w:tab w:leader="none" w:pos="2215"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185" w:lineRule="exact"/>
        <w:rPr>
          <w:rFonts w:ascii="Arial" w:cs="Arial" w:eastAsia="Arial" w:hAnsi="Arial"/>
          <w:sz w:val="22"/>
          <w:szCs w:val="22"/>
          <w:color w:val="auto"/>
        </w:rPr>
      </w:pPr>
    </w:p>
    <w:p>
      <w:pPr>
        <w:jc w:val="both"/>
        <w:ind w:firstLine="1305"/>
        <w:spacing w:after="0" w:line="288" w:lineRule="auto"/>
        <w:tabs>
          <w:tab w:leader="none" w:pos="2215"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No fiduciary duty</w:t>
      </w:r>
      <w:r>
        <w:rPr>
          <w:rFonts w:ascii="Arial" w:cs="Arial" w:eastAsia="Arial" w:hAnsi="Arial"/>
          <w:sz w:val="19"/>
          <w:szCs w:val="19"/>
          <w:color w:val="auto"/>
        </w:rPr>
        <w:t>. The Company and the Selling Stockholders, severally and not jointly, hereby acknowledge that (a) the purchase and sale of the Securities pursuant to this Agreement is an arm’s-length commercial transaction between the Company, each Selling Stockholder and the Underwriter and any affiliate through which it may be acting, on the other,</w:t>
      </w:r>
    </w:p>
    <w:p>
      <w:pPr>
        <w:spacing w:after="0" w:line="1" w:lineRule="exact"/>
        <w:rPr>
          <w:rFonts w:ascii="Arial" w:cs="Arial" w:eastAsia="Arial" w:hAnsi="Arial"/>
          <w:sz w:val="19"/>
          <w:szCs w:val="19"/>
          <w:color w:val="auto"/>
        </w:rPr>
      </w:pPr>
    </w:p>
    <w:p>
      <w:pPr>
        <w:jc w:val="both"/>
        <w:ind w:firstLine="8"/>
        <w:spacing w:after="0" w:line="289" w:lineRule="auto"/>
        <w:tabs>
          <w:tab w:leader="none" w:pos="318"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Underwriter is acting as principal and not as an agent or fiduciary of the Company or the Selling Stockholders and (c) the engagement of the Underwriter by the Company and the Selling Stockholders in connection with the offering and the process leading up to the offering is as independent contractors and not in any other capacity. Furthermore, the Company and the Selling Stockholders, severally and not jointly, agree that they are solely responsible for making their own judgments in connection with the offering (irrespective of whether any of the Underwriter has advised or is currently advising the Company or the Selling Stockholders on related or other matters). The Company and each Selling Stockholder, severally and not jointly, agree that it will not claim that the Underwriter has rendered advisory services of any nature or respect, or owe an agency, fiduciary or similar duty to them, in connection with such transaction or the process leading thereto.</w:t>
      </w:r>
    </w:p>
    <w:p>
      <w:pPr>
        <w:spacing w:after="0" w:line="159" w:lineRule="exact"/>
        <w:rPr>
          <w:rFonts w:ascii="Arial" w:cs="Arial" w:eastAsia="Arial" w:hAnsi="Arial"/>
          <w:sz w:val="19"/>
          <w:szCs w:val="19"/>
          <w:color w:val="auto"/>
        </w:rPr>
      </w:pPr>
    </w:p>
    <w:p>
      <w:pPr>
        <w:ind w:firstLine="1305"/>
        <w:spacing w:after="0" w:line="343" w:lineRule="auto"/>
        <w:tabs>
          <w:tab w:leader="none" w:pos="2215"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supersedes all prior agreements and understandings (whether written or oral) between the Company or the Selling Stockholders and the Underwriter, or any of them, with respect to the subject matter hereof.</w:t>
      </w:r>
    </w:p>
    <w:p>
      <w:pPr>
        <w:spacing w:after="0" w:line="104" w:lineRule="exact"/>
        <w:rPr>
          <w:rFonts w:ascii="Arial" w:cs="Arial" w:eastAsia="Arial" w:hAnsi="Arial"/>
          <w:sz w:val="19"/>
          <w:szCs w:val="19"/>
          <w:color w:val="auto"/>
        </w:rPr>
      </w:pPr>
    </w:p>
    <w:p>
      <w:pPr>
        <w:ind w:firstLine="1305"/>
        <w:spacing w:after="0" w:line="263" w:lineRule="auto"/>
        <w:tabs>
          <w:tab w:leader="none" w:pos="2215"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will be governed by and construed in accordance with the laws of the State of New York applicable to contracts made and to be performed within the State of New York.</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375" w:right="239" w:bottom="1440" w:gutter="0" w:footer="0" w:header="0"/>
        </w:sectPr>
      </w:pPr>
    </w:p>
    <w:bookmarkStart w:id="24" w:name="page25"/>
    <w:bookmarkEnd w:id="24"/>
    <w:p>
      <w:pPr>
        <w:jc w:val="both"/>
        <w:ind w:firstLine="1305"/>
        <w:spacing w:after="0" w:line="253" w:lineRule="auto"/>
        <w:tabs>
          <w:tab w:leader="none" w:pos="2215"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The Company, each Selling Stockholder and the Underwriter hereby irrevocably waive, to the fullest extent permitted by applicable law, any and all right to trial by jury in any legal proceeding arising out of or relating to this Agreement or the transactions contemplated hereby.</w:t>
      </w:r>
    </w:p>
    <w:p>
      <w:pPr>
        <w:spacing w:after="0" w:line="185" w:lineRule="exact"/>
        <w:rPr>
          <w:rFonts w:ascii="Arial" w:cs="Arial" w:eastAsia="Arial" w:hAnsi="Arial"/>
          <w:sz w:val="22"/>
          <w:szCs w:val="22"/>
          <w:color w:val="auto"/>
        </w:rPr>
      </w:pPr>
    </w:p>
    <w:p>
      <w:pPr>
        <w:ind w:firstLine="1305"/>
        <w:spacing w:after="0" w:line="263" w:lineRule="auto"/>
        <w:tabs>
          <w:tab w:leader="none" w:pos="2215"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signed in one or more counterparts, each of which shall constitute an original and all of which together shall constitute one and the same agreement.</w:t>
      </w:r>
    </w:p>
    <w:p>
      <w:pPr>
        <w:spacing w:after="0" w:line="174" w:lineRule="exact"/>
        <w:rPr>
          <w:rFonts w:ascii="Arial" w:cs="Arial" w:eastAsia="Arial" w:hAnsi="Arial"/>
          <w:sz w:val="22"/>
          <w:szCs w:val="22"/>
          <w:color w:val="auto"/>
        </w:rPr>
      </w:pPr>
    </w:p>
    <w:p>
      <w:pPr>
        <w:ind w:left="2220" w:hanging="915"/>
        <w:spacing w:after="0"/>
        <w:tabs>
          <w:tab w:leader="none" w:pos="222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section headings used herein are for convenience only and shall not affect the construction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01" w:lineRule="exact"/>
        <w:rPr>
          <w:rFonts w:ascii="Arial" w:cs="Arial" w:eastAsia="Arial" w:hAnsi="Arial"/>
          <w:sz w:val="19"/>
          <w:szCs w:val="19"/>
          <w:color w:val="auto"/>
        </w:rPr>
      </w:pPr>
    </w:p>
    <w:p>
      <w:pPr>
        <w:ind w:left="2220" w:hanging="915"/>
        <w:spacing w:after="0"/>
        <w:tabs>
          <w:tab w:leader="none" w:pos="222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The terms that follow, when used in this Agreement, shall have the meanings indicated.</w:t>
      </w:r>
    </w:p>
    <w:p>
      <w:pPr>
        <w:spacing w:after="0" w:line="254" w:lineRule="exact"/>
        <w:rPr>
          <w:sz w:val="20"/>
          <w:szCs w:val="20"/>
          <w:color w:val="auto"/>
        </w:rPr>
      </w:pPr>
    </w:p>
    <w:p>
      <w:pPr>
        <w:jc w:val="both"/>
        <w:ind w:left="660" w:right="20" w:firstLine="648"/>
        <w:spacing w:after="0" w:line="263" w:lineRule="auto"/>
        <w:rPr>
          <w:sz w:val="20"/>
          <w:szCs w:val="20"/>
          <w:color w:val="auto"/>
        </w:rPr>
      </w:pPr>
      <w:r>
        <w:rPr>
          <w:rFonts w:ascii="Arial" w:cs="Arial" w:eastAsia="Arial" w:hAnsi="Arial"/>
          <w:sz w:val="22"/>
          <w:szCs w:val="22"/>
          <w:color w:val="auto"/>
        </w:rPr>
        <w:t>“Act” shall mean the Securities Act of 1933, as amended, and the rules and regulations of the Commission promulgated thereunder.</w:t>
      </w:r>
    </w:p>
    <w:p>
      <w:pPr>
        <w:spacing w:after="0" w:line="17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“Base Prospectus” shall mean the base prospectus referred to in paragraph 1(a) above contained in the Registration Statement at the Execution Time.</w:t>
      </w:r>
    </w:p>
    <w:p>
      <w:pPr>
        <w:spacing w:after="0" w:line="17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“Business Day” shall mean any day other than a Saturday, a Sunday or a legal holiday or a day on which banking institutions or trust companies are authorized or obligated by law to close in New York City.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“Commission” shall mean the Securities and Exchange Commission.</w:t>
      </w:r>
    </w:p>
    <w:p>
      <w:pPr>
        <w:spacing w:after="0" w:line="220"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2"/>
          <w:szCs w:val="22"/>
          <w:color w:val="auto"/>
        </w:rPr>
        <w:t>“Disclosure Package” shall mean (i) the Base Prospectus, (ii) the Preliminary Prospectus used most recently prior to the Execution Time, (iii) the Issuer Free Writing Prospectuses, if any, identified in Schedule III hereto, (iv) any other Free Writing Prospectus that the parties hereto shall hereafter expressly agree in writing to treat as part of the Disclosure Package, and (v) any other information identified in Schedule III.</w:t>
      </w:r>
    </w:p>
    <w:p>
      <w:pPr>
        <w:spacing w:after="0" w:line="188"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21"/>
          <w:szCs w:val="21"/>
          <w:color w:val="auto"/>
        </w:rPr>
        <w:t>“Effective Date” shall mean each date and time that the Registration Statement, and any post-effective amendment or amendments thereto and any Rule 462(b) Registration Statement became or becomes effective.</w:t>
      </w:r>
    </w:p>
    <w:p>
      <w:pPr>
        <w:spacing w:after="0" w:line="152"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“Exchange Act” shall mean the Securities Exchange Act of 1934, as amended, and the rules and regulations of the Commission promulgated thereunder.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“Execution Time” shall mean 5:20 p.m. on April 5, 2017.</w:t>
      </w:r>
    </w:p>
    <w:p>
      <w:pPr>
        <w:spacing w:after="0" w:line="22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“Final Prospectus” shall mean the prospectus supplement relating to the Securities that was first filed pursuant to Rule 424(b) after the Execution Time, together with the Base Prospectus.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375" w:right="239" w:bottom="1440" w:gutter="0" w:footer="0" w:header="0"/>
        </w:sectPr>
      </w:pPr>
    </w:p>
    <w:bookmarkStart w:id="25" w:name="page26"/>
    <w:bookmarkEnd w:id="25"/>
    <w:p>
      <w:pPr>
        <w:ind w:left="640"/>
        <w:spacing w:after="0"/>
        <w:rPr>
          <w:sz w:val="20"/>
          <w:szCs w:val="20"/>
          <w:color w:val="auto"/>
        </w:rPr>
      </w:pPr>
      <w:r>
        <w:rPr>
          <w:rFonts w:ascii="Arial" w:cs="Arial" w:eastAsia="Arial" w:hAnsi="Arial"/>
          <w:sz w:val="22"/>
          <w:szCs w:val="22"/>
          <w:color w:val="auto"/>
        </w:rPr>
        <w:t>“Free Writing Prospectus” shall mean a free writing prospectus, as defined in Rule 405.</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“Issuer Free Writing Prospectus” shall mean an issuer free writing prospectus, as defined in Rule 433.</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“Preliminary Prospectus” shall mean any preliminary prospectus supplement to the Base Prospectus referred to in paragraph 1(a) above which is used prior to the filing of the Final Prospectus, together with the Base Prospectus.</w:t>
      </w:r>
    </w:p>
    <w:p>
      <w:pPr>
        <w:spacing w:after="0" w:line="10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“Registration Statement” shall mean the registration statement referred to in paragraph 1(i)(a) above, including exhibits and financial statements and any prospectus supplement relating to the Securities that is filed with the Commission pursuant to Rule 424(b) and deemed part of such registration statement pursuant to Rule 430B, as amended on each Effective Date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“Rule 158”, “Rule 163”, “Rule 164”, “Rule 172”, “Rule 405”, “Rule 415”, “Rule 424”, “Rule 430B”,“Rule 433” and “Rule 462” refer to such rules under the Act.</w:t>
      </w:r>
    </w:p>
    <w:p>
      <w:pPr>
        <w:spacing w:after="0" w:line="175"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760"/>
          </w:cols>
          <w:pgMar w:left="900" w:top="375" w:right="239" w:bottom="1440" w:gutter="0" w:footer="0" w:header="0"/>
        </w:sectPr>
      </w:pPr>
    </w:p>
    <w:bookmarkStart w:id="26" w:name="page27"/>
    <w:bookmarkEnd w:id="26"/>
    <w:p>
      <w:pPr>
        <w:jc w:val="both"/>
        <w:ind w:firstLine="1297"/>
        <w:spacing w:after="0" w:line="253" w:lineRule="auto"/>
        <w:rPr>
          <w:sz w:val="20"/>
          <w:szCs w:val="20"/>
          <w:color w:val="auto"/>
        </w:rPr>
      </w:pPr>
      <w:r>
        <w:rPr>
          <w:rFonts w:ascii="Arial" w:cs="Arial" w:eastAsia="Arial" w:hAnsi="Arial"/>
          <w:sz w:val="22"/>
          <w:szCs w:val="22"/>
          <w:color w:val="auto"/>
        </w:rPr>
        <w:t>If the foregoing is in accordance with your understanding of our agreement, please sign and return to us the enclosed duplicate hereof, whereupon this letter and your acceptance shall represent a binding agreement among the Company, the Selling Stockholders and the Underwriter.</w:t>
      </w:r>
    </w:p>
    <w:p>
      <w:pPr>
        <w:spacing w:after="0" w:line="33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Winnebago Industries,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24765</wp:posOffset>
            </wp:positionV>
            <wp:extent cx="33274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8"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SUMMIT PARTNERS GROWTH</w:t>
      </w:r>
    </w:p>
    <w:p>
      <w:pPr>
        <w:spacing w:after="0" w:line="44"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EQUITY FUND VIII-A, L.P.</w:t>
      </w:r>
    </w:p>
    <w:p>
      <w:pPr>
        <w:spacing w:after="0" w:line="368"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22"/>
          <w:szCs w:val="22"/>
          <w:color w:val="auto"/>
        </w:rPr>
        <w:t>By:</w:t>
        <w:tab/>
        <w:t>Summit Partners GE VIII, L.P.</w:t>
      </w:r>
    </w:p>
    <w:p>
      <w:pPr>
        <w:spacing w:after="0" w:line="4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22"/>
          <w:szCs w:val="22"/>
          <w:color w:val="auto"/>
        </w:rPr>
        <w:t>By:</w:t>
        <w:tab/>
        <w:t>Summit Partners GE VIII, LLC</w:t>
      </w:r>
    </w:p>
    <w:p>
      <w:pPr>
        <w:spacing w:after="0" w:line="4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24765</wp:posOffset>
            </wp:positionV>
            <wp:extent cx="29673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8"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SUMMIT PARTNERS GROWTH</w:t>
      </w:r>
    </w:p>
    <w:p>
      <w:pPr>
        <w:spacing w:after="0" w:line="44"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EQUITY FUND VIII-B, L.P.</w:t>
      </w:r>
    </w:p>
    <w:p>
      <w:pPr>
        <w:spacing w:after="0" w:line="368"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22"/>
          <w:szCs w:val="22"/>
          <w:color w:val="auto"/>
        </w:rPr>
        <w:t>By:</w:t>
        <w:tab/>
        <w:t>Summit Partners GE VIII, L.P.</w:t>
      </w:r>
    </w:p>
    <w:p>
      <w:pPr>
        <w:spacing w:after="0" w:line="4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22"/>
          <w:szCs w:val="22"/>
          <w:color w:val="auto"/>
        </w:rPr>
        <w:t>By:</w:t>
        <w:tab/>
        <w:t>Summit Partners GE VIII, LLC</w:t>
      </w:r>
    </w:p>
    <w:p>
      <w:pPr>
        <w:spacing w:after="0" w:line="4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24765</wp:posOffset>
            </wp:positionV>
            <wp:extent cx="2967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8"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Title: Member</w:t>
      </w:r>
    </w:p>
    <w:p>
      <w:pPr>
        <w:sectPr>
          <w:pgSz w:w="11900" w:h="16838" w:orient="portrait"/>
          <w:cols w:equalWidth="0" w:num="1">
            <w:col w:w="11420"/>
          </w:cols>
          <w:pgMar w:left="240" w:top="37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420"/>
          </w:cols>
          <w:pgMar w:left="240" w:top="375" w:right="239" w:bottom="1440" w:gutter="0" w:footer="0" w:header="0"/>
          <w:type w:val="continuous"/>
        </w:sectPr>
      </w:pPr>
    </w:p>
    <w:bookmarkStart w:id="27" w:name="page28"/>
    <w:bookmarkEnd w:id="27"/>
    <w:p>
      <w:pPr>
        <w:ind w:left="5000"/>
        <w:spacing w:after="0"/>
        <w:rPr>
          <w:sz w:val="20"/>
          <w:szCs w:val="20"/>
          <w:color w:val="auto"/>
        </w:rPr>
      </w:pPr>
      <w:r>
        <w:rPr>
          <w:rFonts w:ascii="Arial" w:cs="Arial" w:eastAsia="Arial" w:hAnsi="Arial"/>
          <w:sz w:val="22"/>
          <w:szCs w:val="22"/>
          <w:color w:val="auto"/>
        </w:rPr>
        <w:t>SP GE VIII-B GD RV HOLDINGS</w:t>
      </w:r>
    </w:p>
    <w:p>
      <w:pPr>
        <w:spacing w:after="0" w:line="44"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L.P.</w:t>
      </w:r>
    </w:p>
    <w:p>
      <w:pPr>
        <w:spacing w:after="0" w:line="341"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By:</w:t>
        <w:tab/>
        <w:t>Summit Partners GE VIII, L.P.</w:t>
      </w:r>
    </w:p>
    <w:p>
      <w:pPr>
        <w:spacing w:after="0" w:line="44"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Its:</w:t>
        <w:tab/>
        <w:t>General Partner</w:t>
      </w:r>
    </w:p>
    <w:p>
      <w:pPr>
        <w:spacing w:after="0" w:line="341"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By:</w:t>
        <w:tab/>
        <w:t>Summit Partners GE VIII, LLC</w:t>
      </w:r>
    </w:p>
    <w:p>
      <w:pPr>
        <w:spacing w:after="0" w:line="44"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Its:</w:t>
        <w:tab/>
        <w:t>General Partner</w:t>
      </w:r>
    </w:p>
    <w:p>
      <w:pPr>
        <w:spacing w:after="0" w:line="34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24765</wp:posOffset>
            </wp:positionV>
            <wp:extent cx="2967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8"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SUMMIT PARTNERS</w:t>
      </w:r>
    </w:p>
    <w:p>
      <w:pPr>
        <w:spacing w:after="0" w:line="44"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ENTREPRENEUR ADVISORS</w:t>
      </w:r>
    </w:p>
    <w:p>
      <w:pPr>
        <w:spacing w:after="0" w:line="44"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FUND I, L.P.</w:t>
      </w:r>
    </w:p>
    <w:p>
      <w:pPr>
        <w:spacing w:after="0" w:line="341"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By:</w:t>
        <w:tab/>
        <w:t>Summit Partners Entrepreneur</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Advisors GP, LLC</w:t>
      </w:r>
    </w:p>
    <w:p>
      <w:pPr>
        <w:spacing w:after="0" w:line="44"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Its:</w:t>
        <w:tab/>
        <w:t>General Partner</w:t>
      </w:r>
    </w:p>
    <w:p>
      <w:pPr>
        <w:spacing w:after="0" w:line="341"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By:</w:t>
        <w:tab/>
        <w:t>Summit Master Company, LLC</w:t>
      </w:r>
    </w:p>
    <w:p>
      <w:pPr>
        <w:spacing w:after="0" w:line="44"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Its:</w:t>
        <w:tab/>
        <w:t>Sole Member</w:t>
      </w:r>
    </w:p>
    <w:p>
      <w:pPr>
        <w:spacing w:after="0" w:line="34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24765</wp:posOffset>
            </wp:positionV>
            <wp:extent cx="29673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8"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SUMMIT INVESTORS I, LLC</w:t>
      </w:r>
    </w:p>
    <w:p>
      <w:pPr>
        <w:spacing w:after="0" w:line="341"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19"/>
          <w:szCs w:val="19"/>
          <w:color w:val="auto"/>
        </w:rPr>
        <w:t>By:</w:t>
        <w:tab/>
        <w:t>Summit Investors Management, LLC</w:t>
      </w:r>
    </w:p>
    <w:p>
      <w:pPr>
        <w:spacing w:after="0" w:line="79"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Its:</w:t>
        <w:tab/>
        <w:t>Managing Member</w:t>
      </w:r>
    </w:p>
    <w:p>
      <w:pPr>
        <w:spacing w:after="0" w:line="341"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By:</w:t>
        <w:tab/>
        <w:t>Summit Master Company, LLC</w:t>
      </w:r>
    </w:p>
    <w:p>
      <w:pPr>
        <w:spacing w:after="0" w:line="44"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Its:</w:t>
        <w:tab/>
        <w:t>Managing Member</w:t>
      </w:r>
    </w:p>
    <w:p>
      <w:pPr>
        <w:spacing w:after="0" w:line="34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24765</wp:posOffset>
            </wp:positionV>
            <wp:extent cx="2967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8"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9019"/>
          </w:cols>
          <w:pgMar w:left="1440" w:top="523" w:right="1440" w:bottom="1440" w:gutter="0" w:footer="0" w:header="0"/>
        </w:sectPr>
      </w:pPr>
    </w:p>
    <w:bookmarkStart w:id="28" w:name="page29"/>
    <w:bookmarkEnd w:id="28"/>
    <w:p>
      <w:pPr>
        <w:ind w:left="6160"/>
        <w:spacing w:after="0"/>
        <w:rPr>
          <w:sz w:val="20"/>
          <w:szCs w:val="20"/>
          <w:color w:val="auto"/>
        </w:rPr>
      </w:pPr>
      <w:r>
        <w:rPr>
          <w:rFonts w:ascii="Arial" w:cs="Arial" w:eastAsia="Arial" w:hAnsi="Arial"/>
          <w:sz w:val="22"/>
          <w:szCs w:val="22"/>
          <w:color w:val="auto"/>
        </w:rPr>
        <w:t>SUMMIT INVESTORS I (UK), L.P.</w:t>
      </w:r>
    </w:p>
    <w:p>
      <w:pPr>
        <w:spacing w:after="0" w:line="341" w:lineRule="exact"/>
        <w:rPr>
          <w:sz w:val="20"/>
          <w:szCs w:val="20"/>
          <w:color w:val="auto"/>
        </w:rPr>
      </w:pPr>
    </w:p>
    <w:p>
      <w:pPr>
        <w:ind w:left="6160"/>
        <w:spacing w:after="0"/>
        <w:tabs>
          <w:tab w:leader="none" w:pos="6720" w:val="left"/>
        </w:tabs>
        <w:rPr>
          <w:sz w:val="20"/>
          <w:szCs w:val="20"/>
          <w:color w:val="auto"/>
        </w:rPr>
      </w:pPr>
      <w:r>
        <w:rPr>
          <w:rFonts w:ascii="Arial" w:cs="Arial" w:eastAsia="Arial" w:hAnsi="Arial"/>
          <w:sz w:val="19"/>
          <w:szCs w:val="19"/>
          <w:color w:val="auto"/>
        </w:rPr>
        <w:t>By:</w:t>
        <w:tab/>
        <w:t>Summit Investors Management, LLC</w:t>
      </w:r>
    </w:p>
    <w:p>
      <w:pPr>
        <w:spacing w:after="0" w:line="79" w:lineRule="exact"/>
        <w:rPr>
          <w:sz w:val="20"/>
          <w:szCs w:val="20"/>
          <w:color w:val="auto"/>
        </w:rPr>
      </w:pPr>
    </w:p>
    <w:p>
      <w:pPr>
        <w:ind w:left="6160"/>
        <w:spacing w:after="0"/>
        <w:tabs>
          <w:tab w:leader="none" w:pos="6720" w:val="left"/>
        </w:tabs>
        <w:rPr>
          <w:sz w:val="20"/>
          <w:szCs w:val="20"/>
          <w:color w:val="auto"/>
        </w:rPr>
      </w:pPr>
      <w:r>
        <w:rPr>
          <w:rFonts w:ascii="Arial" w:cs="Arial" w:eastAsia="Arial" w:hAnsi="Arial"/>
          <w:sz w:val="22"/>
          <w:szCs w:val="22"/>
          <w:color w:val="auto"/>
        </w:rPr>
        <w:t>Its:</w:t>
        <w:tab/>
        <w:t>General Partner</w:t>
      </w:r>
    </w:p>
    <w:p>
      <w:pPr>
        <w:spacing w:after="0" w:line="341" w:lineRule="exact"/>
        <w:rPr>
          <w:sz w:val="20"/>
          <w:szCs w:val="20"/>
          <w:color w:val="auto"/>
        </w:rPr>
      </w:pPr>
    </w:p>
    <w:p>
      <w:pPr>
        <w:ind w:left="6160"/>
        <w:spacing w:after="0"/>
        <w:tabs>
          <w:tab w:leader="none" w:pos="6720" w:val="left"/>
        </w:tabs>
        <w:rPr>
          <w:sz w:val="20"/>
          <w:szCs w:val="20"/>
          <w:color w:val="auto"/>
        </w:rPr>
      </w:pPr>
      <w:r>
        <w:rPr>
          <w:rFonts w:ascii="Arial" w:cs="Arial" w:eastAsia="Arial" w:hAnsi="Arial"/>
          <w:sz w:val="22"/>
          <w:szCs w:val="22"/>
          <w:color w:val="auto"/>
        </w:rPr>
        <w:t>By:</w:t>
        <w:tab/>
        <w:t>Summit Master Company, LLC</w:t>
      </w:r>
    </w:p>
    <w:p>
      <w:pPr>
        <w:spacing w:after="0" w:line="44" w:lineRule="exact"/>
        <w:rPr>
          <w:sz w:val="20"/>
          <w:szCs w:val="20"/>
          <w:color w:val="auto"/>
        </w:rPr>
      </w:pPr>
    </w:p>
    <w:p>
      <w:pPr>
        <w:ind w:left="6160"/>
        <w:spacing w:after="0"/>
        <w:tabs>
          <w:tab w:leader="none" w:pos="6720" w:val="left"/>
        </w:tabs>
        <w:rPr>
          <w:sz w:val="20"/>
          <w:szCs w:val="20"/>
          <w:color w:val="auto"/>
        </w:rPr>
      </w:pPr>
      <w:r>
        <w:rPr>
          <w:rFonts w:ascii="Arial" w:cs="Arial" w:eastAsia="Arial" w:hAnsi="Arial"/>
          <w:sz w:val="22"/>
          <w:szCs w:val="22"/>
          <w:color w:val="auto"/>
        </w:rPr>
        <w:t>Its:</w:t>
        <w:tab/>
        <w:t>Managing Member</w:t>
      </w:r>
    </w:p>
    <w:p>
      <w:pPr>
        <w:spacing w:after="0" w:line="341"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24765</wp:posOffset>
            </wp:positionV>
            <wp:extent cx="29673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8"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The foregoing Agreement is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hereby confirmed and accepted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as of the date of the Agreement.</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By: Morgan Stanley &amp; Co. LLC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24765</wp:posOffset>
            </wp:positionV>
            <wp:extent cx="31216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8" w:lineRule="exact"/>
        <w:rPr>
          <w:sz w:val="20"/>
          <w:szCs w:val="20"/>
          <w:color w:val="auto"/>
        </w:rPr>
      </w:pPr>
    </w:p>
    <w:p>
      <w:pPr>
        <w:ind w:left="68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179"/>
          </w:cols>
          <w:pgMar w:left="280" w:top="523"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53"/>
        </w:trPr>
        <w:tc>
          <w:tcPr>
            <w:tcW w:w="4620" w:type="dxa"/>
            <w:vAlign w:val="bottom"/>
          </w:tcPr>
          <w:p>
            <w:pPr>
              <w:spacing w:after="0"/>
              <w:rPr>
                <w:sz w:val="21"/>
                <w:szCs w:val="21"/>
                <w:color w:val="auto"/>
              </w:rPr>
            </w:pPr>
          </w:p>
        </w:tc>
        <w:tc>
          <w:tcPr>
            <w:tcW w:w="6800" w:type="dxa"/>
            <w:vAlign w:val="bottom"/>
            <w:gridSpan w:val="5"/>
          </w:tcPr>
          <w:p>
            <w:pPr>
              <w:ind w:left="460"/>
              <w:spacing w:after="0"/>
              <w:rPr>
                <w:sz w:val="20"/>
                <w:szCs w:val="20"/>
                <w:color w:val="auto"/>
              </w:rPr>
            </w:pPr>
            <w:r>
              <w:rPr>
                <w:rFonts w:ascii="Arial" w:cs="Arial" w:eastAsia="Arial" w:hAnsi="Arial"/>
                <w:sz w:val="22"/>
                <w:szCs w:val="22"/>
                <w:color w:val="auto"/>
              </w:rPr>
              <w:t>SCHEDULE I</w:t>
            </w:r>
          </w:p>
        </w:tc>
      </w:tr>
      <w:tr>
        <w:trPr>
          <w:trHeight w:val="620"/>
        </w:trPr>
        <w:tc>
          <w:tcPr>
            <w:tcW w:w="4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22"/>
                <w:szCs w:val="22"/>
                <w:color w:val="auto"/>
                <w:w w:val="91"/>
              </w:rPr>
              <w:t>Total Number of</w:t>
            </w:r>
          </w:p>
        </w:tc>
      </w:tr>
      <w:tr>
        <w:trPr>
          <w:trHeight w:val="243"/>
        </w:trPr>
        <w:tc>
          <w:tcPr>
            <w:tcW w:w="4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980" w:type="dxa"/>
            <w:vAlign w:val="bottom"/>
          </w:tcPr>
          <w:p>
            <w:pPr>
              <w:jc w:val="center"/>
              <w:spacing w:after="0" w:line="243" w:lineRule="exact"/>
              <w:rPr>
                <w:sz w:val="20"/>
                <w:szCs w:val="20"/>
                <w:color w:val="auto"/>
              </w:rPr>
            </w:pPr>
            <w:r>
              <w:rPr>
                <w:rFonts w:ascii="Arial" w:cs="Arial" w:eastAsia="Arial" w:hAnsi="Arial"/>
                <w:sz w:val="22"/>
                <w:szCs w:val="22"/>
                <w:color w:val="auto"/>
                <w:w w:val="83"/>
              </w:rPr>
              <w:t>Shares</w:t>
            </w:r>
          </w:p>
        </w:tc>
      </w:tr>
      <w:tr>
        <w:trPr>
          <w:trHeight w:val="285"/>
        </w:trPr>
        <w:tc>
          <w:tcPr>
            <w:tcW w:w="4620" w:type="dxa"/>
            <w:vAlign w:val="bottom"/>
            <w:tcBorders>
              <w:bottom w:val="single" w:sz="8" w:color="auto"/>
            </w:tcBorders>
          </w:tcPr>
          <w:p>
            <w:pPr>
              <w:ind w:left="3080"/>
              <w:spacing w:after="0"/>
              <w:rPr>
                <w:sz w:val="20"/>
                <w:szCs w:val="20"/>
                <w:color w:val="auto"/>
              </w:rPr>
            </w:pPr>
            <w:r>
              <w:rPr>
                <w:rFonts w:ascii="Arial" w:cs="Arial" w:eastAsia="Arial" w:hAnsi="Arial"/>
                <w:sz w:val="22"/>
                <w:szCs w:val="22"/>
                <w:color w:val="auto"/>
              </w:rPr>
              <w:t>Underwriter</w:t>
            </w:r>
          </w:p>
        </w:tc>
        <w:tc>
          <w:tcPr>
            <w:tcW w:w="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6"/>
              </w:rPr>
              <w:t>to be Purchased</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5680" w:type="dxa"/>
            <w:vAlign w:val="bottom"/>
          </w:tcPr>
          <w:p>
            <w:pPr>
              <w:spacing w:after="0"/>
              <w:rPr>
                <w:sz w:val="20"/>
                <w:szCs w:val="20"/>
                <w:color w:val="auto"/>
              </w:rPr>
            </w:pPr>
            <w:r>
              <w:rPr>
                <w:rFonts w:ascii="Arial" w:cs="Arial" w:eastAsia="Arial" w:hAnsi="Arial"/>
                <w:sz w:val="22"/>
                <w:szCs w:val="22"/>
                <w:color w:val="auto"/>
              </w:rPr>
              <w:t>Morgan Stanley &amp; Co. LLC</w:t>
            </w:r>
          </w:p>
        </w:tc>
        <w:tc>
          <w:tcPr>
            <w:tcW w:w="4140" w:type="dxa"/>
            <w:vAlign w:val="bottom"/>
          </w:tcPr>
          <w:p>
            <w:pPr>
              <w:jc w:val="right"/>
              <w:spacing w:after="0"/>
              <w:rPr>
                <w:sz w:val="20"/>
                <w:szCs w:val="20"/>
                <w:color w:val="auto"/>
              </w:rPr>
            </w:pPr>
            <w:r>
              <w:rPr>
                <w:rFonts w:ascii="Arial" w:cs="Arial" w:eastAsia="Arial" w:hAnsi="Arial"/>
                <w:sz w:val="22"/>
                <w:szCs w:val="22"/>
                <w:color w:val="auto"/>
              </w:rPr>
              <w:t>2,293,277</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4700" w:type="dxa"/>
            <w:vAlign w:val="bottom"/>
          </w:tcPr>
          <w:p>
            <w:pPr>
              <w:spacing w:after="0"/>
              <w:rPr>
                <w:sz w:val="20"/>
                <w:szCs w:val="20"/>
                <w:color w:val="auto"/>
              </w:rPr>
            </w:pPr>
            <w:r>
              <w:rPr>
                <w:rFonts w:ascii="Arial" w:cs="Arial" w:eastAsia="Arial" w:hAnsi="Arial"/>
                <w:sz w:val="22"/>
                <w:szCs w:val="22"/>
                <w:color w:val="auto"/>
              </w:rPr>
              <w:t>Total</w:t>
            </w:r>
          </w:p>
        </w:tc>
        <w:tc>
          <w:tcPr>
            <w:tcW w:w="5120" w:type="dxa"/>
            <w:vAlign w:val="bottom"/>
          </w:tcPr>
          <w:p>
            <w:pPr>
              <w:jc w:val="right"/>
              <w:spacing w:after="0"/>
              <w:rPr>
                <w:sz w:val="20"/>
                <w:szCs w:val="20"/>
                <w:color w:val="auto"/>
              </w:rPr>
            </w:pPr>
            <w:r>
              <w:rPr>
                <w:rFonts w:ascii="Arial" w:cs="Arial" w:eastAsia="Arial" w:hAnsi="Arial"/>
                <w:sz w:val="22"/>
                <w:szCs w:val="22"/>
                <w:color w:val="auto"/>
              </w:rPr>
              <w:t>2,293,277</w:t>
            </w:r>
          </w:p>
        </w:tc>
      </w:tr>
    </w:tbl>
    <w:p>
      <w:pPr>
        <w:sectPr>
          <w:pgSz w:w="11900" w:h="16838" w:orient="portrait"/>
          <w:cols w:equalWidth="0" w:num="1">
            <w:col w:w="11420"/>
          </w:cols>
          <w:pgMar w:left="240" w:top="859" w:right="239" w:bottom="1440" w:gutter="0" w:footer="0" w:header="0"/>
        </w:sectPr>
      </w:pPr>
    </w:p>
    <w:bookmarkStart w:id="30" w:name="page31"/>
    <w:bookmarkEnd w:id="30"/>
    <w:p>
      <w:pPr>
        <w:jc w:val="center"/>
        <w:ind w:right="40"/>
        <w:spacing w:after="0"/>
        <w:rPr>
          <w:sz w:val="20"/>
          <w:szCs w:val="20"/>
          <w:color w:val="auto"/>
        </w:rPr>
      </w:pPr>
      <w:r>
        <w:rPr>
          <w:rFonts w:ascii="Arial" w:cs="Arial" w:eastAsia="Arial" w:hAnsi="Arial"/>
          <w:sz w:val="22"/>
          <w:szCs w:val="22"/>
          <w:u w:val="single" w:color="auto"/>
          <w:color w:val="auto"/>
        </w:rPr>
        <w:t>SCHEDULE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880" w:type="dxa"/>
            <w:vAlign w:val="bottom"/>
          </w:tcPr>
          <w:p>
            <w:pPr>
              <w:spacing w:after="0"/>
              <w:rPr>
                <w:sz w:val="20"/>
                <w:szCs w:val="20"/>
                <w:color w:val="auto"/>
              </w:rPr>
            </w:pPr>
            <w:r>
              <w:rPr>
                <w:rFonts w:ascii="Arial" w:cs="Arial" w:eastAsia="Arial" w:hAnsi="Arial"/>
                <w:sz w:val="22"/>
                <w:szCs w:val="22"/>
                <w:color w:val="auto"/>
              </w:rPr>
              <w:t>The Selling Stockholders:</w:t>
            </w:r>
          </w:p>
        </w:tc>
        <w:tc>
          <w:tcPr>
            <w:tcW w:w="2500" w:type="dxa"/>
            <w:vAlign w:val="bottom"/>
          </w:tcPr>
          <w:p>
            <w:pPr>
              <w:spacing w:after="0"/>
              <w:rPr>
                <w:sz w:val="23"/>
                <w:szCs w:val="23"/>
                <w:color w:val="auto"/>
              </w:rPr>
            </w:pPr>
          </w:p>
        </w:tc>
      </w:tr>
      <w:tr>
        <w:trPr>
          <w:trHeight w:val="297"/>
        </w:trPr>
        <w:tc>
          <w:tcPr>
            <w:tcW w:w="8880" w:type="dxa"/>
            <w:vAlign w:val="bottom"/>
          </w:tcPr>
          <w:p>
            <w:pPr>
              <w:ind w:left="340"/>
              <w:spacing w:after="0"/>
              <w:rPr>
                <w:sz w:val="20"/>
                <w:szCs w:val="20"/>
                <w:color w:val="auto"/>
              </w:rPr>
            </w:pPr>
            <w:r>
              <w:rPr>
                <w:rFonts w:ascii="Arial" w:cs="Arial" w:eastAsia="Arial" w:hAnsi="Arial"/>
                <w:sz w:val="22"/>
                <w:szCs w:val="22"/>
                <w:color w:val="auto"/>
              </w:rPr>
              <w:t>Summit Partners Growth Equity Fund VIII-A, L.P.</w:t>
            </w:r>
          </w:p>
        </w:tc>
        <w:tc>
          <w:tcPr>
            <w:tcW w:w="2500" w:type="dxa"/>
            <w:vAlign w:val="bottom"/>
          </w:tcPr>
          <w:p>
            <w:pPr>
              <w:jc w:val="right"/>
              <w:ind w:right="272"/>
              <w:spacing w:after="0"/>
              <w:rPr>
                <w:sz w:val="20"/>
                <w:szCs w:val="20"/>
                <w:color w:val="auto"/>
              </w:rPr>
            </w:pPr>
            <w:r>
              <w:rPr>
                <w:rFonts w:ascii="Arial" w:cs="Arial" w:eastAsia="Arial" w:hAnsi="Arial"/>
                <w:sz w:val="22"/>
                <w:szCs w:val="22"/>
                <w:color w:val="auto"/>
              </w:rPr>
              <w:t>1,674,135</w:t>
            </w:r>
          </w:p>
        </w:tc>
      </w:tr>
      <w:tr>
        <w:trPr>
          <w:trHeight w:val="297"/>
        </w:trPr>
        <w:tc>
          <w:tcPr>
            <w:tcW w:w="8880" w:type="dxa"/>
            <w:vAlign w:val="bottom"/>
          </w:tcPr>
          <w:p>
            <w:pPr>
              <w:ind w:left="340"/>
              <w:spacing w:after="0"/>
              <w:rPr>
                <w:sz w:val="20"/>
                <w:szCs w:val="20"/>
                <w:color w:val="auto"/>
              </w:rPr>
            </w:pPr>
            <w:r>
              <w:rPr>
                <w:rFonts w:ascii="Arial" w:cs="Arial" w:eastAsia="Arial" w:hAnsi="Arial"/>
                <w:sz w:val="22"/>
                <w:szCs w:val="22"/>
                <w:color w:val="auto"/>
              </w:rPr>
              <w:t>Summit Partners Growth Equity Fund VIII-B, L.P.</w:t>
            </w:r>
          </w:p>
        </w:tc>
        <w:tc>
          <w:tcPr>
            <w:tcW w:w="2500" w:type="dxa"/>
            <w:vAlign w:val="bottom"/>
          </w:tcPr>
          <w:p>
            <w:pPr>
              <w:jc w:val="right"/>
              <w:ind w:right="272"/>
              <w:spacing w:after="0"/>
              <w:rPr>
                <w:sz w:val="20"/>
                <w:szCs w:val="20"/>
                <w:color w:val="auto"/>
              </w:rPr>
            </w:pPr>
            <w:r>
              <w:rPr>
                <w:rFonts w:ascii="Arial" w:cs="Arial" w:eastAsia="Arial" w:hAnsi="Arial"/>
                <w:sz w:val="22"/>
                <w:szCs w:val="22"/>
                <w:color w:val="auto"/>
              </w:rPr>
              <w:t>484,386</w:t>
            </w:r>
          </w:p>
        </w:tc>
      </w:tr>
      <w:tr>
        <w:trPr>
          <w:trHeight w:val="297"/>
        </w:trPr>
        <w:tc>
          <w:tcPr>
            <w:tcW w:w="8880" w:type="dxa"/>
            <w:vAlign w:val="bottom"/>
          </w:tcPr>
          <w:p>
            <w:pPr>
              <w:ind w:left="340"/>
              <w:spacing w:after="0"/>
              <w:rPr>
                <w:sz w:val="20"/>
                <w:szCs w:val="20"/>
                <w:color w:val="auto"/>
              </w:rPr>
            </w:pPr>
            <w:r>
              <w:rPr>
                <w:rFonts w:ascii="Arial" w:cs="Arial" w:eastAsia="Arial" w:hAnsi="Arial"/>
                <w:sz w:val="22"/>
                <w:szCs w:val="22"/>
                <w:color w:val="auto"/>
              </w:rPr>
              <w:t>SP GE VIII-B GD RV Holdings, L.P.</w:t>
            </w:r>
          </w:p>
        </w:tc>
        <w:tc>
          <w:tcPr>
            <w:tcW w:w="2500" w:type="dxa"/>
            <w:vAlign w:val="bottom"/>
          </w:tcPr>
          <w:p>
            <w:pPr>
              <w:jc w:val="right"/>
              <w:ind w:right="272"/>
              <w:spacing w:after="0"/>
              <w:rPr>
                <w:sz w:val="20"/>
                <w:szCs w:val="20"/>
                <w:color w:val="auto"/>
              </w:rPr>
            </w:pPr>
            <w:r>
              <w:rPr>
                <w:rFonts w:ascii="Arial" w:cs="Arial" w:eastAsia="Arial" w:hAnsi="Arial"/>
                <w:sz w:val="22"/>
                <w:szCs w:val="22"/>
                <w:color w:val="auto"/>
              </w:rPr>
              <w:t>127,212</w:t>
            </w:r>
          </w:p>
        </w:tc>
      </w:tr>
      <w:tr>
        <w:trPr>
          <w:trHeight w:val="297"/>
        </w:trPr>
        <w:tc>
          <w:tcPr>
            <w:tcW w:w="8880" w:type="dxa"/>
            <w:vAlign w:val="bottom"/>
          </w:tcPr>
          <w:p>
            <w:pPr>
              <w:ind w:left="340"/>
              <w:spacing w:after="0"/>
              <w:rPr>
                <w:sz w:val="20"/>
                <w:szCs w:val="20"/>
                <w:color w:val="auto"/>
              </w:rPr>
            </w:pPr>
            <w:r>
              <w:rPr>
                <w:rFonts w:ascii="Arial" w:cs="Arial" w:eastAsia="Arial" w:hAnsi="Arial"/>
                <w:sz w:val="22"/>
                <w:szCs w:val="22"/>
                <w:color w:val="auto"/>
              </w:rPr>
              <w:t>Summit Partners Entrepreneur Advisors Fund I, L.P.</w:t>
            </w:r>
          </w:p>
        </w:tc>
        <w:tc>
          <w:tcPr>
            <w:tcW w:w="2500" w:type="dxa"/>
            <w:vAlign w:val="bottom"/>
          </w:tcPr>
          <w:p>
            <w:pPr>
              <w:jc w:val="right"/>
              <w:ind w:right="272"/>
              <w:spacing w:after="0"/>
              <w:rPr>
                <w:sz w:val="20"/>
                <w:szCs w:val="20"/>
                <w:color w:val="auto"/>
              </w:rPr>
            </w:pPr>
            <w:r>
              <w:rPr>
                <w:rFonts w:ascii="Arial" w:cs="Arial" w:eastAsia="Arial" w:hAnsi="Arial"/>
                <w:sz w:val="22"/>
                <w:szCs w:val="22"/>
                <w:color w:val="auto"/>
              </w:rPr>
              <w:t>2,293</w:t>
            </w:r>
          </w:p>
        </w:tc>
      </w:tr>
      <w:tr>
        <w:trPr>
          <w:trHeight w:val="297"/>
        </w:trPr>
        <w:tc>
          <w:tcPr>
            <w:tcW w:w="8880" w:type="dxa"/>
            <w:vAlign w:val="bottom"/>
          </w:tcPr>
          <w:p>
            <w:pPr>
              <w:ind w:left="340"/>
              <w:spacing w:after="0"/>
              <w:rPr>
                <w:sz w:val="20"/>
                <w:szCs w:val="20"/>
                <w:color w:val="auto"/>
              </w:rPr>
            </w:pPr>
            <w:r>
              <w:rPr>
                <w:rFonts w:ascii="Arial" w:cs="Arial" w:eastAsia="Arial" w:hAnsi="Arial"/>
                <w:sz w:val="22"/>
                <w:szCs w:val="22"/>
                <w:color w:val="auto"/>
              </w:rPr>
              <w:t>Summit Investors I, LLC</w:t>
            </w:r>
          </w:p>
        </w:tc>
        <w:tc>
          <w:tcPr>
            <w:tcW w:w="2500" w:type="dxa"/>
            <w:vAlign w:val="bottom"/>
          </w:tcPr>
          <w:p>
            <w:pPr>
              <w:jc w:val="right"/>
              <w:ind w:right="272"/>
              <w:spacing w:after="0"/>
              <w:rPr>
                <w:sz w:val="20"/>
                <w:szCs w:val="20"/>
                <w:color w:val="auto"/>
              </w:rPr>
            </w:pPr>
            <w:r>
              <w:rPr>
                <w:rFonts w:ascii="Arial" w:cs="Arial" w:eastAsia="Arial" w:hAnsi="Arial"/>
                <w:sz w:val="22"/>
                <w:szCs w:val="22"/>
                <w:color w:val="auto"/>
              </w:rPr>
              <w:t>5,128</w:t>
            </w:r>
          </w:p>
        </w:tc>
      </w:tr>
      <w:tr>
        <w:trPr>
          <w:trHeight w:val="308"/>
        </w:trPr>
        <w:tc>
          <w:tcPr>
            <w:tcW w:w="8880" w:type="dxa"/>
            <w:vAlign w:val="bottom"/>
          </w:tcPr>
          <w:p>
            <w:pPr>
              <w:ind w:left="340"/>
              <w:spacing w:after="0"/>
              <w:rPr>
                <w:sz w:val="20"/>
                <w:szCs w:val="20"/>
                <w:color w:val="auto"/>
              </w:rPr>
            </w:pPr>
            <w:r>
              <w:rPr>
                <w:rFonts w:ascii="Arial" w:cs="Arial" w:eastAsia="Arial" w:hAnsi="Arial"/>
                <w:sz w:val="22"/>
                <w:szCs w:val="22"/>
                <w:color w:val="auto"/>
              </w:rPr>
              <w:t>Summit Investors I (UK), L.P.</w:t>
            </w:r>
          </w:p>
        </w:tc>
        <w:tc>
          <w:tcPr>
            <w:tcW w:w="250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rPr>
              <w:t>123</w:t>
            </w:r>
          </w:p>
        </w:tc>
      </w:tr>
      <w:tr>
        <w:trPr>
          <w:trHeight w:val="295"/>
        </w:trPr>
        <w:tc>
          <w:tcPr>
            <w:tcW w:w="8880" w:type="dxa"/>
            <w:vAlign w:val="bottom"/>
          </w:tcPr>
          <w:p>
            <w:pPr>
              <w:spacing w:after="0"/>
              <w:rPr>
                <w:sz w:val="20"/>
                <w:szCs w:val="20"/>
                <w:color w:val="auto"/>
              </w:rPr>
            </w:pPr>
            <w:r>
              <w:rPr>
                <w:rFonts w:ascii="Arial" w:cs="Arial" w:eastAsia="Arial" w:hAnsi="Arial"/>
                <w:sz w:val="22"/>
                <w:szCs w:val="22"/>
                <w:color w:val="auto"/>
              </w:rPr>
              <w:t>Total</w:t>
            </w:r>
          </w:p>
        </w:tc>
        <w:tc>
          <w:tcPr>
            <w:tcW w:w="250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rPr>
              <w:t>2,293,277</w:t>
            </w:r>
          </w:p>
        </w:tc>
      </w:tr>
      <w:tr>
        <w:trPr>
          <w:trHeight w:val="20"/>
        </w:trPr>
        <w:tc>
          <w:tcPr>
            <w:tcW w:w="888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80"/>
          </w:cols>
          <w:pgMar w:left="280" w:top="631" w:right="239" w:bottom="1440" w:gutter="0" w:footer="0" w:header="0"/>
        </w:sectPr>
      </w:pPr>
    </w:p>
    <w:bookmarkStart w:id="31" w:name="page32"/>
    <w:bookmarkEnd w:id="31"/>
    <w:p>
      <w:pPr>
        <w:ind w:left="5020"/>
        <w:spacing w:after="0"/>
        <w:rPr>
          <w:sz w:val="20"/>
          <w:szCs w:val="20"/>
          <w:color w:val="auto"/>
        </w:rPr>
      </w:pPr>
      <w:r>
        <w:rPr>
          <w:rFonts w:ascii="Arial" w:cs="Arial" w:eastAsia="Arial" w:hAnsi="Arial"/>
          <w:sz w:val="22"/>
          <w:szCs w:val="22"/>
          <w:u w:val="single" w:color="auto"/>
          <w:color w:val="auto"/>
        </w:rPr>
        <w:t>SCHEDULE III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Schedule of Free Writing Prospectuses included in the Disclosure Package: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Other information that comprises the Disclosure Package:</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color w:val="auto"/>
        </w:rPr>
        <w:t>The Selling Stockholders are selling, severally and not jointly, an aggregate of 2,293,277 Shares.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The public offering price per share for the Securities is $26.80.</w:t>
      </w:r>
    </w:p>
    <w:p>
      <w:pPr>
        <w:sectPr>
          <w:pgSz w:w="11900" w:h="16838" w:orient="portrait"/>
          <w:cols w:equalWidth="0" w:num="1">
            <w:col w:w="10219"/>
          </w:cols>
          <w:pgMar w:left="240" w:top="888" w:right="1440" w:bottom="1440" w:gutter="0" w:footer="0" w:header="0"/>
        </w:sectPr>
      </w:pPr>
    </w:p>
    <w:bookmarkStart w:id="32" w:name="page33"/>
    <w:bookmarkEnd w:id="32"/>
    <w:p>
      <w:pPr>
        <w:ind w:left="4100"/>
        <w:spacing w:after="0"/>
        <w:rPr>
          <w:sz w:val="20"/>
          <w:szCs w:val="20"/>
          <w:color w:val="auto"/>
        </w:rPr>
      </w:pPr>
      <w:r>
        <w:rPr>
          <w:rFonts w:ascii="Arial" w:cs="Arial" w:eastAsia="Arial" w:hAnsi="Arial"/>
          <w:sz w:val="58"/>
          <w:szCs w:val="5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-294640</wp:posOffset>
            </wp:positionV>
            <wp:extent cx="1724025"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24025" cy="24003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Contact: Ashis Bhattacharya - Investor Relations - 641-585-6414 - </w:t>
      </w:r>
      <w:r>
        <w:rPr>
          <w:rFonts w:ascii="Arial" w:cs="Arial" w:eastAsia="Arial" w:hAnsi="Arial"/>
          <w:sz w:val="16"/>
          <w:szCs w:val="16"/>
          <w:u w:val="single" w:color="auto"/>
          <w:color w:val="0563C1"/>
        </w:rPr>
        <w:t>abhattacharya@wgo.net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Contact: Sam Jefson - Public Relations Specialist 641-585-6803 - </w:t>
      </w:r>
      <w:r>
        <w:rPr>
          <w:rFonts w:ascii="Arial" w:cs="Arial" w:eastAsia="Arial" w:hAnsi="Arial"/>
          <w:sz w:val="16"/>
          <w:szCs w:val="16"/>
          <w:u w:val="single" w:color="auto"/>
          <w:color w:val="0563C1"/>
        </w:rPr>
        <w:t>sjefson@wgo.net</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ANNOUNCES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SECONDARY OFFERING OF COMMON STOCK</w:t>
      </w:r>
    </w:p>
    <w:p>
      <w:pPr>
        <w:spacing w:after="0" w:line="200" w:lineRule="exact"/>
        <w:rPr>
          <w:sz w:val="20"/>
          <w:szCs w:val="20"/>
          <w:color w:val="auto"/>
        </w:rPr>
      </w:pPr>
    </w:p>
    <w:p>
      <w:pPr>
        <w:spacing w:after="0" w:line="250" w:lineRule="exact"/>
        <w:rPr>
          <w:sz w:val="20"/>
          <w:szCs w:val="20"/>
          <w:color w:val="auto"/>
        </w:rPr>
      </w:pPr>
    </w:p>
    <w:p>
      <w:pPr>
        <w:ind w:right="440"/>
        <w:spacing w:after="0" w:line="365" w:lineRule="auto"/>
        <w:rPr>
          <w:sz w:val="20"/>
          <w:szCs w:val="20"/>
          <w:color w:val="auto"/>
        </w:rPr>
      </w:pPr>
      <w:r>
        <w:rPr>
          <w:rFonts w:ascii="Arial" w:cs="Arial" w:eastAsia="Arial" w:hAnsi="Arial"/>
          <w:sz w:val="18"/>
          <w:szCs w:val="18"/>
          <w:color w:val="auto"/>
        </w:rPr>
        <w:t>FOREST CITY, IOWA, April 5, 2017 - Winnebago Industries, Inc. (“Winnebago”) (NYSE: WGO), a leading United States recreation vehicle manufacturer, today announced the commencement of an underwritten public offering of an aggregate 2,293,277 shares of Winnebago common stock by funds affiliated with Summit Partners, L.P. Winnebago will not receive any proceeds from the offering.</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is acting as sole underwriter for the offering.</w:t>
      </w:r>
    </w:p>
    <w:p>
      <w:pPr>
        <w:spacing w:after="0" w:line="200" w:lineRule="exact"/>
        <w:rPr>
          <w:sz w:val="20"/>
          <w:szCs w:val="20"/>
          <w:color w:val="auto"/>
        </w:rPr>
      </w:pPr>
    </w:p>
    <w:p>
      <w:pPr>
        <w:spacing w:after="0" w:line="214" w:lineRule="exact"/>
        <w:rPr>
          <w:sz w:val="20"/>
          <w:szCs w:val="20"/>
          <w:color w:val="auto"/>
        </w:rPr>
      </w:pPr>
    </w:p>
    <w:p>
      <w:pPr>
        <w:ind w:right="60"/>
        <w:spacing w:after="0" w:line="386" w:lineRule="auto"/>
        <w:rPr>
          <w:sz w:val="20"/>
          <w:szCs w:val="20"/>
          <w:color w:val="auto"/>
        </w:rPr>
      </w:pPr>
      <w:r>
        <w:rPr>
          <w:rFonts w:ascii="Arial" w:cs="Arial" w:eastAsia="Arial" w:hAnsi="Arial"/>
          <w:sz w:val="17"/>
          <w:szCs w:val="17"/>
          <w:color w:val="auto"/>
        </w:rPr>
        <w:t>The offering is being made pursuant to an effective shelf registration statement and only by means of a prospectus and an accompanying prospectus supplement related to the offering filed by Winnebago with the Securities and Exchange Commission (“SEC”). Before you invest, you should read the prospectus and accompanying prospectus supplement in that registration statement and other documents Winnebago has filed with the SEC for more complete information about Winnebago and the offering. You may obtain these documents for free by visiting EDGAR on the SEC Web site at www.sec.gov. Alternatively, copies of the prospectus and accompanying prospectus supplement, when available, may be obtained from: Morgan Stanley &amp; Co. LLC, 180 Varick Street, 2nd Floor, New York, NY 10014, Attn: Prospectus Department.</w:t>
      </w:r>
    </w:p>
    <w:p>
      <w:pPr>
        <w:spacing w:after="0" w:line="288" w:lineRule="exact"/>
        <w:rPr>
          <w:sz w:val="20"/>
          <w:szCs w:val="20"/>
          <w:color w:val="auto"/>
        </w:rPr>
      </w:pPr>
    </w:p>
    <w:p>
      <w:pPr>
        <w:ind w:right="220"/>
        <w:spacing w:after="0" w:line="364" w:lineRule="auto"/>
        <w:rPr>
          <w:sz w:val="20"/>
          <w:szCs w:val="20"/>
          <w:color w:val="auto"/>
        </w:rPr>
      </w:pPr>
      <w:r>
        <w:rPr>
          <w:rFonts w:ascii="Arial" w:cs="Arial" w:eastAsia="Arial" w:hAnsi="Arial"/>
          <w:sz w:val="18"/>
          <w:szCs w:val="18"/>
          <w:color w:val="auto"/>
        </w:rPr>
        <w:t>This press release is for informational purposes only, and does not constitute an offer to sell, or the solicitation of an offer to buy, any of the securities, nor shall there by any sale of these securities, in any state in which such offer, solicitation or sale would be unlawful prior to registration or qualification under the securities laws of any such state. Any offer to buy the securities may be withdrawn or revoked, without obligations or commitment of any kind, at any time prior to notice of its acceptance given after the effective date of the registration statement.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Winnebago is a leading U.S. manufacturer of recreation vehicles under the Winnebago and Grand Design brands, which are used primarily in leisure travel and outdoor recreation activities. The Company builds quality motorhomes, travel trailers and fifth wheel products. Winnebago has multiple facilities in Iowa, Indiana, Oregon and Minnesota.</w:t>
      </w:r>
    </w:p>
    <w:p>
      <w:pPr>
        <w:spacing w:after="0" w:line="120"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This press release includes and incorporates forward-looking statements within the meaning of Section 27A of the Securities Act of 1933, as amended (the “Securities Act”) and Section 21E of the Securities Exchange Act of 1934, as amended (the “Exchange Act”). The words “anticipates,” “believes,” “could,” “confident,” “estimates,” “expects,” “forecasts,” “hopes,” “intends,” “likely,” “may,” “plans,” “possible,” “potential,” “predicts,” “projects,” “should,” “will,” “would” and variations of such words and similar expressions are intended to identify forward-looking statements. Many factors could affect Winnebago’s actual results. Should one or more known or unknown risks or uncertainties materialize, or should underlying assumptions prove inaccurate, actual results could differ materially from the forward-looking statements. While we may elect to update forward-looking statements, we do not assume, and specifically disclaim, any obligation to do so, whether as a result of new information, future events or otherwise.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sectPr>
      <w:pgSz w:w="11900" w:h="16838" w:orient="portrait"/>
      <w:cols w:equalWidth="0" w:num="1">
        <w:col w:w="11420"/>
      </w:cols>
      <w:pgMar w:left="240" w:top="6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o"/>
      <w:numFmt w:val="bullet"/>
      <w:start w:val="1"/>
    </w:lvl>
  </w:abstractNum>
  <w:abstractNum w:abstractNumId="1">
    <w:nsid w:val="257130A3"/>
    <w:multiLevelType w:val="hybridMultilevel"/>
    <w:lvl w:ilvl="0">
      <w:lvlJc w:val="left"/>
      <w:lvlText w:val="(%1)"/>
      <w:numFmt w:val="lowerLetter"/>
      <w:start w:val="4"/>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lowerLetter"/>
      <w:start w:val="1"/>
    </w:lvl>
  </w:abstractNum>
  <w:abstractNum w:abstractNumId="4">
    <w:nsid w:val="628C895D"/>
    <w:multiLevelType w:val="hybridMultilevel"/>
    <w:lvl w:ilvl="0">
      <w:lvlJc w:val="left"/>
      <w:lvlText w:val="(%1)"/>
      <w:numFmt w:val="lowerLetter"/>
      <w:start w:val="2"/>
    </w:lvl>
  </w:abstractNum>
  <w:abstractNum w:abstractNumId="5">
    <w:nsid w:val="333AB105"/>
    <w:multiLevelType w:val="hybridMultilevel"/>
    <w:lvl w:ilvl="0">
      <w:lvlJc w:val="left"/>
      <w:lvlText w:val="(%1)"/>
      <w:numFmt w:val="lowerLetter"/>
      <w:start w:val="4"/>
    </w:lvl>
  </w:abstractNum>
  <w:abstractNum w:abstractNumId="6">
    <w:nsid w:val="721DA317"/>
    <w:multiLevelType w:val="hybridMultilevel"/>
    <w:lvl w:ilvl="0">
      <w:lvlJc w:val="left"/>
      <w:lvlText w:val="(%1)"/>
      <w:numFmt w:val="lowerLetter"/>
      <w:start w:val="12"/>
    </w:lvl>
  </w:abstractNum>
  <w:abstractNum w:abstractNumId="7">
    <w:nsid w:val="2443A858"/>
    <w:multiLevelType w:val="hybridMultilevel"/>
    <w:lvl w:ilvl="0">
      <w:lvlJc w:val="left"/>
      <w:lvlText w:val="(%1)"/>
      <w:numFmt w:val="lowerLetter"/>
      <w:start w:val="15"/>
    </w:lvl>
  </w:abstractNum>
  <w:abstractNum w:abstractNumId="8">
    <w:nsid w:val="2D1D5AE9"/>
    <w:multiLevelType w:val="hybridMultilevel"/>
    <w:lvl w:ilvl="0">
      <w:lvlJc w:val="left"/>
      <w:lvlText w:val="(%1)"/>
      <w:numFmt w:val="lowerLetter"/>
      <w:start w:val="20"/>
    </w:lvl>
  </w:abstractNum>
  <w:abstractNum w:abstractNumId="9">
    <w:nsid w:val="6763845E"/>
    <w:multiLevelType w:val="hybridMultilevel"/>
    <w:lvl w:ilvl="0">
      <w:lvlJc w:val="left"/>
      <w:lvlText w:val="(%1)"/>
      <w:numFmt w:val="lowerLetter"/>
      <w:start w:val="25"/>
    </w:lvl>
  </w:abstractNum>
  <w:abstractNum w:abstractNumId="10">
    <w:nsid w:val="75A2A8D4"/>
    <w:multiLevelType w:val="hybridMultilevel"/>
    <w:lvl w:ilvl="0">
      <w:lvlJc w:val="left"/>
      <w:lvlText w:val="(%1)"/>
      <w:numFmt w:val="lowerLetter"/>
      <w:start w:val="27"/>
    </w:lvl>
  </w:abstractNum>
  <w:abstractNum w:abstractNumId="11">
    <w:nsid w:val="8EDBDAB"/>
    <w:multiLevelType w:val="hybridMultilevel"/>
    <w:lvl w:ilvl="0">
      <w:lvlJc w:val="left"/>
      <w:lvlText w:val="(%1)"/>
      <w:numFmt w:val="lowerLetter"/>
      <w:start w:val="28"/>
    </w:lvl>
  </w:abstractNum>
  <w:abstractNum w:abstractNumId="12">
    <w:nsid w:val="79838CB2"/>
    <w:multiLevelType w:val="hybridMultilevel"/>
    <w:lvl w:ilvl="0">
      <w:lvlJc w:val="left"/>
      <w:lvlText w:val="(%1)"/>
      <w:numFmt w:val="lowerLetter"/>
      <w:start w:val="35"/>
    </w:lvl>
    <w:lvl w:ilvl="1">
      <w:lvlJc w:val="left"/>
      <w:lvlText w:val="(%2)"/>
      <w:numFmt w:val="lowerLetter"/>
      <w:start w:val="1"/>
    </w:lvl>
  </w:abstractNum>
  <w:abstractNum w:abstractNumId="13">
    <w:nsid w:val="4353D0CD"/>
    <w:multiLevelType w:val="hybridMultilevel"/>
    <w:lvl w:ilvl="0">
      <w:lvlJc w:val="left"/>
      <w:lvlText w:val="%1"/>
      <w:numFmt w:val="upperLetter"/>
      <w:start w:val="1"/>
    </w:lvl>
    <w:lvl w:ilvl="1">
      <w:lvlJc w:val="left"/>
      <w:lvlText w:val="(%2)"/>
      <w:numFmt w:val="lowerLetter"/>
      <w:start w:val="2"/>
    </w:lvl>
  </w:abstractNum>
  <w:abstractNum w:abstractNumId="14">
    <w:nsid w:val="B03E0C6"/>
    <w:multiLevelType w:val="hybridMultilevel"/>
    <w:lvl w:ilvl="0">
      <w:lvlJc w:val="left"/>
      <w:lvlText w:val="(%1)"/>
      <w:numFmt w:val="upperLetter"/>
      <w:start w:val="1"/>
    </w:lvl>
    <w:lvl w:ilvl="1">
      <w:lvlJc w:val="left"/>
      <w:lvlText w:val="(%2)"/>
      <w:numFmt w:val="lowerLetter"/>
      <w:start w:val="3"/>
    </w:lvl>
  </w:abstractNum>
  <w:abstractNum w:abstractNumId="15">
    <w:nsid w:val="189A769B"/>
    <w:multiLevelType w:val="hybridMultilevel"/>
    <w:lvl w:ilvl="0">
      <w:lvlJc w:val="left"/>
      <w:lvlText w:val="(%1)"/>
      <w:numFmt w:val="lowerLetter"/>
      <w:start w:val="6"/>
    </w:lvl>
  </w:abstractNum>
  <w:abstractNum w:abstractNumId="16">
    <w:nsid w:val="54E49EB4"/>
    <w:multiLevelType w:val="hybridMultilevel"/>
    <w:lvl w:ilvl="0">
      <w:lvlJc w:val="left"/>
      <w:lvlText w:val="%1."/>
      <w:numFmt w:val="decimal"/>
      <w:start w:val="2"/>
    </w:lvl>
  </w:abstractNum>
  <w:abstractNum w:abstractNumId="17">
    <w:nsid w:val="71F32454"/>
    <w:multiLevelType w:val="hybridMultilevel"/>
    <w:lvl w:ilvl="0">
      <w:lvlJc w:val="left"/>
      <w:lvlText w:val="%1."/>
      <w:numFmt w:val="decimal"/>
      <w:start w:val="4"/>
    </w:lvl>
  </w:abstractNum>
  <w:abstractNum w:abstractNumId="18">
    <w:nsid w:val="2CA88611"/>
    <w:multiLevelType w:val="hybridMultilevel"/>
    <w:lvl w:ilvl="0">
      <w:lvlJc w:val="left"/>
      <w:lvlText w:val="(%1)"/>
      <w:numFmt w:val="lowerRoman"/>
      <w:start w:val="1"/>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1"/>
    </w:lvl>
    <w:lvl w:ilvl="1">
      <w:lvlJc w:val="left"/>
      <w:lvlText w:val="(%2)"/>
      <w:numFmt w:val="lowerLetter"/>
      <w:start w:val="3"/>
    </w:lvl>
  </w:abstractNum>
  <w:abstractNum w:abstractNumId="21">
    <w:nsid w:val="3A95F874"/>
    <w:multiLevelType w:val="hybridMultilevel"/>
    <w:lvl w:ilvl="0">
      <w:lvlJc w:val="left"/>
      <w:lvlText w:val="(%1)"/>
      <w:numFmt w:val="lowerLetter"/>
      <w:start w:val="1"/>
    </w:lvl>
    <w:lvl w:ilvl="1">
      <w:lvlJc w:val="left"/>
      <w:lvlText w:val="(%2)"/>
      <w:numFmt w:val="lowerLetter"/>
      <w:start w:val="4"/>
    </w:lvl>
  </w:abstractNum>
  <w:abstractNum w:abstractNumId="22">
    <w:nsid w:val="8138641"/>
    <w:multiLevelType w:val="hybridMultilevel"/>
    <w:lvl w:ilvl="0">
      <w:lvlJc w:val="left"/>
      <w:lvlText w:val="%1"/>
      <w:numFmt w:val="lowerLetter"/>
      <w:start w:val="1"/>
    </w:lvl>
    <w:lvl w:ilvl="1">
      <w:lvlJc w:val="left"/>
      <w:lvlText w:val="(%2)"/>
      <w:numFmt w:val="lowerLetter"/>
      <w:start w:val="8"/>
    </w:lvl>
  </w:abstractNum>
  <w:abstractNum w:abstractNumId="23">
    <w:nsid w:val="1E7FF521"/>
    <w:multiLevelType w:val="hybridMultilevel"/>
    <w:lvl w:ilvl="0">
      <w:lvlJc w:val="left"/>
      <w:lvlText w:val="(%1)"/>
      <w:numFmt w:val="lowerLetter"/>
      <w:start w:val="35"/>
    </w:lvl>
    <w:lvl w:ilvl="1">
      <w:lvlJc w:val="left"/>
      <w:lvlText w:val="%2"/>
      <w:numFmt w:val="lowerLetter"/>
      <w:start w:val="1"/>
    </w:lvl>
  </w:abstractNum>
  <w:abstractNum w:abstractNumId="24">
    <w:nsid w:val="7C3DBD3D"/>
    <w:multiLevelType w:val="hybridMultilevel"/>
    <w:lvl w:ilvl="0">
      <w:lvlJc w:val="left"/>
      <w:lvlText w:val="(%1)"/>
      <w:numFmt w:val="lowerRoman"/>
      <w:start w:val="6"/>
    </w:lvl>
    <w:lvl w:ilvl="1">
      <w:lvlJc w:val="left"/>
      <w:lvlText w:val="(%2)"/>
      <w:numFmt w:val="lowerLetter"/>
      <w:start w:val="11"/>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decimal"/>
      <w:start w:val="6"/>
    </w:lvl>
  </w:abstractNum>
  <w:abstractNum w:abstractNumId="27">
    <w:nsid w:val="22221A70"/>
    <w:multiLevelType w:val="hybridMultilevel"/>
    <w:lvl w:ilvl="0">
      <w:lvlJc w:val="left"/>
      <w:lvlText w:val="(%1)"/>
      <w:numFmt w:val="lowerLetter"/>
      <w:start w:val="1"/>
    </w:lvl>
    <w:lvl w:ilvl="1">
      <w:lvlJc w:val="left"/>
      <w:lvlText w:val="(%2)"/>
      <w:numFmt w:val="lowerRoman"/>
      <w:start w:val="1"/>
    </w:lvl>
  </w:abstractNum>
  <w:abstractNum w:abstractNumId="28">
    <w:nsid w:val="4516DDE9"/>
    <w:multiLevelType w:val="hybridMultilevel"/>
    <w:lvl w:ilvl="0">
      <w:lvlJc w:val="left"/>
      <w:lvlText w:val="(%1)"/>
      <w:numFmt w:val="lowerLetter"/>
      <w:start w:val="6"/>
    </w:lvl>
  </w:abstractNum>
  <w:abstractNum w:abstractNumId="29">
    <w:nsid w:val="3006C83E"/>
    <w:multiLevelType w:val="hybridMultilevel"/>
    <w:lvl w:ilvl="0">
      <w:lvlJc w:val="left"/>
      <w:lvlText w:val="%1."/>
      <w:numFmt w:val="decimal"/>
      <w:start w:val="7"/>
    </w:lvl>
    <w:lvl w:ilvl="1">
      <w:lvlJc w:val="left"/>
      <w:lvlText w:val="%2."/>
      <w:numFmt w:val="decimal"/>
      <w:start w:val="8"/>
    </w:lvl>
  </w:abstractNum>
  <w:abstractNum w:abstractNumId="30">
    <w:nsid w:val="614FD4A1"/>
    <w:multiLevelType w:val="hybridMultilevel"/>
    <w:lvl w:ilvl="0">
      <w:lvlJc w:val="left"/>
      <w:lvlText w:val="(%1)"/>
      <w:numFmt w:val="lowerLetter"/>
      <w:start w:val="2"/>
    </w:lvl>
  </w:abstractNum>
  <w:abstractNum w:abstractNumId="31">
    <w:nsid w:val="419AC241"/>
    <w:multiLevelType w:val="hybridMultilevel"/>
    <w:lvl w:ilvl="0">
      <w:lvlJc w:val="left"/>
      <w:lvlText w:val="(%1)"/>
      <w:numFmt w:val="lowerLetter"/>
      <w:start w:val="3"/>
    </w:lvl>
  </w:abstractNum>
  <w:abstractNum w:abstractNumId="32">
    <w:nsid w:val="5577F8E1"/>
    <w:multiLevelType w:val="hybridMultilevel"/>
    <w:lvl w:ilvl="0">
      <w:lvlJc w:val="left"/>
      <w:lvlText w:val="(%1)"/>
      <w:numFmt w:val="lowerLetter"/>
      <w:start w:val="5"/>
    </w:lvl>
  </w:abstractNum>
  <w:abstractNum w:abstractNumId="33">
    <w:nsid w:val="440BADFC"/>
    <w:multiLevelType w:val="hybridMultilevel"/>
    <w:lvl w:ilvl="0">
      <w:lvlJc w:val="left"/>
      <w:lvlText w:val="%1."/>
      <w:numFmt w:val="decimal"/>
      <w:start w:val="9"/>
    </w:lvl>
  </w:abstractNum>
  <w:abstractNum w:abstractNumId="34">
    <w:nsid w:val="5072367"/>
    <w:multiLevelType w:val="hybridMultilevel"/>
    <w:lvl w:ilvl="0">
      <w:lvlJc w:val="left"/>
      <w:lvlText w:val="%1"/>
      <w:numFmt w:val="lowerLetter"/>
      <w:start w:val="1"/>
    </w:lvl>
    <w:lvl w:ilvl="1">
      <w:lvlJc w:val="left"/>
      <w:lvlText w:val="%2."/>
      <w:numFmt w:val="decimal"/>
      <w:start w:val="12"/>
    </w:lvl>
  </w:abstractNum>
  <w:abstractNum w:abstractNumId="35">
    <w:nsid w:val="3804823E"/>
    <w:multiLevelType w:val="hybridMultilevel"/>
    <w:lvl w:ilvl="0">
      <w:lvlJc w:val="left"/>
      <w:lvlText w:val="(%1)"/>
      <w:numFmt w:val="lowerLetter"/>
      <w:start w:val="2"/>
    </w:lvl>
    <w:lvl w:ilvl="1">
      <w:lvlJc w:val="left"/>
      <w:lvlText w:val="%2."/>
      <w:numFmt w:val="decimal"/>
      <w:start w:val="15"/>
    </w:lvl>
  </w:abstractNum>
  <w:abstractNum w:abstractNumId="36">
    <w:nsid w:val="77465F01"/>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2019-12-05T08:23:13Z</dcterms:created>
  <dcterms:modified xsi:type="dcterms:W3CDTF">2019-12-05T08:23:13Z</dcterms:modified>
</cp:coreProperties>
</file>