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102235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 December 12,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Winnebago Industries,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1040" w:type="dxa"/>
        <w:tblCellMar>
          <w:top w:w="0" w:type="dxa"/>
          <w:left w:w="0" w:type="dxa"/>
          <w:bottom w:w="0" w:type="dxa"/>
          <w:right w:w="0" w:type="dxa"/>
        </w:tblCellMar>
      </w:tblPr>
      <w:tr>
        <w:trPr>
          <w:trHeight w:val="260"/>
        </w:trPr>
        <w:tc>
          <w:tcPr>
            <w:tcW w:w="3280" w:type="dxa"/>
            <w:vAlign w:val="bottom"/>
          </w:tcPr>
          <w:p>
            <w:pPr>
              <w:jc w:val="center"/>
              <w:ind w:right="324"/>
              <w:spacing w:after="0"/>
              <w:rPr>
                <w:sz w:val="20"/>
                <w:szCs w:val="20"/>
                <w:color w:val="auto"/>
              </w:rPr>
            </w:pPr>
            <w:r>
              <w:rPr>
                <w:rFonts w:ascii="Times New Roman" w:cs="Times New Roman" w:eastAsia="Times New Roman" w:hAnsi="Times New Roman"/>
                <w:sz w:val="22"/>
                <w:szCs w:val="22"/>
                <w:b w:val="1"/>
                <w:bCs w:val="1"/>
                <w:color w:val="auto"/>
                <w:w w:val="98"/>
              </w:rPr>
              <w:t>Iowa</w:t>
            </w:r>
          </w:p>
        </w:tc>
        <w:tc>
          <w:tcPr>
            <w:tcW w:w="3180" w:type="dxa"/>
            <w:vAlign w:val="bottom"/>
          </w:tcPr>
          <w:p>
            <w:pPr>
              <w:jc w:val="right"/>
              <w:ind w:right="1222"/>
              <w:spacing w:after="0"/>
              <w:rPr>
                <w:sz w:val="20"/>
                <w:szCs w:val="20"/>
                <w:color w:val="auto"/>
              </w:rPr>
            </w:pPr>
            <w:r>
              <w:rPr>
                <w:rFonts w:ascii="Times New Roman" w:cs="Times New Roman" w:eastAsia="Times New Roman" w:hAnsi="Times New Roman"/>
                <w:sz w:val="22"/>
                <w:szCs w:val="22"/>
                <w:b w:val="1"/>
                <w:bCs w:val="1"/>
                <w:color w:val="auto"/>
              </w:rPr>
              <w:t>001-06403</w:t>
            </w:r>
          </w:p>
        </w:tc>
        <w:tc>
          <w:tcPr>
            <w:tcW w:w="2100" w:type="dxa"/>
            <w:vAlign w:val="bottom"/>
          </w:tcPr>
          <w:p>
            <w:pPr>
              <w:jc w:val="right"/>
              <w:ind w:right="24"/>
              <w:spacing w:after="0"/>
              <w:rPr>
                <w:sz w:val="20"/>
                <w:szCs w:val="20"/>
                <w:color w:val="auto"/>
              </w:rPr>
            </w:pPr>
            <w:r>
              <w:rPr>
                <w:rFonts w:ascii="Times New Roman" w:cs="Times New Roman" w:eastAsia="Times New Roman" w:hAnsi="Times New Roman"/>
                <w:sz w:val="22"/>
                <w:szCs w:val="22"/>
                <w:b w:val="1"/>
                <w:bCs w:val="1"/>
                <w:color w:val="auto"/>
              </w:rPr>
              <w:t>42-0802678</w:t>
            </w:r>
          </w:p>
        </w:tc>
      </w:tr>
      <w:tr>
        <w:trPr>
          <w:trHeight w:val="216"/>
        </w:trPr>
        <w:tc>
          <w:tcPr>
            <w:tcW w:w="3280" w:type="dxa"/>
            <w:vAlign w:val="bottom"/>
          </w:tcPr>
          <w:p>
            <w:pPr>
              <w:jc w:val="center"/>
              <w:ind w:right="324"/>
              <w:spacing w:after="0"/>
              <w:rPr>
                <w:sz w:val="20"/>
                <w:szCs w:val="20"/>
                <w:color w:val="auto"/>
              </w:rPr>
            </w:pPr>
            <w:r>
              <w:rPr>
                <w:rFonts w:ascii="Times New Roman" w:cs="Times New Roman" w:eastAsia="Times New Roman" w:hAnsi="Times New Roman"/>
                <w:sz w:val="18"/>
                <w:szCs w:val="18"/>
                <w:color w:val="auto"/>
                <w:w w:val="97"/>
              </w:rPr>
              <w:t>(State or Other Jurisdiction</w:t>
            </w:r>
          </w:p>
        </w:tc>
        <w:tc>
          <w:tcPr>
            <w:tcW w:w="3180" w:type="dxa"/>
            <w:vAlign w:val="bottom"/>
          </w:tcPr>
          <w:p>
            <w:pPr>
              <w:jc w:val="center"/>
              <w:ind w:right="30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100" w:type="dxa"/>
            <w:vAlign w:val="bottom"/>
          </w:tcPr>
          <w:p>
            <w:pPr>
              <w:jc w:val="center"/>
              <w:ind w:left="704"/>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28"/>
        </w:trPr>
        <w:tc>
          <w:tcPr>
            <w:tcW w:w="3280" w:type="dxa"/>
            <w:vAlign w:val="bottom"/>
          </w:tcPr>
          <w:p>
            <w:pPr>
              <w:jc w:val="center"/>
              <w:ind w:right="304"/>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379"/>
        </w:trPr>
        <w:tc>
          <w:tcPr>
            <w:tcW w:w="3280" w:type="dxa"/>
            <w:vAlign w:val="bottom"/>
          </w:tcPr>
          <w:p>
            <w:pPr>
              <w:jc w:val="center"/>
              <w:ind w:right="304"/>
              <w:spacing w:after="0"/>
              <w:rPr>
                <w:sz w:val="20"/>
                <w:szCs w:val="20"/>
                <w:color w:val="auto"/>
              </w:rPr>
            </w:pPr>
            <w:r>
              <w:rPr>
                <w:rFonts w:ascii="Times New Roman" w:cs="Times New Roman" w:eastAsia="Times New Roman" w:hAnsi="Times New Roman"/>
                <w:sz w:val="22"/>
                <w:szCs w:val="22"/>
                <w:b w:val="1"/>
                <w:bCs w:val="1"/>
                <w:color w:val="auto"/>
                <w:w w:val="97"/>
              </w:rPr>
              <w:t>P.O. Box 152, Forest City, Iowa</w:t>
            </w:r>
          </w:p>
        </w:tc>
        <w:tc>
          <w:tcPr>
            <w:tcW w:w="3180" w:type="dxa"/>
            <w:vAlign w:val="bottom"/>
          </w:tcPr>
          <w:p>
            <w:pPr>
              <w:spacing w:after="0"/>
              <w:rPr>
                <w:sz w:val="24"/>
                <w:szCs w:val="24"/>
                <w:color w:val="auto"/>
              </w:rPr>
            </w:pPr>
          </w:p>
        </w:tc>
        <w:tc>
          <w:tcPr>
            <w:tcW w:w="2100" w:type="dxa"/>
            <w:vAlign w:val="bottom"/>
          </w:tcPr>
          <w:p>
            <w:pPr>
              <w:jc w:val="right"/>
              <w:ind w:right="284"/>
              <w:spacing w:after="0"/>
              <w:rPr>
                <w:sz w:val="20"/>
                <w:szCs w:val="20"/>
                <w:color w:val="auto"/>
              </w:rPr>
            </w:pPr>
            <w:r>
              <w:rPr>
                <w:rFonts w:ascii="Times New Roman" w:cs="Times New Roman" w:eastAsia="Times New Roman" w:hAnsi="Times New Roman"/>
                <w:sz w:val="22"/>
                <w:szCs w:val="22"/>
                <w:b w:val="1"/>
                <w:bCs w:val="1"/>
                <w:color w:val="auto"/>
              </w:rPr>
              <w:t>50436</w:t>
            </w:r>
          </w:p>
        </w:tc>
      </w:tr>
      <w:tr>
        <w:trPr>
          <w:trHeight w:val="228"/>
        </w:trPr>
        <w:tc>
          <w:tcPr>
            <w:tcW w:w="3280" w:type="dxa"/>
            <w:vAlign w:val="bottom"/>
          </w:tcPr>
          <w:p>
            <w:pPr>
              <w:jc w:val="center"/>
              <w:ind w:right="324"/>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180" w:type="dxa"/>
            <w:vAlign w:val="bottom"/>
          </w:tcPr>
          <w:p>
            <w:pPr>
              <w:spacing w:after="0"/>
              <w:rPr>
                <w:sz w:val="19"/>
                <w:szCs w:val="19"/>
                <w:color w:val="auto"/>
              </w:rPr>
            </w:pPr>
          </w:p>
        </w:tc>
        <w:tc>
          <w:tcPr>
            <w:tcW w:w="2100" w:type="dxa"/>
            <w:vAlign w:val="bottom"/>
          </w:tcPr>
          <w:p>
            <w:pPr>
              <w:jc w:val="center"/>
              <w:ind w:left="704"/>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telephone number, including area code 641-585-3535</w:t>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300"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45"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22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Winnebago Industries, Inc. (Winnebago Industries) is filing herewith a press release issued on December 12, 2008, as Exhibit 99.1 which is included herein. The press release was issued to report that on December 18, 2008, Winnebago Industries anticipates announcing its financial results for the first quarter fiscal 2009 ended November 29, 2008. In connection with the announcement, Winnebago Industries will host a conference call on December 18, 2008 at 9:00 a.m. Central time. Details regarding the conference call are contained in the press release included herein.</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23" w:lineRule="exact"/>
        <w:rPr>
          <w:sz w:val="24"/>
          <w:szCs w:val="24"/>
          <w:color w:val="auto"/>
        </w:rPr>
      </w:pPr>
    </w:p>
    <w:p>
      <w:pPr>
        <w:ind w:left="1300" w:hanging="86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4"/>
          <w:szCs w:val="24"/>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13" w:lineRule="exact"/>
        <w:rPr>
          <w:sz w:val="24"/>
          <w:szCs w:val="24"/>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December 12, 2008.</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3"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20"/>
          </w:cols>
          <w:pgMar w:left="240" w:top="782" w:right="239" w:bottom="11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12, 2008</w:t>
            </w:r>
          </w:p>
        </w:tc>
        <w:tc>
          <w:tcPr>
            <w:tcW w:w="6340" w:type="dxa"/>
            <w:vAlign w:val="bottom"/>
            <w:gridSpan w:val="2"/>
          </w:tcPr>
          <w:p>
            <w:pPr>
              <w:ind w:left="206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INNEBAGO</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7"/>
                <w:szCs w:val="17"/>
                <w:color w:val="auto"/>
              </w:rPr>
              <w:t>NDUSTRIES,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7"/>
                <w:szCs w:val="17"/>
                <w:color w:val="auto"/>
              </w:rPr>
              <w:t>NC.</w:t>
            </w:r>
          </w:p>
        </w:tc>
      </w:tr>
      <w:tr>
        <w:trPr>
          <w:trHeight w:val="445"/>
        </w:trPr>
        <w:tc>
          <w:tcPr>
            <w:tcW w:w="394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Olson</w:t>
            </w:r>
          </w:p>
        </w:tc>
      </w:tr>
      <w:tr>
        <w:trPr>
          <w:trHeight w:val="184"/>
        </w:trPr>
        <w:tc>
          <w:tcPr>
            <w:tcW w:w="3940" w:type="dxa"/>
            <w:vAlign w:val="bottom"/>
          </w:tcPr>
          <w:p>
            <w:pPr>
              <w:spacing w:after="0"/>
              <w:rPr>
                <w:sz w:val="15"/>
                <w:szCs w:val="15"/>
                <w:color w:val="auto"/>
              </w:rPr>
            </w:pPr>
          </w:p>
        </w:tc>
        <w:tc>
          <w:tcPr>
            <w:tcW w:w="2660" w:type="dxa"/>
            <w:vAlign w:val="bottom"/>
          </w:tcPr>
          <w:p>
            <w:pPr>
              <w:ind w:left="2060"/>
              <w:spacing w:after="0" w:line="184" w:lineRule="exact"/>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Robert J. Olson</w:t>
            </w:r>
          </w:p>
        </w:tc>
      </w:tr>
      <w:tr>
        <w:trPr>
          <w:trHeight w:val="230"/>
        </w:trPr>
        <w:tc>
          <w:tcPr>
            <w:tcW w:w="3940" w:type="dxa"/>
            <w:vAlign w:val="bottom"/>
          </w:tcPr>
          <w:p>
            <w:pPr>
              <w:spacing w:after="0"/>
              <w:rPr>
                <w:sz w:val="19"/>
                <w:szCs w:val="19"/>
                <w:color w:val="auto"/>
              </w:rPr>
            </w:pPr>
          </w:p>
        </w:tc>
        <w:tc>
          <w:tcPr>
            <w:tcW w:w="26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Chief</w:t>
            </w:r>
          </w:p>
        </w:tc>
      </w:tr>
      <w:tr>
        <w:trPr>
          <w:trHeight w:val="228"/>
        </w:trPr>
        <w:tc>
          <w:tcPr>
            <w:tcW w:w="39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Officer and President</w:t>
            </w:r>
          </w:p>
        </w:tc>
      </w:tr>
    </w:tbl>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60" w:type="dxa"/>
            <w:vAlign w:val="bottom"/>
          </w:tcPr>
          <w:p>
            <w:pPr>
              <w:spacing w:after="0"/>
              <w:rPr>
                <w:sz w:val="24"/>
                <w:szCs w:val="24"/>
                <w:color w:val="auto"/>
              </w:rPr>
            </w:pPr>
          </w:p>
        </w:tc>
        <w:tc>
          <w:tcPr>
            <w:tcW w:w="10460" w:type="dxa"/>
            <w:vAlign w:val="bottom"/>
          </w:tcPr>
          <w:p>
            <w:pPr>
              <w:jc w:val="center"/>
              <w:ind w:right="847"/>
              <w:spacing w:after="0"/>
              <w:rPr>
                <w:sz w:val="20"/>
                <w:szCs w:val="20"/>
                <w:color w:val="auto"/>
              </w:rPr>
            </w:pPr>
            <w:r>
              <w:rPr>
                <w:rFonts w:ascii="Times New Roman" w:cs="Times New Roman" w:eastAsia="Times New Roman" w:hAnsi="Times New Roman"/>
                <w:sz w:val="22"/>
                <w:szCs w:val="22"/>
                <w:b w:val="1"/>
                <w:bCs w:val="1"/>
                <w:color w:val="auto"/>
                <w:w w:val="98"/>
              </w:rPr>
              <w:t>EXHIBIT INDEX</w:t>
            </w:r>
          </w:p>
        </w:tc>
      </w:tr>
      <w:tr>
        <w:trPr>
          <w:trHeight w:val="40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6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Press release of Winnebago Industries, Inc. dated December 12, 2008.</w:t>
            </w:r>
          </w:p>
        </w:tc>
      </w:tr>
      <w:tr>
        <w:trPr>
          <w:trHeight w:val="648"/>
        </w:trPr>
        <w:tc>
          <w:tcPr>
            <w:tcW w:w="960" w:type="dxa"/>
            <w:vAlign w:val="bottom"/>
          </w:tcPr>
          <w:p>
            <w:pPr>
              <w:spacing w:after="0"/>
              <w:rPr>
                <w:sz w:val="24"/>
                <w:szCs w:val="24"/>
                <w:color w:val="auto"/>
              </w:rPr>
            </w:pPr>
          </w:p>
        </w:tc>
        <w:tc>
          <w:tcPr>
            <w:tcW w:w="10460" w:type="dxa"/>
            <w:vAlign w:val="bottom"/>
          </w:tcPr>
          <w:p>
            <w:pPr>
              <w:jc w:val="right"/>
              <w:ind w:right="5507"/>
              <w:spacing w:after="0"/>
              <w:rPr>
                <w:sz w:val="20"/>
                <w:szCs w:val="20"/>
                <w:color w:val="auto"/>
              </w:rPr>
            </w:pPr>
            <w:r>
              <w:rPr>
                <w:rFonts w:ascii="Times New Roman" w:cs="Times New Roman" w:eastAsia="Times New Roman" w:hAnsi="Times New Roman"/>
                <w:sz w:val="18"/>
                <w:szCs w:val="18"/>
                <w:color w:val="auto"/>
              </w:rPr>
              <w:t>-2-</w:t>
            </w:r>
          </w:p>
        </w:tc>
      </w:tr>
      <w:tr>
        <w:trPr>
          <w:trHeight w:val="377"/>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For further information:</w:t>
      </w:r>
      <w:r>
        <w:rPr>
          <w:sz w:val="20"/>
          <w:szCs w:val="20"/>
          <w:color w:val="auto"/>
        </w:rPr>
        <w:tab/>
      </w:r>
      <w:r>
        <w:rPr>
          <w:rFonts w:ascii="Times New Roman" w:cs="Times New Roman" w:eastAsia="Times New Roman" w:hAnsi="Times New Roman"/>
          <w:sz w:val="16"/>
          <w:szCs w:val="16"/>
          <w:color w:val="auto"/>
        </w:rPr>
        <w:t>Sheila Davis, PR/IR Manager - 641-585-6803</w:t>
      </w:r>
    </w:p>
    <w:p>
      <w:pPr>
        <w:spacing w:after="0" w:line="208"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WINNEBAGO INDUSTRIES ANNOUNCES FIRST QUARTER FISCAL 2009 FINANCIAL RESULTS CONFERENCE CALL TO BE HELD ON DECEMBER 18, 2008</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FOREST CITY, IOWA, December 12, 2008 – Winnebago Industries, Inc. (NYSE: WGO), the nation’s top-selling motor home manufacturer, will host a conference call on Thursday, December 18, 2008 at 9 a.m. Central Time (CT) to discuss the financial results for its first quarter fiscal 2009 ended November 29, 2008. The Company will release its financial results on December 18, 2008 at 6:00 a.m. CT.</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 xml:space="preserve">Winnebago Industries’ conference call may be heard live via the Company’s website,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 xml:space="preserve">. The event will be archived and available for replay for the next 90 days. To access the replay, click on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Minimum requirements to listen to the Web cast: either Windows Media Player or RealPlayer and at least a 28.8 Kbps connection to the Internet. The Windows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Media Player software is downloadable free at: </w:t>
      </w:r>
      <w:r>
        <w:rPr>
          <w:rFonts w:ascii="Times New Roman" w:cs="Times New Roman" w:eastAsia="Times New Roman" w:hAnsi="Times New Roman"/>
          <w:sz w:val="16"/>
          <w:szCs w:val="16"/>
          <w:u w:val="single" w:color="auto"/>
          <w:color w:val="auto"/>
        </w:rPr>
        <w:t>www.microsoft.com/windows/windowsmedia/download/default.asp</w:t>
      </w:r>
      <w:r>
        <w:rPr>
          <w:rFonts w:ascii="Times New Roman" w:cs="Times New Roman" w:eastAsia="Times New Roman" w:hAnsi="Times New Roman"/>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free at: </w:t>
      </w:r>
      <w:r>
        <w:rPr>
          <w:rFonts w:ascii="Times New Roman" w:cs="Times New Roman" w:eastAsia="Times New Roman" w:hAnsi="Times New Roman"/>
          <w:sz w:val="18"/>
          <w:szCs w:val="18"/>
          <w:u w:val="single" w:color="auto"/>
          <w:color w:val="auto"/>
        </w:rPr>
        <w:t>www.real.com/products/player/index.html</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2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the nation’s top-selling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956310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2019-12-11T14:04:08Z</dcterms:created>
  <dcterms:modified xsi:type="dcterms:W3CDTF">2019-12-11T14:04:08Z</dcterms:modified>
</cp:coreProperties>
</file>