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39"/>
        <w:spacing w:after="0"/>
        <w:rPr>
          <w:sz w:val="20"/>
          <w:szCs w:val="20"/>
          <w:color w:val="auto"/>
        </w:rPr>
      </w:pPr>
      <w:r>
        <w:rPr>
          <w:rFonts w:ascii="Courier New" w:cs="Courier New" w:eastAsia="Courier New" w:hAnsi="Courier New"/>
          <w:sz w:val="17"/>
          <w:szCs w:val="17"/>
          <w:color w:val="auto"/>
        </w:rPr>
        <w:t>UNITED STATES 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SCHEDULE 13D</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under the Securities Exchange Act of 1934</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(Amendment No. 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WINNEBAGO INDUSTRIES, INC.</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(Name of Issuer)</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COMMON STOCK, $.50 PAR VALUE</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(Title of Class of Securities)</w:t>
      </w:r>
    </w:p>
    <w:p>
      <w:pPr>
        <w:spacing w:after="0" w:line="21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974637100</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(CUSIP Number)</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WILLIAM M. LIBIT, ESQ.</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CHAPMAN AND CUTLER</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111 WEST MONROE STREET</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CHICAGO, ILLINOIS 60603</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(312) 845-2981</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(Name, Address and Telephone Number of Person</w:t>
      </w:r>
    </w:p>
    <w:p>
      <w:pPr>
        <w:spacing w:after="0" w:line="9" w:lineRule="exact"/>
        <w:rPr>
          <w:sz w:val="24"/>
          <w:szCs w:val="24"/>
          <w:color w:val="auto"/>
        </w:rPr>
      </w:pPr>
    </w:p>
    <w:p>
      <w:pPr>
        <w:jc w:val="center"/>
        <w:ind w:right="1719"/>
        <w:spacing w:after="0"/>
        <w:rPr>
          <w:sz w:val="20"/>
          <w:szCs w:val="20"/>
          <w:color w:val="auto"/>
        </w:rPr>
      </w:pPr>
      <w:r>
        <w:rPr>
          <w:rFonts w:ascii="Courier New" w:cs="Courier New" w:eastAsia="Courier New" w:hAnsi="Courier New"/>
          <w:sz w:val="17"/>
          <w:szCs w:val="17"/>
          <w:color w:val="auto"/>
        </w:rPr>
        <w:t>Authorized to Receive Notices and Communications)</w:t>
      </w:r>
    </w:p>
    <w:p>
      <w:pPr>
        <w:spacing w:after="0" w:line="210"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JULY 5, 2001</w:t>
      </w:r>
    </w:p>
    <w:p>
      <w:pPr>
        <w:spacing w:after="0" w:line="9" w:lineRule="exact"/>
        <w:rPr>
          <w:sz w:val="24"/>
          <w:szCs w:val="24"/>
          <w:color w:val="auto"/>
        </w:rPr>
      </w:pPr>
    </w:p>
    <w:p>
      <w:pPr>
        <w:ind w:left="2740"/>
        <w:spacing w:after="0"/>
        <w:rPr>
          <w:sz w:val="20"/>
          <w:szCs w:val="20"/>
          <w:color w:val="auto"/>
        </w:rPr>
      </w:pPr>
      <w:r>
        <w:rPr>
          <w:rFonts w:ascii="Courier New" w:cs="Courier New" w:eastAsia="Courier New" w:hAnsi="Courier New"/>
          <w:sz w:val="17"/>
          <w:szCs w:val="17"/>
          <w:color w:val="auto"/>
        </w:rPr>
        <w:t>(Date of Event which Requires</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939"/>
        <w:spacing w:after="0" w:line="253" w:lineRule="auto"/>
        <w:rPr>
          <w:sz w:val="20"/>
          <w:szCs w:val="20"/>
          <w:color w:val="auto"/>
        </w:rPr>
      </w:pPr>
      <w:r>
        <w:rPr>
          <w:rFonts w:ascii="Courier New" w:cs="Courier New" w:eastAsia="Courier New" w:hAnsi="Courier New"/>
          <w:sz w:val="17"/>
          <w:szCs w:val="17"/>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195" w:lineRule="exact"/>
        <w:rPr>
          <w:sz w:val="24"/>
          <w:szCs w:val="24"/>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ind w:right="1839"/>
        <w:spacing w:after="0" w:line="253" w:lineRule="auto"/>
        <w:rPr>
          <w:sz w:val="20"/>
          <w:szCs w:val="20"/>
          <w:color w:val="auto"/>
        </w:rPr>
      </w:pPr>
      <w:r>
        <w:rPr>
          <w:rFonts w:ascii="Courier New" w:cs="Courier New" w:eastAsia="Courier New" w:hAnsi="Courier New"/>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ind w:left="960" w:hanging="953"/>
        <w:spacing w:after="0"/>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Reporting Person.</w:t>
      </w:r>
    </w:p>
    <w:p>
      <w:pPr>
        <w:spacing w:after="0" w:line="8"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S.S. or I.R.S. Identification Nos. of Above Person.</w:t>
      </w:r>
    </w:p>
    <w:p>
      <w:pPr>
        <w:spacing w:after="0" w:line="210" w:lineRule="exact"/>
        <w:rPr>
          <w:sz w:val="24"/>
          <w:szCs w:val="24"/>
          <w:color w:val="auto"/>
        </w:rPr>
      </w:pPr>
    </w:p>
    <w:p>
      <w:pPr>
        <w:ind w:left="960"/>
        <w:spacing w:after="0"/>
        <w:tabs>
          <w:tab w:leader="none" w:pos="4380" w:val="left"/>
        </w:tabs>
        <w:rPr>
          <w:sz w:val="20"/>
          <w:szCs w:val="20"/>
          <w:color w:val="auto"/>
        </w:rPr>
      </w:pPr>
      <w:r>
        <w:rPr>
          <w:rFonts w:ascii="Courier New" w:cs="Courier New" w:eastAsia="Courier New" w:hAnsi="Courier New"/>
          <w:sz w:val="17"/>
          <w:szCs w:val="17"/>
          <w:color w:val="auto"/>
        </w:rPr>
        <w:t>Hanson Capital Partners, L.L.C.</w:t>
        <w:tab/>
        <w:t>I.R.S. Identification No. 52-2286575</w:t>
      </w:r>
    </w:p>
    <w:p>
      <w:pPr>
        <w:spacing w:after="0" w:line="9" w:lineRule="exact"/>
        <w:rPr>
          <w:sz w:val="24"/>
          <w:szCs w:val="24"/>
          <w:color w:val="auto"/>
        </w:rPr>
      </w:pPr>
    </w:p>
    <w:tbl>
      <w:tblPr>
        <w:tblLayout w:type="fixed"/>
        <w:tblInd w:w="960" w:type="dxa"/>
        <w:tblCellMar>
          <w:top w:w="0" w:type="dxa"/>
          <w:left w:w="0" w:type="dxa"/>
          <w:bottom w:w="0" w:type="dxa"/>
          <w:right w:w="0" w:type="dxa"/>
        </w:tblCellMar>
      </w:tblPr>
      <w:tr>
        <w:trPr>
          <w:trHeight w:val="197"/>
        </w:trPr>
        <w:tc>
          <w:tcPr>
            <w:tcW w:w="2040" w:type="dxa"/>
            <w:vAlign w:val="bottom"/>
          </w:tcPr>
          <w:p>
            <w:pPr>
              <w:spacing w:after="0"/>
              <w:rPr>
                <w:sz w:val="20"/>
                <w:szCs w:val="20"/>
                <w:color w:val="auto"/>
              </w:rPr>
            </w:pPr>
            <w:r>
              <w:rPr>
                <w:rFonts w:ascii="Courier New" w:cs="Courier New" w:eastAsia="Courier New" w:hAnsi="Courier New"/>
                <w:sz w:val="17"/>
                <w:szCs w:val="17"/>
                <w:color w:val="auto"/>
              </w:rPr>
              <w:t>Luise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SS# ###-##-####</w:t>
            </w:r>
          </w:p>
        </w:tc>
      </w:tr>
      <w:tr>
        <w:trPr>
          <w:trHeight w:val="201"/>
        </w:trPr>
        <w:tc>
          <w:tcPr>
            <w:tcW w:w="2040" w:type="dxa"/>
            <w:vAlign w:val="bottom"/>
          </w:tcPr>
          <w:p>
            <w:pPr>
              <w:spacing w:after="0"/>
              <w:rPr>
                <w:sz w:val="20"/>
                <w:szCs w:val="20"/>
                <w:color w:val="auto"/>
              </w:rPr>
            </w:pPr>
            <w:r>
              <w:rPr>
                <w:rFonts w:ascii="Courier New" w:cs="Courier New" w:eastAsia="Courier New" w:hAnsi="Courier New"/>
                <w:sz w:val="17"/>
                <w:szCs w:val="17"/>
                <w:color w:val="auto"/>
              </w:rPr>
              <w:t>John V. Hanson</w:t>
            </w:r>
          </w:p>
        </w:tc>
        <w:tc>
          <w:tcPr>
            <w:tcW w:w="204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SS# ###-##-####</w:t>
            </w:r>
          </w:p>
        </w:tc>
      </w:tr>
      <w:tr>
        <w:trPr>
          <w:trHeight w:val="201"/>
        </w:trPr>
        <w:tc>
          <w:tcPr>
            <w:tcW w:w="2040" w:type="dxa"/>
            <w:vAlign w:val="bottom"/>
          </w:tcPr>
          <w:p>
            <w:pPr>
              <w:spacing w:after="0"/>
              <w:rPr>
                <w:sz w:val="20"/>
                <w:szCs w:val="20"/>
                <w:color w:val="auto"/>
              </w:rPr>
            </w:pPr>
            <w:r>
              <w:rPr>
                <w:rFonts w:ascii="Courier New" w:cs="Courier New" w:eastAsia="Courier New" w:hAnsi="Courier New"/>
                <w:sz w:val="17"/>
                <w:szCs w:val="17"/>
                <w:color w:val="auto"/>
              </w:rPr>
              <w:t>Mary Joan Boman</w:t>
            </w:r>
          </w:p>
        </w:tc>
        <w:tc>
          <w:tcPr>
            <w:tcW w:w="840" w:type="dxa"/>
            <w:vAlign w:val="bottom"/>
          </w:tcPr>
          <w:p>
            <w:pPr>
              <w:ind w:left="460"/>
              <w:spacing w:after="0"/>
              <w:rPr>
                <w:sz w:val="20"/>
                <w:szCs w:val="20"/>
                <w:color w:val="auto"/>
              </w:rPr>
            </w:pPr>
            <w:r>
              <w:rPr>
                <w:rFonts w:ascii="Courier New" w:cs="Courier New" w:eastAsia="Courier New" w:hAnsi="Courier New"/>
                <w:sz w:val="17"/>
                <w:szCs w:val="17"/>
                <w:color w:val="auto"/>
              </w:rPr>
              <w:t>SS#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2040" w:type="dxa"/>
            <w:vAlign w:val="bottom"/>
          </w:tcPr>
          <w:p>
            <w:pPr>
              <w:spacing w:after="0"/>
              <w:rPr>
                <w:sz w:val="20"/>
                <w:szCs w:val="20"/>
                <w:color w:val="auto"/>
              </w:rPr>
            </w:pPr>
            <w:r>
              <w:rPr>
                <w:rFonts w:ascii="Courier New" w:cs="Courier New" w:eastAsia="Courier New" w:hAnsi="Courier New"/>
                <w:sz w:val="17"/>
                <w:szCs w:val="17"/>
                <w:color w:val="auto"/>
              </w:rPr>
              <w:t>Paul D. Hanson</w:t>
            </w:r>
          </w:p>
        </w:tc>
        <w:tc>
          <w:tcPr>
            <w:tcW w:w="840" w:type="dxa"/>
            <w:vAlign w:val="bottom"/>
          </w:tcPr>
          <w:p>
            <w:pPr>
              <w:ind w:left="460"/>
              <w:spacing w:after="0"/>
              <w:rPr>
                <w:sz w:val="20"/>
                <w:szCs w:val="20"/>
                <w:color w:val="auto"/>
              </w:rPr>
            </w:pPr>
            <w:r>
              <w:rPr>
                <w:rFonts w:ascii="Courier New" w:cs="Courier New" w:eastAsia="Courier New" w:hAnsi="Courier New"/>
                <w:sz w:val="17"/>
                <w:szCs w:val="17"/>
                <w:color w:val="auto"/>
              </w:rPr>
              <w:t>SS#</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ind w:left="960" w:hanging="953"/>
        <w:spacing w:after="0"/>
        <w:tabs>
          <w:tab w:leader="none" w:pos="96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the Appropriate Box if a Member of a Group.  (See Instructions).</w:t>
      </w:r>
    </w:p>
    <w:p>
      <w:pPr>
        <w:spacing w:after="0" w:line="8" w:lineRule="exact"/>
        <w:rPr>
          <w:rFonts w:ascii="Courier New" w:cs="Courier New" w:eastAsia="Courier New" w:hAnsi="Courier New"/>
          <w:sz w:val="17"/>
          <w:szCs w:val="17"/>
          <w:color w:val="auto"/>
        </w:rPr>
      </w:pPr>
    </w:p>
    <w:p>
      <w:pPr>
        <w:ind w:left="8080" w:hanging="846"/>
        <w:spacing w:after="0"/>
        <w:tabs>
          <w:tab w:leader="none" w:pos="80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[v]</w:t>
      </w:r>
    </w:p>
    <w:p>
      <w:pPr>
        <w:spacing w:after="0" w:line="8" w:lineRule="exact"/>
        <w:rPr>
          <w:rFonts w:ascii="Courier New" w:cs="Courier New" w:eastAsia="Courier New" w:hAnsi="Courier New"/>
          <w:sz w:val="17"/>
          <w:szCs w:val="17"/>
          <w:color w:val="auto"/>
        </w:rPr>
      </w:pPr>
    </w:p>
    <w:p>
      <w:pPr>
        <w:ind w:left="8080" w:hanging="846"/>
        <w:spacing w:after="0"/>
        <w:tabs>
          <w:tab w:leader="none" w:pos="808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ind w:left="960" w:hanging="953"/>
        <w:spacing w:after="0"/>
        <w:tabs>
          <w:tab w:leader="none" w:pos="96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4"/>
          <w:szCs w:val="24"/>
          <w:color w:val="auto"/>
        </w:rPr>
      </w:pPr>
    </w:p>
    <w:p>
      <w:pPr>
        <w:jc w:val="both"/>
        <w:ind w:left="960" w:right="7699" w:hanging="953"/>
        <w:spacing w:after="0" w:line="508" w:lineRule="auto"/>
        <w:tabs>
          <w:tab w:leader="none" w:pos="96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Source of Funds Not applicable.</w:t>
      </w:r>
    </w:p>
    <w:p>
      <w:pPr>
        <w:sectPr>
          <w:pgSz w:w="11900" w:h="16838" w:orient="portrait"/>
          <w:cols w:equalWidth="0" w:num="1">
            <w:col w:w="10219"/>
          </w:cols>
          <w:pgMar w:left="240" w:top="249"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960" w:hanging="953"/>
        <w:spacing w:after="0"/>
        <w:tabs>
          <w:tab w:leader="none" w:pos="9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Disclosure of Legal Proceedings is Required Pursuant to</w:t>
      </w:r>
    </w:p>
    <w:p>
      <w:pPr>
        <w:spacing w:after="0" w:line="9" w:lineRule="exact"/>
        <w:rPr>
          <w:sz w:val="20"/>
          <w:szCs w:val="20"/>
          <w:color w:val="auto"/>
        </w:rPr>
      </w:pPr>
    </w:p>
    <w:p>
      <w:pPr>
        <w:ind w:left="960"/>
        <w:spacing w:after="0"/>
        <w:tabs>
          <w:tab w:leader="none" w:pos="8060" w:val="left"/>
        </w:tabs>
        <w:rPr>
          <w:sz w:val="20"/>
          <w:szCs w:val="20"/>
          <w:color w:val="auto"/>
        </w:rPr>
      </w:pPr>
      <w:r>
        <w:rPr>
          <w:rFonts w:ascii="Courier New" w:cs="Courier New" w:eastAsia="Courier New" w:hAnsi="Courier New"/>
          <w:sz w:val="17"/>
          <w:szCs w:val="17"/>
          <w:color w:val="auto"/>
        </w:rPr>
        <w:t>Items 2(d) or 2(e)</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960" w:hanging="953"/>
        <w:spacing w:after="0"/>
        <w:tabs>
          <w:tab w:leader="none" w:pos="9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or Place of Organization.</w:t>
      </w:r>
    </w:p>
    <w:p>
      <w:pPr>
        <w:spacing w:after="0" w:line="210" w:lineRule="exact"/>
        <w:rPr>
          <w:rFonts w:ascii="Courier New" w:cs="Courier New" w:eastAsia="Courier New" w:hAnsi="Courier New"/>
          <w:sz w:val="17"/>
          <w:szCs w:val="17"/>
          <w:color w:val="auto"/>
        </w:rPr>
      </w:pPr>
    </w:p>
    <w:p>
      <w:pPr>
        <w:ind w:left="960" w:right="26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Hanson Capital Partners, L.L.C. is a Delaware limited liability company.</w:t>
      </w:r>
    </w:p>
    <w:p>
      <w:pPr>
        <w:spacing w:after="0" w:line="191" w:lineRule="exact"/>
        <w:rPr>
          <w:rFonts w:ascii="Courier New" w:cs="Courier New" w:eastAsia="Courier New" w:hAnsi="Courier New"/>
          <w:sz w:val="17"/>
          <w:szCs w:val="17"/>
          <w:color w:val="auto"/>
        </w:rPr>
      </w:pPr>
    </w:p>
    <w:p>
      <w:pPr>
        <w:ind w:left="960" w:right="183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Luise V. Hanson, John V. Hanson, Mary Joan Boman and Paul D. Hanson are United States citizens.</w:t>
      </w:r>
    </w:p>
    <w:p>
      <w:pPr>
        <w:sectPr>
          <w:pgSz w:w="11900" w:h="16838" w:orient="portrait"/>
          <w:cols w:equalWidth="0" w:num="1">
            <w:col w:w="10219"/>
          </w:cols>
          <w:pgMar w:left="240" w:top="34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7"/>
        </w:trPr>
        <w:tc>
          <w:tcPr>
            <w:tcW w:w="2460" w:type="dxa"/>
            <w:vAlign w:val="bottom"/>
          </w:tcPr>
          <w:p>
            <w:pPr>
              <w:spacing w:after="0"/>
              <w:rPr>
                <w:sz w:val="20"/>
                <w:szCs w:val="20"/>
                <w:color w:val="auto"/>
              </w:rPr>
            </w:pPr>
            <w:r>
              <w:rPr>
                <w:rFonts w:ascii="Courier New" w:cs="Courier New" w:eastAsia="Courier New" w:hAnsi="Courier New"/>
                <w:sz w:val="17"/>
                <w:szCs w:val="17"/>
                <w:color w:val="auto"/>
              </w:rPr>
              <w:t>CUSIP No. 974637100</w:t>
            </w: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1420"/>
              <w:spacing w:after="0"/>
              <w:rPr>
                <w:sz w:val="20"/>
                <w:szCs w:val="20"/>
                <w:color w:val="auto"/>
              </w:rPr>
            </w:pPr>
            <w:r>
              <w:rPr>
                <w:rFonts w:ascii="Courier New" w:cs="Courier New" w:eastAsia="Courier New" w:hAnsi="Courier New"/>
                <w:sz w:val="17"/>
                <w:szCs w:val="17"/>
                <w:color w:val="auto"/>
              </w:rPr>
              <w:t>Page 2</w:t>
            </w:r>
          </w:p>
        </w:tc>
      </w:tr>
      <w:tr>
        <w:trPr>
          <w:trHeight w:val="201"/>
        </w:trPr>
        <w:tc>
          <w:tcPr>
            <w:tcW w:w="11520" w:type="dxa"/>
            <w:vAlign w:val="bottom"/>
            <w:gridSpan w:val="4"/>
          </w:tcPr>
          <w:p>
            <w:pPr>
              <w:spacing w:after="0"/>
              <w:rPr>
                <w:sz w:val="20"/>
                <w:szCs w:val="20"/>
                <w:color w:val="auto"/>
              </w:rPr>
            </w:pPr>
            <w:r>
              <w:rPr>
                <w:rFonts w:ascii="Courier New" w:cs="Courier New" w:eastAsia="Courier New" w:hAnsi="Courier New"/>
                <w:sz w:val="17"/>
                <w:szCs w:val="17"/>
                <w:color w:val="auto"/>
              </w:rPr>
              <w:t>- --------------------------------------------------------------------------------</w:t>
            </w:r>
          </w:p>
        </w:tc>
      </w:tr>
      <w:tr>
        <w:trPr>
          <w:trHeight w:val="806"/>
        </w:trPr>
        <w:tc>
          <w:tcPr>
            <w:tcW w:w="246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Courier New" w:cs="Courier New" w:eastAsia="Courier New" w:hAnsi="Courier New"/>
                <w:sz w:val="17"/>
                <w:szCs w:val="17"/>
                <w:color w:val="auto"/>
              </w:rPr>
              <w:t>----------------------------------------------------------------------------</w:t>
            </w:r>
          </w:p>
        </w:tc>
      </w:tr>
      <w:tr>
        <w:trPr>
          <w:trHeight w:val="403"/>
        </w:trPr>
        <w:tc>
          <w:tcPr>
            <w:tcW w:w="2460" w:type="dxa"/>
            <w:vAlign w:val="bottom"/>
          </w:tcPr>
          <w:p>
            <w:pPr>
              <w:spacing w:after="0"/>
              <w:rPr>
                <w:sz w:val="24"/>
                <w:szCs w:val="24"/>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7"/>
                <w:szCs w:val="17"/>
                <w:color w:val="auto"/>
              </w:rPr>
              <w:t>(7)</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Sole Voting Power.</w:t>
            </w:r>
          </w:p>
        </w:tc>
        <w:tc>
          <w:tcPr>
            <w:tcW w:w="5180" w:type="dxa"/>
            <w:vAlign w:val="bottom"/>
          </w:tcPr>
          <w:p>
            <w:pPr>
              <w:spacing w:after="0"/>
              <w:rPr>
                <w:sz w:val="24"/>
                <w:szCs w:val="24"/>
                <w:color w:val="auto"/>
              </w:rPr>
            </w:pP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Hanson Capital</w:t>
            </w:r>
          </w:p>
        </w:tc>
        <w:tc>
          <w:tcPr>
            <w:tcW w:w="518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Partners, L.L.C.</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7,396,306 shares (35.9%)</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Luise V. Hanson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7,396,306 shares (35.9%)</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John V. Hanson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16,630 (includes 100 shares owned by wife,</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500 shares held as custodian for son and</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16,000 shares which John V. Hanson has a</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right to acquire)*</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Mary Joan Boman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153,882 (includes 95,711 shares owned by</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husband, Gerald E. Boman, and 16,000 shares</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which Gerald E. Boman has the right to</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acquire)*</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Paul D. Hanson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160 shares*</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*less than 1.0 percent.</w:t>
            </w:r>
          </w:p>
        </w:tc>
        <w:tc>
          <w:tcPr>
            <w:tcW w:w="5180" w:type="dxa"/>
            <w:vAlign w:val="bottom"/>
          </w:tcPr>
          <w:p>
            <w:pPr>
              <w:spacing w:after="0"/>
              <w:rPr>
                <w:sz w:val="17"/>
                <w:szCs w:val="17"/>
                <w:color w:val="auto"/>
              </w:rPr>
            </w:pPr>
          </w:p>
        </w:tc>
      </w:tr>
      <w:tr>
        <w:trPr>
          <w:trHeight w:val="403"/>
        </w:trPr>
        <w:tc>
          <w:tcPr>
            <w:tcW w:w="2460" w:type="dxa"/>
            <w:vAlign w:val="bottom"/>
          </w:tcPr>
          <w:p>
            <w:pPr>
              <w:ind w:left="960"/>
              <w:spacing w:after="0"/>
              <w:rPr>
                <w:sz w:val="20"/>
                <w:szCs w:val="20"/>
                <w:color w:val="auto"/>
              </w:rPr>
            </w:pPr>
            <w:r>
              <w:rPr>
                <w:rFonts w:ascii="Courier New" w:cs="Courier New" w:eastAsia="Courier New" w:hAnsi="Courier New"/>
                <w:sz w:val="17"/>
                <w:szCs w:val="17"/>
                <w:color w:val="auto"/>
              </w:rPr>
              <w:t>NUMBER OF</w:t>
            </w:r>
          </w:p>
        </w:tc>
        <w:tc>
          <w:tcPr>
            <w:tcW w:w="14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1"/>
        </w:trPr>
        <w:tc>
          <w:tcPr>
            <w:tcW w:w="24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SHARES</w:t>
            </w:r>
          </w:p>
        </w:tc>
        <w:tc>
          <w:tcPr>
            <w:tcW w:w="38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4"/>
              </w:rPr>
              <w:t>----------------------------------------------------------------------------</w:t>
            </w:r>
          </w:p>
        </w:tc>
        <w:tc>
          <w:tcPr>
            <w:tcW w:w="5180" w:type="dxa"/>
            <w:vAlign w:val="bottom"/>
          </w:tcPr>
          <w:p>
            <w:pPr>
              <w:spacing w:after="0"/>
              <w:rPr>
                <w:sz w:val="17"/>
                <w:szCs w:val="17"/>
                <w:color w:val="auto"/>
              </w:rPr>
            </w:pPr>
          </w:p>
        </w:tc>
      </w:tr>
      <w:tr>
        <w:trPr>
          <w:trHeight w:val="201"/>
        </w:trPr>
        <w:tc>
          <w:tcPr>
            <w:tcW w:w="24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BENEFICIALLY</w:t>
            </w:r>
          </w:p>
        </w:tc>
        <w:tc>
          <w:tcPr>
            <w:tcW w:w="1420" w:type="dxa"/>
            <w:vAlign w:val="bottom"/>
          </w:tcPr>
          <w:p>
            <w:pPr>
              <w:ind w:left="480"/>
              <w:spacing w:after="0"/>
              <w:rPr>
                <w:sz w:val="20"/>
                <w:szCs w:val="20"/>
                <w:color w:val="auto"/>
              </w:rPr>
            </w:pPr>
            <w:r>
              <w:rPr>
                <w:rFonts w:ascii="Courier New" w:cs="Courier New" w:eastAsia="Courier New" w:hAnsi="Courier New"/>
                <w:sz w:val="17"/>
                <w:szCs w:val="17"/>
                <w:color w:val="auto"/>
              </w:rPr>
              <w:t>(8)</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Shared Voting Power.</w:t>
            </w:r>
          </w:p>
        </w:tc>
        <w:tc>
          <w:tcPr>
            <w:tcW w:w="5180" w:type="dxa"/>
            <w:vAlign w:val="bottom"/>
          </w:tcPr>
          <w:p>
            <w:pPr>
              <w:spacing w:after="0"/>
              <w:rPr>
                <w:sz w:val="17"/>
                <w:szCs w:val="17"/>
                <w:color w:val="auto"/>
              </w:rPr>
            </w:pPr>
          </w:p>
        </w:tc>
      </w:tr>
      <w:tr>
        <w:trPr>
          <w:trHeight w:val="201"/>
        </w:trPr>
        <w:tc>
          <w:tcPr>
            <w:tcW w:w="24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OWNED BY</w:t>
            </w: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01"/>
        </w:trPr>
        <w:tc>
          <w:tcPr>
            <w:tcW w:w="24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EACH</w:t>
            </w:r>
          </w:p>
        </w:tc>
        <w:tc>
          <w:tcPr>
            <w:tcW w:w="1420" w:type="dxa"/>
            <w:vAlign w:val="bottom"/>
          </w:tcPr>
          <w:p>
            <w:pPr>
              <w:spacing w:after="0"/>
              <w:rPr>
                <w:sz w:val="17"/>
                <w:szCs w:val="17"/>
                <w:color w:val="auto"/>
              </w:rPr>
            </w:pPr>
          </w:p>
        </w:tc>
        <w:tc>
          <w:tcPr>
            <w:tcW w:w="2460" w:type="dxa"/>
            <w:vAlign w:val="bottom"/>
          </w:tcPr>
          <w:p>
            <w:pPr>
              <w:ind w:left="940"/>
              <w:spacing w:after="0"/>
              <w:rPr>
                <w:sz w:val="20"/>
                <w:szCs w:val="20"/>
                <w:color w:val="auto"/>
              </w:rPr>
            </w:pPr>
            <w:r>
              <w:rPr>
                <w:rFonts w:ascii="Courier New" w:cs="Courier New" w:eastAsia="Courier New" w:hAnsi="Courier New"/>
                <w:sz w:val="17"/>
                <w:szCs w:val="17"/>
                <w:color w:val="auto"/>
              </w:rPr>
              <w:t>Not Applicable</w:t>
            </w:r>
          </w:p>
        </w:tc>
        <w:tc>
          <w:tcPr>
            <w:tcW w:w="5180" w:type="dxa"/>
            <w:vAlign w:val="bottom"/>
          </w:tcPr>
          <w:p>
            <w:pPr>
              <w:spacing w:after="0"/>
              <w:rPr>
                <w:sz w:val="17"/>
                <w:szCs w:val="17"/>
                <w:color w:val="auto"/>
              </w:rPr>
            </w:pPr>
          </w:p>
        </w:tc>
      </w:tr>
      <w:tr>
        <w:trPr>
          <w:trHeight w:val="201"/>
        </w:trPr>
        <w:tc>
          <w:tcPr>
            <w:tcW w:w="2460" w:type="dxa"/>
            <w:vAlign w:val="bottom"/>
          </w:tcPr>
          <w:p>
            <w:pPr>
              <w:ind w:left="960"/>
              <w:spacing w:after="0"/>
              <w:rPr>
                <w:sz w:val="20"/>
                <w:szCs w:val="20"/>
                <w:color w:val="auto"/>
              </w:rPr>
            </w:pPr>
            <w:r>
              <w:rPr>
                <w:rFonts w:ascii="Courier New" w:cs="Courier New" w:eastAsia="Courier New" w:hAnsi="Courier New"/>
                <w:sz w:val="17"/>
                <w:szCs w:val="17"/>
                <w:color w:val="auto"/>
              </w:rPr>
              <w:t>REPORTING</w:t>
            </w:r>
          </w:p>
        </w:tc>
        <w:tc>
          <w:tcPr>
            <w:tcW w:w="38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4"/>
              </w:rPr>
              <w:t>----------------------------------------------------------------------------</w:t>
            </w:r>
          </w:p>
        </w:tc>
        <w:tc>
          <w:tcPr>
            <w:tcW w:w="5180" w:type="dxa"/>
            <w:vAlign w:val="bottom"/>
          </w:tcPr>
          <w:p>
            <w:pPr>
              <w:spacing w:after="0"/>
              <w:rPr>
                <w:sz w:val="17"/>
                <w:szCs w:val="17"/>
                <w:color w:val="auto"/>
              </w:rPr>
            </w:pPr>
          </w:p>
        </w:tc>
      </w:tr>
      <w:tr>
        <w:trPr>
          <w:trHeight w:val="201"/>
        </w:trPr>
        <w:tc>
          <w:tcPr>
            <w:tcW w:w="24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PERSON</w:t>
            </w:r>
          </w:p>
        </w:tc>
        <w:tc>
          <w:tcPr>
            <w:tcW w:w="1420" w:type="dxa"/>
            <w:vAlign w:val="bottom"/>
          </w:tcPr>
          <w:p>
            <w:pPr>
              <w:ind w:left="480"/>
              <w:spacing w:after="0"/>
              <w:rPr>
                <w:sz w:val="20"/>
                <w:szCs w:val="20"/>
                <w:color w:val="auto"/>
              </w:rPr>
            </w:pPr>
            <w:r>
              <w:rPr>
                <w:rFonts w:ascii="Courier New" w:cs="Courier New" w:eastAsia="Courier New" w:hAnsi="Courier New"/>
                <w:sz w:val="17"/>
                <w:szCs w:val="17"/>
                <w:color w:val="auto"/>
              </w:rPr>
              <w:t>(9)</w:t>
            </w: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Sole Dispositive Power.</w:t>
            </w:r>
          </w:p>
        </w:tc>
        <w:tc>
          <w:tcPr>
            <w:tcW w:w="518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Hanson Capital</w:t>
            </w:r>
          </w:p>
        </w:tc>
        <w:tc>
          <w:tcPr>
            <w:tcW w:w="518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ind w:left="320"/>
              <w:spacing w:after="0"/>
              <w:rPr>
                <w:sz w:val="20"/>
                <w:szCs w:val="20"/>
                <w:color w:val="auto"/>
              </w:rPr>
            </w:pPr>
            <w:r>
              <w:rPr>
                <w:rFonts w:ascii="Courier New" w:cs="Courier New" w:eastAsia="Courier New" w:hAnsi="Courier New"/>
                <w:sz w:val="17"/>
                <w:szCs w:val="17"/>
                <w:color w:val="auto"/>
              </w:rPr>
              <w:t>Partners, L.L.C.</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7,396,306 shares (35.9%)</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Luise V. Hanson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7,396,306 shares (except that disposition of</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all or substantially all of these shares requires</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the unanimous approval of all members of</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Hanson Capital Partners, L.L.C.) (35.9%)</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John V. Hanson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16,630 (includes 100 shares owned by wife,</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500 shares held as custodian for son and</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16,000 shares which John V. Hanson has a</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right to acquire)*</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Mary Joan Boman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153,882 (includes 95,711 shares owned by</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husband, Gerald E. Boman, and 16,000 shares</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which Gerald E. Boman has the right to</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acquire)*</w:t>
            </w:r>
          </w:p>
        </w:tc>
      </w:tr>
      <w:tr>
        <w:trPr>
          <w:trHeight w:val="403"/>
        </w:trPr>
        <w:tc>
          <w:tcPr>
            <w:tcW w:w="2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Paul D. Hanson</w:t>
            </w:r>
          </w:p>
        </w:tc>
        <w:tc>
          <w:tcPr>
            <w:tcW w:w="5180" w:type="dxa"/>
            <w:vAlign w:val="bottom"/>
          </w:tcPr>
          <w:p>
            <w:pPr>
              <w:ind w:left="60"/>
              <w:spacing w:after="0"/>
              <w:rPr>
                <w:sz w:val="20"/>
                <w:szCs w:val="20"/>
                <w:color w:val="auto"/>
              </w:rPr>
            </w:pPr>
            <w:r>
              <w:rPr>
                <w:rFonts w:ascii="Courier New" w:cs="Courier New" w:eastAsia="Courier New" w:hAnsi="Courier New"/>
                <w:sz w:val="17"/>
                <w:szCs w:val="17"/>
                <w:color w:val="auto"/>
              </w:rPr>
              <w:t>160 shares*</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*less than 1.0 percent.</w:t>
            </w:r>
          </w:p>
        </w:tc>
        <w:tc>
          <w:tcPr>
            <w:tcW w:w="5180" w:type="dxa"/>
            <w:vAlign w:val="bottom"/>
          </w:tcPr>
          <w:p>
            <w:pPr>
              <w:spacing w:after="0"/>
              <w:rPr>
                <w:sz w:val="17"/>
                <w:szCs w:val="17"/>
                <w:color w:val="auto"/>
              </w:rPr>
            </w:pPr>
          </w:p>
        </w:tc>
      </w:tr>
      <w:tr>
        <w:trPr>
          <w:trHeight w:val="201"/>
        </w:trPr>
        <w:tc>
          <w:tcPr>
            <w:tcW w:w="2460" w:type="dxa"/>
            <w:vAlign w:val="bottom"/>
          </w:tcPr>
          <w:p>
            <w:pPr>
              <w:jc w:val="center"/>
              <w:ind w:left="193"/>
              <w:spacing w:after="0"/>
              <w:rPr>
                <w:sz w:val="20"/>
                <w:szCs w:val="20"/>
                <w:color w:val="auto"/>
              </w:rPr>
            </w:pPr>
            <w:r>
              <w:rPr>
                <w:rFonts w:ascii="Courier New" w:cs="Courier New" w:eastAsia="Courier New" w:hAnsi="Courier New"/>
                <w:sz w:val="17"/>
                <w:szCs w:val="17"/>
                <w:color w:val="auto"/>
              </w:rPr>
              <w:t>WITH</w:t>
            </w:r>
          </w:p>
        </w:tc>
        <w:tc>
          <w:tcPr>
            <w:tcW w:w="388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4"/>
              </w:rPr>
              <w:t>----------------------------------------------------------------------------</w:t>
            </w:r>
          </w:p>
        </w:tc>
        <w:tc>
          <w:tcPr>
            <w:tcW w:w="5180" w:type="dxa"/>
            <w:vAlign w:val="bottom"/>
          </w:tcPr>
          <w:p>
            <w:pPr>
              <w:spacing w:after="0"/>
              <w:rPr>
                <w:sz w:val="17"/>
                <w:szCs w:val="17"/>
                <w:color w:val="auto"/>
              </w:rPr>
            </w:pPr>
          </w:p>
        </w:tc>
      </w:tr>
      <w:tr>
        <w:trPr>
          <w:trHeight w:val="201"/>
        </w:trPr>
        <w:tc>
          <w:tcPr>
            <w:tcW w:w="2460" w:type="dxa"/>
            <w:vAlign w:val="bottom"/>
          </w:tcPr>
          <w:p>
            <w:pPr>
              <w:spacing w:after="0"/>
              <w:rPr>
                <w:sz w:val="17"/>
                <w:szCs w:val="17"/>
                <w:color w:val="auto"/>
              </w:rPr>
            </w:pPr>
          </w:p>
        </w:tc>
        <w:tc>
          <w:tcPr>
            <w:tcW w:w="1420" w:type="dxa"/>
            <w:vAlign w:val="bottom"/>
          </w:tcPr>
          <w:p>
            <w:pPr>
              <w:ind w:left="480"/>
              <w:spacing w:after="0"/>
              <w:rPr>
                <w:sz w:val="20"/>
                <w:szCs w:val="20"/>
                <w:color w:val="auto"/>
              </w:rPr>
            </w:pPr>
            <w:r>
              <w:rPr>
                <w:rFonts w:ascii="Courier New" w:cs="Courier New" w:eastAsia="Courier New" w:hAnsi="Courier New"/>
                <w:sz w:val="17"/>
                <w:szCs w:val="17"/>
                <w:color w:val="auto"/>
              </w:rPr>
              <w:t>(10)</w:t>
            </w:r>
          </w:p>
        </w:tc>
        <w:tc>
          <w:tcPr>
            <w:tcW w:w="7640" w:type="dxa"/>
            <w:vAlign w:val="bottom"/>
            <w:gridSpan w:val="2"/>
          </w:tcPr>
          <w:p>
            <w:pPr>
              <w:spacing w:after="0"/>
              <w:rPr>
                <w:sz w:val="20"/>
                <w:szCs w:val="20"/>
                <w:color w:val="auto"/>
              </w:rPr>
            </w:pPr>
            <w:r>
              <w:rPr>
                <w:rFonts w:ascii="Courier New" w:cs="Courier New" w:eastAsia="Courier New" w:hAnsi="Courier New"/>
                <w:sz w:val="17"/>
                <w:szCs w:val="17"/>
                <w:color w:val="auto"/>
              </w:rPr>
              <w:t>Shared Dispositive Power.</w:t>
            </w:r>
          </w:p>
        </w:tc>
      </w:tr>
      <w:tr>
        <w:trPr>
          <w:trHeight w:val="201"/>
        </w:trPr>
        <w:tc>
          <w:tcPr>
            <w:tcW w:w="2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Courier New" w:cs="Courier New" w:eastAsia="Courier New" w:hAnsi="Courier New"/>
                <w:sz w:val="17"/>
                <w:szCs w:val="17"/>
                <w:color w:val="auto"/>
              </w:rPr>
              <w:t>See (9) above.</w:t>
            </w:r>
          </w:p>
        </w:tc>
        <w:tc>
          <w:tcPr>
            <w:tcW w:w="5180" w:type="dxa"/>
            <w:vAlign w:val="bottom"/>
          </w:tcPr>
          <w:p>
            <w:pPr>
              <w:spacing w:after="0"/>
              <w:rPr>
                <w:sz w:val="17"/>
                <w:szCs w:val="17"/>
                <w:color w:val="auto"/>
              </w:rPr>
            </w:pPr>
          </w:p>
        </w:tc>
      </w:tr>
    </w:tbl>
    <w:p>
      <w:pPr>
        <w:sectPr>
          <w:pgSz w:w="11900" w:h="16838" w:orient="portrait"/>
          <w:cols w:equalWidth="0" w:num="1">
            <w:col w:w="11520"/>
          </w:cols>
          <w:pgMar w:left="240" w:top="719" w:right="139" w:bottom="1440" w:gutter="0" w:footer="0" w:header="0"/>
        </w:sectPr>
      </w:pPr>
    </w:p>
    <w:bookmarkStart w:id="3" w:name="page4"/>
    <w:bookmarkEnd w:id="3"/>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3</w:t>
      </w:r>
    </w:p>
    <w:p>
      <w:pPr>
        <w:spacing w:after="0" w:line="9" w:lineRule="exact"/>
        <w:rPr>
          <w:sz w:val="20"/>
          <w:szCs w:val="20"/>
          <w:color w:val="auto"/>
        </w:rPr>
      </w:pP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14"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960" w:right="2879" w:hanging="953"/>
        <w:spacing w:after="0" w:line="508" w:lineRule="auto"/>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 See (7) and (9) above.</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if the Aggregate Amount in Row (11) Excludes Certain Shares</w:t>
      </w:r>
    </w:p>
    <w:p>
      <w:pPr>
        <w:spacing w:after="0" w:line="210" w:lineRule="exact"/>
        <w:rPr>
          <w:sz w:val="20"/>
          <w:szCs w:val="20"/>
          <w:color w:val="auto"/>
        </w:rPr>
      </w:pPr>
    </w:p>
    <w:p>
      <w:pPr>
        <w:ind w:left="960"/>
        <w:spacing w:after="0"/>
        <w:tabs>
          <w:tab w:leader="none" w:pos="8060" w:val="left"/>
        </w:tabs>
        <w:rPr>
          <w:sz w:val="20"/>
          <w:szCs w:val="20"/>
          <w:color w:val="auto"/>
        </w:rPr>
      </w:pPr>
      <w:r>
        <w:rPr>
          <w:rFonts w:ascii="Courier New" w:cs="Courier New" w:eastAsia="Courier New" w:hAnsi="Courier New"/>
          <w:sz w:val="17"/>
          <w:szCs w:val="17"/>
          <w:color w:val="auto"/>
        </w:rPr>
        <w:t>(See Instructions).</w:t>
      </w:r>
      <w:r>
        <w:rPr>
          <w:sz w:val="20"/>
          <w:szCs w:val="20"/>
          <w:color w:val="auto"/>
        </w:rPr>
        <w:tab/>
      </w: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12" w:lineRule="exact"/>
        <w:rPr>
          <w:sz w:val="20"/>
          <w:szCs w:val="20"/>
          <w:color w:val="auto"/>
        </w:rPr>
      </w:pPr>
    </w:p>
    <w:p>
      <w:pPr>
        <w:ind w:left="960" w:right="3919" w:hanging="953"/>
        <w:spacing w:after="0" w:line="508" w:lineRule="auto"/>
        <w:tabs>
          <w:tab w:leader="none" w:pos="96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Percent of Class Represented by Amount in Row (11). See (7) and (9) above.</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960" w:right="4659" w:hanging="953"/>
        <w:spacing w:after="0" w:line="502" w:lineRule="auto"/>
        <w:tabs>
          <w:tab w:leader="none" w:pos="96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(See Instructions). Hanson Capital Partners, L.L.C., CO.</w:t>
      </w:r>
    </w:p>
    <w:p>
      <w:pPr>
        <w:ind w:left="960" w:right="287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Luise V. Hanson, IN; John V. Hanson, IN; Mary Joan Boman, IN; Paul D. Hanson, IN</w:t>
      </w:r>
    </w:p>
    <w:p>
      <w:pPr>
        <w:spacing w:after="0" w:line="3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1.</w:t>
        <w:tab/>
        <w:t>SECURITY AND ISSUER.</w:t>
      </w:r>
    </w:p>
    <w:p>
      <w:pPr>
        <w:spacing w:after="0" w:line="210" w:lineRule="exact"/>
        <w:rPr>
          <w:sz w:val="20"/>
          <w:szCs w:val="20"/>
          <w:color w:val="auto"/>
        </w:rPr>
      </w:pPr>
    </w:p>
    <w:p>
      <w:pPr>
        <w:ind w:right="2459" w:firstLine="943"/>
        <w:spacing w:after="0" w:line="253" w:lineRule="auto"/>
        <w:rPr>
          <w:sz w:val="20"/>
          <w:szCs w:val="20"/>
          <w:color w:val="auto"/>
        </w:rPr>
      </w:pPr>
      <w:r>
        <w:rPr>
          <w:rFonts w:ascii="Courier New" w:cs="Courier New" w:eastAsia="Courier New" w:hAnsi="Courier New"/>
          <w:sz w:val="17"/>
          <w:szCs w:val="17"/>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2.</w:t>
        <w:tab/>
        <w:t>IDENTITY AND BACKGROUND.</w:t>
      </w:r>
    </w:p>
    <w:p>
      <w:pPr>
        <w:spacing w:after="0" w:line="210"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This statement is being filed by Hanson Capital Partners, L.L.C., Luise V. Hanson, John V. Hanson, Mary Joan Boman and Paul D. Hanson. Hanson Capital Partners, L.L.C. ("HCP") is a Delaware limited liability company which is currently comprised of two members, the Luise V. Hanson Qualified Terminable Interest Property Marital Deduction Trust (the "QTIP TRUST") and the Luise V. Hanson Revocable Trust dated September 22, 1984 (the "REVOCABLE TRUST"). The business address for HCP is c/o Mr. John V. Hanson, 8880 South Ocean Drive, #1110, Jensen Beach, Florida 34957. The business address for the QTIP Trust is c/o Ms. Linda K. Johnson, Manufacturers Bank and Trust Company, 245 East J Street, P.O. Box 450, Forest City, Iowa 50436. The business address for the Revocable Trust is c/o Mrs. Luise V. Hanson, 860 SE Central Parkway, Unit 142, Stuart, Florida 34994. The general purpose of HCP is to provide a business structure for the members of the family of Luise V. Hanson and trusts to enable them to pool and invest assets under consolidated ownership and management. Mrs. Luise V. Hanson is retired and her</w:t>
      </w:r>
    </w:p>
    <w:p>
      <w:pPr>
        <w:sectPr>
          <w:pgSz w:w="11900" w:h="16838" w:orient="portrait"/>
          <w:cols w:equalWidth="0" w:num="1">
            <w:col w:w="10219"/>
          </w:cols>
          <w:pgMar w:left="240" w:top="719" w:right="1440" w:bottom="1440" w:gutter="0" w:footer="0" w:header="0"/>
        </w:sectPr>
      </w:pPr>
    </w:p>
    <w:bookmarkStart w:id="4" w:name="page5"/>
    <w:bookmarkEnd w:id="4"/>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1939"/>
        <w:spacing w:after="0" w:line="252" w:lineRule="auto"/>
        <w:rPr>
          <w:sz w:val="20"/>
          <w:szCs w:val="20"/>
          <w:color w:val="auto"/>
        </w:rPr>
      </w:pPr>
      <w:r>
        <w:rPr>
          <w:rFonts w:ascii="Courier New" w:cs="Courier New" w:eastAsia="Courier New" w:hAnsi="Courier New"/>
          <w:sz w:val="17"/>
          <w:szCs w:val="17"/>
          <w:color w:val="auto"/>
        </w:rPr>
        <w:t>residence address is 860 SE Central Parkway, Unit 142, Stuart, Florida 34994. Mr. John V. Hanson is retired and his residence address is 8880 South Ocean Drive, #1110, Jensen Beach, Florida 34957. Mrs. Mary Joan Boman is retired and her residence address is 743 S.W. Thornhill Lane, Palm City, Florida 34990. Mr. Paul D. Hanson is retired and his residence address is 60 W. Pelican Street, #106, Naples, Florida 33962.</w:t>
      </w:r>
    </w:p>
    <w:p>
      <w:pPr>
        <w:spacing w:after="0" w:line="197" w:lineRule="exact"/>
        <w:rPr>
          <w:sz w:val="20"/>
          <w:szCs w:val="20"/>
          <w:color w:val="auto"/>
        </w:rPr>
      </w:pPr>
    </w:p>
    <w:p>
      <w:pPr>
        <w:ind w:right="2139" w:firstLine="943"/>
        <w:spacing w:after="0" w:line="253" w:lineRule="auto"/>
        <w:rPr>
          <w:sz w:val="20"/>
          <w:szCs w:val="20"/>
          <w:color w:val="auto"/>
        </w:rPr>
      </w:pPr>
      <w:r>
        <w:rPr>
          <w:rFonts w:ascii="Courier New" w:cs="Courier New" w:eastAsia="Courier New" w:hAnsi="Courier New"/>
          <w:sz w:val="17"/>
          <w:szCs w:val="17"/>
          <w:color w:val="auto"/>
        </w:rPr>
        <w:t>Luise V. Hanson is the trustee under the Revocable Trust which has a 65.1% membership interest in HCP. John V. Hanson, Mary Joan Boman, Paul D. Hanson and Bessemer Trust Company, N.A. are co-trustees under the QTIP Trust which has a 34.9% membership interest in HCP.</w:t>
      </w:r>
    </w:p>
    <w:p>
      <w:pPr>
        <w:spacing w:after="0" w:line="195" w:lineRule="exact"/>
        <w:rPr>
          <w:sz w:val="20"/>
          <w:szCs w:val="20"/>
          <w:color w:val="auto"/>
        </w:rPr>
      </w:pPr>
    </w:p>
    <w:p>
      <w:pPr>
        <w:ind w:right="1839" w:firstLine="943"/>
        <w:spacing w:after="0" w:line="251" w:lineRule="auto"/>
        <w:rPr>
          <w:sz w:val="20"/>
          <w:szCs w:val="20"/>
          <w:color w:val="auto"/>
        </w:rPr>
      </w:pPr>
      <w:r>
        <w:rPr>
          <w:rFonts w:ascii="Courier New" w:cs="Courier New" w:eastAsia="Courier New" w:hAnsi="Courier New"/>
          <w:sz w:val="17"/>
          <w:szCs w:val="17"/>
          <w:color w:val="auto"/>
        </w:rPr>
        <w:t>None of HCP, Luise V. Hanson, John V. Hanson, Mary Joan Boman, and Paul D. Hanson has, during the last five years, been convicted in a criminal proceeding (excluding traffic violations or similar misdemeanors). Further, none of HCP, Luise V. Hanson,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1"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Luise V. Hanson, John V. Hanson, Mary Joan Boman and Paul D. Hanson are United States citizens.</w:t>
      </w:r>
    </w:p>
    <w:p>
      <w:pPr>
        <w:spacing w:after="0" w:line="3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3.</w:t>
        <w:tab/>
        <w:t>SOURCE AND AMOUNT OF FUNDS OR OTHER CONSIDERATION.</w:t>
      </w:r>
    </w:p>
    <w:p>
      <w:pPr>
        <w:spacing w:after="0" w:line="210" w:lineRule="exact"/>
        <w:rPr>
          <w:sz w:val="20"/>
          <w:szCs w:val="20"/>
          <w:color w:val="auto"/>
        </w:rPr>
      </w:pPr>
    </w:p>
    <w:p>
      <w:pPr>
        <w:ind w:right="1839" w:firstLine="943"/>
        <w:spacing w:after="0" w:line="253" w:lineRule="auto"/>
        <w:rPr>
          <w:sz w:val="20"/>
          <w:szCs w:val="20"/>
          <w:color w:val="auto"/>
        </w:rPr>
      </w:pPr>
      <w:r>
        <w:rPr>
          <w:rFonts w:ascii="Courier New" w:cs="Courier New" w:eastAsia="Courier New" w:hAnsi="Courier New"/>
          <w:sz w:val="17"/>
          <w:szCs w:val="17"/>
          <w:color w:val="auto"/>
        </w:rPr>
        <w:t>NOT APPLICABLE. This amendment is being filed to report a change in the direct and indirect beneficial ownership by HCP and Luise V. Hanson of an aggregate of 585,000 shares of Common Stock. Reference is made to Item 4 for a description of the transactions.</w:t>
      </w:r>
    </w:p>
    <w:p>
      <w:pPr>
        <w:spacing w:after="0" w:line="3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4.</w:t>
        <w:tab/>
        <w:t>PURPOSE OF TRANSACTION.</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The QTIP Trust withdrew an aggregate of 435,000 shares of Common Stock from HCP on the following dates and sold them on the same dates at the following prices:</w:t>
      </w:r>
    </w:p>
    <w:p>
      <w:pPr>
        <w:spacing w:after="0" w:line="194" w:lineRule="exact"/>
        <w:rPr>
          <w:sz w:val="20"/>
          <w:szCs w:val="20"/>
          <w:color w:val="auto"/>
        </w:rPr>
      </w:pPr>
    </w:p>
    <w:tbl>
      <w:tblPr>
        <w:tblLayout w:type="fixed"/>
        <w:tblInd w:w="2840" w:type="dxa"/>
        <w:tblCellMar>
          <w:top w:w="0" w:type="dxa"/>
          <w:left w:w="0" w:type="dxa"/>
          <w:bottom w:w="0" w:type="dxa"/>
          <w:right w:w="0" w:type="dxa"/>
        </w:tblCellMar>
      </w:tblPr>
      <w:tr>
        <w:trPr>
          <w:trHeight w:val="197"/>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July 5, 2001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70,000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$28.889</w:t>
            </w: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July 6, 2001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104,000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$28.055</w:t>
            </w:r>
          </w:p>
        </w:tc>
      </w:tr>
      <w:tr>
        <w:trPr>
          <w:trHeight w:val="201"/>
        </w:trPr>
        <w:tc>
          <w:tcPr>
            <w:tcW w:w="780" w:type="dxa"/>
            <w:vAlign w:val="bottom"/>
          </w:tcPr>
          <w:p>
            <w:pPr>
              <w:spacing w:after="0"/>
              <w:rPr>
                <w:sz w:val="20"/>
                <w:szCs w:val="20"/>
                <w:color w:val="auto"/>
              </w:rPr>
            </w:pPr>
            <w:r>
              <w:rPr>
                <w:rFonts w:ascii="Courier New" w:cs="Courier New" w:eastAsia="Courier New" w:hAnsi="Courier New"/>
                <w:sz w:val="17"/>
                <w:szCs w:val="17"/>
                <w:color w:val="auto"/>
              </w:rPr>
              <w:t>July 9,</w:t>
            </w:r>
          </w:p>
        </w:tc>
        <w:tc>
          <w:tcPr>
            <w:tcW w:w="10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52,000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$26.974</w:t>
            </w:r>
          </w:p>
        </w:tc>
      </w:tr>
      <w:tr>
        <w:trPr>
          <w:trHeight w:val="201"/>
        </w:trPr>
        <w:tc>
          <w:tcPr>
            <w:tcW w:w="780" w:type="dxa"/>
            <w:vAlign w:val="bottom"/>
          </w:tcPr>
          <w:p>
            <w:pPr>
              <w:spacing w:after="0"/>
              <w:rPr>
                <w:sz w:val="20"/>
                <w:szCs w:val="20"/>
                <w:color w:val="auto"/>
              </w:rPr>
            </w:pPr>
            <w:r>
              <w:rPr>
                <w:rFonts w:ascii="Courier New" w:cs="Courier New" w:eastAsia="Courier New" w:hAnsi="Courier New"/>
                <w:sz w:val="17"/>
                <w:szCs w:val="17"/>
                <w:color w:val="auto"/>
              </w:rPr>
              <w:t>July 9,</w:t>
            </w:r>
          </w:p>
        </w:tc>
        <w:tc>
          <w:tcPr>
            <w:tcW w:w="10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2001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130,000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$27.00</w:t>
            </w:r>
          </w:p>
        </w:tc>
      </w:tr>
      <w:tr>
        <w:trPr>
          <w:trHeight w:val="201"/>
        </w:trPr>
        <w:tc>
          <w:tcPr>
            <w:tcW w:w="1780" w:type="dxa"/>
            <w:vAlign w:val="bottom"/>
            <w:gridSpan w:val="2"/>
          </w:tcPr>
          <w:p>
            <w:pPr>
              <w:spacing w:after="0"/>
              <w:rPr>
                <w:sz w:val="20"/>
                <w:szCs w:val="20"/>
                <w:color w:val="auto"/>
              </w:rPr>
            </w:pPr>
            <w:r>
              <w:rPr>
                <w:rFonts w:ascii="Courier New" w:cs="Courier New" w:eastAsia="Courier New" w:hAnsi="Courier New"/>
                <w:sz w:val="17"/>
                <w:szCs w:val="17"/>
                <w:color w:val="auto"/>
              </w:rPr>
              <w:t>July 10, 2001</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79,000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$27.00</w:t>
            </w:r>
          </w:p>
        </w:tc>
      </w:tr>
    </w:tbl>
    <w:p>
      <w:pPr>
        <w:spacing w:after="0" w:line="205" w:lineRule="exact"/>
        <w:rPr>
          <w:sz w:val="20"/>
          <w:szCs w:val="20"/>
          <w:color w:val="auto"/>
        </w:rPr>
      </w:pPr>
    </w:p>
    <w:p>
      <w:pPr>
        <w:ind w:right="2039" w:firstLine="943"/>
        <w:spacing w:after="0" w:line="254" w:lineRule="auto"/>
        <w:rPr>
          <w:sz w:val="20"/>
          <w:szCs w:val="20"/>
          <w:color w:val="auto"/>
        </w:rPr>
      </w:pPr>
      <w:r>
        <w:rPr>
          <w:rFonts w:ascii="Courier New" w:cs="Courier New" w:eastAsia="Courier New" w:hAnsi="Courier New"/>
          <w:sz w:val="17"/>
          <w:szCs w:val="17"/>
          <w:color w:val="auto"/>
        </w:rPr>
        <w:t>The Revocable Trust withdrew an aggregate of 150,000 shares of Common Stock from HCP on the following dates and sold them on the same dates at the following prices:</w:t>
      </w:r>
    </w:p>
    <w:p>
      <w:pPr>
        <w:spacing w:after="0" w:line="194" w:lineRule="exact"/>
        <w:rPr>
          <w:sz w:val="20"/>
          <w:szCs w:val="20"/>
          <w:color w:val="auto"/>
        </w:rPr>
      </w:pPr>
    </w:p>
    <w:tbl>
      <w:tblPr>
        <w:tblLayout w:type="fixed"/>
        <w:tblInd w:w="2840" w:type="dxa"/>
        <w:tblCellMar>
          <w:top w:w="0" w:type="dxa"/>
          <w:left w:w="0" w:type="dxa"/>
          <w:bottom w:w="0" w:type="dxa"/>
          <w:right w:w="0" w:type="dxa"/>
        </w:tblCellMar>
      </w:tblPr>
      <w:tr>
        <w:trPr>
          <w:trHeight w:val="197"/>
        </w:trPr>
        <w:tc>
          <w:tcPr>
            <w:tcW w:w="1820" w:type="dxa"/>
            <w:vAlign w:val="bottom"/>
            <w:gridSpan w:val="2"/>
          </w:tcPr>
          <w:p>
            <w:pPr>
              <w:spacing w:after="0"/>
              <w:rPr>
                <w:sz w:val="20"/>
                <w:szCs w:val="20"/>
                <w:color w:val="auto"/>
              </w:rPr>
            </w:pPr>
            <w:r>
              <w:rPr>
                <w:rFonts w:ascii="Courier New" w:cs="Courier New" w:eastAsia="Courier New" w:hAnsi="Courier New"/>
                <w:sz w:val="17"/>
                <w:szCs w:val="17"/>
                <w:color w:val="auto"/>
              </w:rPr>
              <w:t>July 10, 2001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25,000</w:t>
            </w:r>
          </w:p>
        </w:tc>
        <w:tc>
          <w:tcPr>
            <w:tcW w:w="1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shares @ $27.46</w:t>
            </w:r>
          </w:p>
        </w:tc>
      </w:tr>
      <w:tr>
        <w:trPr>
          <w:trHeight w:val="201"/>
        </w:trPr>
        <w:tc>
          <w:tcPr>
            <w:tcW w:w="880" w:type="dxa"/>
            <w:vAlign w:val="bottom"/>
          </w:tcPr>
          <w:p>
            <w:pPr>
              <w:spacing w:after="0"/>
              <w:rPr>
                <w:sz w:val="20"/>
                <w:szCs w:val="20"/>
                <w:color w:val="auto"/>
              </w:rPr>
            </w:pPr>
            <w:r>
              <w:rPr>
                <w:rFonts w:ascii="Courier New" w:cs="Courier New" w:eastAsia="Courier New" w:hAnsi="Courier New"/>
                <w:sz w:val="17"/>
                <w:szCs w:val="17"/>
                <w:color w:val="auto"/>
              </w:rPr>
              <w:t>July 12,</w:t>
            </w:r>
          </w:p>
        </w:tc>
        <w:tc>
          <w:tcPr>
            <w:tcW w:w="9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53,000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$28.05</w:t>
            </w:r>
          </w:p>
        </w:tc>
      </w:tr>
      <w:tr>
        <w:trPr>
          <w:trHeight w:val="201"/>
        </w:trPr>
        <w:tc>
          <w:tcPr>
            <w:tcW w:w="880" w:type="dxa"/>
            <w:vAlign w:val="bottom"/>
          </w:tcPr>
          <w:p>
            <w:pPr>
              <w:spacing w:after="0"/>
              <w:rPr>
                <w:sz w:val="20"/>
                <w:szCs w:val="20"/>
                <w:color w:val="auto"/>
              </w:rPr>
            </w:pPr>
            <w:r>
              <w:rPr>
                <w:rFonts w:ascii="Courier New" w:cs="Courier New" w:eastAsia="Courier New" w:hAnsi="Courier New"/>
                <w:sz w:val="17"/>
                <w:szCs w:val="17"/>
                <w:color w:val="auto"/>
              </w:rPr>
              <w:t>July 13,</w:t>
            </w:r>
          </w:p>
        </w:tc>
        <w:tc>
          <w:tcPr>
            <w:tcW w:w="9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2001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71,700</w:t>
            </w:r>
          </w:p>
        </w:tc>
        <w:tc>
          <w:tcPr>
            <w:tcW w:w="740" w:type="dxa"/>
            <w:vAlign w:val="bottom"/>
          </w:tcPr>
          <w:p>
            <w:pPr>
              <w:ind w:left="60"/>
              <w:spacing w:after="0"/>
              <w:rPr>
                <w:sz w:val="20"/>
                <w:szCs w:val="20"/>
                <w:color w:val="auto"/>
              </w:rPr>
            </w:pPr>
            <w:r>
              <w:rPr>
                <w:rFonts w:ascii="Courier New" w:cs="Courier New" w:eastAsia="Courier New" w:hAnsi="Courier New"/>
                <w:sz w:val="17"/>
                <w:szCs w:val="17"/>
                <w:color w:val="auto"/>
              </w:rPr>
              <w:t>shares</w:t>
            </w:r>
          </w:p>
        </w:tc>
        <w:tc>
          <w:tcPr>
            <w:tcW w:w="980" w:type="dxa"/>
            <w:vAlign w:val="bottom"/>
          </w:tcPr>
          <w:p>
            <w:pPr>
              <w:ind w:left="40"/>
              <w:spacing w:after="0"/>
              <w:rPr>
                <w:sz w:val="20"/>
                <w:szCs w:val="20"/>
                <w:color w:val="auto"/>
              </w:rPr>
            </w:pPr>
            <w:r>
              <w:rPr>
                <w:rFonts w:ascii="Courier New" w:cs="Courier New" w:eastAsia="Courier New" w:hAnsi="Courier New"/>
                <w:sz w:val="17"/>
                <w:szCs w:val="17"/>
                <w:color w:val="auto"/>
              </w:rPr>
              <w:t>@ $26.884</w:t>
            </w:r>
          </w:p>
        </w:tc>
      </w:tr>
    </w:tbl>
    <w:p>
      <w:pPr>
        <w:sectPr>
          <w:pgSz w:w="11900" w:h="16838" w:orient="portrait"/>
          <w:cols w:equalWidth="0" w:num="1">
            <w:col w:w="10219"/>
          </w:cols>
          <w:pgMar w:left="240" w:top="921" w:right="1440" w:bottom="1440" w:gutter="0" w:footer="0" w:header="0"/>
        </w:sectPr>
      </w:pPr>
    </w:p>
    <w:bookmarkStart w:id="5" w:name="page6"/>
    <w:bookmarkEnd w:id="5"/>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right="2139" w:firstLine="943"/>
        <w:spacing w:after="0" w:line="254" w:lineRule="auto"/>
        <w:rPr>
          <w:sz w:val="20"/>
          <w:szCs w:val="20"/>
          <w:color w:val="auto"/>
        </w:rPr>
      </w:pPr>
      <w:r>
        <w:rPr>
          <w:rFonts w:ascii="Courier New" w:cs="Courier New" w:eastAsia="Courier New" w:hAnsi="Courier New"/>
          <w:sz w:val="17"/>
          <w:szCs w:val="17"/>
          <w:color w:val="auto"/>
        </w:rPr>
        <w:t>The QTIP Trust and the Revocable Trust have been and, as of the date hereof, are the only members of HCP. As of the date hereof, the aggregate of 7,396,306 shares of Common Stock are HCP's only significant asset.</w:t>
      </w:r>
    </w:p>
    <w:p>
      <w:pPr>
        <w:spacing w:after="0" w:line="194" w:lineRule="exact"/>
        <w:rPr>
          <w:sz w:val="20"/>
          <w:szCs w:val="20"/>
          <w:color w:val="auto"/>
        </w:rPr>
      </w:pPr>
    </w:p>
    <w:p>
      <w:pPr>
        <w:ind w:right="2359" w:firstLine="943"/>
        <w:spacing w:after="0" w:line="257" w:lineRule="auto"/>
        <w:rPr>
          <w:sz w:val="20"/>
          <w:szCs w:val="20"/>
          <w:color w:val="auto"/>
        </w:rPr>
      </w:pPr>
      <w:r>
        <w:rPr>
          <w:rFonts w:ascii="Courier New" w:cs="Courier New" w:eastAsia="Courier New" w:hAnsi="Courier New"/>
          <w:sz w:val="17"/>
          <w:szCs w:val="17"/>
          <w:color w:val="auto"/>
        </w:rPr>
        <w:t>The undersigned do not presently have any plans or proposals which relate to or would result in:</w:t>
      </w:r>
    </w:p>
    <w:p>
      <w:pPr>
        <w:spacing w:after="0" w:line="192" w:lineRule="exact"/>
        <w:rPr>
          <w:sz w:val="20"/>
          <w:szCs w:val="20"/>
          <w:color w:val="auto"/>
        </w:rPr>
      </w:pPr>
    </w:p>
    <w:p>
      <w:pPr>
        <w:ind w:left="960" w:right="1839" w:hanging="953"/>
        <w:spacing w:after="0" w:line="252"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197" w:lineRule="exact"/>
        <w:rPr>
          <w:rFonts w:ascii="Courier New" w:cs="Courier New" w:eastAsia="Courier New" w:hAnsi="Courier New"/>
          <w:sz w:val="17"/>
          <w:szCs w:val="17"/>
          <w:color w:val="auto"/>
        </w:rPr>
      </w:pPr>
    </w:p>
    <w:p>
      <w:pPr>
        <w:ind w:left="960" w:right="2559" w:hanging="953"/>
        <w:spacing w:after="0" w:line="254"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extraordinary corporate transaction, such as a merger, reorganization or liquidation, involving Winnebago or any of its subsidiaries;</w:t>
      </w:r>
    </w:p>
    <w:p>
      <w:pPr>
        <w:spacing w:after="0" w:line="194" w:lineRule="exact"/>
        <w:rPr>
          <w:rFonts w:ascii="Courier New" w:cs="Courier New" w:eastAsia="Courier New" w:hAnsi="Courier New"/>
          <w:sz w:val="17"/>
          <w:szCs w:val="17"/>
          <w:color w:val="auto"/>
        </w:rPr>
      </w:pPr>
    </w:p>
    <w:p>
      <w:pPr>
        <w:ind w:left="960" w:right="2039" w:hanging="953"/>
        <w:spacing w:after="0" w:line="257"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sale or transfer of a material amount of assets of Winnebago or any of its subsidiaries;</w:t>
      </w:r>
    </w:p>
    <w:p>
      <w:pPr>
        <w:spacing w:after="0" w:line="191" w:lineRule="exact"/>
        <w:rPr>
          <w:rFonts w:ascii="Courier New" w:cs="Courier New" w:eastAsia="Courier New" w:hAnsi="Courier New"/>
          <w:sz w:val="17"/>
          <w:szCs w:val="17"/>
          <w:color w:val="auto"/>
        </w:rPr>
      </w:pPr>
    </w:p>
    <w:p>
      <w:pPr>
        <w:ind w:left="960" w:right="2259" w:hanging="953"/>
        <w:spacing w:after="0" w:line="254"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change in the present board of directors or management of Winnebago, including any plans or proposals to change the number or term of directors or to fill any existing vacancies on the board;</w:t>
      </w:r>
    </w:p>
    <w:p>
      <w:pPr>
        <w:spacing w:after="0" w:line="194" w:lineRule="exact"/>
        <w:rPr>
          <w:rFonts w:ascii="Courier New" w:cs="Courier New" w:eastAsia="Courier New" w:hAnsi="Courier New"/>
          <w:sz w:val="17"/>
          <w:szCs w:val="17"/>
          <w:color w:val="auto"/>
        </w:rPr>
      </w:pPr>
    </w:p>
    <w:p>
      <w:pPr>
        <w:ind w:left="960" w:right="1839" w:hanging="953"/>
        <w:spacing w:after="0" w:line="257"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change in the present capitalization or dividend policy of Winnebago;</w:t>
      </w:r>
    </w:p>
    <w:p>
      <w:pPr>
        <w:spacing w:after="0" w:line="191" w:lineRule="exact"/>
        <w:rPr>
          <w:rFonts w:ascii="Courier New" w:cs="Courier New" w:eastAsia="Courier New" w:hAnsi="Courier New"/>
          <w:sz w:val="17"/>
          <w:szCs w:val="17"/>
          <w:color w:val="auto"/>
        </w:rPr>
      </w:pPr>
    </w:p>
    <w:p>
      <w:pPr>
        <w:ind w:left="960" w:right="2779" w:hanging="953"/>
        <w:spacing w:after="0" w:line="257"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material change in Winnebago's business or corporate structure;</w:t>
      </w:r>
    </w:p>
    <w:p>
      <w:pPr>
        <w:spacing w:after="0" w:line="191" w:lineRule="exact"/>
        <w:rPr>
          <w:rFonts w:ascii="Courier New" w:cs="Courier New" w:eastAsia="Courier New" w:hAnsi="Courier New"/>
          <w:sz w:val="17"/>
          <w:szCs w:val="17"/>
          <w:color w:val="auto"/>
        </w:rPr>
      </w:pPr>
    </w:p>
    <w:p>
      <w:pPr>
        <w:ind w:left="960" w:right="1839" w:hanging="953"/>
        <w:spacing w:after="0" w:line="254"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Winnebago's charter, bylaws or instruments corresponding thereto or other actions which may impede the acquisition of control of Winnebago by any person;</w:t>
      </w:r>
    </w:p>
    <w:p>
      <w:pPr>
        <w:spacing w:after="0" w:line="194" w:lineRule="exact"/>
        <w:rPr>
          <w:rFonts w:ascii="Courier New" w:cs="Courier New" w:eastAsia="Courier New" w:hAnsi="Courier New"/>
          <w:sz w:val="17"/>
          <w:szCs w:val="17"/>
          <w:color w:val="auto"/>
        </w:rPr>
      </w:pPr>
    </w:p>
    <w:p>
      <w:pPr>
        <w:ind w:left="960" w:right="1839" w:hanging="953"/>
        <w:spacing w:after="0" w:line="253"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195" w:lineRule="exact"/>
        <w:rPr>
          <w:rFonts w:ascii="Courier New" w:cs="Courier New" w:eastAsia="Courier New" w:hAnsi="Courier New"/>
          <w:sz w:val="17"/>
          <w:szCs w:val="17"/>
          <w:color w:val="auto"/>
        </w:rPr>
      </w:pPr>
    </w:p>
    <w:p>
      <w:pPr>
        <w:ind w:left="960" w:right="1839" w:hanging="953"/>
        <w:spacing w:after="0" w:line="257" w:lineRule="auto"/>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class of equity securities of Winnebago becoming eligible for termination of registration pursuant to Section 12(g)(4) of the Act; or</w:t>
      </w:r>
    </w:p>
    <w:p>
      <w:pPr>
        <w:spacing w:after="0" w:line="191"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similar to any of those enumerated above.</w:t>
      </w:r>
    </w:p>
    <w:p>
      <w:pPr>
        <w:spacing w:after="0" w:line="200" w:lineRule="exact"/>
        <w:rPr>
          <w:sz w:val="20"/>
          <w:szCs w:val="20"/>
          <w:color w:val="auto"/>
        </w:rPr>
      </w:pPr>
    </w:p>
    <w:p>
      <w:pPr>
        <w:spacing w:after="0" w:line="21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5.</w:t>
        <w:tab/>
        <w:t>INTEREST IN SECURITIES OF THE ISSUER.</w:t>
      </w:r>
    </w:p>
    <w:p>
      <w:pPr>
        <w:spacing w:after="0" w:line="210" w:lineRule="exact"/>
        <w:rPr>
          <w:sz w:val="20"/>
          <w:szCs w:val="20"/>
          <w:color w:val="auto"/>
        </w:rPr>
      </w:pPr>
    </w:p>
    <w:p>
      <w:pPr>
        <w:ind w:left="960" w:right="1839" w:hanging="953"/>
        <w:spacing w:after="0" w:line="253" w:lineRule="auto"/>
        <w:tabs>
          <w:tab w:leader="none" w:pos="9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HCP is the beneficial owner of 7,396,306 shares of Common Stock, which represent approximately 35.9% of Winnebago's issued and outstanding Common Stock. The Revocable Trust, of which Luise V. Hanson is the trustee, is a member of HCP and has a 65.1% membership interest in HCP.</w:t>
      </w:r>
    </w:p>
    <w:p>
      <w:pPr>
        <w:sectPr>
          <w:pgSz w:w="11900" w:h="16838" w:orient="portrait"/>
          <w:cols w:equalWidth="0" w:num="1">
            <w:col w:w="10219"/>
          </w:cols>
          <w:pgMar w:left="240" w:top="719" w:right="1440" w:bottom="1440" w:gutter="0" w:footer="0" w:header="0"/>
        </w:sectPr>
      </w:pPr>
    </w:p>
    <w:bookmarkStart w:id="6" w:name="page7"/>
    <w:bookmarkEnd w:id="6"/>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ind w:left="960" w:right="2039" w:hanging="953"/>
        <w:spacing w:after="0" w:line="252" w:lineRule="auto"/>
        <w:tabs>
          <w:tab w:leader="none" w:pos="9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Luise V. Hanson has sole voting power with respect to the 7,396,306 shares of Common Stock of which she is the beneficial owner. Luise V. Hanson has dispositive power with respect to the 7,396,306 shares of Common Stock of which she is the beneficial owner, except that disposition of all or substantially all of those shares requires the unanimous approval of all members of HCP.</w:t>
      </w:r>
    </w:p>
    <w:p>
      <w:pPr>
        <w:spacing w:after="0" w:line="196" w:lineRule="exact"/>
        <w:rPr>
          <w:rFonts w:ascii="Courier New" w:cs="Courier New" w:eastAsia="Courier New" w:hAnsi="Courier New"/>
          <w:sz w:val="17"/>
          <w:szCs w:val="17"/>
          <w:color w:val="auto"/>
        </w:rPr>
      </w:pPr>
    </w:p>
    <w:p>
      <w:pPr>
        <w:ind w:left="960" w:right="1839" w:hanging="953"/>
        <w:spacing w:after="0" w:line="254" w:lineRule="auto"/>
        <w:tabs>
          <w:tab w:leader="none" w:pos="9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the transactions described in Item 4, none of the Estate, HCP, Luise V. Hanson, John V. Hanson, Mary Joan Boman or Paul D. Hanson has had any transactions in Common Stock during the past 60 days.</w:t>
      </w:r>
    </w:p>
    <w:p>
      <w:pPr>
        <w:spacing w:after="0" w:line="194"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applicable.</w:t>
      </w:r>
    </w:p>
    <w:p>
      <w:pPr>
        <w:spacing w:after="0" w:line="200" w:lineRule="exact"/>
        <w:rPr>
          <w:sz w:val="20"/>
          <w:szCs w:val="20"/>
          <w:color w:val="auto"/>
        </w:rPr>
      </w:pPr>
    </w:p>
    <w:p>
      <w:pPr>
        <w:spacing w:after="0" w:line="212" w:lineRule="exact"/>
        <w:rPr>
          <w:sz w:val="20"/>
          <w:szCs w:val="20"/>
          <w:color w:val="auto"/>
        </w:rPr>
      </w:pPr>
    </w:p>
    <w:p>
      <w:pPr>
        <w:ind w:left="960" w:right="3499" w:hanging="942"/>
        <w:spacing w:after="0" w:line="257" w:lineRule="auto"/>
        <w:tabs>
          <w:tab w:leader="none" w:pos="940" w:val="left"/>
        </w:tabs>
        <w:rPr>
          <w:sz w:val="20"/>
          <w:szCs w:val="20"/>
          <w:color w:val="auto"/>
        </w:rPr>
      </w:pPr>
      <w:r>
        <w:rPr>
          <w:rFonts w:ascii="Courier New" w:cs="Courier New" w:eastAsia="Courier New" w:hAnsi="Courier New"/>
          <w:sz w:val="17"/>
          <w:szCs w:val="17"/>
          <w:color w:val="auto"/>
        </w:rPr>
        <w:t>ITEM 6.</w:t>
        <w:tab/>
        <w:t>CONTRACTS, ARRANGEMENTS, UNDERSTANDINGS OR RELATIONSHIPS WITH RESPECT TO SECURITIES OF THE ISSUER.</w:t>
      </w:r>
    </w:p>
    <w:p>
      <w:pPr>
        <w:spacing w:after="0" w:line="192"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3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7"/>
          <w:szCs w:val="17"/>
          <w:color w:val="auto"/>
        </w:rPr>
        <w:t>ITEM 7.</w:t>
        <w:tab/>
        <w:t>MATERIAL TO BE FILED AS EXHIBITS.</w:t>
      </w:r>
    </w:p>
    <w:p>
      <w:pPr>
        <w:spacing w:after="0" w:line="21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None.</w:t>
      </w:r>
    </w:p>
    <w:p>
      <w:pPr>
        <w:sectPr>
          <w:pgSz w:w="11900" w:h="16838" w:orient="portrait"/>
          <w:cols w:equalWidth="0" w:num="1">
            <w:col w:w="10219"/>
          </w:cols>
          <w:pgMar w:left="240" w:top="719" w:right="1440" w:bottom="1440" w:gutter="0" w:footer="0" w:header="0"/>
        </w:sectPr>
      </w:pPr>
    </w:p>
    <w:bookmarkStart w:id="7" w:name="page8"/>
    <w:bookmarkEnd w:id="7"/>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7</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pacing w:after="0" w:line="396"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7"/>
          <w:szCs w:val="17"/>
          <w:color w:val="auto"/>
        </w:rPr>
        <w:t>HANSON CAPITAL PARTNERS, L.L.C.</w:t>
      </w:r>
    </w:p>
    <w:p>
      <w:pPr>
        <w:sectPr>
          <w:pgSz w:w="11900" w:h="16838" w:orient="portrait"/>
          <w:cols w:equalWidth="0" w:num="1">
            <w:col w:w="10219"/>
          </w:cols>
          <w:pgMar w:left="240" w:top="7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 2001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Luise V. Hanson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Luise V. Hanson, as Trustee of the Luise V.</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Hanson Revocable Trust dated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September 22, 1984</w:t>
      </w:r>
    </w:p>
    <w:p>
      <w:pPr>
        <w:sectPr>
          <w:pgSz w:w="11900" w:h="16838" w:orient="portrait"/>
          <w:cols w:equalWidth="0" w:num="2">
            <w:col w:w="2960" w:space="720"/>
            <w:col w:w="6539"/>
          </w:cols>
          <w:pgMar w:left="240" w:top="719" w:right="1440" w:bottom="1440" w:gutter="0" w:footer="0" w:header="0"/>
          <w:type w:val="continuous"/>
        </w:sectPr>
      </w:pPr>
    </w:p>
    <w:bookmarkStart w:id="8" w:name="page9"/>
    <w:bookmarkEnd w:id="8"/>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8</w:t>
      </w:r>
    </w:p>
    <w:p>
      <w:pPr>
        <w:spacing w:after="0" w:line="9" w:lineRule="exact"/>
        <w:rPr>
          <w:sz w:val="20"/>
          <w:szCs w:val="20"/>
          <w:color w:val="auto"/>
        </w:rPr>
      </w:pPr>
    </w:p>
    <w:p>
      <w:pPr>
        <w:ind w:left="220" w:hanging="213"/>
        <w:spacing w:after="0"/>
        <w:tabs>
          <w:tab w:leader="none" w:pos="2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3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1"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 2001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Luise V. Hanson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Luise V. Hanson</w:t>
      </w:r>
    </w:p>
    <w:p>
      <w:pPr>
        <w:sectPr>
          <w:pgSz w:w="11900" w:h="16838" w:orient="portrait"/>
          <w:cols w:equalWidth="0" w:num="2">
            <w:col w:w="4840" w:space="720"/>
            <w:col w:w="4659"/>
          </w:cols>
          <w:pgMar w:left="240" w:top="921" w:right="1440" w:bottom="1440" w:gutter="0" w:footer="0" w:header="0"/>
          <w:type w:val="continuous"/>
        </w:sectPr>
      </w:pPr>
    </w:p>
    <w:bookmarkStart w:id="9" w:name="page10"/>
    <w:bookmarkEnd w:id="9"/>
    <w:p>
      <w:pPr>
        <w:spacing w:after="0"/>
        <w:tabs>
          <w:tab w:leader="none" w:pos="77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9</w:t>
      </w:r>
    </w:p>
    <w:p>
      <w:pPr>
        <w:spacing w:after="0" w:line="9" w:lineRule="exact"/>
        <w:rPr>
          <w:sz w:val="20"/>
          <w:szCs w:val="20"/>
          <w:color w:val="auto"/>
        </w:rPr>
      </w:pPr>
    </w:p>
    <w:p>
      <w:pPr>
        <w:ind w:left="220" w:hanging="213"/>
        <w:spacing w:after="0"/>
        <w:tabs>
          <w:tab w:leader="none" w:pos="2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3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1"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 2001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Mary Joan Boman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Mary Joan Boman</w:t>
      </w:r>
    </w:p>
    <w:p>
      <w:pPr>
        <w:sectPr>
          <w:pgSz w:w="11900" w:h="16838" w:orient="portrait"/>
          <w:cols w:equalWidth="0" w:num="2">
            <w:col w:w="4840" w:space="720"/>
            <w:col w:w="4659"/>
          </w:cols>
          <w:pgMar w:left="240" w:top="921" w:right="1440" w:bottom="1440" w:gutter="0" w:footer="0" w:header="0"/>
          <w:type w:val="continuous"/>
        </w:sectPr>
      </w:pPr>
    </w:p>
    <w:bookmarkStart w:id="10" w:name="page11"/>
    <w:bookmarkEnd w:id="10"/>
    <w:p>
      <w:pPr>
        <w:spacing w:after="0"/>
        <w:tabs>
          <w:tab w:leader="none" w:pos="76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10</w:t>
      </w:r>
    </w:p>
    <w:p>
      <w:pPr>
        <w:spacing w:after="0" w:line="9" w:lineRule="exact"/>
        <w:rPr>
          <w:sz w:val="20"/>
          <w:szCs w:val="20"/>
          <w:color w:val="auto"/>
        </w:rPr>
      </w:pPr>
    </w:p>
    <w:p>
      <w:pPr>
        <w:ind w:left="220" w:hanging="213"/>
        <w:spacing w:after="0"/>
        <w:tabs>
          <w:tab w:leader="none" w:pos="2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3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1" w:right="1440" w:bottom="1440" w:gutter="0" w:footer="0" w:header="0"/>
        </w:sectPr>
      </w:pPr>
    </w:p>
    <w:p>
      <w:pPr>
        <w:spacing w:after="0" w:line="39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November 1, 2001</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V. Hanson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V. Hanson</w:t>
      </w:r>
    </w:p>
    <w:p>
      <w:pPr>
        <w:sectPr>
          <w:pgSz w:w="11900" w:h="16838" w:orient="portrait"/>
          <w:cols w:equalWidth="0" w:num="2">
            <w:col w:w="4840" w:space="720"/>
            <w:col w:w="4659"/>
          </w:cols>
          <w:pgMar w:left="240" w:top="921" w:right="1440" w:bottom="1440" w:gutter="0" w:footer="0" w:header="0"/>
          <w:type w:val="continuous"/>
        </w:sectPr>
      </w:pPr>
    </w:p>
    <w:bookmarkStart w:id="11" w:name="page12"/>
    <w:bookmarkEnd w:id="11"/>
    <w:p>
      <w:pPr>
        <w:spacing w:after="0"/>
        <w:tabs>
          <w:tab w:leader="none" w:pos="7640" w:val="left"/>
        </w:tabs>
        <w:rPr>
          <w:sz w:val="20"/>
          <w:szCs w:val="20"/>
          <w:color w:val="auto"/>
        </w:rPr>
      </w:pPr>
      <w:r>
        <w:rPr>
          <w:rFonts w:ascii="Courier New" w:cs="Courier New" w:eastAsia="Courier New" w:hAnsi="Courier New"/>
          <w:sz w:val="17"/>
          <w:szCs w:val="17"/>
          <w:color w:val="auto"/>
        </w:rPr>
        <w:t>CUSIP No. 974637100</w:t>
      </w:r>
      <w:r>
        <w:rPr>
          <w:sz w:val="20"/>
          <w:szCs w:val="20"/>
          <w:color w:val="auto"/>
        </w:rPr>
        <w:tab/>
      </w:r>
      <w:r>
        <w:rPr>
          <w:rFonts w:ascii="Courier New" w:cs="Courier New" w:eastAsia="Courier New" w:hAnsi="Courier New"/>
          <w:sz w:val="17"/>
          <w:szCs w:val="17"/>
          <w:color w:val="auto"/>
        </w:rPr>
        <w:t>Page 11</w:t>
      </w:r>
    </w:p>
    <w:p>
      <w:pPr>
        <w:spacing w:after="0" w:line="9" w:lineRule="exact"/>
        <w:rPr>
          <w:sz w:val="20"/>
          <w:szCs w:val="20"/>
          <w:color w:val="auto"/>
        </w:rPr>
      </w:pPr>
    </w:p>
    <w:p>
      <w:pPr>
        <w:ind w:left="220" w:hanging="213"/>
        <w:spacing w:after="0"/>
        <w:tabs>
          <w:tab w:leader="none" w:pos="2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37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1939" w:firstLine="943"/>
        <w:spacing w:after="0" w:line="254" w:lineRule="auto"/>
        <w:rPr>
          <w:sz w:val="20"/>
          <w:szCs w:val="20"/>
          <w:color w:val="auto"/>
        </w:rPr>
      </w:pPr>
      <w:r>
        <w:rPr>
          <w:rFonts w:ascii="Courier New" w:cs="Courier New" w:eastAsia="Courier New" w:hAnsi="Courier New"/>
          <w:sz w:val="17"/>
          <w:szCs w:val="17"/>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1"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 2001</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Paul D. Hanson</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Paul D. Hanson</w:t>
      </w:r>
    </w:p>
    <w:sectPr>
      <w:pgSz w:w="11900" w:h="16838" w:orient="portrait"/>
      <w:cols w:equalWidth="0" w:num="2">
        <w:col w:w="4740" w:space="720"/>
        <w:col w:w="4759"/>
      </w:cols>
      <w:pgMar w:left="240" w:top="9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decimal"/>
      <w:start w:val="1"/>
    </w:lvl>
  </w:abstractNum>
  <w:abstractNum w:abstractNumId="1">
    <w:nsid w:val="12200854"/>
    <w:multiLevelType w:val="hybridMultilevel"/>
    <w:lvl w:ilvl="0">
      <w:lvlJc w:val="left"/>
      <w:lvlText w:val="(%1)"/>
      <w:numFmt w:val="decimal"/>
      <w:start w:val="2"/>
    </w:lvl>
    <w:lvl w:ilvl="1">
      <w:lvlJc w:val="left"/>
      <w:lvlText w:val="(%2)"/>
      <w:numFmt w:val="lowerLetter"/>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4"/>
    </w:lvl>
  </w:abstractNum>
  <w:abstractNum w:abstractNumId="4">
    <w:nsid w:val="1F16E9E8"/>
    <w:multiLevelType w:val="hybridMultilevel"/>
    <w:lvl w:ilvl="0">
      <w:lvlJc w:val="left"/>
      <w:lvlText w:val="(%1)"/>
      <w:numFmt w:val="decimal"/>
      <w:start w:val="5"/>
    </w:lvl>
  </w:abstractNum>
  <w:abstractNum w:abstractNumId="5">
    <w:nsid w:val="1190CDE7"/>
    <w:multiLevelType w:val="hybridMultilevel"/>
    <w:lvl w:ilvl="0">
      <w:lvlJc w:val="left"/>
      <w:lvlText w:val="(%1)"/>
      <w:numFmt w:val="decimal"/>
      <w:start w:val="6"/>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1)"/>
      <w:numFmt w:val="decimal"/>
      <w:start w:val="13"/>
    </w:lvl>
  </w:abstractNum>
  <w:abstractNum w:abstractNumId="9">
    <w:nsid w:val="109CF92E"/>
    <w:multiLevelType w:val="hybridMultilevel"/>
    <w:lvl w:ilvl="0">
      <w:lvlJc w:val="left"/>
      <w:lvlText w:val="(%1)"/>
      <w:numFmt w:val="decimal"/>
      <w:start w:val="14"/>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2019-12-13T08:13:13Z</dcterms:created>
  <dcterms:modified xsi:type="dcterms:W3CDTF">2019-12-13T08:13:13Z</dcterms:modified>
</cp:coreProperties>
</file>