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19"/>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699"/>
        <w:spacing w:after="0"/>
        <w:rPr>
          <w:sz w:val="20"/>
          <w:szCs w:val="20"/>
          <w:color w:val="auto"/>
        </w:rPr>
      </w:pPr>
      <w:r>
        <w:rPr>
          <w:rFonts w:ascii="Courier New" w:cs="Courier New" w:eastAsia="Courier New" w:hAnsi="Courier New"/>
          <w:sz w:val="18"/>
          <w:szCs w:val="18"/>
          <w:color w:val="auto"/>
        </w:rPr>
        <w:t>Washington, D.C. 20549</w:t>
      </w:r>
    </w:p>
    <w:p>
      <w:pPr>
        <w:spacing w:after="0" w:line="372"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13G</w:t>
      </w:r>
    </w:p>
    <w:p>
      <w:pPr>
        <w:spacing w:after="0" w:line="29"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Under the Securities Exchange Act of 1934</w:t>
      </w:r>
    </w:p>
    <w:p>
      <w:pPr>
        <w:ind w:left="2540"/>
        <w:spacing w:after="0"/>
        <w:rPr>
          <w:sz w:val="20"/>
          <w:szCs w:val="20"/>
          <w:color w:val="auto"/>
        </w:rPr>
      </w:pPr>
      <w:r>
        <w:rPr>
          <w:rFonts w:ascii="Courier New" w:cs="Courier New" w:eastAsia="Courier New" w:hAnsi="Courier New"/>
          <w:sz w:val="18"/>
          <w:szCs w:val="18"/>
          <w:color w:val="auto"/>
        </w:rPr>
        <w:t>(Amendment No. )*</w:t>
      </w:r>
    </w:p>
    <w:p>
      <w:pPr>
        <w:spacing w:after="0" w:line="200" w:lineRule="exact"/>
        <w:rPr>
          <w:sz w:val="24"/>
          <w:szCs w:val="24"/>
          <w:color w:val="auto"/>
        </w:rPr>
      </w:pPr>
    </w:p>
    <w:p>
      <w:pPr>
        <w:spacing w:after="0" w:line="200" w:lineRule="exact"/>
        <w:rPr>
          <w:sz w:val="24"/>
          <w:szCs w:val="24"/>
          <w:color w:val="auto"/>
        </w:rPr>
      </w:pPr>
    </w:p>
    <w:p>
      <w:pPr>
        <w:spacing w:after="0" w:line="377"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Winnebago Industries, Inc.</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(Name of Issuer)</w:t>
      </w:r>
    </w:p>
    <w:p>
      <w:pPr>
        <w:spacing w:after="0" w:line="372"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Common Stock, par value $0.50 per share</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(Title of Class of Securities)</w:t>
      </w:r>
    </w:p>
    <w:p>
      <w:pPr>
        <w:spacing w:after="0" w:line="372" w:lineRule="exact"/>
        <w:rPr>
          <w:sz w:val="24"/>
          <w:szCs w:val="24"/>
          <w:color w:val="auto"/>
        </w:rPr>
      </w:pPr>
    </w:p>
    <w:p>
      <w:pPr>
        <w:jc w:val="center"/>
        <w:ind w:right="1599"/>
        <w:spacing w:after="0"/>
        <w:rPr>
          <w:sz w:val="20"/>
          <w:szCs w:val="20"/>
          <w:color w:val="auto"/>
        </w:rPr>
      </w:pPr>
      <w:r>
        <w:rPr>
          <w:rFonts w:ascii="Courier New" w:cs="Courier New" w:eastAsia="Courier New" w:hAnsi="Courier New"/>
          <w:sz w:val="18"/>
          <w:szCs w:val="18"/>
          <w:color w:val="auto"/>
        </w:rPr>
        <w:t>974637100</w:t>
      </w:r>
    </w:p>
    <w:p>
      <w:pPr>
        <w:spacing w:after="0" w:line="29"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372" w:lineRule="exact"/>
        <w:rPr>
          <w:sz w:val="24"/>
          <w:szCs w:val="24"/>
          <w:color w:val="auto"/>
        </w:rPr>
      </w:pPr>
    </w:p>
    <w:p>
      <w:pPr>
        <w:jc w:val="center"/>
        <w:ind w:right="1499"/>
        <w:spacing w:after="0"/>
        <w:rPr>
          <w:sz w:val="20"/>
          <w:szCs w:val="20"/>
          <w:color w:val="auto"/>
        </w:rPr>
      </w:pPr>
      <w:r>
        <w:rPr>
          <w:rFonts w:ascii="Courier New" w:cs="Courier New" w:eastAsia="Courier New" w:hAnsi="Courier New"/>
          <w:sz w:val="18"/>
          <w:szCs w:val="18"/>
          <w:color w:val="auto"/>
        </w:rPr>
        <w:t>December 29,2023</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18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ind w:right="8339" w:firstLine="8"/>
        <w:spacing w:after="0" w:line="536"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Rule 13d-1(c)</w:t>
      </w: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 Rule 13d-1(d)</w:t>
      </w:r>
    </w:p>
    <w:p>
      <w:pPr>
        <w:spacing w:after="0" w:line="200" w:lineRule="exact"/>
        <w:rPr>
          <w:sz w:val="24"/>
          <w:szCs w:val="24"/>
          <w:color w:val="auto"/>
        </w:rPr>
      </w:pPr>
    </w:p>
    <w:p>
      <w:pPr>
        <w:spacing w:after="0" w:line="204" w:lineRule="exact"/>
        <w:rPr>
          <w:sz w:val="24"/>
          <w:szCs w:val="24"/>
          <w:color w:val="auto"/>
        </w:rPr>
      </w:pPr>
    </w:p>
    <w:p>
      <w:pPr>
        <w:ind w:right="1819"/>
        <w:spacing w:after="0" w:line="274"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84" w:lineRule="exact"/>
        <w:rPr>
          <w:sz w:val="24"/>
          <w:szCs w:val="24"/>
          <w:color w:val="auto"/>
        </w:rPr>
      </w:pPr>
    </w:p>
    <w:p>
      <w:pPr>
        <w:jc w:val="both"/>
        <w:ind w:right="1819"/>
        <w:spacing w:after="0" w:line="265"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89"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Page 1 of 11</w:t>
      </w:r>
    </w:p>
    <w:p>
      <w:pPr>
        <w:spacing w:after="0" w:line="200" w:lineRule="exact"/>
        <w:rPr>
          <w:sz w:val="24"/>
          <w:szCs w:val="24"/>
          <w:color w:val="auto"/>
        </w:rPr>
      </w:pPr>
    </w:p>
    <w:p>
      <w:pPr>
        <w:spacing w:after="0" w:line="200" w:lineRule="exact"/>
        <w:rPr>
          <w:sz w:val="24"/>
          <w:szCs w:val="24"/>
          <w:color w:val="auto"/>
        </w:rPr>
      </w:pPr>
    </w:p>
    <w:p>
      <w:pPr>
        <w:spacing w:after="0" w:line="380"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320" w:type="dxa"/>
            <w:vAlign w:val="bottom"/>
          </w:tcPr>
          <w:p>
            <w:pPr>
              <w:jc w:val="center"/>
              <w:ind w:right="812"/>
              <w:spacing w:after="0"/>
              <w:rPr>
                <w:sz w:val="20"/>
                <w:szCs w:val="20"/>
                <w:color w:val="auto"/>
              </w:rPr>
            </w:pPr>
            <w:r>
              <w:rPr>
                <w:rFonts w:ascii="Courier New" w:cs="Courier New" w:eastAsia="Courier New" w:hAnsi="Courier New"/>
                <w:sz w:val="18"/>
                <w:szCs w:val="18"/>
                <w:color w:val="auto"/>
                <w:w w:val="97"/>
              </w:rPr>
              <w:t>-----------------------</w:t>
            </w:r>
          </w:p>
        </w:tc>
        <w:tc>
          <w:tcPr>
            <w:tcW w:w="1220" w:type="dxa"/>
            <w:vAlign w:val="bottom"/>
            <w:vMerge w:val="restart"/>
          </w:tcPr>
          <w:p>
            <w:pPr>
              <w:ind w:left="900"/>
              <w:spacing w:after="0"/>
              <w:rPr>
                <w:sz w:val="20"/>
                <w:szCs w:val="20"/>
                <w:color w:val="auto"/>
              </w:rPr>
            </w:pPr>
            <w:r>
              <w:rPr>
                <w:rFonts w:ascii="Courier New" w:cs="Courier New" w:eastAsia="Courier New" w:hAnsi="Courier New"/>
                <w:sz w:val="18"/>
                <w:szCs w:val="18"/>
                <w:color w:val="auto"/>
                <w:w w:val="92"/>
              </w:rPr>
              <w:t>13G</w:t>
            </w:r>
          </w:p>
        </w:tc>
        <w:tc>
          <w:tcPr>
            <w:tcW w:w="0" w:type="dxa"/>
            <w:vAlign w:val="bottom"/>
          </w:tcPr>
          <w:p>
            <w:pPr>
              <w:spacing w:after="0"/>
              <w:rPr>
                <w:sz w:val="1"/>
                <w:szCs w:val="1"/>
                <w:color w:val="auto"/>
              </w:rPr>
            </w:pPr>
          </w:p>
        </w:tc>
      </w:tr>
      <w:tr>
        <w:trPr>
          <w:trHeight w:val="203"/>
        </w:trPr>
        <w:tc>
          <w:tcPr>
            <w:tcW w:w="3320" w:type="dxa"/>
            <w:vAlign w:val="bottom"/>
          </w:tcPr>
          <w:p>
            <w:pPr>
              <w:jc w:val="center"/>
              <w:ind w:right="792"/>
              <w:spacing w:after="0" w:line="203" w:lineRule="exact"/>
              <w:rPr>
                <w:sz w:val="20"/>
                <w:szCs w:val="20"/>
                <w:color w:val="auto"/>
              </w:rPr>
            </w:pPr>
            <w:r>
              <w:rPr>
                <w:rFonts w:ascii="Courier New" w:cs="Courier New" w:eastAsia="Courier New" w:hAnsi="Courier New"/>
                <w:sz w:val="18"/>
                <w:szCs w:val="18"/>
                <w:color w:val="auto"/>
                <w:w w:val="97"/>
              </w:rPr>
              <w:t>CUSIP No. 974637100</w:t>
            </w: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320" w:type="dxa"/>
            <w:vAlign w:val="bottom"/>
          </w:tcPr>
          <w:p>
            <w:pPr>
              <w:jc w:val="center"/>
              <w:ind w:right="812"/>
              <w:spacing w:after="0"/>
              <w:rPr>
                <w:sz w:val="20"/>
                <w:szCs w:val="20"/>
                <w:color w:val="auto"/>
              </w:rPr>
            </w:pPr>
            <w:r>
              <w:rPr>
                <w:rFonts w:ascii="Courier New" w:cs="Courier New" w:eastAsia="Courier New" w:hAnsi="Courier New"/>
                <w:sz w:val="18"/>
                <w:szCs w:val="18"/>
                <w:color w:val="auto"/>
                <w:w w:val="97"/>
              </w:rPr>
              <w:t>-----------------------</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2" w:lineRule="exact"/>
        <w:rPr>
          <w:sz w:val="24"/>
          <w:szCs w:val="24"/>
          <w:color w:val="auto"/>
        </w:rPr>
      </w:pPr>
    </w:p>
    <w:p>
      <w:pPr>
        <w:ind w:left="640" w:hanging="527"/>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6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w:t>
      </w:r>
    </w:p>
    <w:p>
      <w:pPr>
        <w:spacing w:after="0" w:line="169"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THE GOLDMAN SACHS GROUP,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3" w:lineRule="exact"/>
        <w:rPr>
          <w:sz w:val="24"/>
          <w:szCs w:val="24"/>
          <w:color w:val="auto"/>
        </w:rPr>
      </w:pPr>
    </w:p>
    <w:p>
      <w:pPr>
        <w:ind w:left="120"/>
        <w:spacing w:after="0"/>
        <w:tabs>
          <w:tab w:leader="none" w:pos="62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p>
    <w:p>
      <w:pPr>
        <w:spacing w:after="0" w:line="169" w:lineRule="exact"/>
        <w:rPr>
          <w:sz w:val="24"/>
          <w:szCs w:val="24"/>
          <w:color w:val="auto"/>
        </w:rPr>
      </w:pPr>
    </w:p>
    <w:p>
      <w:pPr>
        <w:ind w:left="6740"/>
        <w:spacing w:after="0"/>
        <w:rPr>
          <w:sz w:val="20"/>
          <w:szCs w:val="20"/>
          <w:color w:val="auto"/>
        </w:rPr>
      </w:pPr>
      <w:r>
        <w:rPr>
          <w:rFonts w:ascii="Courier New" w:cs="Courier New" w:eastAsia="Courier New" w:hAnsi="Courier New"/>
          <w:sz w:val="18"/>
          <w:szCs w:val="18"/>
          <w:color w:val="auto"/>
        </w:rPr>
        <w:t>(a) [_]</w:t>
      </w:r>
    </w:p>
    <w:p>
      <w:pPr>
        <w:spacing w:after="0" w:line="29" w:lineRule="exact"/>
        <w:rPr>
          <w:sz w:val="24"/>
          <w:szCs w:val="24"/>
          <w:color w:val="auto"/>
        </w:rPr>
      </w:pPr>
    </w:p>
    <w:p>
      <w:pPr>
        <w:ind w:left="6740"/>
        <w:spacing w:after="0"/>
        <w:rPr>
          <w:sz w:val="20"/>
          <w:szCs w:val="20"/>
          <w:color w:val="auto"/>
        </w:rPr>
      </w:pPr>
      <w:r>
        <w:rPr>
          <w:rFonts w:ascii="Courier New" w:cs="Courier New" w:eastAsia="Courier New" w:hAnsi="Courier New"/>
          <w:sz w:val="18"/>
          <w:szCs w:val="18"/>
          <w:color w:val="auto"/>
        </w:rPr>
        <w:t>(b) [_]</w:t>
      </w: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left="120"/>
        <w:spacing w:after="0"/>
        <w:tabs>
          <w:tab w:leader="none" w:pos="620" w:val="left"/>
        </w:tabs>
        <w:rPr>
          <w:sz w:val="20"/>
          <w:szCs w:val="20"/>
          <w:color w:val="auto"/>
        </w:rPr>
      </w:pPr>
      <w:r>
        <w:rPr>
          <w:rFonts w:ascii="Courier New" w:cs="Courier New" w:eastAsia="Courier New" w:hAnsi="Courier New"/>
          <w:sz w:val="18"/>
          <w:szCs w:val="18"/>
          <w:color w:val="auto"/>
        </w:rPr>
        <w:t>3.</w:t>
      </w:r>
      <w:r>
        <w:rPr>
          <w:sz w:val="20"/>
          <w:szCs w:val="20"/>
          <w:color w:val="auto"/>
        </w:rPr>
        <w:tab/>
      </w:r>
      <w:r>
        <w:rPr>
          <w:rFonts w:ascii="Courier New" w:cs="Courier New" w:eastAsia="Courier New" w:hAnsi="Courier New"/>
          <w:sz w:val="18"/>
          <w:szCs w:val="18"/>
          <w:color w:val="auto"/>
        </w:rPr>
        <w:t>SEC Use Only</w:t>
      </w:r>
    </w:p>
    <w:p>
      <w:pPr>
        <w:sectPr>
          <w:pgSz w:w="11900" w:h="16838" w:orient="portrait"/>
          <w:cols w:equalWidth="0" w:num="1">
            <w:col w:w="10139"/>
          </w:cols>
          <w:pgMar w:left="320" w:top="825" w:right="1440" w:bottom="254" w:gutter="0" w:footer="0" w:header="0"/>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w:t>
      </w:r>
    </w:p>
    <w:p>
      <w:pPr>
        <w:spacing w:after="0" w:line="53" w:lineRule="exact"/>
        <w:rPr>
          <w:sz w:val="20"/>
          <w:szCs w:val="20"/>
          <w:color w:val="auto"/>
        </w:rPr>
      </w:pPr>
    </w:p>
    <w:p>
      <w:pPr>
        <w:ind w:left="640" w:hanging="527"/>
        <w:spacing w:after="0"/>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169"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3" w:lineRule="exact"/>
        <w:rPr>
          <w:sz w:val="20"/>
          <w:szCs w:val="20"/>
          <w:color w:val="auto"/>
        </w:rPr>
      </w:pPr>
    </w:p>
    <w:tbl>
      <w:tblPr>
        <w:tblLayout w:type="fixed"/>
        <w:tblInd w:w="320" w:type="dxa"/>
        <w:tblCellMar>
          <w:top w:w="0" w:type="dxa"/>
          <w:left w:w="0" w:type="dxa"/>
          <w:bottom w:w="0" w:type="dxa"/>
          <w:right w:w="0" w:type="dxa"/>
        </w:tblCellMar>
      </w:tblPr>
      <w:tr>
        <w:trPr>
          <w:trHeight w:val="296"/>
        </w:trPr>
        <w:tc>
          <w:tcPr>
            <w:tcW w:w="1540" w:type="dxa"/>
            <w:vAlign w:val="bottom"/>
          </w:tcPr>
          <w:p>
            <w:pPr>
              <w:spacing w:after="0"/>
              <w:rPr>
                <w:sz w:val="24"/>
                <w:szCs w:val="24"/>
                <w:color w:val="auto"/>
              </w:rPr>
            </w:pPr>
          </w:p>
        </w:tc>
        <w:tc>
          <w:tcPr>
            <w:tcW w:w="880" w:type="dxa"/>
            <w:vAlign w:val="bottom"/>
          </w:tcPr>
          <w:p>
            <w:pPr>
              <w:jc w:val="right"/>
              <w:ind w:right="263"/>
              <w:spacing w:after="0"/>
              <w:rPr>
                <w:sz w:val="20"/>
                <w:szCs w:val="20"/>
                <w:color w:val="auto"/>
              </w:rPr>
            </w:pPr>
            <w:r>
              <w:rPr>
                <w:rFonts w:ascii="Courier New" w:cs="Courier New" w:eastAsia="Courier New" w:hAnsi="Courier New"/>
                <w:sz w:val="18"/>
                <w:szCs w:val="18"/>
                <w:color w:val="auto"/>
              </w:rPr>
              <w:t>5.</w:t>
            </w:r>
          </w:p>
        </w:tc>
        <w:tc>
          <w:tcPr>
            <w:tcW w:w="548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373"/>
        </w:trPr>
        <w:tc>
          <w:tcPr>
            <w:tcW w:w="1540" w:type="dxa"/>
            <w:vAlign w:val="bottom"/>
          </w:tcPr>
          <w:p>
            <w:pPr>
              <w:jc w:val="center"/>
              <w:ind w:right="72"/>
              <w:spacing w:after="0"/>
              <w:rPr>
                <w:sz w:val="20"/>
                <w:szCs w:val="20"/>
                <w:color w:val="auto"/>
              </w:rPr>
            </w:pPr>
            <w:r>
              <w:rPr>
                <w:rFonts w:ascii="Courier New" w:cs="Courier New" w:eastAsia="Courier New" w:hAnsi="Courier New"/>
                <w:sz w:val="18"/>
                <w:szCs w:val="18"/>
                <w:color w:val="auto"/>
                <w:w w:val="96"/>
              </w:rPr>
              <w:t>Number of</w:t>
            </w:r>
          </w:p>
        </w:tc>
        <w:tc>
          <w:tcPr>
            <w:tcW w:w="880" w:type="dxa"/>
            <w:vAlign w:val="bottom"/>
          </w:tcPr>
          <w:p>
            <w:pPr>
              <w:spacing w:after="0"/>
              <w:rPr>
                <w:sz w:val="24"/>
                <w:szCs w:val="24"/>
                <w:color w:val="auto"/>
              </w:rPr>
            </w:pPr>
          </w:p>
        </w:tc>
        <w:tc>
          <w:tcPr>
            <w:tcW w:w="5480" w:type="dxa"/>
            <w:vAlign w:val="bottom"/>
          </w:tcPr>
          <w:p>
            <w:pPr>
              <w:ind w:left="540"/>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405"/>
        </w:trPr>
        <w:tc>
          <w:tcPr>
            <w:tcW w:w="1540" w:type="dxa"/>
            <w:vAlign w:val="bottom"/>
          </w:tcPr>
          <w:p>
            <w:pPr>
              <w:jc w:val="center"/>
              <w:ind w:right="172"/>
              <w:spacing w:after="0"/>
              <w:rPr>
                <w:sz w:val="20"/>
                <w:szCs w:val="20"/>
                <w:color w:val="auto"/>
              </w:rPr>
            </w:pPr>
            <w:r>
              <w:rPr>
                <w:rFonts w:ascii="Courier New" w:cs="Courier New" w:eastAsia="Courier New" w:hAnsi="Courier New"/>
                <w:sz w:val="18"/>
                <w:szCs w:val="18"/>
                <w:color w:val="auto"/>
                <w:w w:val="98"/>
              </w:rPr>
              <w:t>Shares</w:t>
            </w:r>
          </w:p>
        </w:tc>
        <w:tc>
          <w:tcPr>
            <w:tcW w:w="880" w:type="dxa"/>
            <w:vAlign w:val="bottom"/>
            <w:vMerge w:val="restart"/>
          </w:tcPr>
          <w:p>
            <w:pPr>
              <w:ind w:left="260"/>
              <w:spacing w:after="0"/>
              <w:rPr>
                <w:sz w:val="20"/>
                <w:szCs w:val="20"/>
                <w:color w:val="auto"/>
              </w:rPr>
            </w:pPr>
            <w:r>
              <w:rPr>
                <w:rFonts w:ascii="Courier New" w:cs="Courier New" w:eastAsia="Courier New" w:hAnsi="Courier New"/>
                <w:sz w:val="2"/>
                <w:szCs w:val="2"/>
                <w:color w:val="auto"/>
                <w:w w:val="82"/>
              </w:rPr>
              <w:t>----------------------------------------------------------</w:t>
            </w:r>
            <w:r>
              <w:rPr>
                <w:rFonts w:ascii="Courier New" w:cs="Courier New" w:eastAsia="Courier New" w:hAnsi="Courier New"/>
                <w:sz w:val="4"/>
                <w:szCs w:val="4"/>
                <w:color w:val="auto"/>
                <w:w w:val="82"/>
                <w:vertAlign w:val="subscript"/>
              </w:rPr>
              <w:t>6.</w:t>
            </w:r>
          </w:p>
        </w:tc>
        <w:tc>
          <w:tcPr>
            <w:tcW w:w="5480" w:type="dxa"/>
            <w:vAlign w:val="bottom"/>
            <w:vMerge w:val="restart"/>
          </w:tcPr>
          <w:p>
            <w:pPr>
              <w:spacing w:after="0"/>
              <w:rPr>
                <w:sz w:val="20"/>
                <w:szCs w:val="20"/>
                <w:color w:val="auto"/>
              </w:rPr>
            </w:pPr>
            <w:r>
              <w:rPr>
                <w:rFonts w:ascii="Courier New" w:cs="Courier New" w:eastAsia="Courier New" w:hAnsi="Courier New"/>
                <w:sz w:val="18"/>
                <w:szCs w:val="18"/>
                <w:color w:val="auto"/>
              </w:rPr>
              <w:t>Shared Voting Power</w:t>
            </w:r>
          </w:p>
        </w:tc>
        <w:tc>
          <w:tcPr>
            <w:tcW w:w="0" w:type="dxa"/>
            <w:vAlign w:val="bottom"/>
          </w:tcPr>
          <w:p>
            <w:pPr>
              <w:spacing w:after="0"/>
              <w:rPr>
                <w:sz w:val="1"/>
                <w:szCs w:val="1"/>
                <w:color w:val="auto"/>
              </w:rPr>
            </w:pPr>
          </w:p>
        </w:tc>
      </w:tr>
      <w:tr>
        <w:trPr>
          <w:trHeight w:val="203"/>
        </w:trPr>
        <w:tc>
          <w:tcPr>
            <w:tcW w:w="1540" w:type="dxa"/>
            <w:vAlign w:val="bottom"/>
            <w:vMerge w:val="restart"/>
          </w:tcPr>
          <w:p>
            <w:pPr>
              <w:jc w:val="center"/>
              <w:ind w:right="192"/>
              <w:spacing w:after="0"/>
              <w:rPr>
                <w:sz w:val="20"/>
                <w:szCs w:val="20"/>
                <w:color w:val="auto"/>
              </w:rPr>
            </w:pPr>
            <w:r>
              <w:rPr>
                <w:rFonts w:ascii="Courier New" w:cs="Courier New" w:eastAsia="Courier New" w:hAnsi="Courier New"/>
                <w:sz w:val="18"/>
                <w:szCs w:val="18"/>
                <w:color w:val="auto"/>
                <w:w w:val="97"/>
              </w:rPr>
              <w:t>Beneficially</w:t>
            </w:r>
          </w:p>
        </w:tc>
        <w:tc>
          <w:tcPr>
            <w:tcW w:w="880" w:type="dxa"/>
            <w:vAlign w:val="bottom"/>
            <w:vMerge w:val="continue"/>
          </w:tcPr>
          <w:p>
            <w:pPr>
              <w:spacing w:after="0"/>
              <w:rPr>
                <w:sz w:val="17"/>
                <w:szCs w:val="17"/>
                <w:color w:val="auto"/>
              </w:rPr>
            </w:pPr>
          </w:p>
        </w:tc>
        <w:tc>
          <w:tcPr>
            <w:tcW w:w="5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40" w:type="dxa"/>
            <w:vAlign w:val="bottom"/>
            <w:vMerge w:val="continue"/>
          </w:tcPr>
          <w:p>
            <w:pPr>
              <w:spacing w:after="0"/>
              <w:rPr>
                <w:sz w:val="17"/>
                <w:szCs w:val="17"/>
                <w:color w:val="auto"/>
              </w:rPr>
            </w:pPr>
          </w:p>
        </w:tc>
        <w:tc>
          <w:tcPr>
            <w:tcW w:w="880" w:type="dxa"/>
            <w:vAlign w:val="bottom"/>
          </w:tcPr>
          <w:p>
            <w:pPr>
              <w:spacing w:after="0"/>
              <w:rPr>
                <w:sz w:val="17"/>
                <w:szCs w:val="17"/>
                <w:color w:val="auto"/>
              </w:rPr>
            </w:pPr>
          </w:p>
        </w:tc>
        <w:tc>
          <w:tcPr>
            <w:tcW w:w="5480" w:type="dxa"/>
            <w:vAlign w:val="bottom"/>
            <w:vMerge w:val="restart"/>
          </w:tcPr>
          <w:p>
            <w:pPr>
              <w:ind w:left="640"/>
              <w:spacing w:after="0"/>
              <w:rPr>
                <w:sz w:val="20"/>
                <w:szCs w:val="20"/>
                <w:color w:val="auto"/>
              </w:rPr>
            </w:pPr>
            <w:r>
              <w:rPr>
                <w:rFonts w:ascii="Courier New" w:cs="Courier New" w:eastAsia="Courier New" w:hAnsi="Courier New"/>
                <w:sz w:val="18"/>
                <w:szCs w:val="18"/>
                <w:color w:val="auto"/>
              </w:rPr>
              <w:t>1,755,550</w:t>
            </w:r>
          </w:p>
        </w:tc>
        <w:tc>
          <w:tcPr>
            <w:tcW w:w="0" w:type="dxa"/>
            <w:vAlign w:val="bottom"/>
          </w:tcPr>
          <w:p>
            <w:pPr>
              <w:spacing w:after="0"/>
              <w:rPr>
                <w:sz w:val="1"/>
                <w:szCs w:val="1"/>
                <w:color w:val="auto"/>
              </w:rPr>
            </w:pPr>
          </w:p>
        </w:tc>
      </w:tr>
      <w:tr>
        <w:trPr>
          <w:trHeight w:val="203"/>
        </w:trPr>
        <w:tc>
          <w:tcPr>
            <w:tcW w:w="1540" w:type="dxa"/>
            <w:vAlign w:val="bottom"/>
            <w:vMerge w:val="restart"/>
          </w:tcPr>
          <w:p>
            <w:pPr>
              <w:jc w:val="center"/>
              <w:ind w:right="172"/>
              <w:spacing w:after="0"/>
              <w:rPr>
                <w:sz w:val="20"/>
                <w:szCs w:val="20"/>
                <w:color w:val="auto"/>
              </w:rPr>
            </w:pPr>
            <w:r>
              <w:rPr>
                <w:rFonts w:ascii="Courier New" w:cs="Courier New" w:eastAsia="Courier New" w:hAnsi="Courier New"/>
                <w:sz w:val="18"/>
                <w:szCs w:val="18"/>
                <w:color w:val="auto"/>
                <w:w w:val="97"/>
              </w:rPr>
              <w:t>Owned by</w:t>
            </w:r>
          </w:p>
        </w:tc>
        <w:tc>
          <w:tcPr>
            <w:tcW w:w="880" w:type="dxa"/>
            <w:vAlign w:val="bottom"/>
          </w:tcPr>
          <w:p>
            <w:pPr>
              <w:spacing w:after="0"/>
              <w:rPr>
                <w:sz w:val="17"/>
                <w:szCs w:val="17"/>
                <w:color w:val="auto"/>
              </w:rPr>
            </w:pPr>
          </w:p>
        </w:tc>
        <w:tc>
          <w:tcPr>
            <w:tcW w:w="5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40" w:type="dxa"/>
            <w:vAlign w:val="bottom"/>
            <w:vMerge w:val="continue"/>
          </w:tcPr>
          <w:p>
            <w:pPr>
              <w:spacing w:after="0"/>
              <w:rPr>
                <w:sz w:val="17"/>
                <w:szCs w:val="17"/>
                <w:color w:val="auto"/>
              </w:rPr>
            </w:pPr>
          </w:p>
        </w:tc>
        <w:tc>
          <w:tcPr>
            <w:tcW w:w="6360" w:type="dxa"/>
            <w:vAlign w:val="bottom"/>
            <w:gridSpan w:val="2"/>
            <w:vMerge w:val="restart"/>
          </w:tcPr>
          <w:p>
            <w:pPr>
              <w:ind w:left="260"/>
              <w:spacing w:after="0"/>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109"/>
        </w:trPr>
        <w:tc>
          <w:tcPr>
            <w:tcW w:w="1540" w:type="dxa"/>
            <w:vAlign w:val="bottom"/>
            <w:vMerge w:val="restart"/>
          </w:tcPr>
          <w:p>
            <w:pPr>
              <w:jc w:val="center"/>
              <w:ind w:right="192"/>
              <w:spacing w:after="0"/>
              <w:rPr>
                <w:sz w:val="20"/>
                <w:szCs w:val="20"/>
                <w:color w:val="auto"/>
              </w:rPr>
            </w:pPr>
            <w:r>
              <w:rPr>
                <w:rFonts w:ascii="Courier New" w:cs="Courier New" w:eastAsia="Courier New" w:hAnsi="Courier New"/>
                <w:sz w:val="18"/>
                <w:szCs w:val="18"/>
                <w:color w:val="auto"/>
                <w:w w:val="97"/>
              </w:rPr>
              <w:t>Each</w:t>
            </w:r>
          </w:p>
        </w:tc>
        <w:tc>
          <w:tcPr>
            <w:tcW w:w="63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96"/>
        </w:trPr>
        <w:tc>
          <w:tcPr>
            <w:tcW w:w="1540" w:type="dxa"/>
            <w:vAlign w:val="bottom"/>
            <w:vMerge w:val="continue"/>
          </w:tcPr>
          <w:p>
            <w:pPr>
              <w:spacing w:after="0"/>
              <w:rPr>
                <w:sz w:val="24"/>
                <w:szCs w:val="24"/>
                <w:color w:val="auto"/>
              </w:rPr>
            </w:pPr>
          </w:p>
        </w:tc>
        <w:tc>
          <w:tcPr>
            <w:tcW w:w="880" w:type="dxa"/>
            <w:vAlign w:val="bottom"/>
          </w:tcPr>
          <w:p>
            <w:pPr>
              <w:jc w:val="right"/>
              <w:ind w:right="263"/>
              <w:spacing w:after="0"/>
              <w:rPr>
                <w:sz w:val="20"/>
                <w:szCs w:val="20"/>
                <w:color w:val="auto"/>
              </w:rPr>
            </w:pPr>
            <w:r>
              <w:rPr>
                <w:rFonts w:ascii="Courier New" w:cs="Courier New" w:eastAsia="Courier New" w:hAnsi="Courier New"/>
                <w:sz w:val="18"/>
                <w:szCs w:val="18"/>
                <w:color w:val="auto"/>
              </w:rPr>
              <w:t>7.</w:t>
            </w:r>
          </w:p>
        </w:tc>
        <w:tc>
          <w:tcPr>
            <w:tcW w:w="5480" w:type="dxa"/>
            <w:vAlign w:val="bottom"/>
          </w:tcPr>
          <w:p>
            <w:pPr>
              <w:spacing w:after="0"/>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405"/>
        </w:trPr>
        <w:tc>
          <w:tcPr>
            <w:tcW w:w="1540" w:type="dxa"/>
            <w:vAlign w:val="bottom"/>
          </w:tcPr>
          <w:p>
            <w:pPr>
              <w:ind w:left="100"/>
              <w:spacing w:after="0"/>
              <w:rPr>
                <w:sz w:val="20"/>
                <w:szCs w:val="20"/>
                <w:color w:val="auto"/>
              </w:rPr>
            </w:pPr>
            <w:r>
              <w:rPr>
                <w:rFonts w:ascii="Courier New" w:cs="Courier New" w:eastAsia="Courier New" w:hAnsi="Courier New"/>
                <w:sz w:val="18"/>
                <w:szCs w:val="18"/>
                <w:color w:val="auto"/>
              </w:rPr>
              <w:t>Reporting</w:t>
            </w:r>
          </w:p>
        </w:tc>
        <w:tc>
          <w:tcPr>
            <w:tcW w:w="880" w:type="dxa"/>
            <w:vAlign w:val="bottom"/>
          </w:tcPr>
          <w:p>
            <w:pPr>
              <w:spacing w:after="0"/>
              <w:rPr>
                <w:sz w:val="24"/>
                <w:szCs w:val="24"/>
                <w:color w:val="auto"/>
              </w:rPr>
            </w:pPr>
          </w:p>
        </w:tc>
        <w:tc>
          <w:tcPr>
            <w:tcW w:w="5480" w:type="dxa"/>
            <w:vAlign w:val="bottom"/>
          </w:tcPr>
          <w:p>
            <w:pPr>
              <w:ind w:left="540"/>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405"/>
        </w:trPr>
        <w:tc>
          <w:tcPr>
            <w:tcW w:w="1540" w:type="dxa"/>
            <w:vAlign w:val="bottom"/>
          </w:tcPr>
          <w:p>
            <w:pPr>
              <w:jc w:val="center"/>
              <w:ind w:right="172"/>
              <w:spacing w:after="0"/>
              <w:rPr>
                <w:sz w:val="20"/>
                <w:szCs w:val="20"/>
                <w:color w:val="auto"/>
              </w:rPr>
            </w:pPr>
            <w:r>
              <w:rPr>
                <w:rFonts w:ascii="Courier New" w:cs="Courier New" w:eastAsia="Courier New" w:hAnsi="Courier New"/>
                <w:sz w:val="18"/>
                <w:szCs w:val="18"/>
                <w:color w:val="auto"/>
                <w:w w:val="98"/>
              </w:rPr>
              <w:t>Person</w:t>
            </w:r>
          </w:p>
        </w:tc>
        <w:tc>
          <w:tcPr>
            <w:tcW w:w="880" w:type="dxa"/>
            <w:vAlign w:val="bottom"/>
            <w:vMerge w:val="restart"/>
          </w:tcPr>
          <w:p>
            <w:pPr>
              <w:ind w:left="260"/>
              <w:spacing w:after="0"/>
              <w:rPr>
                <w:sz w:val="20"/>
                <w:szCs w:val="20"/>
                <w:color w:val="auto"/>
              </w:rPr>
            </w:pPr>
            <w:r>
              <w:rPr>
                <w:rFonts w:ascii="Courier New" w:cs="Courier New" w:eastAsia="Courier New" w:hAnsi="Courier New"/>
                <w:sz w:val="2"/>
                <w:szCs w:val="2"/>
                <w:color w:val="auto"/>
                <w:w w:val="82"/>
              </w:rPr>
              <w:t>----------------------------------------------------------</w:t>
            </w:r>
            <w:r>
              <w:rPr>
                <w:rFonts w:ascii="Courier New" w:cs="Courier New" w:eastAsia="Courier New" w:hAnsi="Courier New"/>
                <w:sz w:val="4"/>
                <w:szCs w:val="4"/>
                <w:color w:val="auto"/>
                <w:w w:val="82"/>
                <w:vertAlign w:val="subscript"/>
              </w:rPr>
              <w:t>8.</w:t>
            </w:r>
          </w:p>
        </w:tc>
        <w:tc>
          <w:tcPr>
            <w:tcW w:w="5480" w:type="dxa"/>
            <w:vAlign w:val="bottom"/>
            <w:vMerge w:val="restart"/>
          </w:tcPr>
          <w:p>
            <w:pPr>
              <w:spacing w:after="0"/>
              <w:rPr>
                <w:sz w:val="20"/>
                <w:szCs w:val="20"/>
                <w:color w:val="auto"/>
              </w:rPr>
            </w:pPr>
            <w:r>
              <w:rPr>
                <w:rFonts w:ascii="Courier New" w:cs="Courier New" w:eastAsia="Courier New" w:hAnsi="Courier New"/>
                <w:sz w:val="18"/>
                <w:szCs w:val="18"/>
                <w:color w:val="auto"/>
              </w:rPr>
              <w:t>Shared Dispositive Power</w:t>
            </w:r>
          </w:p>
        </w:tc>
        <w:tc>
          <w:tcPr>
            <w:tcW w:w="0" w:type="dxa"/>
            <w:vAlign w:val="bottom"/>
          </w:tcPr>
          <w:p>
            <w:pPr>
              <w:spacing w:after="0"/>
              <w:rPr>
                <w:sz w:val="1"/>
                <w:szCs w:val="1"/>
                <w:color w:val="auto"/>
              </w:rPr>
            </w:pPr>
          </w:p>
        </w:tc>
      </w:tr>
      <w:tr>
        <w:trPr>
          <w:trHeight w:val="203"/>
        </w:trPr>
        <w:tc>
          <w:tcPr>
            <w:tcW w:w="1540" w:type="dxa"/>
            <w:vAlign w:val="bottom"/>
            <w:vMerge w:val="restart"/>
          </w:tcPr>
          <w:p>
            <w:pPr>
              <w:jc w:val="center"/>
              <w:ind w:right="72"/>
              <w:spacing w:after="0"/>
              <w:rPr>
                <w:sz w:val="20"/>
                <w:szCs w:val="20"/>
                <w:color w:val="auto"/>
              </w:rPr>
            </w:pPr>
            <w:r>
              <w:rPr>
                <w:rFonts w:ascii="Courier New" w:cs="Courier New" w:eastAsia="Courier New" w:hAnsi="Courier New"/>
                <w:sz w:val="18"/>
                <w:szCs w:val="18"/>
                <w:color w:val="auto"/>
                <w:w w:val="99"/>
              </w:rPr>
              <w:t>With:</w:t>
            </w:r>
          </w:p>
        </w:tc>
        <w:tc>
          <w:tcPr>
            <w:tcW w:w="880" w:type="dxa"/>
            <w:vAlign w:val="bottom"/>
            <w:vMerge w:val="continue"/>
          </w:tcPr>
          <w:p>
            <w:pPr>
              <w:spacing w:after="0"/>
              <w:rPr>
                <w:sz w:val="17"/>
                <w:szCs w:val="17"/>
                <w:color w:val="auto"/>
              </w:rPr>
            </w:pPr>
          </w:p>
        </w:tc>
        <w:tc>
          <w:tcPr>
            <w:tcW w:w="5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40" w:type="dxa"/>
            <w:vAlign w:val="bottom"/>
            <w:vMerge w:val="continue"/>
          </w:tcPr>
          <w:p>
            <w:pPr>
              <w:spacing w:after="0"/>
              <w:rPr>
                <w:sz w:val="17"/>
                <w:szCs w:val="17"/>
                <w:color w:val="auto"/>
              </w:rPr>
            </w:pPr>
          </w:p>
        </w:tc>
        <w:tc>
          <w:tcPr>
            <w:tcW w:w="880" w:type="dxa"/>
            <w:vAlign w:val="bottom"/>
          </w:tcPr>
          <w:p>
            <w:pPr>
              <w:spacing w:after="0"/>
              <w:rPr>
                <w:sz w:val="17"/>
                <w:szCs w:val="17"/>
                <w:color w:val="auto"/>
              </w:rPr>
            </w:pPr>
          </w:p>
        </w:tc>
        <w:tc>
          <w:tcPr>
            <w:tcW w:w="5480" w:type="dxa"/>
            <w:vAlign w:val="bottom"/>
            <w:vMerge w:val="restart"/>
          </w:tcPr>
          <w:p>
            <w:pPr>
              <w:ind w:left="640"/>
              <w:spacing w:after="0"/>
              <w:rPr>
                <w:sz w:val="20"/>
                <w:szCs w:val="20"/>
                <w:color w:val="auto"/>
              </w:rPr>
            </w:pPr>
            <w:r>
              <w:rPr>
                <w:rFonts w:ascii="Courier New" w:cs="Courier New" w:eastAsia="Courier New" w:hAnsi="Courier New"/>
                <w:sz w:val="18"/>
                <w:szCs w:val="18"/>
                <w:color w:val="auto"/>
              </w:rPr>
              <w:t>1,755,565</w:t>
            </w:r>
          </w:p>
        </w:tc>
        <w:tc>
          <w:tcPr>
            <w:tcW w:w="0" w:type="dxa"/>
            <w:vAlign w:val="bottom"/>
          </w:tcPr>
          <w:p>
            <w:pPr>
              <w:spacing w:after="0"/>
              <w:rPr>
                <w:sz w:val="1"/>
                <w:szCs w:val="1"/>
                <w:color w:val="auto"/>
              </w:rPr>
            </w:pPr>
          </w:p>
        </w:tc>
      </w:tr>
      <w:tr>
        <w:trPr>
          <w:trHeight w:val="203"/>
        </w:trPr>
        <w:tc>
          <w:tcPr>
            <w:tcW w:w="1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3" w:lineRule="exact"/>
        <w:rPr>
          <w:sz w:val="20"/>
          <w:szCs w:val="20"/>
          <w:color w:val="auto"/>
        </w:rPr>
      </w:pPr>
    </w:p>
    <w:p>
      <w:pPr>
        <w:ind w:left="1280" w:right="3179" w:hanging="1167"/>
        <w:spacing w:after="0" w:line="696" w:lineRule="auto"/>
        <w:tabs>
          <w:tab w:leader="none" w:pos="648"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1,756,336</w:t>
      </w:r>
    </w:p>
    <w:p>
      <w:pPr>
        <w:spacing w:after="0"/>
        <w:rPr>
          <w:sz w:val="20"/>
          <w:szCs w:val="20"/>
          <w:color w:val="auto"/>
        </w:rPr>
      </w:pPr>
      <w:r>
        <w:rPr>
          <w:rFonts w:ascii="Courier New" w:cs="Courier New" w:eastAsia="Courier New" w:hAnsi="Courier New"/>
          <w:sz w:val="16"/>
          <w:szCs w:val="16"/>
          <w:color w:val="auto"/>
        </w:rPr>
        <w:t>------------------------------------------------------------------------------</w:t>
      </w:r>
    </w:p>
    <w:p>
      <w:pPr>
        <w:spacing w:after="0" w:line="53" w:lineRule="exact"/>
        <w:rPr>
          <w:sz w:val="20"/>
          <w:szCs w:val="20"/>
          <w:color w:val="auto"/>
        </w:rPr>
      </w:pPr>
    </w:p>
    <w:p>
      <w:pPr>
        <w:ind w:left="7160" w:right="2659" w:hanging="7152"/>
        <w:spacing w:after="0" w:line="443" w:lineRule="auto"/>
        <w:tabs>
          <w:tab w:leader="none" w:pos="63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if the Aggregate Amount in Row (9) Excludes Certain Shares [_]</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3" w:lineRule="exact"/>
        <w:rPr>
          <w:sz w:val="20"/>
          <w:szCs w:val="20"/>
          <w:color w:val="auto"/>
        </w:rPr>
      </w:pPr>
    </w:p>
    <w:p>
      <w:pPr>
        <w:ind w:left="1160" w:right="4339" w:hanging="1152"/>
        <w:spacing w:after="0" w:line="696" w:lineRule="auto"/>
        <w:tabs>
          <w:tab w:leader="none" w:pos="634"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6.0 %</w:t>
      </w:r>
    </w:p>
    <w:p>
      <w:pPr>
        <w:spacing w:after="0"/>
        <w:rPr>
          <w:sz w:val="20"/>
          <w:szCs w:val="20"/>
          <w:color w:val="auto"/>
        </w:rPr>
      </w:pPr>
      <w:r>
        <w:rPr>
          <w:rFonts w:ascii="Courier New" w:cs="Courier New" w:eastAsia="Courier New" w:hAnsi="Courier New"/>
          <w:sz w:val="16"/>
          <w:szCs w:val="16"/>
          <w:color w:val="auto"/>
        </w:rPr>
        <w:t>------------------------------------------------------------------------------</w:t>
      </w:r>
    </w:p>
    <w:p>
      <w:pPr>
        <w:spacing w:after="0" w:line="53" w:lineRule="exact"/>
        <w:rPr>
          <w:sz w:val="20"/>
          <w:szCs w:val="20"/>
          <w:color w:val="auto"/>
        </w:rPr>
      </w:pPr>
    </w:p>
    <w:p>
      <w:pPr>
        <w:ind w:left="1160" w:right="6979" w:hanging="1152"/>
        <w:spacing w:after="0" w:line="457" w:lineRule="auto"/>
        <w:tabs>
          <w:tab w:leader="none" w:pos="634"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HC-CO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2 of 11</w:t>
      </w:r>
    </w:p>
    <w:p>
      <w:pPr>
        <w:sectPr>
          <w:pgSz w:w="11900" w:h="16838" w:orient="portrait"/>
          <w:cols w:equalWidth="0" w:num="1">
            <w:col w:w="10139"/>
          </w:cols>
          <w:pgMar w:left="320" w:top="110"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3320" w:type="dxa"/>
            <w:vAlign w:val="bottom"/>
          </w:tcPr>
          <w:p>
            <w:pPr>
              <w:jc w:val="center"/>
              <w:ind w:right="812"/>
              <w:spacing w:after="0"/>
              <w:rPr>
                <w:sz w:val="20"/>
                <w:szCs w:val="20"/>
                <w:color w:val="auto"/>
              </w:rPr>
            </w:pPr>
            <w:r>
              <w:rPr>
                <w:rFonts w:ascii="Courier New" w:cs="Courier New" w:eastAsia="Courier New" w:hAnsi="Courier New"/>
                <w:sz w:val="18"/>
                <w:szCs w:val="18"/>
                <w:color w:val="auto"/>
                <w:w w:val="97"/>
              </w:rPr>
              <w:t>-----------------------</w:t>
            </w:r>
          </w:p>
        </w:tc>
        <w:tc>
          <w:tcPr>
            <w:tcW w:w="1220" w:type="dxa"/>
            <w:vAlign w:val="bottom"/>
            <w:vMerge w:val="restart"/>
          </w:tcPr>
          <w:p>
            <w:pPr>
              <w:ind w:left="900"/>
              <w:spacing w:after="0"/>
              <w:rPr>
                <w:sz w:val="20"/>
                <w:szCs w:val="20"/>
                <w:color w:val="auto"/>
              </w:rPr>
            </w:pPr>
            <w:r>
              <w:rPr>
                <w:rFonts w:ascii="Courier New" w:cs="Courier New" w:eastAsia="Courier New" w:hAnsi="Courier New"/>
                <w:sz w:val="18"/>
                <w:szCs w:val="18"/>
                <w:color w:val="auto"/>
                <w:w w:val="92"/>
              </w:rPr>
              <w:t>13G</w:t>
            </w:r>
          </w:p>
        </w:tc>
        <w:tc>
          <w:tcPr>
            <w:tcW w:w="0" w:type="dxa"/>
            <w:vAlign w:val="bottom"/>
          </w:tcPr>
          <w:p>
            <w:pPr>
              <w:spacing w:after="0"/>
              <w:rPr>
                <w:sz w:val="1"/>
                <w:szCs w:val="1"/>
                <w:color w:val="auto"/>
              </w:rPr>
            </w:pPr>
          </w:p>
        </w:tc>
      </w:tr>
      <w:tr>
        <w:trPr>
          <w:trHeight w:val="203"/>
        </w:trPr>
        <w:tc>
          <w:tcPr>
            <w:tcW w:w="3320" w:type="dxa"/>
            <w:vAlign w:val="bottom"/>
          </w:tcPr>
          <w:p>
            <w:pPr>
              <w:jc w:val="center"/>
              <w:ind w:right="792"/>
              <w:spacing w:after="0" w:line="203" w:lineRule="exact"/>
              <w:rPr>
                <w:sz w:val="20"/>
                <w:szCs w:val="20"/>
                <w:color w:val="auto"/>
              </w:rPr>
            </w:pPr>
            <w:r>
              <w:rPr>
                <w:rFonts w:ascii="Courier New" w:cs="Courier New" w:eastAsia="Courier New" w:hAnsi="Courier New"/>
                <w:sz w:val="18"/>
                <w:szCs w:val="18"/>
                <w:color w:val="auto"/>
                <w:w w:val="97"/>
              </w:rPr>
              <w:t>CUSIP No. 974637100</w:t>
            </w: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320" w:type="dxa"/>
            <w:vAlign w:val="bottom"/>
          </w:tcPr>
          <w:p>
            <w:pPr>
              <w:jc w:val="center"/>
              <w:ind w:right="812"/>
              <w:spacing w:after="0"/>
              <w:rPr>
                <w:sz w:val="20"/>
                <w:szCs w:val="20"/>
                <w:color w:val="auto"/>
              </w:rPr>
            </w:pPr>
            <w:r>
              <w:rPr>
                <w:rFonts w:ascii="Courier New" w:cs="Courier New" w:eastAsia="Courier New" w:hAnsi="Courier New"/>
                <w:sz w:val="18"/>
                <w:szCs w:val="18"/>
                <w:color w:val="auto"/>
                <w:w w:val="97"/>
              </w:rPr>
              <w:t>-----------------------</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2" w:lineRule="exact"/>
        <w:rPr>
          <w:sz w:val="20"/>
          <w:szCs w:val="20"/>
          <w:color w:val="auto"/>
        </w:rPr>
      </w:pPr>
    </w:p>
    <w:p>
      <w:pPr>
        <w:ind w:left="640" w:hanging="527"/>
        <w:spacing w:after="0"/>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6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w:t>
      </w:r>
    </w:p>
    <w:p>
      <w:pPr>
        <w:spacing w:after="0" w:line="16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GOLDMAN SACHS &amp; CO.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3" w:lineRule="exact"/>
        <w:rPr>
          <w:sz w:val="20"/>
          <w:szCs w:val="20"/>
          <w:color w:val="auto"/>
        </w:rPr>
      </w:pPr>
    </w:p>
    <w:p>
      <w:pPr>
        <w:ind w:left="120"/>
        <w:spacing w:after="0"/>
        <w:tabs>
          <w:tab w:leader="none" w:pos="62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p>
    <w:p>
      <w:pPr>
        <w:spacing w:after="0" w:line="169" w:lineRule="exact"/>
        <w:rPr>
          <w:sz w:val="20"/>
          <w:szCs w:val="20"/>
          <w:color w:val="auto"/>
        </w:rPr>
      </w:pPr>
    </w:p>
    <w:p>
      <w:pPr>
        <w:ind w:left="6740"/>
        <w:spacing w:after="0"/>
        <w:rPr>
          <w:sz w:val="20"/>
          <w:szCs w:val="20"/>
          <w:color w:val="auto"/>
        </w:rPr>
      </w:pPr>
      <w:r>
        <w:rPr>
          <w:rFonts w:ascii="Courier New" w:cs="Courier New" w:eastAsia="Courier New" w:hAnsi="Courier New"/>
          <w:sz w:val="18"/>
          <w:szCs w:val="18"/>
          <w:color w:val="auto"/>
        </w:rPr>
        <w:t>(a) [_]</w:t>
      </w:r>
    </w:p>
    <w:p>
      <w:pPr>
        <w:spacing w:after="0" w:line="29" w:lineRule="exact"/>
        <w:rPr>
          <w:sz w:val="20"/>
          <w:szCs w:val="20"/>
          <w:color w:val="auto"/>
        </w:rPr>
      </w:pPr>
    </w:p>
    <w:p>
      <w:pPr>
        <w:ind w:left="6740"/>
        <w:spacing w:after="0"/>
        <w:rPr>
          <w:sz w:val="20"/>
          <w:szCs w:val="20"/>
          <w:color w:val="auto"/>
        </w:rPr>
      </w:pPr>
      <w:r>
        <w:rPr>
          <w:rFonts w:ascii="Courier New" w:cs="Courier New" w:eastAsia="Courier New" w:hAnsi="Courier New"/>
          <w:sz w:val="18"/>
          <w:szCs w:val="18"/>
          <w:color w:val="auto"/>
        </w:rPr>
        <w:t>(b) [_]</w:t>
      </w: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120"/>
        <w:spacing w:after="0"/>
        <w:tabs>
          <w:tab w:leader="none" w:pos="620" w:val="left"/>
        </w:tabs>
        <w:rPr>
          <w:sz w:val="20"/>
          <w:szCs w:val="20"/>
          <w:color w:val="auto"/>
        </w:rPr>
      </w:pPr>
      <w:r>
        <w:rPr>
          <w:rFonts w:ascii="Courier New" w:cs="Courier New" w:eastAsia="Courier New" w:hAnsi="Courier New"/>
          <w:sz w:val="18"/>
          <w:szCs w:val="18"/>
          <w:color w:val="auto"/>
        </w:rPr>
        <w:t>3.</w:t>
      </w:r>
      <w:r>
        <w:rPr>
          <w:sz w:val="20"/>
          <w:szCs w:val="20"/>
          <w:color w:val="auto"/>
        </w:rPr>
        <w:tab/>
      </w: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3" w:lineRule="exact"/>
        <w:rPr>
          <w:sz w:val="20"/>
          <w:szCs w:val="20"/>
          <w:color w:val="auto"/>
        </w:rPr>
      </w:pPr>
    </w:p>
    <w:p>
      <w:pPr>
        <w:ind w:left="120"/>
        <w:spacing w:after="0"/>
        <w:tabs>
          <w:tab w:leader="none" w:pos="62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Citizenship or Place of Organization</w:t>
      </w:r>
    </w:p>
    <w:p>
      <w:pPr>
        <w:spacing w:after="0" w:line="169"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New York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3" w:lineRule="exact"/>
        <w:rPr>
          <w:sz w:val="20"/>
          <w:szCs w:val="20"/>
          <w:color w:val="auto"/>
        </w:rPr>
      </w:pPr>
    </w:p>
    <w:tbl>
      <w:tblPr>
        <w:tblLayout w:type="fixed"/>
        <w:tblInd w:w="320" w:type="dxa"/>
        <w:tblCellMar>
          <w:top w:w="0" w:type="dxa"/>
          <w:left w:w="0" w:type="dxa"/>
          <w:bottom w:w="0" w:type="dxa"/>
          <w:right w:w="0" w:type="dxa"/>
        </w:tblCellMar>
      </w:tblPr>
      <w:tr>
        <w:trPr>
          <w:trHeight w:val="296"/>
        </w:trPr>
        <w:tc>
          <w:tcPr>
            <w:tcW w:w="1540" w:type="dxa"/>
            <w:vAlign w:val="bottom"/>
          </w:tcPr>
          <w:p>
            <w:pPr>
              <w:spacing w:after="0"/>
              <w:rPr>
                <w:sz w:val="24"/>
                <w:szCs w:val="24"/>
                <w:color w:val="auto"/>
              </w:rPr>
            </w:pPr>
          </w:p>
        </w:tc>
        <w:tc>
          <w:tcPr>
            <w:tcW w:w="880" w:type="dxa"/>
            <w:vAlign w:val="bottom"/>
          </w:tcPr>
          <w:p>
            <w:pPr>
              <w:jc w:val="right"/>
              <w:ind w:right="263"/>
              <w:spacing w:after="0"/>
              <w:rPr>
                <w:sz w:val="20"/>
                <w:szCs w:val="20"/>
                <w:color w:val="auto"/>
              </w:rPr>
            </w:pPr>
            <w:r>
              <w:rPr>
                <w:rFonts w:ascii="Courier New" w:cs="Courier New" w:eastAsia="Courier New" w:hAnsi="Courier New"/>
                <w:sz w:val="18"/>
                <w:szCs w:val="18"/>
                <w:color w:val="auto"/>
              </w:rPr>
              <w:t>5.</w:t>
            </w:r>
          </w:p>
        </w:tc>
        <w:tc>
          <w:tcPr>
            <w:tcW w:w="548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373"/>
        </w:trPr>
        <w:tc>
          <w:tcPr>
            <w:tcW w:w="1540" w:type="dxa"/>
            <w:vAlign w:val="bottom"/>
          </w:tcPr>
          <w:p>
            <w:pPr>
              <w:jc w:val="center"/>
              <w:ind w:right="72"/>
              <w:spacing w:after="0"/>
              <w:rPr>
                <w:sz w:val="20"/>
                <w:szCs w:val="20"/>
                <w:color w:val="auto"/>
              </w:rPr>
            </w:pPr>
            <w:r>
              <w:rPr>
                <w:rFonts w:ascii="Courier New" w:cs="Courier New" w:eastAsia="Courier New" w:hAnsi="Courier New"/>
                <w:sz w:val="18"/>
                <w:szCs w:val="18"/>
                <w:color w:val="auto"/>
                <w:w w:val="96"/>
              </w:rPr>
              <w:t>Number of</w:t>
            </w:r>
          </w:p>
        </w:tc>
        <w:tc>
          <w:tcPr>
            <w:tcW w:w="880" w:type="dxa"/>
            <w:vAlign w:val="bottom"/>
          </w:tcPr>
          <w:p>
            <w:pPr>
              <w:spacing w:after="0"/>
              <w:rPr>
                <w:sz w:val="24"/>
                <w:szCs w:val="24"/>
                <w:color w:val="auto"/>
              </w:rPr>
            </w:pPr>
          </w:p>
        </w:tc>
        <w:tc>
          <w:tcPr>
            <w:tcW w:w="5480" w:type="dxa"/>
            <w:vAlign w:val="bottom"/>
          </w:tcPr>
          <w:p>
            <w:pPr>
              <w:ind w:left="540"/>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405"/>
        </w:trPr>
        <w:tc>
          <w:tcPr>
            <w:tcW w:w="1540" w:type="dxa"/>
            <w:vAlign w:val="bottom"/>
          </w:tcPr>
          <w:p>
            <w:pPr>
              <w:jc w:val="center"/>
              <w:ind w:right="172"/>
              <w:spacing w:after="0"/>
              <w:rPr>
                <w:sz w:val="20"/>
                <w:szCs w:val="20"/>
                <w:color w:val="auto"/>
              </w:rPr>
            </w:pPr>
            <w:r>
              <w:rPr>
                <w:rFonts w:ascii="Courier New" w:cs="Courier New" w:eastAsia="Courier New" w:hAnsi="Courier New"/>
                <w:sz w:val="18"/>
                <w:szCs w:val="18"/>
                <w:color w:val="auto"/>
                <w:w w:val="98"/>
              </w:rPr>
              <w:t>Shares</w:t>
            </w:r>
          </w:p>
        </w:tc>
        <w:tc>
          <w:tcPr>
            <w:tcW w:w="880" w:type="dxa"/>
            <w:vAlign w:val="bottom"/>
            <w:vMerge w:val="restart"/>
          </w:tcPr>
          <w:p>
            <w:pPr>
              <w:ind w:left="260"/>
              <w:spacing w:after="0"/>
              <w:rPr>
                <w:sz w:val="20"/>
                <w:szCs w:val="20"/>
                <w:color w:val="auto"/>
              </w:rPr>
            </w:pPr>
            <w:r>
              <w:rPr>
                <w:rFonts w:ascii="Courier New" w:cs="Courier New" w:eastAsia="Courier New" w:hAnsi="Courier New"/>
                <w:sz w:val="2"/>
                <w:szCs w:val="2"/>
                <w:color w:val="auto"/>
                <w:w w:val="82"/>
              </w:rPr>
              <w:t>----------------------------------------------------------</w:t>
            </w:r>
            <w:r>
              <w:rPr>
                <w:rFonts w:ascii="Courier New" w:cs="Courier New" w:eastAsia="Courier New" w:hAnsi="Courier New"/>
                <w:sz w:val="4"/>
                <w:szCs w:val="4"/>
                <w:color w:val="auto"/>
                <w:w w:val="82"/>
                <w:vertAlign w:val="subscript"/>
              </w:rPr>
              <w:t>6.</w:t>
            </w:r>
          </w:p>
        </w:tc>
        <w:tc>
          <w:tcPr>
            <w:tcW w:w="5480" w:type="dxa"/>
            <w:vAlign w:val="bottom"/>
            <w:vMerge w:val="restart"/>
          </w:tcPr>
          <w:p>
            <w:pPr>
              <w:spacing w:after="0"/>
              <w:rPr>
                <w:sz w:val="20"/>
                <w:szCs w:val="20"/>
                <w:color w:val="auto"/>
              </w:rPr>
            </w:pPr>
            <w:r>
              <w:rPr>
                <w:rFonts w:ascii="Courier New" w:cs="Courier New" w:eastAsia="Courier New" w:hAnsi="Courier New"/>
                <w:sz w:val="18"/>
                <w:szCs w:val="18"/>
                <w:color w:val="auto"/>
              </w:rPr>
              <w:t>Shared Voting Power</w:t>
            </w:r>
          </w:p>
        </w:tc>
        <w:tc>
          <w:tcPr>
            <w:tcW w:w="0" w:type="dxa"/>
            <w:vAlign w:val="bottom"/>
          </w:tcPr>
          <w:p>
            <w:pPr>
              <w:spacing w:after="0"/>
              <w:rPr>
                <w:sz w:val="1"/>
                <w:szCs w:val="1"/>
                <w:color w:val="auto"/>
              </w:rPr>
            </w:pPr>
          </w:p>
        </w:tc>
      </w:tr>
      <w:tr>
        <w:trPr>
          <w:trHeight w:val="203"/>
        </w:trPr>
        <w:tc>
          <w:tcPr>
            <w:tcW w:w="1540" w:type="dxa"/>
            <w:vAlign w:val="bottom"/>
            <w:vMerge w:val="restart"/>
          </w:tcPr>
          <w:p>
            <w:pPr>
              <w:jc w:val="center"/>
              <w:ind w:right="192"/>
              <w:spacing w:after="0"/>
              <w:rPr>
                <w:sz w:val="20"/>
                <w:szCs w:val="20"/>
                <w:color w:val="auto"/>
              </w:rPr>
            </w:pPr>
            <w:r>
              <w:rPr>
                <w:rFonts w:ascii="Courier New" w:cs="Courier New" w:eastAsia="Courier New" w:hAnsi="Courier New"/>
                <w:sz w:val="18"/>
                <w:szCs w:val="18"/>
                <w:color w:val="auto"/>
                <w:w w:val="97"/>
              </w:rPr>
              <w:t>Beneficially</w:t>
            </w:r>
          </w:p>
        </w:tc>
        <w:tc>
          <w:tcPr>
            <w:tcW w:w="880" w:type="dxa"/>
            <w:vAlign w:val="bottom"/>
            <w:vMerge w:val="continue"/>
          </w:tcPr>
          <w:p>
            <w:pPr>
              <w:spacing w:after="0"/>
              <w:rPr>
                <w:sz w:val="17"/>
                <w:szCs w:val="17"/>
                <w:color w:val="auto"/>
              </w:rPr>
            </w:pPr>
          </w:p>
        </w:tc>
        <w:tc>
          <w:tcPr>
            <w:tcW w:w="5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40" w:type="dxa"/>
            <w:vAlign w:val="bottom"/>
            <w:vMerge w:val="continue"/>
          </w:tcPr>
          <w:p>
            <w:pPr>
              <w:spacing w:after="0"/>
              <w:rPr>
                <w:sz w:val="17"/>
                <w:szCs w:val="17"/>
                <w:color w:val="auto"/>
              </w:rPr>
            </w:pPr>
          </w:p>
        </w:tc>
        <w:tc>
          <w:tcPr>
            <w:tcW w:w="880" w:type="dxa"/>
            <w:vAlign w:val="bottom"/>
          </w:tcPr>
          <w:p>
            <w:pPr>
              <w:spacing w:after="0"/>
              <w:rPr>
                <w:sz w:val="17"/>
                <w:szCs w:val="17"/>
                <w:color w:val="auto"/>
              </w:rPr>
            </w:pPr>
          </w:p>
        </w:tc>
        <w:tc>
          <w:tcPr>
            <w:tcW w:w="5480" w:type="dxa"/>
            <w:vAlign w:val="bottom"/>
            <w:vMerge w:val="restart"/>
          </w:tcPr>
          <w:p>
            <w:pPr>
              <w:ind w:left="640"/>
              <w:spacing w:after="0"/>
              <w:rPr>
                <w:sz w:val="20"/>
                <w:szCs w:val="20"/>
                <w:color w:val="auto"/>
              </w:rPr>
            </w:pPr>
            <w:r>
              <w:rPr>
                <w:rFonts w:ascii="Courier New" w:cs="Courier New" w:eastAsia="Courier New" w:hAnsi="Courier New"/>
                <w:sz w:val="18"/>
                <w:szCs w:val="18"/>
                <w:color w:val="auto"/>
              </w:rPr>
              <w:t>1,755,550</w:t>
            </w:r>
          </w:p>
        </w:tc>
        <w:tc>
          <w:tcPr>
            <w:tcW w:w="0" w:type="dxa"/>
            <w:vAlign w:val="bottom"/>
          </w:tcPr>
          <w:p>
            <w:pPr>
              <w:spacing w:after="0"/>
              <w:rPr>
                <w:sz w:val="1"/>
                <w:szCs w:val="1"/>
                <w:color w:val="auto"/>
              </w:rPr>
            </w:pPr>
          </w:p>
        </w:tc>
      </w:tr>
      <w:tr>
        <w:trPr>
          <w:trHeight w:val="203"/>
        </w:trPr>
        <w:tc>
          <w:tcPr>
            <w:tcW w:w="1540" w:type="dxa"/>
            <w:vAlign w:val="bottom"/>
            <w:vMerge w:val="restart"/>
          </w:tcPr>
          <w:p>
            <w:pPr>
              <w:jc w:val="center"/>
              <w:ind w:right="172"/>
              <w:spacing w:after="0"/>
              <w:rPr>
                <w:sz w:val="20"/>
                <w:szCs w:val="20"/>
                <w:color w:val="auto"/>
              </w:rPr>
            </w:pPr>
            <w:r>
              <w:rPr>
                <w:rFonts w:ascii="Courier New" w:cs="Courier New" w:eastAsia="Courier New" w:hAnsi="Courier New"/>
                <w:sz w:val="18"/>
                <w:szCs w:val="18"/>
                <w:color w:val="auto"/>
                <w:w w:val="97"/>
              </w:rPr>
              <w:t>Owned by</w:t>
            </w:r>
          </w:p>
        </w:tc>
        <w:tc>
          <w:tcPr>
            <w:tcW w:w="880" w:type="dxa"/>
            <w:vAlign w:val="bottom"/>
          </w:tcPr>
          <w:p>
            <w:pPr>
              <w:spacing w:after="0"/>
              <w:rPr>
                <w:sz w:val="17"/>
                <w:szCs w:val="17"/>
                <w:color w:val="auto"/>
              </w:rPr>
            </w:pPr>
          </w:p>
        </w:tc>
        <w:tc>
          <w:tcPr>
            <w:tcW w:w="5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40" w:type="dxa"/>
            <w:vAlign w:val="bottom"/>
            <w:vMerge w:val="continue"/>
          </w:tcPr>
          <w:p>
            <w:pPr>
              <w:spacing w:after="0"/>
              <w:rPr>
                <w:sz w:val="17"/>
                <w:szCs w:val="17"/>
                <w:color w:val="auto"/>
              </w:rPr>
            </w:pPr>
          </w:p>
        </w:tc>
        <w:tc>
          <w:tcPr>
            <w:tcW w:w="6360" w:type="dxa"/>
            <w:vAlign w:val="bottom"/>
            <w:gridSpan w:val="2"/>
            <w:vMerge w:val="restart"/>
          </w:tcPr>
          <w:p>
            <w:pPr>
              <w:ind w:left="260"/>
              <w:spacing w:after="0"/>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109"/>
        </w:trPr>
        <w:tc>
          <w:tcPr>
            <w:tcW w:w="1540" w:type="dxa"/>
            <w:vAlign w:val="bottom"/>
            <w:vMerge w:val="restart"/>
          </w:tcPr>
          <w:p>
            <w:pPr>
              <w:jc w:val="center"/>
              <w:ind w:right="192"/>
              <w:spacing w:after="0"/>
              <w:rPr>
                <w:sz w:val="20"/>
                <w:szCs w:val="20"/>
                <w:color w:val="auto"/>
              </w:rPr>
            </w:pPr>
            <w:r>
              <w:rPr>
                <w:rFonts w:ascii="Courier New" w:cs="Courier New" w:eastAsia="Courier New" w:hAnsi="Courier New"/>
                <w:sz w:val="18"/>
                <w:szCs w:val="18"/>
                <w:color w:val="auto"/>
                <w:w w:val="97"/>
              </w:rPr>
              <w:t>Each</w:t>
            </w:r>
          </w:p>
        </w:tc>
        <w:tc>
          <w:tcPr>
            <w:tcW w:w="63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96"/>
        </w:trPr>
        <w:tc>
          <w:tcPr>
            <w:tcW w:w="1540" w:type="dxa"/>
            <w:vAlign w:val="bottom"/>
            <w:vMerge w:val="continue"/>
          </w:tcPr>
          <w:p>
            <w:pPr>
              <w:spacing w:after="0"/>
              <w:rPr>
                <w:sz w:val="24"/>
                <w:szCs w:val="24"/>
                <w:color w:val="auto"/>
              </w:rPr>
            </w:pPr>
          </w:p>
        </w:tc>
        <w:tc>
          <w:tcPr>
            <w:tcW w:w="880" w:type="dxa"/>
            <w:vAlign w:val="bottom"/>
          </w:tcPr>
          <w:p>
            <w:pPr>
              <w:jc w:val="right"/>
              <w:ind w:right="263"/>
              <w:spacing w:after="0"/>
              <w:rPr>
                <w:sz w:val="20"/>
                <w:szCs w:val="20"/>
                <w:color w:val="auto"/>
              </w:rPr>
            </w:pPr>
            <w:r>
              <w:rPr>
                <w:rFonts w:ascii="Courier New" w:cs="Courier New" w:eastAsia="Courier New" w:hAnsi="Courier New"/>
                <w:sz w:val="18"/>
                <w:szCs w:val="18"/>
                <w:color w:val="auto"/>
              </w:rPr>
              <w:t>7.</w:t>
            </w:r>
          </w:p>
        </w:tc>
        <w:tc>
          <w:tcPr>
            <w:tcW w:w="5480" w:type="dxa"/>
            <w:vAlign w:val="bottom"/>
          </w:tcPr>
          <w:p>
            <w:pPr>
              <w:spacing w:after="0"/>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405"/>
        </w:trPr>
        <w:tc>
          <w:tcPr>
            <w:tcW w:w="1540" w:type="dxa"/>
            <w:vAlign w:val="bottom"/>
          </w:tcPr>
          <w:p>
            <w:pPr>
              <w:ind w:left="100"/>
              <w:spacing w:after="0"/>
              <w:rPr>
                <w:sz w:val="20"/>
                <w:szCs w:val="20"/>
                <w:color w:val="auto"/>
              </w:rPr>
            </w:pPr>
            <w:r>
              <w:rPr>
                <w:rFonts w:ascii="Courier New" w:cs="Courier New" w:eastAsia="Courier New" w:hAnsi="Courier New"/>
                <w:sz w:val="18"/>
                <w:szCs w:val="18"/>
                <w:color w:val="auto"/>
              </w:rPr>
              <w:t>Reporting</w:t>
            </w:r>
          </w:p>
        </w:tc>
        <w:tc>
          <w:tcPr>
            <w:tcW w:w="880" w:type="dxa"/>
            <w:vAlign w:val="bottom"/>
          </w:tcPr>
          <w:p>
            <w:pPr>
              <w:spacing w:after="0"/>
              <w:rPr>
                <w:sz w:val="24"/>
                <w:szCs w:val="24"/>
                <w:color w:val="auto"/>
              </w:rPr>
            </w:pPr>
          </w:p>
        </w:tc>
        <w:tc>
          <w:tcPr>
            <w:tcW w:w="5480" w:type="dxa"/>
            <w:vAlign w:val="bottom"/>
          </w:tcPr>
          <w:p>
            <w:pPr>
              <w:ind w:left="540"/>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405"/>
        </w:trPr>
        <w:tc>
          <w:tcPr>
            <w:tcW w:w="1540" w:type="dxa"/>
            <w:vAlign w:val="bottom"/>
          </w:tcPr>
          <w:p>
            <w:pPr>
              <w:jc w:val="center"/>
              <w:ind w:right="172"/>
              <w:spacing w:after="0"/>
              <w:rPr>
                <w:sz w:val="20"/>
                <w:szCs w:val="20"/>
                <w:color w:val="auto"/>
              </w:rPr>
            </w:pPr>
            <w:r>
              <w:rPr>
                <w:rFonts w:ascii="Courier New" w:cs="Courier New" w:eastAsia="Courier New" w:hAnsi="Courier New"/>
                <w:sz w:val="18"/>
                <w:szCs w:val="18"/>
                <w:color w:val="auto"/>
                <w:w w:val="98"/>
              </w:rPr>
              <w:t>Person</w:t>
            </w:r>
          </w:p>
        </w:tc>
        <w:tc>
          <w:tcPr>
            <w:tcW w:w="880" w:type="dxa"/>
            <w:vAlign w:val="bottom"/>
            <w:vMerge w:val="restart"/>
          </w:tcPr>
          <w:p>
            <w:pPr>
              <w:ind w:left="260"/>
              <w:spacing w:after="0"/>
              <w:rPr>
                <w:sz w:val="20"/>
                <w:szCs w:val="20"/>
                <w:color w:val="auto"/>
              </w:rPr>
            </w:pPr>
            <w:r>
              <w:rPr>
                <w:rFonts w:ascii="Courier New" w:cs="Courier New" w:eastAsia="Courier New" w:hAnsi="Courier New"/>
                <w:sz w:val="2"/>
                <w:szCs w:val="2"/>
                <w:color w:val="auto"/>
                <w:w w:val="82"/>
              </w:rPr>
              <w:t>----------------------------------------------------------</w:t>
            </w:r>
            <w:r>
              <w:rPr>
                <w:rFonts w:ascii="Courier New" w:cs="Courier New" w:eastAsia="Courier New" w:hAnsi="Courier New"/>
                <w:sz w:val="4"/>
                <w:szCs w:val="4"/>
                <w:color w:val="auto"/>
                <w:w w:val="82"/>
                <w:vertAlign w:val="subscript"/>
              </w:rPr>
              <w:t>8.</w:t>
            </w:r>
          </w:p>
        </w:tc>
        <w:tc>
          <w:tcPr>
            <w:tcW w:w="5480" w:type="dxa"/>
            <w:vAlign w:val="bottom"/>
            <w:vMerge w:val="restart"/>
          </w:tcPr>
          <w:p>
            <w:pPr>
              <w:spacing w:after="0"/>
              <w:rPr>
                <w:sz w:val="20"/>
                <w:szCs w:val="20"/>
                <w:color w:val="auto"/>
              </w:rPr>
            </w:pPr>
            <w:r>
              <w:rPr>
                <w:rFonts w:ascii="Courier New" w:cs="Courier New" w:eastAsia="Courier New" w:hAnsi="Courier New"/>
                <w:sz w:val="18"/>
                <w:szCs w:val="18"/>
                <w:color w:val="auto"/>
              </w:rPr>
              <w:t>Shared Dispositive Power</w:t>
            </w:r>
          </w:p>
        </w:tc>
        <w:tc>
          <w:tcPr>
            <w:tcW w:w="0" w:type="dxa"/>
            <w:vAlign w:val="bottom"/>
          </w:tcPr>
          <w:p>
            <w:pPr>
              <w:spacing w:after="0"/>
              <w:rPr>
                <w:sz w:val="1"/>
                <w:szCs w:val="1"/>
                <w:color w:val="auto"/>
              </w:rPr>
            </w:pPr>
          </w:p>
        </w:tc>
      </w:tr>
      <w:tr>
        <w:trPr>
          <w:trHeight w:val="203"/>
        </w:trPr>
        <w:tc>
          <w:tcPr>
            <w:tcW w:w="1540" w:type="dxa"/>
            <w:vAlign w:val="bottom"/>
            <w:vMerge w:val="restart"/>
          </w:tcPr>
          <w:p>
            <w:pPr>
              <w:jc w:val="center"/>
              <w:ind w:right="72"/>
              <w:spacing w:after="0"/>
              <w:rPr>
                <w:sz w:val="20"/>
                <w:szCs w:val="20"/>
                <w:color w:val="auto"/>
              </w:rPr>
            </w:pPr>
            <w:r>
              <w:rPr>
                <w:rFonts w:ascii="Courier New" w:cs="Courier New" w:eastAsia="Courier New" w:hAnsi="Courier New"/>
                <w:sz w:val="18"/>
                <w:szCs w:val="18"/>
                <w:color w:val="auto"/>
                <w:w w:val="99"/>
              </w:rPr>
              <w:t>With:</w:t>
            </w:r>
          </w:p>
        </w:tc>
        <w:tc>
          <w:tcPr>
            <w:tcW w:w="880" w:type="dxa"/>
            <w:vAlign w:val="bottom"/>
            <w:vMerge w:val="continue"/>
          </w:tcPr>
          <w:p>
            <w:pPr>
              <w:spacing w:after="0"/>
              <w:rPr>
                <w:sz w:val="17"/>
                <w:szCs w:val="17"/>
                <w:color w:val="auto"/>
              </w:rPr>
            </w:pPr>
          </w:p>
        </w:tc>
        <w:tc>
          <w:tcPr>
            <w:tcW w:w="5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40" w:type="dxa"/>
            <w:vAlign w:val="bottom"/>
            <w:vMerge w:val="continue"/>
          </w:tcPr>
          <w:p>
            <w:pPr>
              <w:spacing w:after="0"/>
              <w:rPr>
                <w:sz w:val="17"/>
                <w:szCs w:val="17"/>
                <w:color w:val="auto"/>
              </w:rPr>
            </w:pPr>
          </w:p>
        </w:tc>
        <w:tc>
          <w:tcPr>
            <w:tcW w:w="880" w:type="dxa"/>
            <w:vAlign w:val="bottom"/>
          </w:tcPr>
          <w:p>
            <w:pPr>
              <w:spacing w:after="0"/>
              <w:rPr>
                <w:sz w:val="17"/>
                <w:szCs w:val="17"/>
                <w:color w:val="auto"/>
              </w:rPr>
            </w:pPr>
          </w:p>
        </w:tc>
        <w:tc>
          <w:tcPr>
            <w:tcW w:w="5480" w:type="dxa"/>
            <w:vAlign w:val="bottom"/>
            <w:vMerge w:val="restart"/>
          </w:tcPr>
          <w:p>
            <w:pPr>
              <w:ind w:left="640"/>
              <w:spacing w:after="0"/>
              <w:rPr>
                <w:sz w:val="20"/>
                <w:szCs w:val="20"/>
                <w:color w:val="auto"/>
              </w:rPr>
            </w:pPr>
            <w:r>
              <w:rPr>
                <w:rFonts w:ascii="Courier New" w:cs="Courier New" w:eastAsia="Courier New" w:hAnsi="Courier New"/>
                <w:sz w:val="18"/>
                <w:szCs w:val="18"/>
                <w:color w:val="auto"/>
              </w:rPr>
              <w:t>1,755,565</w:t>
            </w:r>
          </w:p>
        </w:tc>
        <w:tc>
          <w:tcPr>
            <w:tcW w:w="0" w:type="dxa"/>
            <w:vAlign w:val="bottom"/>
          </w:tcPr>
          <w:p>
            <w:pPr>
              <w:spacing w:after="0"/>
              <w:rPr>
                <w:sz w:val="1"/>
                <w:szCs w:val="1"/>
                <w:color w:val="auto"/>
              </w:rPr>
            </w:pPr>
          </w:p>
        </w:tc>
      </w:tr>
      <w:tr>
        <w:trPr>
          <w:trHeight w:val="203"/>
        </w:trPr>
        <w:tc>
          <w:tcPr>
            <w:tcW w:w="1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3" w:lineRule="exact"/>
        <w:rPr>
          <w:sz w:val="20"/>
          <w:szCs w:val="20"/>
          <w:color w:val="auto"/>
        </w:rPr>
      </w:pPr>
    </w:p>
    <w:p>
      <w:pPr>
        <w:ind w:left="1280" w:right="3179" w:hanging="1167"/>
        <w:spacing w:after="0" w:line="696" w:lineRule="auto"/>
        <w:tabs>
          <w:tab w:leader="none" w:pos="648"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1,756,336</w:t>
      </w:r>
    </w:p>
    <w:p>
      <w:pPr>
        <w:spacing w:after="0"/>
        <w:rPr>
          <w:sz w:val="20"/>
          <w:szCs w:val="20"/>
          <w:color w:val="auto"/>
        </w:rPr>
      </w:pPr>
      <w:r>
        <w:rPr>
          <w:rFonts w:ascii="Courier New" w:cs="Courier New" w:eastAsia="Courier New" w:hAnsi="Courier New"/>
          <w:sz w:val="16"/>
          <w:szCs w:val="16"/>
          <w:color w:val="auto"/>
        </w:rPr>
        <w:t>------------------------------------------------------------------------------</w:t>
      </w:r>
    </w:p>
    <w:p>
      <w:pPr>
        <w:spacing w:after="0" w:line="53" w:lineRule="exact"/>
        <w:rPr>
          <w:sz w:val="20"/>
          <w:szCs w:val="20"/>
          <w:color w:val="auto"/>
        </w:rPr>
      </w:pPr>
    </w:p>
    <w:p>
      <w:pPr>
        <w:ind w:left="640" w:hanging="632"/>
        <w:spacing w:after="0"/>
        <w:tabs>
          <w:tab w:leader="none" w:pos="6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169" w:lineRule="exact"/>
        <w:rPr>
          <w:sz w:val="20"/>
          <w:szCs w:val="20"/>
          <w:color w:val="auto"/>
        </w:rPr>
      </w:pPr>
    </w:p>
    <w:p>
      <w:pPr>
        <w:ind w:left="7160"/>
        <w:spacing w:after="0"/>
        <w:rPr>
          <w:sz w:val="20"/>
          <w:szCs w:val="20"/>
          <w:color w:val="auto"/>
        </w:rPr>
      </w:pPr>
      <w:r>
        <w:rPr>
          <w:rFonts w:ascii="Courier New" w:cs="Courier New" w:eastAsia="Courier New" w:hAnsi="Courier New"/>
          <w:sz w:val="18"/>
          <w:szCs w:val="18"/>
          <w:color w:val="auto"/>
        </w:rPr>
        <w:t>[_]</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3" w:lineRule="exact"/>
        <w:rPr>
          <w:sz w:val="20"/>
          <w:szCs w:val="20"/>
          <w:color w:val="auto"/>
        </w:rPr>
      </w:pPr>
    </w:p>
    <w:p>
      <w:pPr>
        <w:ind w:left="1160" w:right="4339" w:hanging="1152"/>
        <w:spacing w:after="0" w:line="696" w:lineRule="auto"/>
        <w:tabs>
          <w:tab w:leader="none" w:pos="634"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6.0 %</w:t>
      </w:r>
    </w:p>
    <w:p>
      <w:pPr>
        <w:spacing w:after="0"/>
        <w:rPr>
          <w:sz w:val="20"/>
          <w:szCs w:val="20"/>
          <w:color w:val="auto"/>
        </w:rPr>
      </w:pPr>
      <w:r>
        <w:rPr>
          <w:rFonts w:ascii="Courier New" w:cs="Courier New" w:eastAsia="Courier New" w:hAnsi="Courier New"/>
          <w:sz w:val="16"/>
          <w:szCs w:val="16"/>
          <w:color w:val="auto"/>
        </w:rPr>
        <w:t>------------------------------------------------------------------------------</w:t>
      </w:r>
    </w:p>
    <w:p>
      <w:pPr>
        <w:spacing w:after="0" w:line="53" w:lineRule="exact"/>
        <w:rPr>
          <w:sz w:val="20"/>
          <w:szCs w:val="20"/>
          <w:color w:val="auto"/>
        </w:rPr>
      </w:pPr>
    </w:p>
    <w:p>
      <w:pPr>
        <w:ind w:left="1160" w:right="6979" w:hanging="1152"/>
        <w:spacing w:after="0" w:line="457" w:lineRule="auto"/>
        <w:tabs>
          <w:tab w:leader="none" w:pos="634"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BD-OO-IA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139"/>
          </w:cols>
          <w:pgMar w:left="320" w:top="689" w:right="1440" w:bottom="41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Page 3 of 11</w:t>
      </w:r>
    </w:p>
    <w:p>
      <w:pPr>
        <w:sectPr>
          <w:pgSz w:w="11900" w:h="16838" w:orient="portrait"/>
          <w:cols w:equalWidth="0" w:num="1">
            <w:col w:w="10139"/>
          </w:cols>
          <w:pgMar w:left="320" w:top="689" w:right="1440" w:bottom="417" w:gutter="0" w:footer="0" w:header="0"/>
          <w:type w:val="continuous"/>
        </w:sectPr>
      </w:pPr>
    </w:p>
    <w:bookmarkStart w:id="3" w:name="page4"/>
    <w:bookmarkEnd w:id="3"/>
    <w:p>
      <w:pPr>
        <w:spacing w:after="0"/>
        <w:tabs>
          <w:tab w:leader="none" w:pos="19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3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WINNEBAGO INDUSTRIES INC</w:t>
      </w:r>
    </w:p>
    <w:p>
      <w:pPr>
        <w:spacing w:after="0" w:line="169" w:lineRule="exact"/>
        <w:rPr>
          <w:sz w:val="20"/>
          <w:szCs w:val="20"/>
          <w:color w:val="auto"/>
        </w:rPr>
      </w:pPr>
    </w:p>
    <w:p>
      <w:pPr>
        <w:spacing w:after="0"/>
        <w:tabs>
          <w:tab w:leader="none" w:pos="19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9"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13200 PIONEER TRAIL, SUITE 150</w:t>
      </w:r>
    </w:p>
    <w:p>
      <w:pPr>
        <w:ind w:left="2000"/>
        <w:spacing w:after="0"/>
        <w:rPr>
          <w:sz w:val="20"/>
          <w:szCs w:val="20"/>
          <w:color w:val="auto"/>
        </w:rPr>
      </w:pPr>
      <w:r>
        <w:rPr>
          <w:rFonts w:ascii="Courier New" w:cs="Courier New" w:eastAsia="Courier New" w:hAnsi="Courier New"/>
          <w:sz w:val="18"/>
          <w:szCs w:val="18"/>
          <w:color w:val="auto"/>
        </w:rPr>
        <w:t>EDEN PRAIRIE, MN, 55347</w:t>
      </w:r>
    </w:p>
    <w:p>
      <w:pPr>
        <w:spacing w:after="0" w:line="169" w:lineRule="exact"/>
        <w:rPr>
          <w:sz w:val="20"/>
          <w:szCs w:val="20"/>
          <w:color w:val="auto"/>
        </w:rPr>
      </w:pPr>
    </w:p>
    <w:p>
      <w:pPr>
        <w:spacing w:after="0"/>
        <w:tabs>
          <w:tab w:leader="none" w:pos="19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THE GOLDMAN SACHS GROUP, INC.</w:t>
      </w:r>
    </w:p>
    <w:p>
      <w:pPr>
        <w:spacing w:after="0" w:line="3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GOLDMAN SACHS &amp; CO. LLC</w:t>
      </w:r>
    </w:p>
    <w:p>
      <w:pPr>
        <w:spacing w:after="0" w:line="169" w:lineRule="exact"/>
        <w:rPr>
          <w:sz w:val="20"/>
          <w:szCs w:val="20"/>
          <w:color w:val="auto"/>
        </w:rPr>
      </w:pPr>
    </w:p>
    <w:p>
      <w:pPr>
        <w:spacing w:after="0"/>
        <w:tabs>
          <w:tab w:leader="none" w:pos="198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 Residence:</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The Goldman Sachs Group, Inc.</w:t>
      </w:r>
    </w:p>
    <w:p>
      <w:pPr>
        <w:spacing w:after="0" w:line="29"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200 West Street</w:t>
      </w:r>
    </w:p>
    <w:p>
      <w:pPr>
        <w:ind w:left="2000"/>
        <w:spacing w:after="0"/>
        <w:rPr>
          <w:sz w:val="20"/>
          <w:szCs w:val="20"/>
          <w:color w:val="auto"/>
        </w:rPr>
      </w:pPr>
      <w:r>
        <w:rPr>
          <w:rFonts w:ascii="Courier New" w:cs="Courier New" w:eastAsia="Courier New" w:hAnsi="Courier New"/>
          <w:sz w:val="18"/>
          <w:szCs w:val="18"/>
          <w:color w:val="auto"/>
        </w:rPr>
        <w:t>New York, NY 10282</w:t>
      </w:r>
    </w:p>
    <w:p>
      <w:pPr>
        <w:spacing w:after="0" w:line="169"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Goldman Sachs &amp; Co. LLC</w:t>
      </w:r>
    </w:p>
    <w:p>
      <w:pPr>
        <w:spacing w:after="0" w:line="29"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200 West Street</w:t>
      </w:r>
    </w:p>
    <w:p>
      <w:pPr>
        <w:ind w:left="2000"/>
        <w:spacing w:after="0"/>
        <w:rPr>
          <w:sz w:val="20"/>
          <w:szCs w:val="20"/>
          <w:color w:val="auto"/>
        </w:rPr>
      </w:pPr>
      <w:r>
        <w:rPr>
          <w:rFonts w:ascii="Courier New" w:cs="Courier New" w:eastAsia="Courier New" w:hAnsi="Courier New"/>
          <w:sz w:val="18"/>
          <w:szCs w:val="18"/>
          <w:color w:val="auto"/>
        </w:rPr>
        <w:t>New York, NY 10282</w:t>
      </w:r>
    </w:p>
    <w:p>
      <w:pPr>
        <w:spacing w:after="0" w:line="169" w:lineRule="exact"/>
        <w:rPr>
          <w:sz w:val="20"/>
          <w:szCs w:val="20"/>
          <w:color w:val="auto"/>
        </w:rPr>
      </w:pPr>
    </w:p>
    <w:p>
      <w:pPr>
        <w:spacing w:after="0"/>
        <w:tabs>
          <w:tab w:leader="none" w:pos="19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9"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THE GOLDMAN SACHS GROUP, INC. - Delaware</w:t>
      </w:r>
    </w:p>
    <w:p>
      <w:pPr>
        <w:ind w:left="2000"/>
        <w:spacing w:after="0"/>
        <w:rPr>
          <w:sz w:val="20"/>
          <w:szCs w:val="20"/>
          <w:color w:val="auto"/>
        </w:rPr>
      </w:pPr>
      <w:r>
        <w:rPr>
          <w:rFonts w:ascii="Courier New" w:cs="Courier New" w:eastAsia="Courier New" w:hAnsi="Courier New"/>
          <w:sz w:val="18"/>
          <w:szCs w:val="18"/>
          <w:color w:val="auto"/>
        </w:rPr>
        <w:t>GOLDMAN SACHS &amp; CO. LLC - New York</w:t>
      </w:r>
    </w:p>
    <w:p>
      <w:pPr>
        <w:spacing w:after="0" w:line="169" w:lineRule="exact"/>
        <w:rPr>
          <w:sz w:val="20"/>
          <w:szCs w:val="20"/>
          <w:color w:val="auto"/>
        </w:rPr>
      </w:pPr>
    </w:p>
    <w:p>
      <w:pPr>
        <w:spacing w:after="0"/>
        <w:tabs>
          <w:tab w:leader="none" w:pos="19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3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Common Stock, par value $0.50 per share</w:t>
      </w:r>
    </w:p>
    <w:p>
      <w:pPr>
        <w:spacing w:after="0" w:line="169" w:lineRule="exact"/>
        <w:rPr>
          <w:sz w:val="20"/>
          <w:szCs w:val="20"/>
          <w:color w:val="auto"/>
        </w:rPr>
      </w:pPr>
    </w:p>
    <w:p>
      <w:pPr>
        <w:spacing w:after="0"/>
        <w:tabs>
          <w:tab w:leader="none" w:pos="19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3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974637100</w:t>
      </w:r>
    </w:p>
    <w:p>
      <w:pPr>
        <w:spacing w:after="0" w:line="169" w:lineRule="exact"/>
        <w:rPr>
          <w:sz w:val="20"/>
          <w:szCs w:val="20"/>
          <w:color w:val="auto"/>
        </w:rPr>
      </w:pPr>
    </w:p>
    <w:p>
      <w:pPr>
        <w:spacing w:after="0"/>
        <w:tabs>
          <w:tab w:leader="none" w:pos="198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Rules 13d-1(b) or</w:t>
      </w:r>
    </w:p>
    <w:p>
      <w:pPr>
        <w:spacing w:after="0" w:line="3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13d-2(b) or (c), check whether the person filing is a:</w:t>
      </w:r>
    </w:p>
    <w:p>
      <w:pPr>
        <w:spacing w:after="0" w:line="169" w:lineRule="exact"/>
        <w:rPr>
          <w:sz w:val="20"/>
          <w:szCs w:val="20"/>
          <w:color w:val="auto"/>
        </w:rPr>
      </w:pPr>
    </w:p>
    <w:p>
      <w:pPr>
        <w:ind w:left="1060"/>
        <w:spacing w:after="0"/>
        <w:tabs>
          <w:tab w:leader="none" w:pos="1980" w:val="left"/>
        </w:tabs>
        <w:rPr>
          <w:sz w:val="20"/>
          <w:szCs w:val="20"/>
          <w:color w:val="auto"/>
        </w:rPr>
      </w:pPr>
      <w:r>
        <w:rPr>
          <w:rFonts w:ascii="Courier New" w:cs="Courier New" w:eastAsia="Courier New" w:hAnsi="Courier New"/>
          <w:sz w:val="18"/>
          <w:szCs w:val="18"/>
          <w:color w:val="auto"/>
        </w:rPr>
        <w:t>(a).[X]</w:t>
      </w:r>
      <w:r>
        <w:rPr>
          <w:sz w:val="20"/>
          <w:szCs w:val="20"/>
          <w:color w:val="auto"/>
        </w:rPr>
        <w:tab/>
      </w:r>
      <w:r>
        <w:rPr>
          <w:rFonts w:ascii="Courier New" w:cs="Courier New" w:eastAsia="Courier New" w:hAnsi="Courier New"/>
          <w:sz w:val="16"/>
          <w:szCs w:val="16"/>
          <w:color w:val="auto"/>
        </w:rPr>
        <w:t>Broker or dealer registered under Section 15 of the Act</w:t>
      </w:r>
    </w:p>
    <w:p>
      <w:pPr>
        <w:spacing w:after="0" w:line="29"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(15 U.S.C. 78o).</w:t>
      </w:r>
    </w:p>
    <w:p>
      <w:pPr>
        <w:ind w:left="3160"/>
        <w:spacing w:after="0"/>
        <w:rPr>
          <w:sz w:val="20"/>
          <w:szCs w:val="20"/>
          <w:color w:val="auto"/>
        </w:rPr>
      </w:pPr>
      <w:r>
        <w:rPr>
          <w:rFonts w:ascii="Courier New" w:cs="Courier New" w:eastAsia="Courier New" w:hAnsi="Courier New"/>
          <w:sz w:val="18"/>
          <w:szCs w:val="18"/>
          <w:color w:val="auto"/>
        </w:rPr>
        <w:t>Goldman Sachs &amp; Co. LLC</w:t>
      </w:r>
    </w:p>
    <w:p>
      <w:pPr>
        <w:spacing w:after="0" w:line="169" w:lineRule="exact"/>
        <w:rPr>
          <w:sz w:val="20"/>
          <w:szCs w:val="20"/>
          <w:color w:val="auto"/>
        </w:rPr>
      </w:pPr>
    </w:p>
    <w:p>
      <w:pPr>
        <w:ind w:left="1060"/>
        <w:spacing w:after="0"/>
        <w:tabs>
          <w:tab w:leader="none" w:pos="1980" w:val="left"/>
        </w:tabs>
        <w:rPr>
          <w:sz w:val="20"/>
          <w:szCs w:val="20"/>
          <w:color w:val="auto"/>
        </w:rPr>
      </w:pPr>
      <w:r>
        <w:rPr>
          <w:rFonts w:ascii="Courier New" w:cs="Courier New" w:eastAsia="Courier New" w:hAnsi="Courier New"/>
          <w:sz w:val="18"/>
          <w:szCs w:val="18"/>
          <w:color w:val="auto"/>
        </w:rPr>
        <w:t>(b).[_]</w:t>
      </w:r>
      <w:r>
        <w:rPr>
          <w:sz w:val="20"/>
          <w:szCs w:val="20"/>
          <w:color w:val="auto"/>
        </w:rPr>
        <w:tab/>
      </w:r>
      <w:r>
        <w:rPr>
          <w:rFonts w:ascii="Courier New" w:cs="Courier New" w:eastAsia="Courier New" w:hAnsi="Courier New"/>
          <w:sz w:val="16"/>
          <w:szCs w:val="16"/>
          <w:color w:val="auto"/>
        </w:rPr>
        <w:t>Bank as defined in Section 3(a)(6) of the Act</w:t>
      </w:r>
    </w:p>
    <w:p>
      <w:pPr>
        <w:spacing w:after="0" w:line="3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(15 U.S.C. 78c).</w:t>
      </w:r>
    </w:p>
    <w:p>
      <w:pPr>
        <w:spacing w:after="0" w:line="169" w:lineRule="exact"/>
        <w:rPr>
          <w:sz w:val="20"/>
          <w:szCs w:val="20"/>
          <w:color w:val="auto"/>
        </w:rPr>
      </w:pPr>
    </w:p>
    <w:p>
      <w:pPr>
        <w:ind w:left="1060"/>
        <w:spacing w:after="0"/>
        <w:tabs>
          <w:tab w:leader="none" w:pos="1980" w:val="left"/>
        </w:tabs>
        <w:rPr>
          <w:sz w:val="20"/>
          <w:szCs w:val="20"/>
          <w:color w:val="auto"/>
        </w:rPr>
      </w:pPr>
      <w:r>
        <w:rPr>
          <w:rFonts w:ascii="Courier New" w:cs="Courier New" w:eastAsia="Courier New" w:hAnsi="Courier New"/>
          <w:sz w:val="18"/>
          <w:szCs w:val="18"/>
          <w:color w:val="auto"/>
        </w:rPr>
        <w:t>(c).[_]</w:t>
      </w:r>
      <w:r>
        <w:rPr>
          <w:sz w:val="20"/>
          <w:szCs w:val="20"/>
          <w:color w:val="auto"/>
        </w:rPr>
        <w:tab/>
      </w:r>
      <w:r>
        <w:rPr>
          <w:rFonts w:ascii="Courier New" w:cs="Courier New" w:eastAsia="Courier New" w:hAnsi="Courier New"/>
          <w:sz w:val="16"/>
          <w:szCs w:val="16"/>
          <w:color w:val="auto"/>
        </w:rPr>
        <w:t>Insurance company as defined in Section 3(a)(19) of the Act</w:t>
      </w:r>
    </w:p>
    <w:p>
      <w:pPr>
        <w:spacing w:after="0" w:line="3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(15 U.S.C. 78c).</w:t>
      </w:r>
    </w:p>
    <w:p>
      <w:pPr>
        <w:spacing w:after="0" w:line="169" w:lineRule="exact"/>
        <w:rPr>
          <w:sz w:val="20"/>
          <w:szCs w:val="20"/>
          <w:color w:val="auto"/>
        </w:rPr>
      </w:pPr>
    </w:p>
    <w:p>
      <w:pPr>
        <w:ind w:left="1060"/>
        <w:spacing w:after="0"/>
        <w:tabs>
          <w:tab w:leader="none" w:pos="1980" w:val="left"/>
        </w:tabs>
        <w:rPr>
          <w:sz w:val="20"/>
          <w:szCs w:val="20"/>
          <w:color w:val="auto"/>
        </w:rPr>
      </w:pPr>
      <w:r>
        <w:rPr>
          <w:rFonts w:ascii="Courier New" w:cs="Courier New" w:eastAsia="Courier New" w:hAnsi="Courier New"/>
          <w:sz w:val="18"/>
          <w:szCs w:val="18"/>
          <w:color w:val="auto"/>
        </w:rPr>
        <w:t>(d).[_]</w:t>
      </w:r>
      <w:r>
        <w:rPr>
          <w:sz w:val="20"/>
          <w:szCs w:val="20"/>
          <w:color w:val="auto"/>
        </w:rPr>
        <w:tab/>
      </w:r>
      <w:r>
        <w:rPr>
          <w:rFonts w:ascii="Courier New" w:cs="Courier New" w:eastAsia="Courier New" w:hAnsi="Courier New"/>
          <w:sz w:val="16"/>
          <w:szCs w:val="16"/>
          <w:color w:val="auto"/>
        </w:rPr>
        <w:t>Investment company registered under Section 8 of the</w:t>
      </w:r>
    </w:p>
    <w:p>
      <w:pPr>
        <w:spacing w:after="0" w:line="3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Investment Company Act of 1940 (15 U.S.C. 80a-8).</w:t>
      </w:r>
    </w:p>
    <w:p>
      <w:pPr>
        <w:spacing w:after="0" w:line="169" w:lineRule="exact"/>
        <w:rPr>
          <w:sz w:val="20"/>
          <w:szCs w:val="20"/>
          <w:color w:val="auto"/>
        </w:rPr>
      </w:pPr>
    </w:p>
    <w:p>
      <w:pPr>
        <w:ind w:left="1060"/>
        <w:spacing w:after="0"/>
        <w:tabs>
          <w:tab w:leader="none" w:pos="1980" w:val="left"/>
        </w:tabs>
        <w:rPr>
          <w:sz w:val="20"/>
          <w:szCs w:val="20"/>
          <w:color w:val="auto"/>
        </w:rPr>
      </w:pPr>
      <w:r>
        <w:rPr>
          <w:rFonts w:ascii="Courier New" w:cs="Courier New" w:eastAsia="Courier New" w:hAnsi="Courier New"/>
          <w:sz w:val="18"/>
          <w:szCs w:val="18"/>
          <w:color w:val="auto"/>
        </w:rPr>
        <w:t>(e).[X]</w:t>
      </w:r>
      <w:r>
        <w:rPr>
          <w:sz w:val="20"/>
          <w:szCs w:val="20"/>
          <w:color w:val="auto"/>
        </w:rPr>
        <w:tab/>
      </w:r>
      <w:r>
        <w:rPr>
          <w:rFonts w:ascii="Courier New" w:cs="Courier New" w:eastAsia="Courier New" w:hAnsi="Courier New"/>
          <w:sz w:val="16"/>
          <w:szCs w:val="16"/>
          <w:color w:val="auto"/>
        </w:rPr>
        <w:t>An investment adviser in accordance with</w:t>
      </w:r>
    </w:p>
    <w:p>
      <w:pPr>
        <w:spacing w:after="0" w:line="29"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Rule 13d-1(b)(1)(ii)(E);</w:t>
      </w:r>
    </w:p>
    <w:p>
      <w:pPr>
        <w:ind w:left="3160"/>
        <w:spacing w:after="0"/>
        <w:rPr>
          <w:sz w:val="20"/>
          <w:szCs w:val="20"/>
          <w:color w:val="auto"/>
        </w:rPr>
      </w:pPr>
      <w:r>
        <w:rPr>
          <w:rFonts w:ascii="Courier New" w:cs="Courier New" w:eastAsia="Courier New" w:hAnsi="Courier New"/>
          <w:sz w:val="18"/>
          <w:szCs w:val="18"/>
          <w:color w:val="auto"/>
        </w:rPr>
        <w:t>Goldman Sachs &amp; Co. LLC</w:t>
      </w:r>
    </w:p>
    <w:p>
      <w:pPr>
        <w:spacing w:after="0" w:line="169" w:lineRule="exact"/>
        <w:rPr>
          <w:sz w:val="20"/>
          <w:szCs w:val="20"/>
          <w:color w:val="auto"/>
        </w:rPr>
      </w:pPr>
    </w:p>
    <w:p>
      <w:pPr>
        <w:ind w:left="1060"/>
        <w:spacing w:after="0"/>
        <w:tabs>
          <w:tab w:leader="none" w:pos="1980" w:val="left"/>
        </w:tabs>
        <w:rPr>
          <w:sz w:val="20"/>
          <w:szCs w:val="20"/>
          <w:color w:val="auto"/>
        </w:rPr>
      </w:pPr>
      <w:r>
        <w:rPr>
          <w:rFonts w:ascii="Courier New" w:cs="Courier New" w:eastAsia="Courier New" w:hAnsi="Courier New"/>
          <w:sz w:val="18"/>
          <w:szCs w:val="18"/>
          <w:color w:val="auto"/>
        </w:rPr>
        <w:t>(f).[_]</w:t>
      </w:r>
      <w:r>
        <w:rPr>
          <w:sz w:val="20"/>
          <w:szCs w:val="20"/>
          <w:color w:val="auto"/>
        </w:rPr>
        <w:tab/>
      </w:r>
      <w:r>
        <w:rPr>
          <w:rFonts w:ascii="Courier New" w:cs="Courier New" w:eastAsia="Courier New" w:hAnsi="Courier New"/>
          <w:sz w:val="16"/>
          <w:szCs w:val="16"/>
          <w:color w:val="auto"/>
        </w:rPr>
        <w:t>An employee benefit plan or endowment fund in accordance</w:t>
      </w:r>
    </w:p>
    <w:p>
      <w:pPr>
        <w:spacing w:after="0" w:line="3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with Rule 13d-1(b)(1)(ii)(F);</w:t>
      </w:r>
    </w:p>
    <w:p>
      <w:pPr>
        <w:spacing w:after="0" w:line="169" w:lineRule="exact"/>
        <w:rPr>
          <w:sz w:val="20"/>
          <w:szCs w:val="20"/>
          <w:color w:val="auto"/>
        </w:rPr>
      </w:pPr>
    </w:p>
    <w:p>
      <w:pPr>
        <w:ind w:left="1060"/>
        <w:spacing w:after="0"/>
        <w:tabs>
          <w:tab w:leader="none" w:pos="1980" w:val="left"/>
        </w:tabs>
        <w:rPr>
          <w:sz w:val="20"/>
          <w:szCs w:val="20"/>
          <w:color w:val="auto"/>
        </w:rPr>
      </w:pPr>
      <w:r>
        <w:rPr>
          <w:rFonts w:ascii="Courier New" w:cs="Courier New" w:eastAsia="Courier New" w:hAnsi="Courier New"/>
          <w:sz w:val="18"/>
          <w:szCs w:val="18"/>
          <w:color w:val="auto"/>
        </w:rPr>
        <w:t>(g).[X]</w:t>
      </w:r>
      <w:r>
        <w:rPr>
          <w:sz w:val="20"/>
          <w:szCs w:val="20"/>
          <w:color w:val="auto"/>
        </w:rPr>
        <w:tab/>
      </w:r>
      <w:r>
        <w:rPr>
          <w:rFonts w:ascii="Courier New" w:cs="Courier New" w:eastAsia="Courier New" w:hAnsi="Courier New"/>
          <w:sz w:val="16"/>
          <w:szCs w:val="16"/>
          <w:color w:val="auto"/>
        </w:rPr>
        <w:t>A parent holding company or control person in accordance</w:t>
      </w:r>
    </w:p>
    <w:p>
      <w:pPr>
        <w:spacing w:after="0" w:line="29"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with Rule 13d-1(b)(1)(ii)(G);</w:t>
      </w:r>
    </w:p>
    <w:p>
      <w:pPr>
        <w:ind w:left="3160"/>
        <w:spacing w:after="0"/>
        <w:rPr>
          <w:sz w:val="20"/>
          <w:szCs w:val="20"/>
          <w:color w:val="auto"/>
        </w:rPr>
      </w:pPr>
      <w:r>
        <w:rPr>
          <w:rFonts w:ascii="Courier New" w:cs="Courier New" w:eastAsia="Courier New" w:hAnsi="Courier New"/>
          <w:sz w:val="18"/>
          <w:szCs w:val="18"/>
          <w:color w:val="auto"/>
        </w:rPr>
        <w:t>The Goldman Sachs Group, Inc.</w:t>
      </w:r>
    </w:p>
    <w:p>
      <w:pPr>
        <w:spacing w:after="0" w:line="169" w:lineRule="exact"/>
        <w:rPr>
          <w:sz w:val="20"/>
          <w:szCs w:val="20"/>
          <w:color w:val="auto"/>
        </w:rPr>
      </w:pPr>
    </w:p>
    <w:p>
      <w:pPr>
        <w:ind w:left="1060"/>
        <w:spacing w:after="0"/>
        <w:tabs>
          <w:tab w:leader="none" w:pos="1980" w:val="left"/>
        </w:tabs>
        <w:rPr>
          <w:sz w:val="20"/>
          <w:szCs w:val="20"/>
          <w:color w:val="auto"/>
        </w:rPr>
      </w:pPr>
      <w:r>
        <w:rPr>
          <w:rFonts w:ascii="Courier New" w:cs="Courier New" w:eastAsia="Courier New" w:hAnsi="Courier New"/>
          <w:sz w:val="18"/>
          <w:szCs w:val="18"/>
          <w:color w:val="auto"/>
        </w:rPr>
        <w:t>(h).[_]</w:t>
      </w:r>
      <w:r>
        <w:rPr>
          <w:sz w:val="20"/>
          <w:szCs w:val="20"/>
          <w:color w:val="auto"/>
        </w:rPr>
        <w:tab/>
      </w:r>
      <w:r>
        <w:rPr>
          <w:rFonts w:ascii="Courier New" w:cs="Courier New" w:eastAsia="Courier New" w:hAnsi="Courier New"/>
          <w:sz w:val="16"/>
          <w:szCs w:val="16"/>
          <w:color w:val="auto"/>
        </w:rPr>
        <w:t>A savings association as defined in Section 3(b) of the</w:t>
      </w:r>
    </w:p>
    <w:p>
      <w:pPr>
        <w:spacing w:after="0" w:line="3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Federal Deposit Insurance Act (12 U.S.C. 1813);</w:t>
      </w:r>
    </w:p>
    <w:p>
      <w:pPr>
        <w:spacing w:after="0" w:line="169" w:lineRule="exact"/>
        <w:rPr>
          <w:sz w:val="20"/>
          <w:szCs w:val="20"/>
          <w:color w:val="auto"/>
        </w:rPr>
      </w:pPr>
    </w:p>
    <w:p>
      <w:pPr>
        <w:ind w:left="1060"/>
        <w:spacing w:after="0"/>
        <w:tabs>
          <w:tab w:leader="none" w:pos="1980" w:val="left"/>
        </w:tabs>
        <w:rPr>
          <w:sz w:val="20"/>
          <w:szCs w:val="20"/>
          <w:color w:val="auto"/>
        </w:rPr>
      </w:pPr>
      <w:r>
        <w:rPr>
          <w:rFonts w:ascii="Courier New" w:cs="Courier New" w:eastAsia="Courier New" w:hAnsi="Courier New"/>
          <w:sz w:val="18"/>
          <w:szCs w:val="18"/>
          <w:color w:val="auto"/>
        </w:rPr>
        <w:t>(i).[_]</w:t>
      </w:r>
      <w:r>
        <w:rPr>
          <w:sz w:val="20"/>
          <w:szCs w:val="20"/>
          <w:color w:val="auto"/>
        </w:rPr>
        <w:tab/>
      </w:r>
      <w:r>
        <w:rPr>
          <w:rFonts w:ascii="Courier New" w:cs="Courier New" w:eastAsia="Courier New" w:hAnsi="Courier New"/>
          <w:sz w:val="16"/>
          <w:szCs w:val="16"/>
          <w:color w:val="auto"/>
        </w:rPr>
        <w:t>A church plan that is excluded from the definition of an</w:t>
      </w:r>
    </w:p>
    <w:p>
      <w:pPr>
        <w:spacing w:after="0" w:line="29"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investment company under Section 3(c)(14) of the</w:t>
      </w:r>
    </w:p>
    <w:p>
      <w:pPr>
        <w:ind w:left="2000"/>
        <w:spacing w:after="0"/>
        <w:rPr>
          <w:sz w:val="20"/>
          <w:szCs w:val="20"/>
          <w:color w:val="auto"/>
        </w:rPr>
      </w:pPr>
      <w:r>
        <w:rPr>
          <w:rFonts w:ascii="Courier New" w:cs="Courier New" w:eastAsia="Courier New" w:hAnsi="Courier New"/>
          <w:sz w:val="18"/>
          <w:szCs w:val="18"/>
          <w:color w:val="auto"/>
        </w:rPr>
        <w:t>Investment Company Act of 1940 (15 U.S.C. 80a-3);</w:t>
      </w:r>
    </w:p>
    <w:p>
      <w:pPr>
        <w:spacing w:after="0" w:line="169" w:lineRule="exact"/>
        <w:rPr>
          <w:sz w:val="20"/>
          <w:szCs w:val="20"/>
          <w:color w:val="auto"/>
        </w:rPr>
      </w:pPr>
    </w:p>
    <w:p>
      <w:pPr>
        <w:ind w:left="1060"/>
        <w:spacing w:after="0"/>
        <w:tabs>
          <w:tab w:leader="none" w:pos="1980" w:val="left"/>
        </w:tabs>
        <w:rPr>
          <w:sz w:val="20"/>
          <w:szCs w:val="20"/>
          <w:color w:val="auto"/>
        </w:rPr>
      </w:pPr>
      <w:r>
        <w:rPr>
          <w:rFonts w:ascii="Courier New" w:cs="Courier New" w:eastAsia="Courier New" w:hAnsi="Courier New"/>
          <w:sz w:val="18"/>
          <w:szCs w:val="18"/>
          <w:color w:val="auto"/>
        </w:rPr>
        <w:t>(j).[_]</w:t>
      </w:r>
      <w:r>
        <w:rPr>
          <w:sz w:val="20"/>
          <w:szCs w:val="20"/>
          <w:color w:val="auto"/>
        </w:rPr>
        <w:tab/>
      </w:r>
      <w:r>
        <w:rPr>
          <w:rFonts w:ascii="Courier New" w:cs="Courier New" w:eastAsia="Courier New" w:hAnsi="Courier New"/>
          <w:sz w:val="16"/>
          <w:szCs w:val="16"/>
          <w:color w:val="auto"/>
        </w:rPr>
        <w:t>A non-U.S. institution in accordance with</w:t>
      </w:r>
    </w:p>
    <w:p>
      <w:pPr>
        <w:spacing w:after="0" w:line="3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Rule 13d-1(b)(1)(ii)(J);</w:t>
      </w:r>
    </w:p>
    <w:p>
      <w:pPr>
        <w:spacing w:after="0" w:line="169" w:lineRule="exact"/>
        <w:rPr>
          <w:sz w:val="20"/>
          <w:szCs w:val="20"/>
          <w:color w:val="auto"/>
        </w:rPr>
      </w:pPr>
    </w:p>
    <w:p>
      <w:pPr>
        <w:ind w:left="1060"/>
        <w:spacing w:after="0"/>
        <w:tabs>
          <w:tab w:leader="none" w:pos="1980" w:val="left"/>
        </w:tabs>
        <w:rPr>
          <w:sz w:val="20"/>
          <w:szCs w:val="20"/>
          <w:color w:val="auto"/>
        </w:rPr>
      </w:pPr>
      <w:r>
        <w:rPr>
          <w:rFonts w:ascii="Courier New" w:cs="Courier New" w:eastAsia="Courier New" w:hAnsi="Courier New"/>
          <w:sz w:val="18"/>
          <w:szCs w:val="18"/>
          <w:color w:val="auto"/>
        </w:rPr>
        <w:t>(k).[_]</w:t>
      </w:r>
      <w:r>
        <w:rPr>
          <w:sz w:val="20"/>
          <w:szCs w:val="20"/>
          <w:color w:val="auto"/>
        </w:rPr>
        <w:tab/>
      </w:r>
      <w:r>
        <w:rPr>
          <w:rFonts w:ascii="Courier New" w:cs="Courier New" w:eastAsia="Courier New" w:hAnsi="Courier New"/>
          <w:sz w:val="16"/>
          <w:szCs w:val="16"/>
          <w:color w:val="auto"/>
        </w:rPr>
        <w:t>A group, in accordance with Rule 13d-1(b)(1)(ii)</w:t>
      </w:r>
    </w:p>
    <w:p>
      <w:pPr>
        <w:spacing w:after="0" w:line="3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(A) through (K).</w:t>
      </w:r>
    </w:p>
    <w:p>
      <w:pPr>
        <w:spacing w:after="0" w:line="169"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If filing as a non-U.S. institution in accordance with Rule</w:t>
      </w:r>
    </w:p>
    <w:p>
      <w:pPr>
        <w:spacing w:after="0" w:line="3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13d-1(b)(1)(ii)(J), please specify the type of institution:</w:t>
      </w:r>
    </w:p>
    <w:p>
      <w:pPr>
        <w:sectPr>
          <w:pgSz w:w="11900" w:h="16838" w:orient="portrait"/>
          <w:cols w:equalWidth="0" w:num="1">
            <w:col w:w="10139"/>
          </w:cols>
          <w:pgMar w:left="320" w:top="690" w:right="1440" w:bottom="0" w:gutter="0" w:footer="0" w:header="0"/>
        </w:sectPr>
      </w:pPr>
    </w:p>
    <w:p>
      <w:pPr>
        <w:spacing w:after="0" w:line="200" w:lineRule="exact"/>
        <w:rPr>
          <w:sz w:val="20"/>
          <w:szCs w:val="20"/>
          <w:color w:val="auto"/>
        </w:rPr>
      </w:pPr>
    </w:p>
    <w:p>
      <w:pPr>
        <w:spacing w:after="0" w:line="374"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Page 4 of 11</w:t>
      </w:r>
    </w:p>
    <w:p>
      <w:pPr>
        <w:sectPr>
          <w:pgSz w:w="11900" w:h="16838" w:orient="portrait"/>
          <w:cols w:equalWidth="0" w:num="1">
            <w:col w:w="10139"/>
          </w:cols>
          <w:pgMar w:left="320" w:top="690" w:right="1440" w:bottom="0" w:gutter="0" w:footer="0" w:header="0"/>
          <w:type w:val="continuous"/>
        </w:sectPr>
      </w:pPr>
    </w:p>
    <w:bookmarkStart w:id="4" w:name="page5"/>
    <w:bookmarkEnd w:id="4"/>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174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264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Ownership.*</w:t>
            </w:r>
          </w:p>
        </w:tc>
        <w:tc>
          <w:tcPr>
            <w:tcW w:w="10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740" w:type="dxa"/>
            <w:vAlign w:val="bottom"/>
          </w:tcPr>
          <w:p>
            <w:pPr>
              <w:ind w:left="1060"/>
              <w:spacing w:after="0"/>
              <w:rPr>
                <w:sz w:val="20"/>
                <w:szCs w:val="20"/>
                <w:color w:val="auto"/>
              </w:rPr>
            </w:pPr>
            <w:r>
              <w:rPr>
                <w:rFonts w:ascii="Courier New" w:cs="Courier New" w:eastAsia="Courier New" w:hAnsi="Courier New"/>
                <w:sz w:val="18"/>
                <w:szCs w:val="18"/>
                <w:color w:val="auto"/>
              </w:rPr>
              <w:t>(a).</w:t>
            </w:r>
          </w:p>
        </w:tc>
        <w:tc>
          <w:tcPr>
            <w:tcW w:w="370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Amount beneficially owned:</w:t>
            </w:r>
          </w:p>
        </w:tc>
        <w:tc>
          <w:tcPr>
            <w:tcW w:w="2880" w:type="dxa"/>
            <w:vAlign w:val="bottom"/>
            <w:gridSpan w:val="2"/>
            <w:vMerge w:val="restart"/>
          </w:tcPr>
          <w:p>
            <w:pPr>
              <w:ind w:left="40"/>
              <w:spacing w:after="0"/>
              <w:rPr>
                <w:sz w:val="20"/>
                <w:szCs w:val="20"/>
                <w:color w:val="auto"/>
              </w:rPr>
            </w:pPr>
            <w:r>
              <w:rPr>
                <w:rFonts w:ascii="Courier New" w:cs="Courier New" w:eastAsia="Courier New" w:hAnsi="Courier New"/>
                <w:sz w:val="18"/>
                <w:szCs w:val="18"/>
                <w:color w:val="auto"/>
                <w:w w:val="96"/>
              </w:rPr>
              <w:t>the attached cover page(s).</w:t>
            </w:r>
          </w:p>
        </w:tc>
        <w:tc>
          <w:tcPr>
            <w:tcW w:w="0" w:type="dxa"/>
            <w:vAlign w:val="bottom"/>
          </w:tcPr>
          <w:p>
            <w:pPr>
              <w:spacing w:after="0"/>
              <w:rPr>
                <w:sz w:val="1"/>
                <w:szCs w:val="1"/>
                <w:color w:val="auto"/>
              </w:rPr>
            </w:pPr>
          </w:p>
        </w:tc>
      </w:tr>
      <w:tr>
        <w:trPr>
          <w:trHeight w:val="296"/>
        </w:trPr>
        <w:tc>
          <w:tcPr>
            <w:tcW w:w="1740" w:type="dxa"/>
            <w:vAlign w:val="bottom"/>
          </w:tcPr>
          <w:p>
            <w:pPr>
              <w:spacing w:after="0"/>
              <w:rPr>
                <w:sz w:val="24"/>
                <w:szCs w:val="24"/>
                <w:color w:val="auto"/>
              </w:rPr>
            </w:pPr>
          </w:p>
        </w:tc>
        <w:tc>
          <w:tcPr>
            <w:tcW w:w="2640" w:type="dxa"/>
            <w:vAlign w:val="bottom"/>
            <w:gridSpan w:val="2"/>
          </w:tcPr>
          <w:p>
            <w:pPr>
              <w:ind w:left="260"/>
              <w:spacing w:after="0"/>
              <w:rPr>
                <w:sz w:val="20"/>
                <w:szCs w:val="20"/>
                <w:color w:val="auto"/>
              </w:rPr>
            </w:pPr>
            <w:r>
              <w:rPr>
                <w:rFonts w:ascii="Courier New" w:cs="Courier New" w:eastAsia="Courier New" w:hAnsi="Courier New"/>
                <w:sz w:val="18"/>
                <w:szCs w:val="18"/>
                <w:color w:val="auto"/>
                <w:w w:val="99"/>
              </w:rPr>
              <w:t>See the response(s) to</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Item 9 on</w:t>
            </w:r>
          </w:p>
        </w:tc>
        <w:tc>
          <w:tcPr>
            <w:tcW w:w="28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740" w:type="dxa"/>
            <w:vAlign w:val="bottom"/>
          </w:tcPr>
          <w:p>
            <w:pPr>
              <w:ind w:left="1060"/>
              <w:spacing w:after="0"/>
              <w:rPr>
                <w:sz w:val="20"/>
                <w:szCs w:val="20"/>
                <w:color w:val="auto"/>
              </w:rPr>
            </w:pPr>
            <w:r>
              <w:rPr>
                <w:rFonts w:ascii="Courier New" w:cs="Courier New" w:eastAsia="Courier New" w:hAnsi="Courier New"/>
                <w:sz w:val="18"/>
                <w:szCs w:val="18"/>
                <w:color w:val="auto"/>
              </w:rPr>
              <w:t>(b).</w:t>
            </w:r>
          </w:p>
        </w:tc>
        <w:tc>
          <w:tcPr>
            <w:tcW w:w="264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Percent of Class:</w:t>
            </w:r>
          </w:p>
        </w:tc>
        <w:tc>
          <w:tcPr>
            <w:tcW w:w="1060" w:type="dxa"/>
            <w:vAlign w:val="bottom"/>
          </w:tcPr>
          <w:p>
            <w:pPr>
              <w:spacing w:after="0"/>
              <w:rPr>
                <w:sz w:val="24"/>
                <w:szCs w:val="24"/>
                <w:color w:val="auto"/>
              </w:rPr>
            </w:pPr>
          </w:p>
        </w:tc>
        <w:tc>
          <w:tcPr>
            <w:tcW w:w="2880" w:type="dxa"/>
            <w:vAlign w:val="bottom"/>
            <w:gridSpan w:val="2"/>
            <w:vMerge w:val="restart"/>
          </w:tcPr>
          <w:p>
            <w:pPr>
              <w:ind w:left="40"/>
              <w:spacing w:after="0"/>
              <w:rPr>
                <w:sz w:val="20"/>
                <w:szCs w:val="20"/>
                <w:color w:val="auto"/>
              </w:rPr>
            </w:pPr>
            <w:r>
              <w:rPr>
                <w:rFonts w:ascii="Courier New" w:cs="Courier New" w:eastAsia="Courier New" w:hAnsi="Courier New"/>
                <w:sz w:val="18"/>
                <w:szCs w:val="18"/>
                <w:color w:val="auto"/>
                <w:w w:val="96"/>
              </w:rPr>
              <w:t>the attached cover page(s).</w:t>
            </w:r>
          </w:p>
        </w:tc>
        <w:tc>
          <w:tcPr>
            <w:tcW w:w="0" w:type="dxa"/>
            <w:vAlign w:val="bottom"/>
          </w:tcPr>
          <w:p>
            <w:pPr>
              <w:spacing w:after="0"/>
              <w:rPr>
                <w:sz w:val="1"/>
                <w:szCs w:val="1"/>
                <w:color w:val="auto"/>
              </w:rPr>
            </w:pPr>
          </w:p>
        </w:tc>
      </w:tr>
      <w:tr>
        <w:trPr>
          <w:trHeight w:val="296"/>
        </w:trPr>
        <w:tc>
          <w:tcPr>
            <w:tcW w:w="1740" w:type="dxa"/>
            <w:vAlign w:val="bottom"/>
          </w:tcPr>
          <w:p>
            <w:pPr>
              <w:spacing w:after="0"/>
              <w:rPr>
                <w:sz w:val="24"/>
                <w:szCs w:val="24"/>
                <w:color w:val="auto"/>
              </w:rPr>
            </w:pPr>
          </w:p>
        </w:tc>
        <w:tc>
          <w:tcPr>
            <w:tcW w:w="3700" w:type="dxa"/>
            <w:vAlign w:val="bottom"/>
            <w:gridSpan w:val="3"/>
          </w:tcPr>
          <w:p>
            <w:pPr>
              <w:ind w:left="260"/>
              <w:spacing w:after="0"/>
              <w:rPr>
                <w:sz w:val="20"/>
                <w:szCs w:val="20"/>
                <w:color w:val="auto"/>
              </w:rPr>
            </w:pPr>
            <w:r>
              <w:rPr>
                <w:rFonts w:ascii="Courier New" w:cs="Courier New" w:eastAsia="Courier New" w:hAnsi="Courier New"/>
                <w:sz w:val="18"/>
                <w:szCs w:val="18"/>
                <w:color w:val="auto"/>
                <w:w w:val="98"/>
              </w:rPr>
              <w:t>See the response(s)to Item 11 on</w:t>
            </w:r>
          </w:p>
        </w:tc>
        <w:tc>
          <w:tcPr>
            <w:tcW w:w="28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740" w:type="dxa"/>
            <w:vAlign w:val="bottom"/>
          </w:tcPr>
          <w:p>
            <w:pPr>
              <w:ind w:left="1060"/>
              <w:spacing w:after="0"/>
              <w:rPr>
                <w:sz w:val="20"/>
                <w:szCs w:val="20"/>
                <w:color w:val="auto"/>
              </w:rPr>
            </w:pPr>
            <w:r>
              <w:rPr>
                <w:rFonts w:ascii="Courier New" w:cs="Courier New" w:eastAsia="Courier New" w:hAnsi="Courier New"/>
                <w:sz w:val="18"/>
                <w:szCs w:val="18"/>
                <w:color w:val="auto"/>
              </w:rPr>
              <w:t>(c).</w:t>
            </w:r>
          </w:p>
        </w:tc>
        <w:tc>
          <w:tcPr>
            <w:tcW w:w="2640" w:type="dxa"/>
            <w:vAlign w:val="bottom"/>
            <w:gridSpan w:val="2"/>
          </w:tcPr>
          <w:p>
            <w:pPr>
              <w:ind w:left="260"/>
              <w:spacing w:after="0"/>
              <w:rPr>
                <w:sz w:val="20"/>
                <w:szCs w:val="20"/>
                <w:color w:val="auto"/>
              </w:rPr>
            </w:pPr>
            <w:r>
              <w:rPr>
                <w:rFonts w:ascii="Courier New" w:cs="Courier New" w:eastAsia="Courier New" w:hAnsi="Courier New"/>
                <w:sz w:val="18"/>
                <w:szCs w:val="18"/>
                <w:color w:val="auto"/>
                <w:w w:val="99"/>
              </w:rPr>
              <w:t>Number of shares as to</w:t>
            </w:r>
          </w:p>
        </w:tc>
        <w:tc>
          <w:tcPr>
            <w:tcW w:w="190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9"/>
              </w:rPr>
              <w:t>which such person</w:t>
            </w:r>
          </w:p>
        </w:tc>
        <w:tc>
          <w:tcPr>
            <w:tcW w:w="2040" w:type="dxa"/>
            <w:vAlign w:val="bottom"/>
          </w:tcPr>
          <w:p>
            <w:pPr>
              <w:ind w:left="40"/>
              <w:spacing w:after="0"/>
              <w:rPr>
                <w:sz w:val="20"/>
                <w:szCs w:val="20"/>
                <w:color w:val="auto"/>
              </w:rPr>
            </w:pPr>
            <w:r>
              <w:rPr>
                <w:rFonts w:ascii="Courier New" w:cs="Courier New" w:eastAsia="Courier New" w:hAnsi="Courier New"/>
                <w:sz w:val="18"/>
                <w:szCs w:val="18"/>
                <w:color w:val="auto"/>
              </w:rPr>
              <w:t>has:</w:t>
            </w:r>
          </w:p>
        </w:tc>
        <w:tc>
          <w:tcPr>
            <w:tcW w:w="0" w:type="dxa"/>
            <w:vAlign w:val="bottom"/>
          </w:tcPr>
          <w:p>
            <w:pPr>
              <w:spacing w:after="0"/>
              <w:rPr>
                <w:sz w:val="1"/>
                <w:szCs w:val="1"/>
                <w:color w:val="auto"/>
              </w:rPr>
            </w:pPr>
          </w:p>
        </w:tc>
      </w:tr>
      <w:tr>
        <w:trPr>
          <w:trHeight w:val="311"/>
        </w:trPr>
        <w:tc>
          <w:tcPr>
            <w:tcW w:w="1740" w:type="dxa"/>
            <w:vAlign w:val="bottom"/>
          </w:tcPr>
          <w:p>
            <w:pPr>
              <w:spacing w:after="0"/>
              <w:rPr>
                <w:sz w:val="24"/>
                <w:szCs w:val="24"/>
                <w:color w:val="auto"/>
              </w:rPr>
            </w:pPr>
          </w:p>
        </w:tc>
        <w:tc>
          <w:tcPr>
            <w:tcW w:w="900" w:type="dxa"/>
            <w:vAlign w:val="bottom"/>
          </w:tcPr>
          <w:p>
            <w:pPr>
              <w:ind w:left="260"/>
              <w:spacing w:after="0"/>
              <w:rPr>
                <w:sz w:val="20"/>
                <w:szCs w:val="20"/>
                <w:color w:val="auto"/>
              </w:rPr>
            </w:pPr>
            <w:r>
              <w:rPr>
                <w:rFonts w:ascii="Courier New" w:cs="Courier New" w:eastAsia="Courier New" w:hAnsi="Courier New"/>
                <w:sz w:val="18"/>
                <w:szCs w:val="18"/>
                <w:color w:val="auto"/>
              </w:rPr>
              <w:t>(i).</w:t>
            </w:r>
          </w:p>
        </w:tc>
        <w:tc>
          <w:tcPr>
            <w:tcW w:w="28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Sole power to vote or to</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direct</w:t>
            </w:r>
          </w:p>
        </w:tc>
        <w:tc>
          <w:tcPr>
            <w:tcW w:w="2040" w:type="dxa"/>
            <w:vAlign w:val="bottom"/>
          </w:tcPr>
          <w:p>
            <w:pPr>
              <w:ind w:left="40"/>
              <w:spacing w:after="0"/>
              <w:rPr>
                <w:sz w:val="20"/>
                <w:szCs w:val="20"/>
                <w:color w:val="auto"/>
              </w:rPr>
            </w:pPr>
            <w:r>
              <w:rPr>
                <w:rFonts w:ascii="Courier New" w:cs="Courier New" w:eastAsia="Courier New" w:hAnsi="Courier New"/>
                <w:sz w:val="18"/>
                <w:szCs w:val="18"/>
                <w:color w:val="auto"/>
              </w:rPr>
              <w:t>the vote:  See the</w:t>
            </w:r>
          </w:p>
        </w:tc>
        <w:tc>
          <w:tcPr>
            <w:tcW w:w="0" w:type="dxa"/>
            <w:vAlign w:val="bottom"/>
          </w:tcPr>
          <w:p>
            <w:pPr>
              <w:spacing w:after="0"/>
              <w:rPr>
                <w:sz w:val="1"/>
                <w:szCs w:val="1"/>
                <w:color w:val="auto"/>
              </w:rPr>
            </w:pPr>
          </w:p>
        </w:tc>
      </w:tr>
      <w:tr>
        <w:trPr>
          <w:trHeight w:val="296"/>
        </w:trPr>
        <w:tc>
          <w:tcPr>
            <w:tcW w:w="1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740" w:type="dxa"/>
            <w:vAlign w:val="bottom"/>
          </w:tcPr>
          <w:p>
            <w:pPr>
              <w:ind w:left="220"/>
              <w:spacing w:after="0"/>
              <w:rPr>
                <w:sz w:val="20"/>
                <w:szCs w:val="20"/>
                <w:color w:val="auto"/>
              </w:rPr>
            </w:pPr>
            <w:r>
              <w:rPr>
                <w:rFonts w:ascii="Courier New" w:cs="Courier New" w:eastAsia="Courier New" w:hAnsi="Courier New"/>
                <w:sz w:val="18"/>
                <w:szCs w:val="18"/>
                <w:color w:val="auto"/>
                <w:w w:val="99"/>
              </w:rPr>
              <w:t>response(s) to</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Item 5 on</w:t>
            </w:r>
          </w:p>
        </w:tc>
        <w:tc>
          <w:tcPr>
            <w:tcW w:w="2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6"/>
              </w:rPr>
              <w:t>the attached cover page(s).</w:t>
            </w:r>
          </w:p>
        </w:tc>
        <w:tc>
          <w:tcPr>
            <w:tcW w:w="0" w:type="dxa"/>
            <w:vAlign w:val="bottom"/>
          </w:tcPr>
          <w:p>
            <w:pPr>
              <w:spacing w:after="0"/>
              <w:rPr>
                <w:sz w:val="1"/>
                <w:szCs w:val="1"/>
                <w:color w:val="auto"/>
              </w:rPr>
            </w:pPr>
          </w:p>
        </w:tc>
      </w:tr>
    </w:tbl>
    <w:p>
      <w:pPr>
        <w:spacing w:after="0" w:line="109" w:lineRule="exact"/>
        <w:rPr>
          <w:sz w:val="20"/>
          <w:szCs w:val="20"/>
          <w:color w:val="auto"/>
        </w:rPr>
      </w:pPr>
    </w:p>
    <w:p>
      <w:pPr>
        <w:jc w:val="right"/>
        <w:ind w:left="2000" w:right="1819"/>
        <w:spacing w:after="0" w:line="346" w:lineRule="auto"/>
        <w:rPr>
          <w:sz w:val="20"/>
          <w:szCs w:val="20"/>
          <w:color w:val="auto"/>
        </w:rPr>
      </w:pPr>
      <w:r>
        <w:rPr>
          <w:rFonts w:ascii="Courier New" w:cs="Courier New" w:eastAsia="Courier New" w:hAnsi="Courier New"/>
          <w:sz w:val="18"/>
          <w:szCs w:val="18"/>
          <w:color w:val="auto"/>
        </w:rPr>
        <w:t>(ii).   Shared power to vote or to direct the vote:  See the response(s) to Item 6 on the attached cover page(s).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20" w:type="dxa"/>
            <w:vAlign w:val="bottom"/>
          </w:tcPr>
          <w:p>
            <w:pPr>
              <w:spacing w:after="0"/>
              <w:rPr>
                <w:sz w:val="17"/>
                <w:szCs w:val="17"/>
                <w:color w:val="auto"/>
              </w:rPr>
            </w:pPr>
          </w:p>
        </w:tc>
        <w:tc>
          <w:tcPr>
            <w:tcW w:w="1220" w:type="dxa"/>
            <w:vAlign w:val="bottom"/>
          </w:tcPr>
          <w:p>
            <w:pPr>
              <w:ind w:left="580"/>
              <w:spacing w:after="0"/>
              <w:rPr>
                <w:sz w:val="20"/>
                <w:szCs w:val="20"/>
                <w:color w:val="auto"/>
              </w:rPr>
            </w:pPr>
            <w:r>
              <w:rPr>
                <w:rFonts w:ascii="Courier New" w:cs="Courier New" w:eastAsia="Courier New" w:hAnsi="Courier New"/>
                <w:sz w:val="18"/>
                <w:szCs w:val="18"/>
                <w:color w:val="auto"/>
                <w:w w:val="95"/>
              </w:rPr>
              <w:t>(iii).</w:t>
            </w:r>
          </w:p>
        </w:tc>
        <w:tc>
          <w:tcPr>
            <w:tcW w:w="100" w:type="dxa"/>
            <w:vAlign w:val="bottom"/>
          </w:tcPr>
          <w:p>
            <w:pPr>
              <w:spacing w:after="0"/>
              <w:rPr>
                <w:sz w:val="17"/>
                <w:szCs w:val="17"/>
                <w:color w:val="auto"/>
              </w:rPr>
            </w:pPr>
          </w:p>
        </w:tc>
        <w:tc>
          <w:tcPr>
            <w:tcW w:w="1480" w:type="dxa"/>
            <w:vAlign w:val="bottom"/>
            <w:gridSpan w:val="3"/>
          </w:tcPr>
          <w:p>
            <w:pPr>
              <w:ind w:left="120"/>
              <w:spacing w:after="0"/>
              <w:rPr>
                <w:sz w:val="20"/>
                <w:szCs w:val="20"/>
                <w:color w:val="auto"/>
              </w:rPr>
            </w:pPr>
            <w:r>
              <w:rPr>
                <w:rFonts w:ascii="Courier New" w:cs="Courier New" w:eastAsia="Courier New" w:hAnsi="Courier New"/>
                <w:sz w:val="18"/>
                <w:szCs w:val="18"/>
                <w:color w:val="auto"/>
                <w:w w:val="95"/>
              </w:rPr>
              <w:t>Sole power to</w:t>
            </w:r>
          </w:p>
        </w:tc>
        <w:tc>
          <w:tcPr>
            <w:tcW w:w="1640" w:type="dxa"/>
            <w:vAlign w:val="bottom"/>
          </w:tcPr>
          <w:p>
            <w:pPr>
              <w:ind w:left="220"/>
              <w:spacing w:after="0"/>
              <w:rPr>
                <w:sz w:val="20"/>
                <w:szCs w:val="20"/>
                <w:color w:val="auto"/>
              </w:rPr>
            </w:pPr>
            <w:r>
              <w:rPr>
                <w:rFonts w:ascii="Courier New" w:cs="Courier New" w:eastAsia="Courier New" w:hAnsi="Courier New"/>
                <w:sz w:val="18"/>
                <w:szCs w:val="18"/>
                <w:color w:val="auto"/>
                <w:w w:val="99"/>
              </w:rPr>
              <w:t>dispose or to</w:t>
            </w:r>
          </w:p>
        </w:tc>
        <w:tc>
          <w:tcPr>
            <w:tcW w:w="880" w:type="dxa"/>
            <w:vAlign w:val="bottom"/>
          </w:tcPr>
          <w:p>
            <w:pPr>
              <w:ind w:left="40"/>
              <w:spacing w:after="0"/>
              <w:rPr>
                <w:sz w:val="20"/>
                <w:szCs w:val="20"/>
                <w:color w:val="auto"/>
              </w:rPr>
            </w:pPr>
            <w:r>
              <w:rPr>
                <w:rFonts w:ascii="Courier New" w:cs="Courier New" w:eastAsia="Courier New" w:hAnsi="Courier New"/>
                <w:sz w:val="18"/>
                <w:szCs w:val="18"/>
                <w:color w:val="auto"/>
              </w:rPr>
              <w:t>direct</w:t>
            </w:r>
          </w:p>
        </w:tc>
        <w:tc>
          <w:tcPr>
            <w:tcW w:w="158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6"/>
              </w:rPr>
              <w:t>the disposition</w:t>
            </w:r>
          </w:p>
        </w:tc>
      </w:tr>
      <w:tr>
        <w:trPr>
          <w:trHeight w:val="203"/>
        </w:trPr>
        <w:tc>
          <w:tcPr>
            <w:tcW w:w="1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86"/>
              </w:rPr>
              <w:t>of:</w:t>
            </w:r>
          </w:p>
        </w:tc>
        <w:tc>
          <w:tcPr>
            <w:tcW w:w="270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See the response(s) to</w:t>
            </w:r>
          </w:p>
        </w:tc>
        <w:tc>
          <w:tcPr>
            <w:tcW w:w="8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Item 7</w:t>
            </w:r>
          </w:p>
        </w:tc>
        <w:tc>
          <w:tcPr>
            <w:tcW w:w="1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on the attached</w:t>
            </w:r>
          </w:p>
        </w:tc>
      </w:tr>
      <w:tr>
        <w:trPr>
          <w:trHeight w:val="296"/>
        </w:trPr>
        <w:tc>
          <w:tcPr>
            <w:tcW w:w="1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2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cover page(s).</w:t>
            </w: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11"/>
        </w:trPr>
        <w:tc>
          <w:tcPr>
            <w:tcW w:w="1420" w:type="dxa"/>
            <w:vAlign w:val="bottom"/>
          </w:tcPr>
          <w:p>
            <w:pPr>
              <w:spacing w:after="0"/>
              <w:rPr>
                <w:sz w:val="24"/>
                <w:szCs w:val="24"/>
                <w:color w:val="auto"/>
              </w:rPr>
            </w:pPr>
          </w:p>
        </w:tc>
        <w:tc>
          <w:tcPr>
            <w:tcW w:w="1220" w:type="dxa"/>
            <w:vAlign w:val="bottom"/>
          </w:tcPr>
          <w:p>
            <w:pPr>
              <w:ind w:left="580"/>
              <w:spacing w:after="0"/>
              <w:rPr>
                <w:sz w:val="20"/>
                <w:szCs w:val="20"/>
                <w:color w:val="auto"/>
              </w:rPr>
            </w:pPr>
            <w:r>
              <w:rPr>
                <w:rFonts w:ascii="Courier New" w:cs="Courier New" w:eastAsia="Courier New" w:hAnsi="Courier New"/>
                <w:sz w:val="18"/>
                <w:szCs w:val="18"/>
                <w:color w:val="auto"/>
              </w:rPr>
              <w:t>(iv).</w:t>
            </w:r>
          </w:p>
        </w:tc>
        <w:tc>
          <w:tcPr>
            <w:tcW w:w="4100" w:type="dxa"/>
            <w:vAlign w:val="bottom"/>
            <w:gridSpan w:val="6"/>
          </w:tcPr>
          <w:p>
            <w:pPr>
              <w:ind w:left="220"/>
              <w:spacing w:after="0"/>
              <w:rPr>
                <w:sz w:val="20"/>
                <w:szCs w:val="20"/>
                <w:color w:val="auto"/>
              </w:rPr>
            </w:pPr>
            <w:r>
              <w:rPr>
                <w:rFonts w:ascii="Courier New" w:cs="Courier New" w:eastAsia="Courier New" w:hAnsi="Courier New"/>
                <w:sz w:val="18"/>
                <w:szCs w:val="18"/>
                <w:color w:val="auto"/>
                <w:w w:val="99"/>
              </w:rPr>
              <w:t>Shared power to dispose or to direct</w:t>
            </w:r>
          </w:p>
        </w:tc>
        <w:tc>
          <w:tcPr>
            <w:tcW w:w="158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6"/>
              </w:rPr>
              <w:t>the disposition</w:t>
            </w:r>
          </w:p>
        </w:tc>
      </w:tr>
      <w:tr>
        <w:trPr>
          <w:trHeight w:val="203"/>
        </w:trPr>
        <w:tc>
          <w:tcPr>
            <w:tcW w:w="1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86"/>
              </w:rPr>
              <w:t>of:</w:t>
            </w:r>
          </w:p>
        </w:tc>
        <w:tc>
          <w:tcPr>
            <w:tcW w:w="270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See the response(s) to</w:t>
            </w:r>
          </w:p>
        </w:tc>
        <w:tc>
          <w:tcPr>
            <w:tcW w:w="8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Item 8</w:t>
            </w:r>
          </w:p>
        </w:tc>
        <w:tc>
          <w:tcPr>
            <w:tcW w:w="1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on the attached</w:t>
            </w:r>
          </w:p>
        </w:tc>
      </w:tr>
      <w:tr>
        <w:trPr>
          <w:trHeight w:val="296"/>
        </w:trPr>
        <w:tc>
          <w:tcPr>
            <w:tcW w:w="1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2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cover page(s).</w:t>
            </w: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11"/>
        </w:trPr>
        <w:tc>
          <w:tcPr>
            <w:tcW w:w="142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5320" w:type="dxa"/>
            <w:vAlign w:val="bottom"/>
            <w:gridSpan w:val="7"/>
          </w:tcPr>
          <w:p>
            <w:pPr>
              <w:ind w:left="580"/>
              <w:spacing w:after="0"/>
              <w:rPr>
                <w:sz w:val="20"/>
                <w:szCs w:val="20"/>
                <w:color w:val="auto"/>
              </w:rPr>
            </w:pPr>
            <w:r>
              <w:rPr>
                <w:rFonts w:ascii="Courier New" w:cs="Courier New" w:eastAsia="Courier New" w:hAnsi="Courier New"/>
                <w:sz w:val="18"/>
                <w:szCs w:val="18"/>
                <w:color w:val="auto"/>
                <w:w w:val="97"/>
              </w:rPr>
              <w:t>Ownership of Five Percent or Less of a Class.</w:t>
            </w: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96"/>
        </w:trPr>
        <w:tc>
          <w:tcPr>
            <w:tcW w:w="1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20" w:type="dxa"/>
            <w:vAlign w:val="bottom"/>
            <w:gridSpan w:val="4"/>
          </w:tcPr>
          <w:p>
            <w:pPr>
              <w:ind w:left="320"/>
              <w:spacing w:after="0"/>
              <w:rPr>
                <w:sz w:val="20"/>
                <w:szCs w:val="20"/>
                <w:color w:val="auto"/>
              </w:rPr>
            </w:pPr>
            <w:r>
              <w:rPr>
                <w:rFonts w:ascii="Courier New" w:cs="Courier New" w:eastAsia="Courier New" w:hAnsi="Courier New"/>
                <w:sz w:val="18"/>
                <w:szCs w:val="18"/>
                <w:color w:val="auto"/>
              </w:rPr>
              <w:t>Not Applicable</w:t>
            </w: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11"/>
        </w:trPr>
        <w:tc>
          <w:tcPr>
            <w:tcW w:w="142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6900" w:type="dxa"/>
            <w:vAlign w:val="bottom"/>
            <w:gridSpan w:val="9"/>
          </w:tcPr>
          <w:p>
            <w:pPr>
              <w:ind w:left="580"/>
              <w:spacing w:after="0"/>
              <w:rPr>
                <w:sz w:val="20"/>
                <w:szCs w:val="20"/>
                <w:color w:val="auto"/>
              </w:rPr>
            </w:pPr>
            <w:r>
              <w:rPr>
                <w:rFonts w:ascii="Courier New" w:cs="Courier New" w:eastAsia="Courier New" w:hAnsi="Courier New"/>
                <w:sz w:val="18"/>
                <w:szCs w:val="18"/>
                <w:color w:val="auto"/>
              </w:rPr>
              <w:t>Ownership of More than Five Percent on Behalf of Another</w:t>
            </w:r>
          </w:p>
        </w:tc>
      </w:tr>
      <w:tr>
        <w:trPr>
          <w:trHeight w:val="296"/>
        </w:trPr>
        <w:tc>
          <w:tcPr>
            <w:tcW w:w="1420" w:type="dxa"/>
            <w:vAlign w:val="bottom"/>
          </w:tcPr>
          <w:p>
            <w:pPr>
              <w:spacing w:after="0"/>
              <w:rPr>
                <w:sz w:val="24"/>
                <w:szCs w:val="24"/>
                <w:color w:val="auto"/>
              </w:rPr>
            </w:pPr>
          </w:p>
        </w:tc>
        <w:tc>
          <w:tcPr>
            <w:tcW w:w="1320" w:type="dxa"/>
            <w:vAlign w:val="bottom"/>
            <w:gridSpan w:val="2"/>
          </w:tcPr>
          <w:p>
            <w:pPr>
              <w:ind w:left="580"/>
              <w:spacing w:after="0"/>
              <w:rPr>
                <w:sz w:val="20"/>
                <w:szCs w:val="20"/>
                <w:color w:val="auto"/>
              </w:rPr>
            </w:pPr>
            <w:r>
              <w:rPr>
                <w:rFonts w:ascii="Courier New" w:cs="Courier New" w:eastAsia="Courier New" w:hAnsi="Courier New"/>
                <w:sz w:val="18"/>
                <w:szCs w:val="18"/>
                <w:color w:val="auto"/>
                <w:w w:val="95"/>
              </w:rPr>
              <w:t>Person.</w:t>
            </w: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11"/>
        </w:trPr>
        <w:tc>
          <w:tcPr>
            <w:tcW w:w="1420" w:type="dxa"/>
            <w:vAlign w:val="bottom"/>
          </w:tcPr>
          <w:p>
            <w:pPr>
              <w:spacing w:after="0"/>
              <w:rPr>
                <w:sz w:val="24"/>
                <w:szCs w:val="24"/>
                <w:color w:val="auto"/>
              </w:rPr>
            </w:pPr>
          </w:p>
        </w:tc>
        <w:tc>
          <w:tcPr>
            <w:tcW w:w="1320" w:type="dxa"/>
            <w:vAlign w:val="bottom"/>
            <w:gridSpan w:val="2"/>
          </w:tcPr>
          <w:p>
            <w:pPr>
              <w:ind w:left="580"/>
              <w:spacing w:after="0"/>
              <w:rPr>
                <w:sz w:val="20"/>
                <w:szCs w:val="20"/>
                <w:color w:val="auto"/>
              </w:rPr>
            </w:pPr>
            <w:r>
              <w:rPr>
                <w:rFonts w:ascii="Courier New" w:cs="Courier New" w:eastAsia="Courier New" w:hAnsi="Courier New"/>
                <w:sz w:val="18"/>
                <w:szCs w:val="18"/>
                <w:color w:val="auto"/>
                <w:w w:val="95"/>
              </w:rPr>
              <w:t>Clients</w:t>
            </w:r>
          </w:p>
        </w:tc>
        <w:tc>
          <w:tcPr>
            <w:tcW w:w="420" w:type="dxa"/>
            <w:vAlign w:val="bottom"/>
          </w:tcPr>
          <w:p>
            <w:pPr>
              <w:ind w:left="220"/>
              <w:spacing w:after="0"/>
              <w:rPr>
                <w:sz w:val="20"/>
                <w:szCs w:val="20"/>
                <w:color w:val="auto"/>
              </w:rPr>
            </w:pPr>
            <w:r>
              <w:rPr>
                <w:rFonts w:ascii="Courier New" w:cs="Courier New" w:eastAsia="Courier New" w:hAnsi="Courier New"/>
                <w:sz w:val="18"/>
                <w:szCs w:val="18"/>
                <w:color w:val="auto"/>
                <w:w w:val="83"/>
              </w:rPr>
              <w:t>of</w:t>
            </w:r>
          </w:p>
        </w:tc>
        <w:tc>
          <w:tcPr>
            <w:tcW w:w="540" w:type="dxa"/>
            <w:vAlign w:val="bottom"/>
          </w:tcPr>
          <w:p>
            <w:pPr>
              <w:ind w:left="220"/>
              <w:spacing w:after="0"/>
              <w:rPr>
                <w:sz w:val="20"/>
                <w:szCs w:val="20"/>
                <w:color w:val="auto"/>
              </w:rPr>
            </w:pPr>
            <w:r>
              <w:rPr>
                <w:rFonts w:ascii="Courier New" w:cs="Courier New" w:eastAsia="Courier New" w:hAnsi="Courier New"/>
                <w:sz w:val="18"/>
                <w:szCs w:val="18"/>
                <w:color w:val="auto"/>
                <w:w w:val="92"/>
              </w:rPr>
              <w:t>the</w:t>
            </w:r>
          </w:p>
        </w:tc>
        <w:tc>
          <w:tcPr>
            <w:tcW w:w="3360" w:type="dxa"/>
            <w:vAlign w:val="bottom"/>
            <w:gridSpan w:val="4"/>
          </w:tcPr>
          <w:p>
            <w:pPr>
              <w:ind w:left="200"/>
              <w:spacing w:after="0"/>
              <w:rPr>
                <w:sz w:val="20"/>
                <w:szCs w:val="20"/>
                <w:color w:val="auto"/>
              </w:rPr>
            </w:pPr>
            <w:r>
              <w:rPr>
                <w:rFonts w:ascii="Courier New" w:cs="Courier New" w:eastAsia="Courier New" w:hAnsi="Courier New"/>
                <w:sz w:val="18"/>
                <w:szCs w:val="18"/>
                <w:color w:val="auto"/>
              </w:rPr>
              <w:t>Reporting  Person(s) have or</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w w:val="95"/>
              </w:rPr>
              <w:t>may have the</w:t>
            </w:r>
          </w:p>
        </w:tc>
      </w:tr>
      <w:tr>
        <w:trPr>
          <w:trHeight w:val="203"/>
        </w:trPr>
        <w:tc>
          <w:tcPr>
            <w:tcW w:w="1420" w:type="dxa"/>
            <w:vAlign w:val="bottom"/>
          </w:tcPr>
          <w:p>
            <w:pPr>
              <w:spacing w:after="0"/>
              <w:rPr>
                <w:sz w:val="17"/>
                <w:szCs w:val="17"/>
                <w:color w:val="auto"/>
              </w:rPr>
            </w:pPr>
          </w:p>
        </w:tc>
        <w:tc>
          <w:tcPr>
            <w:tcW w:w="12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right</w:t>
            </w:r>
          </w:p>
        </w:tc>
        <w:tc>
          <w:tcPr>
            <w:tcW w:w="100" w:type="dxa"/>
            <w:vAlign w:val="bottom"/>
          </w:tcPr>
          <w:p>
            <w:pPr>
              <w:spacing w:after="0"/>
              <w:rPr>
                <w:sz w:val="17"/>
                <w:szCs w:val="17"/>
                <w:color w:val="auto"/>
              </w:rPr>
            </w:pPr>
          </w:p>
        </w:tc>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to</w:t>
            </w:r>
          </w:p>
        </w:tc>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receive or</w:t>
            </w:r>
          </w:p>
        </w:tc>
        <w:tc>
          <w:tcPr>
            <w:tcW w:w="1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the power  to</w:t>
            </w:r>
          </w:p>
        </w:tc>
        <w:tc>
          <w:tcPr>
            <w:tcW w:w="12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4"/>
              </w:rPr>
              <w:t>direct the</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receipt of</w:t>
            </w:r>
          </w:p>
        </w:tc>
      </w:tr>
      <w:tr>
        <w:trPr>
          <w:trHeight w:val="203"/>
        </w:trPr>
        <w:tc>
          <w:tcPr>
            <w:tcW w:w="1420" w:type="dxa"/>
            <w:vAlign w:val="bottom"/>
          </w:tcPr>
          <w:p>
            <w:pPr>
              <w:spacing w:after="0"/>
              <w:rPr>
                <w:sz w:val="17"/>
                <w:szCs w:val="17"/>
                <w:color w:val="auto"/>
              </w:rPr>
            </w:pPr>
          </w:p>
        </w:tc>
        <w:tc>
          <w:tcPr>
            <w:tcW w:w="6900" w:type="dxa"/>
            <w:vAlign w:val="bottom"/>
            <w:gridSpan w:val="9"/>
          </w:tcPr>
          <w:p>
            <w:pPr>
              <w:ind w:left="580"/>
              <w:spacing w:after="0" w:line="203" w:lineRule="exact"/>
              <w:rPr>
                <w:sz w:val="20"/>
                <w:szCs w:val="20"/>
                <w:color w:val="auto"/>
              </w:rPr>
            </w:pPr>
            <w:r>
              <w:rPr>
                <w:rFonts w:ascii="Courier New" w:cs="Courier New" w:eastAsia="Courier New" w:hAnsi="Courier New"/>
                <w:sz w:val="18"/>
                <w:szCs w:val="18"/>
                <w:color w:val="auto"/>
                <w:w w:val="97"/>
              </w:rPr>
              <w:t>dividends from, or the proceeds from the sale of, securities</w:t>
            </w:r>
          </w:p>
        </w:tc>
      </w:tr>
      <w:tr>
        <w:trPr>
          <w:trHeight w:val="203"/>
        </w:trPr>
        <w:tc>
          <w:tcPr>
            <w:tcW w:w="1420" w:type="dxa"/>
            <w:vAlign w:val="bottom"/>
          </w:tcPr>
          <w:p>
            <w:pPr>
              <w:spacing w:after="0"/>
              <w:rPr>
                <w:sz w:val="17"/>
                <w:szCs w:val="17"/>
                <w:color w:val="auto"/>
              </w:rPr>
            </w:pPr>
          </w:p>
        </w:tc>
        <w:tc>
          <w:tcPr>
            <w:tcW w:w="12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held</w:t>
            </w:r>
          </w:p>
        </w:tc>
        <w:tc>
          <w:tcPr>
            <w:tcW w:w="5680" w:type="dxa"/>
            <w:vAlign w:val="bottom"/>
            <w:gridSpan w:val="8"/>
          </w:tcPr>
          <w:p>
            <w:pPr>
              <w:jc w:val="right"/>
              <w:spacing w:after="0" w:line="203" w:lineRule="exact"/>
              <w:rPr>
                <w:sz w:val="20"/>
                <w:szCs w:val="20"/>
                <w:color w:val="auto"/>
              </w:rPr>
            </w:pPr>
            <w:r>
              <w:rPr>
                <w:rFonts w:ascii="Courier New" w:cs="Courier New" w:eastAsia="Courier New" w:hAnsi="Courier New"/>
                <w:sz w:val="18"/>
                <w:szCs w:val="18"/>
                <w:color w:val="auto"/>
                <w:w w:val="97"/>
              </w:rPr>
              <w:t>in their accounts. Clients known to have such right or</w:t>
            </w:r>
          </w:p>
        </w:tc>
      </w:tr>
      <w:tr>
        <w:trPr>
          <w:trHeight w:val="203"/>
        </w:trPr>
        <w:tc>
          <w:tcPr>
            <w:tcW w:w="1420" w:type="dxa"/>
            <w:vAlign w:val="bottom"/>
          </w:tcPr>
          <w:p>
            <w:pPr>
              <w:spacing w:after="0"/>
              <w:rPr>
                <w:sz w:val="17"/>
                <w:szCs w:val="17"/>
                <w:color w:val="auto"/>
              </w:rPr>
            </w:pPr>
          </w:p>
        </w:tc>
        <w:tc>
          <w:tcPr>
            <w:tcW w:w="12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power</w:t>
            </w:r>
          </w:p>
        </w:tc>
        <w:tc>
          <w:tcPr>
            <w:tcW w:w="100" w:type="dxa"/>
            <w:vAlign w:val="bottom"/>
          </w:tcPr>
          <w:p>
            <w:pPr>
              <w:spacing w:after="0"/>
              <w:rPr>
                <w:sz w:val="17"/>
                <w:szCs w:val="17"/>
                <w:color w:val="auto"/>
              </w:rPr>
            </w:pPr>
          </w:p>
        </w:tc>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with</w:t>
            </w:r>
          </w:p>
        </w:tc>
        <w:tc>
          <w:tcPr>
            <w:tcW w:w="3580" w:type="dxa"/>
            <w:vAlign w:val="bottom"/>
            <w:gridSpan w:val="4"/>
          </w:tcPr>
          <w:p>
            <w:pPr>
              <w:ind w:left="320"/>
              <w:spacing w:after="0" w:line="203" w:lineRule="exact"/>
              <w:rPr>
                <w:sz w:val="20"/>
                <w:szCs w:val="20"/>
                <w:color w:val="auto"/>
              </w:rPr>
            </w:pPr>
            <w:r>
              <w:rPr>
                <w:rFonts w:ascii="Courier New" w:cs="Courier New" w:eastAsia="Courier New" w:hAnsi="Courier New"/>
                <w:sz w:val="18"/>
                <w:szCs w:val="18"/>
                <w:color w:val="auto"/>
                <w:w w:val="99"/>
              </w:rPr>
              <w:t>respect  to  more  than 5%  of</w:t>
            </w:r>
          </w:p>
        </w:tc>
        <w:tc>
          <w:tcPr>
            <w:tcW w:w="1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class  of</w:t>
            </w:r>
          </w:p>
        </w:tc>
      </w:tr>
      <w:tr>
        <w:trPr>
          <w:trHeight w:val="296"/>
        </w:trPr>
        <w:tc>
          <w:tcPr>
            <w:tcW w:w="1420" w:type="dxa"/>
            <w:vAlign w:val="bottom"/>
          </w:tcPr>
          <w:p>
            <w:pPr>
              <w:spacing w:after="0"/>
              <w:rPr>
                <w:sz w:val="24"/>
                <w:szCs w:val="24"/>
                <w:color w:val="auto"/>
              </w:rPr>
            </w:pPr>
          </w:p>
        </w:tc>
        <w:tc>
          <w:tcPr>
            <w:tcW w:w="5320" w:type="dxa"/>
            <w:vAlign w:val="bottom"/>
            <w:gridSpan w:val="7"/>
          </w:tcPr>
          <w:p>
            <w:pPr>
              <w:ind w:left="580"/>
              <w:spacing w:after="0"/>
              <w:rPr>
                <w:sz w:val="20"/>
                <w:szCs w:val="20"/>
                <w:color w:val="auto"/>
              </w:rPr>
            </w:pPr>
            <w:r>
              <w:rPr>
                <w:rFonts w:ascii="Courier New" w:cs="Courier New" w:eastAsia="Courier New" w:hAnsi="Courier New"/>
                <w:sz w:val="18"/>
                <w:szCs w:val="18"/>
                <w:color w:val="auto"/>
                <w:w w:val="99"/>
              </w:rPr>
              <w:t>securities to which this report relates are:</w:t>
            </w: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514"/>
        </w:trPr>
        <w:tc>
          <w:tcPr>
            <w:tcW w:w="1420" w:type="dxa"/>
            <w:vAlign w:val="bottom"/>
          </w:tcPr>
          <w:p>
            <w:pPr>
              <w:spacing w:after="0"/>
              <w:rPr>
                <w:sz w:val="20"/>
                <w:szCs w:val="20"/>
                <w:color w:val="auto"/>
              </w:rPr>
            </w:pPr>
            <w:r>
              <w:rPr>
                <w:rFonts w:ascii="Courier New" w:cs="Courier New" w:eastAsia="Courier New" w:hAnsi="Courier New"/>
                <w:sz w:val="18"/>
                <w:szCs w:val="18"/>
                <w:color w:val="auto"/>
              </w:rPr>
              <w:t>Item 7.</w:t>
            </w:r>
          </w:p>
        </w:tc>
        <w:tc>
          <w:tcPr>
            <w:tcW w:w="2280" w:type="dxa"/>
            <w:vAlign w:val="bottom"/>
            <w:gridSpan w:val="4"/>
          </w:tcPr>
          <w:p>
            <w:pPr>
              <w:ind w:left="580"/>
              <w:spacing w:after="0"/>
              <w:rPr>
                <w:sz w:val="20"/>
                <w:szCs w:val="20"/>
                <w:color w:val="auto"/>
              </w:rPr>
            </w:pPr>
            <w:r>
              <w:rPr>
                <w:rFonts w:ascii="Courier New" w:cs="Courier New" w:eastAsia="Courier New" w:hAnsi="Courier New"/>
                <w:sz w:val="18"/>
                <w:szCs w:val="18"/>
                <w:color w:val="auto"/>
              </w:rPr>
              <w:t>Identification</w:t>
            </w:r>
          </w:p>
        </w:tc>
        <w:tc>
          <w:tcPr>
            <w:tcW w:w="520" w:type="dxa"/>
            <w:vAlign w:val="bottom"/>
          </w:tcPr>
          <w:p>
            <w:pPr>
              <w:spacing w:after="0"/>
              <w:rPr>
                <w:sz w:val="20"/>
                <w:szCs w:val="20"/>
                <w:color w:val="auto"/>
              </w:rPr>
            </w:pPr>
            <w:r>
              <w:rPr>
                <w:rFonts w:ascii="Courier New" w:cs="Courier New" w:eastAsia="Courier New" w:hAnsi="Courier New"/>
                <w:sz w:val="18"/>
                <w:szCs w:val="18"/>
                <w:color w:val="auto"/>
              </w:rPr>
              <w:t>and</w:t>
            </w:r>
          </w:p>
        </w:tc>
        <w:tc>
          <w:tcPr>
            <w:tcW w:w="1640" w:type="dxa"/>
            <w:vAlign w:val="bottom"/>
          </w:tcPr>
          <w:p>
            <w:pPr>
              <w:spacing w:after="0"/>
              <w:rPr>
                <w:sz w:val="20"/>
                <w:szCs w:val="20"/>
                <w:color w:val="auto"/>
              </w:rPr>
            </w:pPr>
            <w:r>
              <w:rPr>
                <w:rFonts w:ascii="Courier New" w:cs="Courier New" w:eastAsia="Courier New" w:hAnsi="Courier New"/>
                <w:sz w:val="18"/>
                <w:szCs w:val="18"/>
                <w:color w:val="auto"/>
              </w:rPr>
              <w:t>Classification</w:t>
            </w:r>
          </w:p>
        </w:tc>
        <w:tc>
          <w:tcPr>
            <w:tcW w:w="246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98"/>
              </w:rPr>
              <w:t>of the Subsidiary Which</w:t>
            </w:r>
          </w:p>
        </w:tc>
      </w:tr>
      <w:tr>
        <w:trPr>
          <w:trHeight w:val="203"/>
        </w:trPr>
        <w:tc>
          <w:tcPr>
            <w:tcW w:w="1420" w:type="dxa"/>
            <w:vAlign w:val="bottom"/>
          </w:tcPr>
          <w:p>
            <w:pPr>
              <w:spacing w:after="0"/>
              <w:rPr>
                <w:sz w:val="17"/>
                <w:szCs w:val="17"/>
                <w:color w:val="auto"/>
              </w:rPr>
            </w:pPr>
          </w:p>
        </w:tc>
        <w:tc>
          <w:tcPr>
            <w:tcW w:w="5320" w:type="dxa"/>
            <w:vAlign w:val="bottom"/>
            <w:gridSpan w:val="7"/>
          </w:tcPr>
          <w:p>
            <w:pPr>
              <w:ind w:left="580"/>
              <w:spacing w:after="0" w:line="203" w:lineRule="exact"/>
              <w:rPr>
                <w:sz w:val="20"/>
                <w:szCs w:val="20"/>
                <w:color w:val="auto"/>
              </w:rPr>
            </w:pPr>
            <w:r>
              <w:rPr>
                <w:rFonts w:ascii="Courier New" w:cs="Courier New" w:eastAsia="Courier New" w:hAnsi="Courier New"/>
                <w:sz w:val="18"/>
                <w:szCs w:val="18"/>
                <w:color w:val="auto"/>
                <w:w w:val="99"/>
              </w:rPr>
              <w:t>Acquired  the  Security  Being  Reported  on</w:t>
            </w:r>
          </w:p>
        </w:tc>
        <w:tc>
          <w:tcPr>
            <w:tcW w:w="1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by the  Parent</w:t>
            </w:r>
          </w:p>
        </w:tc>
      </w:tr>
      <w:tr>
        <w:trPr>
          <w:trHeight w:val="203"/>
        </w:trPr>
        <w:tc>
          <w:tcPr>
            <w:tcW w:w="1420" w:type="dxa"/>
            <w:vAlign w:val="bottom"/>
          </w:tcPr>
          <w:p>
            <w:pPr>
              <w:spacing w:after="0"/>
              <w:rPr>
                <w:sz w:val="17"/>
                <w:szCs w:val="17"/>
                <w:color w:val="auto"/>
              </w:rPr>
            </w:pPr>
          </w:p>
        </w:tc>
        <w:tc>
          <w:tcPr>
            <w:tcW w:w="2280" w:type="dxa"/>
            <w:vAlign w:val="bottom"/>
            <w:gridSpan w:val="4"/>
          </w:tcPr>
          <w:p>
            <w:pPr>
              <w:ind w:left="580"/>
              <w:spacing w:after="0" w:line="203" w:lineRule="exact"/>
              <w:rPr>
                <w:sz w:val="20"/>
                <w:szCs w:val="20"/>
                <w:color w:val="auto"/>
              </w:rPr>
            </w:pPr>
            <w:r>
              <w:rPr>
                <w:rFonts w:ascii="Courier New" w:cs="Courier New" w:eastAsia="Courier New" w:hAnsi="Courier New"/>
                <w:sz w:val="18"/>
                <w:szCs w:val="18"/>
                <w:color w:val="auto"/>
                <w:w w:val="97"/>
              </w:rPr>
              <w:t>Holding Company.</w:t>
            </w:r>
          </w:p>
        </w:tc>
        <w:tc>
          <w:tcPr>
            <w:tcW w:w="5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96"/>
        </w:trPr>
        <w:tc>
          <w:tcPr>
            <w:tcW w:w="1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20" w:type="dxa"/>
            <w:vAlign w:val="bottom"/>
            <w:gridSpan w:val="4"/>
          </w:tcPr>
          <w:p>
            <w:pPr>
              <w:ind w:left="320"/>
              <w:spacing w:after="0"/>
              <w:rPr>
                <w:sz w:val="20"/>
                <w:szCs w:val="20"/>
                <w:color w:val="auto"/>
              </w:rPr>
            </w:pPr>
            <w:r>
              <w:rPr>
                <w:rFonts w:ascii="Courier New" w:cs="Courier New" w:eastAsia="Courier New" w:hAnsi="Courier New"/>
                <w:sz w:val="18"/>
                <w:szCs w:val="18"/>
                <w:color w:val="auto"/>
              </w:rPr>
              <w:t>See Exhibit (99.2)</w:t>
            </w: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11"/>
        </w:trPr>
        <w:tc>
          <w:tcPr>
            <w:tcW w:w="1420" w:type="dxa"/>
            <w:vAlign w:val="bottom"/>
          </w:tcPr>
          <w:p>
            <w:pPr>
              <w:spacing w:after="0"/>
              <w:rPr>
                <w:sz w:val="20"/>
                <w:szCs w:val="20"/>
                <w:color w:val="auto"/>
              </w:rPr>
            </w:pPr>
            <w:r>
              <w:rPr>
                <w:rFonts w:ascii="Courier New" w:cs="Courier New" w:eastAsia="Courier New" w:hAnsi="Courier New"/>
                <w:sz w:val="18"/>
                <w:szCs w:val="18"/>
                <w:color w:val="auto"/>
              </w:rPr>
              <w:t>Item 8.</w:t>
            </w:r>
          </w:p>
        </w:tc>
        <w:tc>
          <w:tcPr>
            <w:tcW w:w="6900" w:type="dxa"/>
            <w:vAlign w:val="bottom"/>
            <w:gridSpan w:val="9"/>
          </w:tcPr>
          <w:p>
            <w:pPr>
              <w:ind w:left="580"/>
              <w:spacing w:after="0"/>
              <w:rPr>
                <w:sz w:val="20"/>
                <w:szCs w:val="20"/>
                <w:color w:val="auto"/>
              </w:rPr>
            </w:pPr>
            <w:r>
              <w:rPr>
                <w:rFonts w:ascii="Courier New" w:cs="Courier New" w:eastAsia="Courier New" w:hAnsi="Courier New"/>
                <w:sz w:val="18"/>
                <w:szCs w:val="18"/>
                <w:color w:val="auto"/>
              </w:rPr>
              <w:t>Identification and Classification of Members of the Group.</w:t>
            </w:r>
          </w:p>
        </w:tc>
      </w:tr>
      <w:tr>
        <w:trPr>
          <w:trHeight w:val="296"/>
        </w:trPr>
        <w:tc>
          <w:tcPr>
            <w:tcW w:w="1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20" w:type="dxa"/>
            <w:vAlign w:val="bottom"/>
            <w:gridSpan w:val="4"/>
          </w:tcPr>
          <w:p>
            <w:pPr>
              <w:ind w:left="320"/>
              <w:spacing w:after="0"/>
              <w:rPr>
                <w:sz w:val="20"/>
                <w:szCs w:val="20"/>
                <w:color w:val="auto"/>
              </w:rPr>
            </w:pPr>
            <w:r>
              <w:rPr>
                <w:rFonts w:ascii="Courier New" w:cs="Courier New" w:eastAsia="Courier New" w:hAnsi="Courier New"/>
                <w:sz w:val="18"/>
                <w:szCs w:val="18"/>
                <w:color w:val="auto"/>
              </w:rPr>
              <w:t>Not Applicable</w:t>
            </w: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11"/>
        </w:trPr>
        <w:tc>
          <w:tcPr>
            <w:tcW w:w="1420" w:type="dxa"/>
            <w:vAlign w:val="bottom"/>
          </w:tcPr>
          <w:p>
            <w:pPr>
              <w:spacing w:after="0"/>
              <w:rPr>
                <w:sz w:val="20"/>
                <w:szCs w:val="20"/>
                <w:color w:val="auto"/>
              </w:rPr>
            </w:pPr>
            <w:r>
              <w:rPr>
                <w:rFonts w:ascii="Courier New" w:cs="Courier New" w:eastAsia="Courier New" w:hAnsi="Courier New"/>
                <w:sz w:val="18"/>
                <w:szCs w:val="18"/>
                <w:color w:val="auto"/>
              </w:rPr>
              <w:t>Item 9.</w:t>
            </w:r>
          </w:p>
        </w:tc>
        <w:tc>
          <w:tcPr>
            <w:tcW w:w="4440" w:type="dxa"/>
            <w:vAlign w:val="bottom"/>
            <w:gridSpan w:val="6"/>
          </w:tcPr>
          <w:p>
            <w:pPr>
              <w:ind w:left="580"/>
              <w:spacing w:after="0"/>
              <w:rPr>
                <w:sz w:val="20"/>
                <w:szCs w:val="20"/>
                <w:color w:val="auto"/>
              </w:rPr>
            </w:pPr>
            <w:r>
              <w:rPr>
                <w:rFonts w:ascii="Courier New" w:cs="Courier New" w:eastAsia="Courier New" w:hAnsi="Courier New"/>
                <w:sz w:val="18"/>
                <w:szCs w:val="18"/>
                <w:color w:val="auto"/>
              </w:rPr>
              <w:t>Notice of Dissolution of Group.</w:t>
            </w: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96"/>
        </w:trPr>
        <w:tc>
          <w:tcPr>
            <w:tcW w:w="1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20" w:type="dxa"/>
            <w:vAlign w:val="bottom"/>
            <w:gridSpan w:val="4"/>
          </w:tcPr>
          <w:p>
            <w:pPr>
              <w:ind w:left="320"/>
              <w:spacing w:after="0"/>
              <w:rPr>
                <w:sz w:val="20"/>
                <w:szCs w:val="20"/>
                <w:color w:val="auto"/>
              </w:rPr>
            </w:pPr>
            <w:r>
              <w:rPr>
                <w:rFonts w:ascii="Courier New" w:cs="Courier New" w:eastAsia="Courier New" w:hAnsi="Courier New"/>
                <w:sz w:val="18"/>
                <w:szCs w:val="18"/>
                <w:color w:val="auto"/>
              </w:rPr>
              <w:t>Not Applicable</w:t>
            </w: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11"/>
        </w:trPr>
        <w:tc>
          <w:tcPr>
            <w:tcW w:w="1420" w:type="dxa"/>
            <w:vAlign w:val="bottom"/>
          </w:tcPr>
          <w:p>
            <w:pPr>
              <w:spacing w:after="0"/>
              <w:rPr>
                <w:sz w:val="20"/>
                <w:szCs w:val="20"/>
                <w:color w:val="auto"/>
              </w:rPr>
            </w:pPr>
            <w:r>
              <w:rPr>
                <w:rFonts w:ascii="Courier New" w:cs="Courier New" w:eastAsia="Courier New" w:hAnsi="Courier New"/>
                <w:sz w:val="18"/>
                <w:szCs w:val="18"/>
                <w:color w:val="auto"/>
              </w:rPr>
              <w:t>Item 10.</w:t>
            </w:r>
          </w:p>
        </w:tc>
        <w:tc>
          <w:tcPr>
            <w:tcW w:w="2280" w:type="dxa"/>
            <w:vAlign w:val="bottom"/>
            <w:gridSpan w:val="4"/>
          </w:tcPr>
          <w:p>
            <w:pPr>
              <w:ind w:left="580"/>
              <w:spacing w:after="0"/>
              <w:rPr>
                <w:sz w:val="20"/>
                <w:szCs w:val="20"/>
                <w:color w:val="auto"/>
              </w:rPr>
            </w:pPr>
            <w:r>
              <w:rPr>
                <w:rFonts w:ascii="Courier New" w:cs="Courier New" w:eastAsia="Courier New" w:hAnsi="Courier New"/>
                <w:sz w:val="18"/>
                <w:szCs w:val="18"/>
                <w:color w:val="auto"/>
              </w:rPr>
              <w:t>Certification.</w:t>
            </w:r>
          </w:p>
        </w:tc>
        <w:tc>
          <w:tcPr>
            <w:tcW w:w="5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1420" w:type="dxa"/>
            <w:vAlign w:val="bottom"/>
          </w:tcPr>
          <w:p>
            <w:pPr>
              <w:spacing w:after="0"/>
              <w:rPr>
                <w:sz w:val="17"/>
                <w:szCs w:val="17"/>
                <w:color w:val="auto"/>
              </w:rPr>
            </w:pPr>
          </w:p>
        </w:tc>
        <w:tc>
          <w:tcPr>
            <w:tcW w:w="6900" w:type="dxa"/>
            <w:vAlign w:val="bottom"/>
            <w:gridSpan w:val="9"/>
          </w:tcPr>
          <w:p>
            <w:pPr>
              <w:ind w:left="580"/>
              <w:spacing w:after="0" w:line="203" w:lineRule="exact"/>
              <w:rPr>
                <w:sz w:val="20"/>
                <w:szCs w:val="20"/>
                <w:color w:val="auto"/>
              </w:rPr>
            </w:pPr>
            <w:r>
              <w:rPr>
                <w:rFonts w:ascii="Courier New" w:cs="Courier New" w:eastAsia="Courier New" w:hAnsi="Courier New"/>
                <w:sz w:val="18"/>
                <w:szCs w:val="18"/>
                <w:color w:val="auto"/>
                <w:w w:val="97"/>
              </w:rPr>
              <w:t>By signing below I certify that, to the best of my knowledge</w:t>
            </w:r>
          </w:p>
        </w:tc>
      </w:tr>
      <w:tr>
        <w:trPr>
          <w:trHeight w:val="203"/>
        </w:trPr>
        <w:tc>
          <w:tcPr>
            <w:tcW w:w="1420" w:type="dxa"/>
            <w:vAlign w:val="bottom"/>
          </w:tcPr>
          <w:p>
            <w:pPr>
              <w:spacing w:after="0"/>
              <w:rPr>
                <w:sz w:val="17"/>
                <w:szCs w:val="17"/>
                <w:color w:val="auto"/>
              </w:rPr>
            </w:pPr>
          </w:p>
        </w:tc>
        <w:tc>
          <w:tcPr>
            <w:tcW w:w="6900" w:type="dxa"/>
            <w:vAlign w:val="bottom"/>
            <w:gridSpan w:val="9"/>
          </w:tcPr>
          <w:p>
            <w:pPr>
              <w:ind w:left="580"/>
              <w:spacing w:after="0" w:line="203" w:lineRule="exact"/>
              <w:rPr>
                <w:sz w:val="20"/>
                <w:szCs w:val="20"/>
                <w:color w:val="auto"/>
              </w:rPr>
            </w:pPr>
            <w:r>
              <w:rPr>
                <w:rFonts w:ascii="Courier New" w:cs="Courier New" w:eastAsia="Courier New" w:hAnsi="Courier New"/>
                <w:sz w:val="18"/>
                <w:szCs w:val="18"/>
                <w:color w:val="auto"/>
              </w:rPr>
              <w:t>and belief, the securities referred to above were acquired</w:t>
            </w:r>
          </w:p>
        </w:tc>
      </w:tr>
      <w:tr>
        <w:trPr>
          <w:trHeight w:val="203"/>
        </w:trPr>
        <w:tc>
          <w:tcPr>
            <w:tcW w:w="1420" w:type="dxa"/>
            <w:vAlign w:val="bottom"/>
          </w:tcPr>
          <w:p>
            <w:pPr>
              <w:spacing w:after="0"/>
              <w:rPr>
                <w:sz w:val="17"/>
                <w:szCs w:val="17"/>
                <w:color w:val="auto"/>
              </w:rPr>
            </w:pPr>
          </w:p>
        </w:tc>
        <w:tc>
          <w:tcPr>
            <w:tcW w:w="6900" w:type="dxa"/>
            <w:vAlign w:val="bottom"/>
            <w:gridSpan w:val="9"/>
          </w:tcPr>
          <w:p>
            <w:pPr>
              <w:ind w:left="580"/>
              <w:spacing w:after="0" w:line="203" w:lineRule="exact"/>
              <w:rPr>
                <w:sz w:val="20"/>
                <w:szCs w:val="20"/>
                <w:color w:val="auto"/>
              </w:rPr>
            </w:pPr>
            <w:r>
              <w:rPr>
                <w:rFonts w:ascii="Courier New" w:cs="Courier New" w:eastAsia="Courier New" w:hAnsi="Courier New"/>
                <w:sz w:val="18"/>
                <w:szCs w:val="18"/>
                <w:color w:val="auto"/>
                <w:w w:val="97"/>
              </w:rPr>
              <w:t>and are held in the ordinary course of business and were not</w:t>
            </w:r>
          </w:p>
        </w:tc>
      </w:tr>
      <w:tr>
        <w:trPr>
          <w:trHeight w:val="203"/>
        </w:trPr>
        <w:tc>
          <w:tcPr>
            <w:tcW w:w="1420" w:type="dxa"/>
            <w:vAlign w:val="bottom"/>
          </w:tcPr>
          <w:p>
            <w:pPr>
              <w:spacing w:after="0"/>
              <w:rPr>
                <w:sz w:val="17"/>
                <w:szCs w:val="17"/>
                <w:color w:val="auto"/>
              </w:rPr>
            </w:pPr>
          </w:p>
        </w:tc>
        <w:tc>
          <w:tcPr>
            <w:tcW w:w="6900" w:type="dxa"/>
            <w:vAlign w:val="bottom"/>
            <w:gridSpan w:val="9"/>
          </w:tcPr>
          <w:p>
            <w:pPr>
              <w:ind w:left="580"/>
              <w:spacing w:after="0" w:line="203" w:lineRule="exact"/>
              <w:rPr>
                <w:sz w:val="20"/>
                <w:szCs w:val="20"/>
                <w:color w:val="auto"/>
              </w:rPr>
            </w:pPr>
            <w:r>
              <w:rPr>
                <w:rFonts w:ascii="Courier New" w:cs="Courier New" w:eastAsia="Courier New" w:hAnsi="Courier New"/>
                <w:sz w:val="18"/>
                <w:szCs w:val="18"/>
                <w:color w:val="auto"/>
              </w:rPr>
              <w:t>acquired and are not held for the purpose of or with the</w:t>
            </w:r>
          </w:p>
        </w:tc>
      </w:tr>
      <w:tr>
        <w:trPr>
          <w:trHeight w:val="235"/>
        </w:trPr>
        <w:tc>
          <w:tcPr>
            <w:tcW w:w="1420" w:type="dxa"/>
            <w:vAlign w:val="bottom"/>
          </w:tcPr>
          <w:p>
            <w:pPr>
              <w:spacing w:after="0"/>
              <w:rPr>
                <w:sz w:val="20"/>
                <w:szCs w:val="20"/>
                <w:color w:val="auto"/>
              </w:rPr>
            </w:pPr>
          </w:p>
        </w:tc>
        <w:tc>
          <w:tcPr>
            <w:tcW w:w="6900" w:type="dxa"/>
            <w:vAlign w:val="bottom"/>
            <w:gridSpan w:val="9"/>
          </w:tcPr>
          <w:p>
            <w:pPr>
              <w:ind w:left="580"/>
              <w:spacing w:after="0"/>
              <w:rPr>
                <w:sz w:val="20"/>
                <w:szCs w:val="20"/>
                <w:color w:val="auto"/>
              </w:rPr>
            </w:pPr>
            <w:r>
              <w:rPr>
                <w:rFonts w:ascii="Courier New" w:cs="Courier New" w:eastAsia="Courier New" w:hAnsi="Courier New"/>
                <w:sz w:val="18"/>
                <w:szCs w:val="18"/>
                <w:color w:val="auto"/>
                <w:w w:val="98"/>
              </w:rPr>
              <w:t>effect of changing or influencing the control of the issuer</w:t>
            </w:r>
          </w:p>
        </w:tc>
      </w:tr>
    </w:tbl>
    <w:p>
      <w:pPr>
        <w:ind w:left="2000" w:right="1919"/>
        <w:spacing w:after="0" w:line="304" w:lineRule="auto"/>
        <w:rPr>
          <w:sz w:val="20"/>
          <w:szCs w:val="20"/>
          <w:color w:val="auto"/>
        </w:rPr>
      </w:pPr>
      <w:r>
        <w:rPr>
          <w:rFonts w:ascii="Courier New" w:cs="Courier New" w:eastAsia="Courier New" w:hAnsi="Courier New"/>
          <w:sz w:val="16"/>
          <w:szCs w:val="16"/>
          <w:color w:val="auto"/>
        </w:rPr>
        <w:t>of the securities and were not acquired and are not held in connection with or as a participant in any transaction having that purpose or effect, other than activities solely in connection with a nomination under Section 240.14a-11.</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right="1699" w:firstLine="211"/>
        <w:spacing w:after="0" w:line="241" w:lineRule="auto"/>
        <w:rPr>
          <w:sz w:val="20"/>
          <w:szCs w:val="20"/>
          <w:color w:val="auto"/>
        </w:rPr>
      </w:pPr>
      <w:r>
        <w:rPr>
          <w:rFonts w:ascii="Courier New" w:cs="Courier New" w:eastAsia="Courier New" w:hAnsi="Courier New"/>
          <w:sz w:val="18"/>
          <w:szCs w:val="18"/>
          <w:color w:val="auto"/>
        </w:rPr>
        <w:t>*In accordance with the Securities and Exchange Commission Release No. 34-39538 (January 12, 1998) (the "Release"), this filing reflects the securities beneficially owned by certain operating units (collectively, the "Goldman Sachs Reporting Units") of The Goldman Sachs Group, Inc. and its subsidiaries and affiliates (collectively, "GSG"). This filing does not reflect securities, if any, beneficially owned by any operating units of GSG whose ownership of securities is disaggregated from that of the Goldman Sachs Reporting Units in accordance with the Release. The Goldman Sachs Reporting Units disclaim beneficial ownership of the securities beneficially owned by (i) any client accounts with respect to which the Goldman Sachs Reporting Units or their employees have voting or investment discretion or both, or with respect to which there are limits on their voting or investment authority or both and</w:t>
      </w:r>
    </w:p>
    <w:p>
      <w:pPr>
        <w:spacing w:after="0" w:line="5" w:lineRule="exact"/>
        <w:rPr>
          <w:sz w:val="20"/>
          <w:szCs w:val="20"/>
          <w:color w:val="auto"/>
        </w:rPr>
      </w:pPr>
    </w:p>
    <w:p>
      <w:pPr>
        <w:ind w:right="2019" w:firstLine="8"/>
        <w:spacing w:after="0" w:line="346" w:lineRule="auto"/>
        <w:tabs>
          <w:tab w:leader="none" w:pos="526"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certain investment entities of which the Goldman Sachs Reporting Units act as the general partner, managing general partner or other manager, to the</w:t>
      </w:r>
    </w:p>
    <w:p>
      <w:pPr>
        <w:sectPr>
          <w:pgSz w:w="11900" w:h="17038" w:orient="portrait"/>
          <w:cols w:equalWidth="0" w:num="1">
            <w:col w:w="10139"/>
          </w:cols>
          <w:pgMar w:left="320" w:top="488" w:right="1440" w:bottom="0" w:gutter="0" w:footer="0" w:header="0"/>
        </w:sectPr>
      </w:pPr>
    </w:p>
    <w:bookmarkStart w:id="5" w:name="page6"/>
    <w:bookmarkEnd w:id="5"/>
    <w:p>
      <w:pPr>
        <w:ind w:right="2119"/>
        <w:spacing w:after="0" w:line="346" w:lineRule="auto"/>
        <w:rPr>
          <w:sz w:val="20"/>
          <w:szCs w:val="20"/>
          <w:color w:val="auto"/>
        </w:rPr>
      </w:pPr>
      <w:r>
        <w:rPr>
          <w:rFonts w:ascii="Courier New" w:cs="Courier New" w:eastAsia="Courier New" w:hAnsi="Courier New"/>
          <w:sz w:val="18"/>
          <w:szCs w:val="18"/>
          <w:color w:val="auto"/>
        </w:rPr>
        <w:t>extent interests in such entities are held by persons other than the Goldman Sachs Reporting Units.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5 of 11</w:t>
      </w:r>
    </w:p>
    <w:p>
      <w:pPr>
        <w:sectPr>
          <w:pgSz w:w="11900" w:h="16838" w:orient="portrait"/>
          <w:cols w:equalWidth="0" w:num="1">
            <w:col w:w="10139"/>
          </w:cols>
          <w:pgMar w:left="320" w:top="110" w:right="1440" w:bottom="1440" w:gutter="0" w:footer="0" w:header="0"/>
        </w:sectPr>
      </w:pPr>
    </w:p>
    <w:bookmarkStart w:id="6" w:name="page7"/>
    <w:bookmarkEnd w:id="6"/>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4" w:lineRule="exact"/>
        <w:rPr>
          <w:sz w:val="20"/>
          <w:szCs w:val="20"/>
          <w:color w:val="auto"/>
        </w:rPr>
      </w:pPr>
    </w:p>
    <w:p>
      <w:pPr>
        <w:jc w:val="both"/>
        <w:ind w:left="1280" w:right="2979"/>
        <w:spacing w:after="0" w:line="344"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3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tab/>
        <w:t>February 11, 2024,</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THE GOLDMAN SACHS GROUP, INC.</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By:/s/ AMEEN SOETAN</w:t>
      </w:r>
    </w:p>
    <w:p>
      <w:pPr>
        <w:spacing w:after="0" w:line="29"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w:t>
      </w:r>
    </w:p>
    <w:p>
      <w:pPr>
        <w:ind w:left="1380"/>
        <w:spacing w:after="0" w:line="238" w:lineRule="auto"/>
        <w:tabs>
          <w:tab w:leader="none" w:pos="2100" w:val="left"/>
        </w:tabs>
        <w:rPr>
          <w:sz w:val="20"/>
          <w:szCs w:val="20"/>
          <w:color w:val="auto"/>
        </w:rPr>
      </w:pPr>
      <w:r>
        <w:rPr>
          <w:rFonts w:ascii="Courier New" w:cs="Courier New" w:eastAsia="Courier New" w:hAnsi="Courier New"/>
          <w:sz w:val="18"/>
          <w:szCs w:val="18"/>
          <w:color w:val="auto"/>
        </w:rPr>
        <w:t>Name:</w:t>
        <w:tab/>
        <w:t>AMEEN SOETAN</w:t>
      </w:r>
    </w:p>
    <w:p>
      <w:pPr>
        <w:ind w:left="1380"/>
        <w:spacing w:after="0"/>
        <w:tabs>
          <w:tab w:leader="none" w:pos="2200" w:val="left"/>
        </w:tabs>
        <w:rPr>
          <w:sz w:val="20"/>
          <w:szCs w:val="20"/>
          <w:color w:val="auto"/>
        </w:rPr>
      </w:pPr>
      <w:r>
        <w:rPr>
          <w:rFonts w:ascii="Courier New" w:cs="Courier New" w:eastAsia="Courier New" w:hAnsi="Courier New"/>
          <w:sz w:val="18"/>
          <w:szCs w:val="18"/>
          <w:color w:val="auto"/>
        </w:rPr>
        <w:t>Title:</w:t>
        <w:tab/>
        <w:t>Attorney-in-fact</w:t>
      </w:r>
    </w:p>
    <w:p>
      <w:pPr>
        <w:spacing w:after="0" w:line="169"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GOLDMAN SACHS &amp; CO. LLC</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By:/s/ AMEEN SOETAN</w:t>
      </w:r>
    </w:p>
    <w:p>
      <w:pPr>
        <w:spacing w:after="0" w:line="29"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w:t>
      </w:r>
    </w:p>
    <w:p>
      <w:pPr>
        <w:ind w:left="1380"/>
        <w:spacing w:after="0" w:line="238" w:lineRule="auto"/>
        <w:tabs>
          <w:tab w:leader="none" w:pos="2100" w:val="left"/>
        </w:tabs>
        <w:rPr>
          <w:sz w:val="20"/>
          <w:szCs w:val="20"/>
          <w:color w:val="auto"/>
        </w:rPr>
      </w:pPr>
      <w:r>
        <w:rPr>
          <w:rFonts w:ascii="Courier New" w:cs="Courier New" w:eastAsia="Courier New" w:hAnsi="Courier New"/>
          <w:sz w:val="18"/>
          <w:szCs w:val="18"/>
          <w:color w:val="auto"/>
        </w:rPr>
        <w:t>Name:</w:t>
        <w:tab/>
        <w:t>AMEEN SOETAN</w:t>
      </w:r>
    </w:p>
    <w:p>
      <w:pPr>
        <w:ind w:left="1380"/>
        <w:spacing w:after="0"/>
        <w:tabs>
          <w:tab w:leader="none" w:pos="2200" w:val="left"/>
        </w:tabs>
        <w:rPr>
          <w:sz w:val="20"/>
          <w:szCs w:val="20"/>
          <w:color w:val="auto"/>
        </w:rPr>
      </w:pPr>
      <w:r>
        <w:rPr>
          <w:rFonts w:ascii="Courier New" w:cs="Courier New" w:eastAsia="Courier New" w:hAnsi="Courier New"/>
          <w:sz w:val="18"/>
          <w:szCs w:val="18"/>
          <w:color w:val="auto"/>
        </w:rPr>
        <w:t>Title:</w:t>
        <w:tab/>
        <w:t>Attorney-in-fact</w:t>
      </w:r>
    </w:p>
    <w:p>
      <w:pPr>
        <w:spacing w:after="0" w:line="200" w:lineRule="exact"/>
        <w:rPr>
          <w:sz w:val="20"/>
          <w:szCs w:val="20"/>
          <w:color w:val="auto"/>
        </w:rPr>
      </w:pPr>
    </w:p>
    <w:p>
      <w:pPr>
        <w:spacing w:after="0" w:line="37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6 of 11</w:t>
      </w:r>
    </w:p>
    <w:p>
      <w:pPr>
        <w:sectPr>
          <w:pgSz w:w="11900" w:h="16838" w:orient="portrait"/>
          <w:cols w:equalWidth="0" w:num="1">
            <w:col w:w="10139"/>
          </w:cols>
          <w:pgMar w:left="320" w:top="690" w:right="1440"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96"/>
        </w:trPr>
        <w:tc>
          <w:tcPr>
            <w:tcW w:w="1420" w:type="dxa"/>
            <w:vAlign w:val="bottom"/>
          </w:tcPr>
          <w:p>
            <w:pPr>
              <w:spacing w:after="0"/>
              <w:rPr>
                <w:sz w:val="24"/>
                <w:szCs w:val="24"/>
                <w:color w:val="auto"/>
              </w:rPr>
            </w:pPr>
          </w:p>
        </w:tc>
        <w:tc>
          <w:tcPr>
            <w:tcW w:w="3740" w:type="dxa"/>
            <w:vAlign w:val="bottom"/>
          </w:tcPr>
          <w:p>
            <w:pPr>
              <w:ind w:left="1960"/>
              <w:spacing w:after="0"/>
              <w:rPr>
                <w:sz w:val="20"/>
                <w:szCs w:val="20"/>
                <w:color w:val="auto"/>
              </w:rPr>
            </w:pPr>
            <w:r>
              <w:rPr>
                <w:rFonts w:ascii="Courier New" w:cs="Courier New" w:eastAsia="Courier New" w:hAnsi="Courier New"/>
                <w:sz w:val="18"/>
                <w:szCs w:val="18"/>
                <w:color w:val="auto"/>
                <w:w w:val="95"/>
              </w:rPr>
              <w:t>INDEX TO EXHIBITS</w:t>
            </w:r>
          </w:p>
        </w:tc>
        <w:tc>
          <w:tcPr>
            <w:tcW w:w="0" w:type="dxa"/>
            <w:vAlign w:val="bottom"/>
          </w:tcPr>
          <w:p>
            <w:pPr>
              <w:spacing w:after="0"/>
              <w:rPr>
                <w:sz w:val="1"/>
                <w:szCs w:val="1"/>
                <w:color w:val="auto"/>
              </w:rPr>
            </w:pPr>
          </w:p>
        </w:tc>
      </w:tr>
      <w:tr>
        <w:trPr>
          <w:trHeight w:val="716"/>
        </w:trPr>
        <w:tc>
          <w:tcPr>
            <w:tcW w:w="142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5"/>
              </w:rPr>
              <w:t>Exhibit No.</w:t>
            </w:r>
          </w:p>
        </w:tc>
        <w:tc>
          <w:tcPr>
            <w:tcW w:w="3740" w:type="dxa"/>
            <w:vAlign w:val="bottom"/>
          </w:tcPr>
          <w:p>
            <w:pPr>
              <w:ind w:left="1120"/>
              <w:spacing w:after="0"/>
              <w:rPr>
                <w:sz w:val="20"/>
                <w:szCs w:val="20"/>
                <w:color w:val="auto"/>
              </w:rPr>
            </w:pPr>
            <w:r>
              <w:rPr>
                <w:rFonts w:ascii="Courier New" w:cs="Courier New" w:eastAsia="Courier New" w:hAnsi="Courier New"/>
                <w:sz w:val="18"/>
                <w:szCs w:val="18"/>
                <w:color w:val="auto"/>
              </w:rPr>
              <w:t>Exhibit</w:t>
            </w:r>
          </w:p>
        </w:tc>
        <w:tc>
          <w:tcPr>
            <w:tcW w:w="0" w:type="dxa"/>
            <w:vAlign w:val="bottom"/>
          </w:tcPr>
          <w:p>
            <w:pPr>
              <w:spacing w:after="0"/>
              <w:rPr>
                <w:sz w:val="1"/>
                <w:szCs w:val="1"/>
                <w:color w:val="auto"/>
              </w:rPr>
            </w:pPr>
          </w:p>
        </w:tc>
      </w:tr>
      <w:tr>
        <w:trPr>
          <w:trHeight w:val="203"/>
        </w:trPr>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w:t>
            </w:r>
          </w:p>
        </w:tc>
        <w:tc>
          <w:tcPr>
            <w:tcW w:w="3740" w:type="dxa"/>
            <w:vAlign w:val="bottom"/>
          </w:tcPr>
          <w:p>
            <w:pPr>
              <w:ind w:left="1120"/>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42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99.1</w:t>
            </w:r>
          </w:p>
        </w:tc>
        <w:tc>
          <w:tcPr>
            <w:tcW w:w="3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Joint Filing Agreement</w:t>
            </w:r>
          </w:p>
        </w:tc>
        <w:tc>
          <w:tcPr>
            <w:tcW w:w="0" w:type="dxa"/>
            <w:vAlign w:val="bottom"/>
          </w:tcPr>
          <w:p>
            <w:pPr>
              <w:spacing w:after="0"/>
              <w:rPr>
                <w:sz w:val="1"/>
                <w:szCs w:val="1"/>
                <w:color w:val="auto"/>
              </w:rPr>
            </w:pPr>
          </w:p>
        </w:tc>
      </w:tr>
      <w:tr>
        <w:trPr>
          <w:trHeight w:val="203"/>
        </w:trPr>
        <w:tc>
          <w:tcPr>
            <w:tcW w:w="142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99.2</w:t>
            </w:r>
          </w:p>
        </w:tc>
        <w:tc>
          <w:tcPr>
            <w:tcW w:w="3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Item 7 Information</w:t>
            </w:r>
          </w:p>
        </w:tc>
        <w:tc>
          <w:tcPr>
            <w:tcW w:w="0" w:type="dxa"/>
            <w:vAlign w:val="bottom"/>
          </w:tcPr>
          <w:p>
            <w:pPr>
              <w:spacing w:after="0"/>
              <w:rPr>
                <w:sz w:val="1"/>
                <w:szCs w:val="1"/>
                <w:color w:val="auto"/>
              </w:rPr>
            </w:pPr>
          </w:p>
        </w:tc>
      </w:tr>
      <w:tr>
        <w:trPr>
          <w:trHeight w:val="203"/>
        </w:trPr>
        <w:tc>
          <w:tcPr>
            <w:tcW w:w="142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99.3</w:t>
            </w:r>
          </w:p>
        </w:tc>
        <w:tc>
          <w:tcPr>
            <w:tcW w:w="3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Power of Attorney, relating to</w:t>
            </w:r>
          </w:p>
        </w:tc>
        <w:tc>
          <w:tcPr>
            <w:tcW w:w="0" w:type="dxa"/>
            <w:vAlign w:val="bottom"/>
          </w:tcPr>
          <w:p>
            <w:pPr>
              <w:spacing w:after="0"/>
              <w:rPr>
                <w:sz w:val="1"/>
                <w:szCs w:val="1"/>
                <w:color w:val="auto"/>
              </w:rPr>
            </w:pPr>
          </w:p>
        </w:tc>
      </w:tr>
      <w:tr>
        <w:trPr>
          <w:trHeight w:val="203"/>
        </w:trPr>
        <w:tc>
          <w:tcPr>
            <w:tcW w:w="1420" w:type="dxa"/>
            <w:vAlign w:val="bottom"/>
            <w:vMerge w:val="restart"/>
          </w:tcPr>
          <w:p>
            <w:pPr>
              <w:jc w:val="right"/>
              <w:ind w:right="692"/>
              <w:spacing w:after="0"/>
              <w:rPr>
                <w:sz w:val="20"/>
                <w:szCs w:val="20"/>
                <w:color w:val="auto"/>
              </w:rPr>
            </w:pPr>
            <w:r>
              <w:rPr>
                <w:rFonts w:ascii="Courier New" w:cs="Courier New" w:eastAsia="Courier New" w:hAnsi="Courier New"/>
                <w:sz w:val="18"/>
                <w:szCs w:val="18"/>
                <w:color w:val="auto"/>
              </w:rPr>
              <w:t>99.4</w:t>
            </w:r>
          </w:p>
        </w:tc>
        <w:tc>
          <w:tcPr>
            <w:tcW w:w="3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THE GOLDMAN SACHS GROUP, INC.</w:t>
            </w:r>
          </w:p>
        </w:tc>
        <w:tc>
          <w:tcPr>
            <w:tcW w:w="0" w:type="dxa"/>
            <w:vAlign w:val="bottom"/>
          </w:tcPr>
          <w:p>
            <w:pPr>
              <w:spacing w:after="0"/>
              <w:rPr>
                <w:sz w:val="1"/>
                <w:szCs w:val="1"/>
                <w:color w:val="auto"/>
              </w:rPr>
            </w:pPr>
          </w:p>
        </w:tc>
      </w:tr>
      <w:tr>
        <w:trPr>
          <w:trHeight w:val="203"/>
        </w:trPr>
        <w:tc>
          <w:tcPr>
            <w:tcW w:w="1420" w:type="dxa"/>
            <w:vAlign w:val="bottom"/>
            <w:vMerge w:val="continue"/>
          </w:tcPr>
          <w:p>
            <w:pPr>
              <w:spacing w:after="0"/>
              <w:rPr>
                <w:sz w:val="17"/>
                <w:szCs w:val="17"/>
                <w:color w:val="auto"/>
              </w:rPr>
            </w:pPr>
          </w:p>
        </w:tc>
        <w:tc>
          <w:tcPr>
            <w:tcW w:w="3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Power of Attorney, relating to</w:t>
            </w:r>
          </w:p>
        </w:tc>
        <w:tc>
          <w:tcPr>
            <w:tcW w:w="0" w:type="dxa"/>
            <w:vAlign w:val="bottom"/>
          </w:tcPr>
          <w:p>
            <w:pPr>
              <w:spacing w:after="0"/>
              <w:rPr>
                <w:sz w:val="1"/>
                <w:szCs w:val="1"/>
                <w:color w:val="auto"/>
              </w:rPr>
            </w:pPr>
          </w:p>
        </w:tc>
      </w:tr>
      <w:tr>
        <w:trPr>
          <w:trHeight w:val="296"/>
        </w:trPr>
        <w:tc>
          <w:tcPr>
            <w:tcW w:w="1420" w:type="dxa"/>
            <w:vAlign w:val="bottom"/>
          </w:tcPr>
          <w:p>
            <w:pPr>
              <w:spacing w:after="0"/>
              <w:rPr>
                <w:sz w:val="24"/>
                <w:szCs w:val="24"/>
                <w:color w:val="auto"/>
              </w:rPr>
            </w:pPr>
          </w:p>
        </w:tc>
        <w:tc>
          <w:tcPr>
            <w:tcW w:w="3740" w:type="dxa"/>
            <w:vAlign w:val="bottom"/>
          </w:tcPr>
          <w:p>
            <w:pPr>
              <w:ind w:left="280"/>
              <w:spacing w:after="0"/>
              <w:rPr>
                <w:sz w:val="20"/>
                <w:szCs w:val="20"/>
                <w:color w:val="auto"/>
              </w:rPr>
            </w:pPr>
            <w:r>
              <w:rPr>
                <w:rFonts w:ascii="Courier New" w:cs="Courier New" w:eastAsia="Courier New" w:hAnsi="Courier New"/>
                <w:sz w:val="18"/>
                <w:szCs w:val="18"/>
                <w:color w:val="auto"/>
              </w:rPr>
              <w:t>GOLDMAN SACHS &amp; CO. LLC</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7 of 11</w:t>
      </w:r>
    </w:p>
    <w:p>
      <w:pPr>
        <w:sectPr>
          <w:pgSz w:w="11900" w:h="16838" w:orient="portrait"/>
          <w:cols w:equalWidth="0" w:num="1">
            <w:col w:w="10139"/>
          </w:cols>
          <w:pgMar w:left="320" w:top="690" w:right="1440" w:bottom="1440" w:gutter="0" w:footer="0" w:header="0"/>
        </w:sectPr>
      </w:pPr>
    </w:p>
    <w:bookmarkStart w:id="8" w:name="page9"/>
    <w:bookmarkEnd w:id="8"/>
    <w:p>
      <w:pPr>
        <w:jc w:val="right"/>
        <w:ind w:right="1699"/>
        <w:spacing w:after="0"/>
        <w:rPr>
          <w:sz w:val="20"/>
          <w:szCs w:val="20"/>
          <w:color w:val="auto"/>
        </w:rPr>
      </w:pPr>
      <w:r>
        <w:rPr>
          <w:rFonts w:ascii="Courier New" w:cs="Courier New" w:eastAsia="Courier New" w:hAnsi="Courier New"/>
          <w:sz w:val="18"/>
          <w:szCs w:val="18"/>
          <w:color w:val="auto"/>
        </w:rPr>
        <w:t>EXHIBIT (99.1)</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JOINT FILING AGREEMENT</w:t>
      </w:r>
    </w:p>
    <w:p>
      <w:pPr>
        <w:spacing w:after="0" w:line="201" w:lineRule="exact"/>
        <w:rPr>
          <w:sz w:val="20"/>
          <w:szCs w:val="20"/>
          <w:color w:val="auto"/>
        </w:rPr>
      </w:pPr>
    </w:p>
    <w:p>
      <w:pPr>
        <w:ind w:right="1819" w:firstLine="421"/>
        <w:spacing w:after="0" w:line="276" w:lineRule="auto"/>
        <w:rPr>
          <w:sz w:val="20"/>
          <w:szCs w:val="20"/>
          <w:color w:val="auto"/>
        </w:rPr>
      </w:pPr>
      <w:r>
        <w:rPr>
          <w:rFonts w:ascii="Courier New" w:cs="Courier New" w:eastAsia="Courier New" w:hAnsi="Courier New"/>
          <w:sz w:val="16"/>
          <w:szCs w:val="16"/>
          <w:color w:val="auto"/>
        </w:rPr>
        <w:t>In accordance with Rule 13d-1(k)(1) promulgated under the Securities Exchange Act of 1934, the undersigned agree to the joint filing of a Statement on Schedule 13G (including any and all amendments thereto) with respect to the Common Stock, par value $0.50 per share, of Winnebago Industries, Inc. and further agree to the filing of this agreement as an Exhibit thereto.</w:t>
      </w:r>
    </w:p>
    <w:p>
      <w:pPr>
        <w:spacing w:after="0" w:line="2" w:lineRule="exact"/>
        <w:rPr>
          <w:sz w:val="20"/>
          <w:szCs w:val="20"/>
          <w:color w:val="auto"/>
        </w:rPr>
      </w:pPr>
    </w:p>
    <w:p>
      <w:pPr>
        <w:ind w:right="1699"/>
        <w:spacing w:after="0" w:line="273" w:lineRule="auto"/>
        <w:rPr>
          <w:sz w:val="20"/>
          <w:szCs w:val="20"/>
          <w:color w:val="auto"/>
        </w:rPr>
      </w:pPr>
      <w:r>
        <w:rPr>
          <w:rFonts w:ascii="Courier New" w:cs="Courier New" w:eastAsia="Courier New" w:hAnsi="Courier New"/>
          <w:sz w:val="18"/>
          <w:szCs w:val="18"/>
          <w:color w:val="auto"/>
        </w:rPr>
        <w:t>In addition, each party to this Agreement expressly authorizes each other party to this Agreement to file on its behalf any and all amendments to such Statement on Schedule 13G.</w:t>
      </w:r>
    </w:p>
    <w:p>
      <w:pPr>
        <w:spacing w:after="0" w:line="82"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tab/>
        <w:t>February 11, 2024,</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THE GOLDMAN SACHS GROUP, INC.</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By:/s/ AMEEN SOETAN</w:t>
      </w:r>
    </w:p>
    <w:p>
      <w:pPr>
        <w:spacing w:after="0" w:line="29"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w:t>
      </w:r>
    </w:p>
    <w:p>
      <w:pPr>
        <w:ind w:left="1380"/>
        <w:spacing w:after="0" w:line="238" w:lineRule="auto"/>
        <w:tabs>
          <w:tab w:leader="none" w:pos="2100" w:val="left"/>
        </w:tabs>
        <w:rPr>
          <w:sz w:val="20"/>
          <w:szCs w:val="20"/>
          <w:color w:val="auto"/>
        </w:rPr>
      </w:pPr>
      <w:r>
        <w:rPr>
          <w:rFonts w:ascii="Courier New" w:cs="Courier New" w:eastAsia="Courier New" w:hAnsi="Courier New"/>
          <w:sz w:val="18"/>
          <w:szCs w:val="18"/>
          <w:color w:val="auto"/>
        </w:rPr>
        <w:t>Name:</w:t>
        <w:tab/>
        <w:t>AMEEN SOETAN</w:t>
      </w:r>
    </w:p>
    <w:p>
      <w:pPr>
        <w:ind w:left="1380"/>
        <w:spacing w:after="0"/>
        <w:tabs>
          <w:tab w:leader="none" w:pos="2200" w:val="left"/>
        </w:tabs>
        <w:rPr>
          <w:sz w:val="20"/>
          <w:szCs w:val="20"/>
          <w:color w:val="auto"/>
        </w:rPr>
      </w:pPr>
      <w:r>
        <w:rPr>
          <w:rFonts w:ascii="Courier New" w:cs="Courier New" w:eastAsia="Courier New" w:hAnsi="Courier New"/>
          <w:sz w:val="18"/>
          <w:szCs w:val="18"/>
          <w:color w:val="auto"/>
        </w:rPr>
        <w:t>Title:</w:t>
        <w:tab/>
        <w:t>Attorney-in-fact</w:t>
      </w:r>
    </w:p>
    <w:p>
      <w:pPr>
        <w:spacing w:after="0" w:line="169"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GOLDMAN SACHS &amp; CO. LLC</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By:/s/ AMEEN SOETAN</w:t>
      </w:r>
    </w:p>
    <w:p>
      <w:pPr>
        <w:spacing w:after="0" w:line="29"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w:t>
      </w:r>
    </w:p>
    <w:p>
      <w:pPr>
        <w:ind w:left="1380"/>
        <w:spacing w:after="0" w:line="238" w:lineRule="auto"/>
        <w:tabs>
          <w:tab w:leader="none" w:pos="2100" w:val="left"/>
        </w:tabs>
        <w:rPr>
          <w:sz w:val="20"/>
          <w:szCs w:val="20"/>
          <w:color w:val="auto"/>
        </w:rPr>
      </w:pPr>
      <w:r>
        <w:rPr>
          <w:rFonts w:ascii="Courier New" w:cs="Courier New" w:eastAsia="Courier New" w:hAnsi="Courier New"/>
          <w:sz w:val="18"/>
          <w:szCs w:val="18"/>
          <w:color w:val="auto"/>
        </w:rPr>
        <w:t>Name:</w:t>
        <w:tab/>
        <w:t>AMEEN SOETAN</w:t>
      </w:r>
    </w:p>
    <w:p>
      <w:pPr>
        <w:ind w:left="1380"/>
        <w:spacing w:after="0"/>
        <w:tabs>
          <w:tab w:leader="none" w:pos="2200" w:val="left"/>
        </w:tabs>
        <w:rPr>
          <w:sz w:val="20"/>
          <w:szCs w:val="20"/>
          <w:color w:val="auto"/>
        </w:rPr>
      </w:pPr>
      <w:r>
        <w:rPr>
          <w:rFonts w:ascii="Courier New" w:cs="Courier New" w:eastAsia="Courier New" w:hAnsi="Courier New"/>
          <w:sz w:val="18"/>
          <w:szCs w:val="18"/>
          <w:color w:val="auto"/>
        </w:rPr>
        <w:t>Title:</w:t>
        <w:tab/>
        <w:t>Attorney-in-fact</w:t>
      </w:r>
    </w:p>
    <w:p>
      <w:pPr>
        <w:spacing w:after="0" w:line="37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8 of 11</w:t>
      </w:r>
    </w:p>
    <w:p>
      <w:pPr>
        <w:sectPr>
          <w:pgSz w:w="11900" w:h="16838" w:orient="portrait"/>
          <w:cols w:equalWidth="0" w:num="1">
            <w:col w:w="10139"/>
          </w:cols>
          <w:pgMar w:left="320" w:top="488" w:right="1440" w:bottom="1440" w:gutter="0" w:footer="0" w:header="0"/>
        </w:sectPr>
      </w:pPr>
    </w:p>
    <w:bookmarkStart w:id="9" w:name="page10"/>
    <w:bookmarkEnd w:id="9"/>
    <w:p>
      <w:pPr>
        <w:ind w:left="6960"/>
        <w:spacing w:after="0"/>
        <w:rPr>
          <w:sz w:val="20"/>
          <w:szCs w:val="20"/>
          <w:color w:val="auto"/>
        </w:rPr>
      </w:pPr>
      <w:r>
        <w:rPr>
          <w:rFonts w:ascii="Courier New" w:cs="Courier New" w:eastAsia="Courier New" w:hAnsi="Courier New"/>
          <w:sz w:val="16"/>
          <w:szCs w:val="16"/>
          <w:color w:val="auto"/>
        </w:rPr>
        <w:t>EXHIBIT (99.2)</w:t>
      </w:r>
    </w:p>
    <w:p>
      <w:pPr>
        <w:spacing w:after="0" w:line="224" w:lineRule="exact"/>
        <w:rPr>
          <w:sz w:val="20"/>
          <w:szCs w:val="20"/>
          <w:color w:val="auto"/>
        </w:rPr>
      </w:pPr>
    </w:p>
    <w:p>
      <w:pPr>
        <w:jc w:val="center"/>
        <w:ind w:right="1479"/>
        <w:spacing w:after="0"/>
        <w:rPr>
          <w:sz w:val="20"/>
          <w:szCs w:val="20"/>
          <w:color w:val="auto"/>
        </w:rPr>
      </w:pPr>
      <w:r>
        <w:rPr>
          <w:rFonts w:ascii="Courier New" w:cs="Courier New" w:eastAsia="Courier New" w:hAnsi="Courier New"/>
          <w:sz w:val="18"/>
          <w:szCs w:val="18"/>
          <w:color w:val="auto"/>
        </w:rPr>
        <w:t>ITEM 7 INFORMATION</w:t>
      </w:r>
    </w:p>
    <w:p>
      <w:pPr>
        <w:spacing w:after="0" w:line="201" w:lineRule="exact"/>
        <w:rPr>
          <w:sz w:val="20"/>
          <w:szCs w:val="20"/>
          <w:color w:val="auto"/>
        </w:rPr>
      </w:pPr>
    </w:p>
    <w:p>
      <w:pPr>
        <w:ind w:right="1699" w:firstLine="421"/>
        <w:spacing w:after="0" w:line="260" w:lineRule="auto"/>
        <w:rPr>
          <w:sz w:val="20"/>
          <w:szCs w:val="20"/>
          <w:color w:val="auto"/>
        </w:rPr>
      </w:pPr>
      <w:r>
        <w:rPr>
          <w:rFonts w:ascii="Courier New" w:cs="Courier New" w:eastAsia="Courier New" w:hAnsi="Courier New"/>
          <w:sz w:val="18"/>
          <w:szCs w:val="18"/>
          <w:color w:val="auto"/>
        </w:rPr>
        <w:t>The securities being reported on by The Goldman Sachs Group, Inc. ("GS Group"), as a parent holding company, are owned, or may be deemed to be beneficially owned, by Goldman Sachs &amp; Co. LLC ("Goldman Sachs"), a broker or dealer registered under Section 15 of the Act and an investment adviser registered under Section 203 of the Investment Advisers Act of 1940. Goldman Sachs is a subsidiary of GS Group.</w:t>
      </w:r>
    </w:p>
    <w:p>
      <w:pPr>
        <w:spacing w:after="0" w:line="9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9 of 11</w:t>
      </w:r>
    </w:p>
    <w:p>
      <w:pPr>
        <w:sectPr>
          <w:pgSz w:w="11900" w:h="16838" w:orient="portrait"/>
          <w:cols w:equalWidth="0" w:num="1">
            <w:col w:w="10139"/>
          </w:cols>
          <w:pgMar w:left="320" w:top="488" w:right="1440" w:bottom="1440" w:gutter="0" w:footer="0" w:header="0"/>
        </w:sectPr>
      </w:pPr>
    </w:p>
    <w:bookmarkStart w:id="10" w:name="page11"/>
    <w:bookmarkEnd w:id="10"/>
    <w:p>
      <w:pPr>
        <w:jc w:val="right"/>
        <w:ind w:right="1699"/>
        <w:spacing w:after="0"/>
        <w:rPr>
          <w:sz w:val="20"/>
          <w:szCs w:val="20"/>
          <w:color w:val="auto"/>
        </w:rPr>
      </w:pPr>
      <w:r>
        <w:rPr>
          <w:rFonts w:ascii="Courier New" w:cs="Courier New" w:eastAsia="Courier New" w:hAnsi="Courier New"/>
          <w:sz w:val="18"/>
          <w:szCs w:val="18"/>
          <w:color w:val="auto"/>
        </w:rPr>
        <w:t>EXHIBIT (99.3)</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4" w:lineRule="exact"/>
        <w:rPr>
          <w:sz w:val="20"/>
          <w:szCs w:val="20"/>
          <w:color w:val="auto"/>
        </w:rPr>
      </w:pPr>
    </w:p>
    <w:p>
      <w:pPr>
        <w:ind w:right="1919"/>
        <w:spacing w:after="0" w:line="272" w:lineRule="auto"/>
        <w:rPr>
          <w:sz w:val="20"/>
          <w:szCs w:val="20"/>
          <w:color w:val="auto"/>
        </w:rPr>
      </w:pPr>
      <w:r>
        <w:rPr>
          <w:rFonts w:ascii="Courier New" w:cs="Courier New" w:eastAsia="Courier New" w:hAnsi="Courier New"/>
          <w:sz w:val="16"/>
          <w:szCs w:val="16"/>
          <w:color w:val="auto"/>
        </w:rPr>
        <w:t>KNOW ALL PERSONS BY THESE PRESENTS that THE GOLDMAN SACHS GROUP, INC. (the "Company") does hereby make, constitute and appoint each Abhishek V, Kateryna Osmachko, Ameen Soetan, Kshama Mishra, Papa Lette, Sunaina Kapoor, and Andrzej Szyszka, acting individually, its true and lawful attorney, to execute and deliver in its name and on its behalf, whether the Company is acting individually or as representative of others, any and all filings required to be made by the Company pursuant to Rule 13f-1 or Regulation 13D-G under the Securities Exchange Act of 1934, (as amended, the "Act"), which may be required of the Company with respect to securities which may be deemed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be beneficially owned by the Company under the Act, giving and granting</w:t>
      </w:r>
    </w:p>
    <w:p>
      <w:pPr>
        <w:spacing w:after="0" w:line="238" w:lineRule="auto"/>
        <w:rPr>
          <w:sz w:val="20"/>
          <w:szCs w:val="20"/>
          <w:color w:val="auto"/>
        </w:rPr>
      </w:pPr>
      <w:r>
        <w:rPr>
          <w:rFonts w:ascii="Courier New" w:cs="Courier New" w:eastAsia="Courier New" w:hAnsi="Courier New"/>
          <w:sz w:val="18"/>
          <w:szCs w:val="18"/>
          <w:color w:val="auto"/>
        </w:rPr>
        <w:t>unto each said Attorney-in-fact power and authority to act in the premises</w:t>
      </w:r>
    </w:p>
    <w:p>
      <w:pPr>
        <w:spacing w:after="0" w:line="238" w:lineRule="auto"/>
        <w:rPr>
          <w:sz w:val="20"/>
          <w:szCs w:val="20"/>
          <w:color w:val="auto"/>
        </w:rPr>
      </w:pPr>
      <w:r>
        <w:rPr>
          <w:rFonts w:ascii="Courier New" w:cs="Courier New" w:eastAsia="Courier New" w:hAnsi="Courier New"/>
          <w:sz w:val="18"/>
          <w:szCs w:val="18"/>
          <w:color w:val="auto"/>
        </w:rPr>
        <w:t>as fully and to all intents and purposes as the Company might or could do</w:t>
      </w:r>
    </w:p>
    <w:p>
      <w:pPr>
        <w:spacing w:after="0"/>
        <w:rPr>
          <w:sz w:val="20"/>
          <w:szCs w:val="20"/>
          <w:color w:val="auto"/>
        </w:rPr>
      </w:pPr>
      <w:r>
        <w:rPr>
          <w:rFonts w:ascii="Courier New" w:cs="Courier New" w:eastAsia="Courier New" w:hAnsi="Courier New"/>
          <w:sz w:val="18"/>
          <w:szCs w:val="18"/>
          <w:color w:val="auto"/>
        </w:rPr>
        <w:t>if personally present by one of its authorized signatories, hereby ratifying</w:t>
      </w:r>
    </w:p>
    <w:p>
      <w:pPr>
        <w:spacing w:after="0" w:line="238" w:lineRule="auto"/>
        <w:rPr>
          <w:sz w:val="20"/>
          <w:szCs w:val="20"/>
          <w:color w:val="auto"/>
        </w:rPr>
      </w:pPr>
      <w:r>
        <w:rPr>
          <w:rFonts w:ascii="Courier New" w:cs="Courier New" w:eastAsia="Courier New" w:hAnsi="Courier New"/>
          <w:sz w:val="18"/>
          <w:szCs w:val="18"/>
          <w:color w:val="auto"/>
        </w:rPr>
        <w:t>and confirming all that said Attorney-in-fact shall lawfully do or cause to</w:t>
      </w:r>
    </w:p>
    <w:p>
      <w:pPr>
        <w:spacing w:after="0"/>
        <w:rPr>
          <w:sz w:val="20"/>
          <w:szCs w:val="20"/>
          <w:color w:val="auto"/>
        </w:rPr>
      </w:pPr>
      <w:r>
        <w:rPr>
          <w:rFonts w:ascii="Courier New" w:cs="Courier New" w:eastAsia="Courier New" w:hAnsi="Courier New"/>
          <w:sz w:val="18"/>
          <w:szCs w:val="18"/>
          <w:color w:val="auto"/>
        </w:rPr>
        <w:t>be done by virtue hereof.</w:t>
      </w:r>
    </w:p>
    <w:p>
      <w:pPr>
        <w:spacing w:after="0" w:line="169" w:lineRule="exact"/>
        <w:rPr>
          <w:sz w:val="20"/>
          <w:szCs w:val="20"/>
          <w:color w:val="auto"/>
        </w:rPr>
      </w:pPr>
    </w:p>
    <w:p>
      <w:pPr>
        <w:ind w:right="1919"/>
        <w:spacing w:after="0" w:line="251" w:lineRule="auto"/>
        <w:rPr>
          <w:sz w:val="20"/>
          <w:szCs w:val="20"/>
          <w:color w:val="auto"/>
        </w:rPr>
      </w:pPr>
      <w:r>
        <w:rPr>
          <w:rFonts w:ascii="Courier New" w:cs="Courier New" w:eastAsia="Courier New" w:hAnsi="Courier New"/>
          <w:sz w:val="18"/>
          <w:szCs w:val="18"/>
          <w:color w:val="auto"/>
        </w:rPr>
        <w:t>THIS POWER OF ATTORNEY shall remain in full force and effect until December 1, 2024 unless earlier revoked by written instrument, or in the event an Attorney-in-fact ceases to be an employee of The Goldman Sachs Group, Inc. or one of its affiliates or ceases to perform the function in connection with which he or she was appointed Attorney-in-fact prior to December 1, 2024, this Power of Attorney shall cease to have effect in relation to such Attorney-in-fact upon such cessation but shall continue in full force and effect in relation to the remaining Attorneys-in-fact. The Company has the unrestricted right unilaterally to revoke the Power of Attorney.</w:t>
      </w:r>
    </w:p>
    <w:p>
      <w:pPr>
        <w:spacing w:after="0" w:line="106" w:lineRule="exact"/>
        <w:rPr>
          <w:sz w:val="20"/>
          <w:szCs w:val="20"/>
          <w:color w:val="auto"/>
        </w:rPr>
      </w:pPr>
    </w:p>
    <w:p>
      <w:pPr>
        <w:ind w:right="1819"/>
        <w:spacing w:after="0" w:line="402" w:lineRule="auto"/>
        <w:rPr>
          <w:sz w:val="20"/>
          <w:szCs w:val="20"/>
          <w:color w:val="auto"/>
        </w:rPr>
      </w:pPr>
      <w:r>
        <w:rPr>
          <w:rFonts w:ascii="Courier New" w:cs="Courier New" w:eastAsia="Courier New" w:hAnsi="Courier New"/>
          <w:sz w:val="16"/>
          <w:szCs w:val="16"/>
          <w:color w:val="auto"/>
        </w:rPr>
        <w:t>This Power of Attorney shall be governed by, and construed in accordance with, the laws of the State of New York, without regard to rules of conflicts of law.</w:t>
      </w:r>
    </w:p>
    <w:p>
      <w:pPr>
        <w:jc w:val="both"/>
        <w:ind w:right="1919"/>
        <w:spacing w:after="0" w:line="292" w:lineRule="auto"/>
        <w:rPr>
          <w:sz w:val="20"/>
          <w:szCs w:val="20"/>
          <w:color w:val="auto"/>
        </w:rPr>
      </w:pPr>
      <w:r>
        <w:rPr>
          <w:rFonts w:ascii="Courier New" w:cs="Courier New" w:eastAsia="Courier New" w:hAnsi="Courier New"/>
          <w:sz w:val="18"/>
          <w:szCs w:val="18"/>
          <w:color w:val="auto"/>
        </w:rPr>
        <w:t>This Power of Attorney supersedes the Power of Attorney granted by the Company to Stephanie Snyder, Terry Mosher, Rachel Fraizer, Jamie Minieri, and Terrance Grey on December 1, 2021.</w:t>
      </w:r>
    </w:p>
    <w:p>
      <w:pPr>
        <w:spacing w:after="0" w:line="66" w:lineRule="exact"/>
        <w:rPr>
          <w:sz w:val="20"/>
          <w:szCs w:val="20"/>
          <w:color w:val="auto"/>
        </w:rPr>
      </w:pPr>
    </w:p>
    <w:p>
      <w:pPr>
        <w:jc w:val="both"/>
        <w:ind w:right="1919"/>
        <w:spacing w:after="0" w:line="346" w:lineRule="auto"/>
        <w:rPr>
          <w:sz w:val="20"/>
          <w:szCs w:val="20"/>
          <w:color w:val="auto"/>
        </w:rPr>
      </w:pPr>
      <w:r>
        <w:rPr>
          <w:rFonts w:ascii="Courier New" w:cs="Courier New" w:eastAsia="Courier New" w:hAnsi="Courier New"/>
          <w:sz w:val="18"/>
          <w:szCs w:val="18"/>
          <w:color w:val="auto"/>
        </w:rPr>
        <w:t>IN WITNESS WHERE OF, the under signed has duly subscribed these presents as of December 1, 2023.</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GOLDMAN SACHS &amp; C0. LLC</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Milton Millman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w:t>
      </w:r>
    </w:p>
    <w:p>
      <w:pPr>
        <w:spacing w:after="0" w:line="238" w:lineRule="auto"/>
        <w:rPr>
          <w:sz w:val="20"/>
          <w:szCs w:val="20"/>
          <w:color w:val="auto"/>
        </w:rPr>
      </w:pPr>
      <w:r>
        <w:rPr>
          <w:rFonts w:ascii="Courier New" w:cs="Courier New" w:eastAsia="Courier New" w:hAnsi="Courier New"/>
          <w:sz w:val="18"/>
          <w:szCs w:val="18"/>
          <w:color w:val="auto"/>
        </w:rPr>
        <w:t>Name: Milton Millman</w:t>
      </w:r>
    </w:p>
    <w:p>
      <w:pPr>
        <w:spacing w:after="0"/>
        <w:rPr>
          <w:sz w:val="20"/>
          <w:szCs w:val="20"/>
          <w:color w:val="auto"/>
        </w:rPr>
      </w:pPr>
      <w:r>
        <w:rPr>
          <w:rFonts w:ascii="Courier New" w:cs="Courier New" w:eastAsia="Courier New" w:hAnsi="Courier New"/>
          <w:sz w:val="18"/>
          <w:szCs w:val="18"/>
          <w:color w:val="auto"/>
        </w:rPr>
        <w:t>Title: Authorized Signatory</w:t>
      </w:r>
    </w:p>
    <w:p>
      <w:pPr>
        <w:spacing w:after="0" w:line="37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10 of 11</w:t>
      </w:r>
    </w:p>
    <w:p>
      <w:pPr>
        <w:sectPr>
          <w:pgSz w:w="11900" w:h="16838" w:orient="portrait"/>
          <w:cols w:equalWidth="0" w:num="1">
            <w:col w:w="10139"/>
          </w:cols>
          <w:pgMar w:left="320" w:top="488" w:right="1440" w:bottom="1440" w:gutter="0" w:footer="0" w:header="0"/>
        </w:sectPr>
      </w:pPr>
    </w:p>
    <w:bookmarkStart w:id="11" w:name="page12"/>
    <w:bookmarkEnd w:id="11"/>
    <w:p>
      <w:pPr>
        <w:jc w:val="right"/>
        <w:ind w:right="1699"/>
        <w:spacing w:after="0"/>
        <w:rPr>
          <w:sz w:val="20"/>
          <w:szCs w:val="20"/>
          <w:color w:val="auto"/>
        </w:rPr>
      </w:pPr>
      <w:r>
        <w:rPr>
          <w:rFonts w:ascii="Courier New" w:cs="Courier New" w:eastAsia="Courier New" w:hAnsi="Courier New"/>
          <w:sz w:val="18"/>
          <w:szCs w:val="18"/>
          <w:color w:val="auto"/>
        </w:rPr>
        <w:t>EXHIBIT (99.4)</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4" w:lineRule="exact"/>
        <w:rPr>
          <w:sz w:val="20"/>
          <w:szCs w:val="20"/>
          <w:color w:val="auto"/>
        </w:rPr>
      </w:pPr>
    </w:p>
    <w:p>
      <w:pPr>
        <w:ind w:right="2979"/>
        <w:spacing w:after="0" w:line="257" w:lineRule="auto"/>
        <w:rPr>
          <w:sz w:val="20"/>
          <w:szCs w:val="20"/>
          <w:color w:val="auto"/>
        </w:rPr>
      </w:pPr>
      <w:r>
        <w:rPr>
          <w:rFonts w:ascii="Courier New" w:cs="Courier New" w:eastAsia="Courier New" w:hAnsi="Courier New"/>
          <w:sz w:val="18"/>
          <w:szCs w:val="18"/>
          <w:color w:val="auto"/>
        </w:rPr>
        <w:t>KNOW ALL PERSONS BY THESE PRESENTS that GOLDMAN SACHS &amp; CO. LLC (the "Company") does hereby make, constitute and appoint each</w:t>
      </w:r>
    </w:p>
    <w:p>
      <w:pPr>
        <w:ind w:right="2659"/>
        <w:spacing w:after="0" w:line="238" w:lineRule="auto"/>
        <w:rPr>
          <w:sz w:val="20"/>
          <w:szCs w:val="20"/>
          <w:color w:val="auto"/>
        </w:rPr>
      </w:pPr>
      <w:r>
        <w:rPr>
          <w:rFonts w:ascii="Courier New" w:cs="Courier New" w:eastAsia="Courier New" w:hAnsi="Courier New"/>
          <w:sz w:val="18"/>
          <w:szCs w:val="18"/>
          <w:color w:val="auto"/>
        </w:rPr>
        <w:t>Abhishek V, Kateryna Osmachko, Ameen Soetan, Kshama Mishra, Papa Lette, Sunaina Kapoor, and Andrzej Szyszka, acting individually,</w:t>
      </w:r>
    </w:p>
    <w:p>
      <w:pPr>
        <w:spacing w:after="0" w:line="1" w:lineRule="exact"/>
        <w:rPr>
          <w:sz w:val="20"/>
          <w:szCs w:val="20"/>
          <w:color w:val="auto"/>
        </w:rPr>
      </w:pPr>
    </w:p>
    <w:p>
      <w:pPr>
        <w:ind w:right="2239"/>
        <w:spacing w:after="0" w:line="268" w:lineRule="auto"/>
        <w:rPr>
          <w:sz w:val="20"/>
          <w:szCs w:val="20"/>
          <w:color w:val="auto"/>
        </w:rPr>
      </w:pPr>
      <w:r>
        <w:rPr>
          <w:rFonts w:ascii="Courier New" w:cs="Courier New" w:eastAsia="Courier New" w:hAnsi="Courier New"/>
          <w:sz w:val="16"/>
          <w:szCs w:val="16"/>
          <w:color w:val="auto"/>
        </w:rPr>
        <w:t>its true and lawful attorney, to execute and deliver in its name and on its behalf, whether the Company is acting individually or as representative</w:t>
      </w:r>
    </w:p>
    <w:p>
      <w:pPr>
        <w:ind w:right="1919"/>
        <w:spacing w:after="0" w:line="246" w:lineRule="auto"/>
        <w:rPr>
          <w:sz w:val="20"/>
          <w:szCs w:val="20"/>
          <w:color w:val="auto"/>
        </w:rPr>
      </w:pPr>
      <w:r>
        <w:rPr>
          <w:rFonts w:ascii="Courier New" w:cs="Courier New" w:eastAsia="Courier New" w:hAnsi="Courier New"/>
          <w:sz w:val="18"/>
          <w:szCs w:val="18"/>
          <w:color w:val="auto"/>
        </w:rPr>
        <w:t>of others, any and all filings required to be made by the Company pursuant to Rule 13f-1 or Regulation 13D-G under the Securities Exchange Act of 1934, (as amended, the "Act"), which may be required of the Company with respect to securities which may be deemed to be beneficially owned by the Company under the Act, giving and granting unto each said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 virtue hereof.</w:t>
      </w:r>
    </w:p>
    <w:p>
      <w:pPr>
        <w:spacing w:after="0" w:line="314" w:lineRule="exact"/>
        <w:rPr>
          <w:sz w:val="20"/>
          <w:szCs w:val="20"/>
          <w:color w:val="auto"/>
        </w:rPr>
      </w:pPr>
    </w:p>
    <w:p>
      <w:pPr>
        <w:ind w:right="1919"/>
        <w:spacing w:after="0" w:line="251" w:lineRule="auto"/>
        <w:rPr>
          <w:sz w:val="20"/>
          <w:szCs w:val="20"/>
          <w:color w:val="auto"/>
        </w:rPr>
      </w:pPr>
      <w:r>
        <w:rPr>
          <w:rFonts w:ascii="Courier New" w:cs="Courier New" w:eastAsia="Courier New" w:hAnsi="Courier New"/>
          <w:sz w:val="18"/>
          <w:szCs w:val="18"/>
          <w:color w:val="auto"/>
        </w:rPr>
        <w:t>THIS POWER OF ATTORNEY shall remain in full force and effect until December 1, 2024 unless earlier revoked by written instrument, or in the event an Attorney-in-fact ceases to be an employee of The Goldman Sachs Group, Inc. or one of its affiliates or ceases to perform the function in connection with which he or she was appointed Attorney-in-fact prior to December 8, 2023, this Power of Attorney shall cease to have effect in relation to such Attorney-in-fact upon such cessation but shall continue in full force and effect in relation to the remaining Attorneys-in-fact. The Company has the unrestricted right unilaterally to revoke the Power of Attorney.</w:t>
      </w:r>
    </w:p>
    <w:p>
      <w:pPr>
        <w:spacing w:after="0" w:line="106" w:lineRule="exact"/>
        <w:rPr>
          <w:sz w:val="20"/>
          <w:szCs w:val="20"/>
          <w:color w:val="auto"/>
        </w:rPr>
      </w:pPr>
    </w:p>
    <w:p>
      <w:pPr>
        <w:ind w:right="1819"/>
        <w:spacing w:after="0" w:line="402" w:lineRule="auto"/>
        <w:rPr>
          <w:sz w:val="20"/>
          <w:szCs w:val="20"/>
          <w:color w:val="auto"/>
        </w:rPr>
      </w:pPr>
      <w:r>
        <w:rPr>
          <w:rFonts w:ascii="Courier New" w:cs="Courier New" w:eastAsia="Courier New" w:hAnsi="Courier New"/>
          <w:sz w:val="16"/>
          <w:szCs w:val="16"/>
          <w:color w:val="auto"/>
        </w:rPr>
        <w:t>This Power of Attorney shall be governed by, and construed in accordance with, the laws of the State of New York, without regard to rules of conflicts of law.</w:t>
      </w:r>
    </w:p>
    <w:p>
      <w:pPr>
        <w:ind w:right="1919"/>
        <w:spacing w:after="0" w:line="292" w:lineRule="auto"/>
        <w:rPr>
          <w:sz w:val="20"/>
          <w:szCs w:val="20"/>
          <w:color w:val="auto"/>
        </w:rPr>
      </w:pPr>
      <w:r>
        <w:rPr>
          <w:rFonts w:ascii="Courier New" w:cs="Courier New" w:eastAsia="Courier New" w:hAnsi="Courier New"/>
          <w:sz w:val="18"/>
          <w:szCs w:val="18"/>
          <w:color w:val="auto"/>
        </w:rPr>
        <w:t>This Power of Attorney supersedes the Power of Attorney granted by the Company to Stephanie Snyder, Terry Mosher, Rachel Fraizer, Jamie Minieri, and Terrance Grey on December 1, 2021.</w:t>
      </w:r>
    </w:p>
    <w:p>
      <w:pPr>
        <w:spacing w:after="0" w:line="66" w:lineRule="exact"/>
        <w:rPr>
          <w:sz w:val="20"/>
          <w:szCs w:val="20"/>
          <w:color w:val="auto"/>
        </w:rPr>
      </w:pPr>
    </w:p>
    <w:p>
      <w:pPr>
        <w:ind w:right="2119"/>
        <w:spacing w:after="0" w:line="346" w:lineRule="auto"/>
        <w:rPr>
          <w:sz w:val="20"/>
          <w:szCs w:val="20"/>
          <w:color w:val="auto"/>
        </w:rPr>
      </w:pPr>
      <w:r>
        <w:rPr>
          <w:rFonts w:ascii="Courier New" w:cs="Courier New" w:eastAsia="Courier New" w:hAnsi="Courier New"/>
          <w:sz w:val="18"/>
          <w:szCs w:val="18"/>
          <w:color w:val="auto"/>
        </w:rPr>
        <w:t>IN WITNESS WHEREOF, the undersigned has duly subscribed these presents as of December 1, 2023.</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GOLDMAN SACHS &amp; C0. LLC</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Milton Millman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w:t>
      </w:r>
    </w:p>
    <w:p>
      <w:pPr>
        <w:spacing w:after="0" w:line="238" w:lineRule="auto"/>
        <w:rPr>
          <w:sz w:val="20"/>
          <w:szCs w:val="20"/>
          <w:color w:val="auto"/>
        </w:rPr>
      </w:pPr>
      <w:r>
        <w:rPr>
          <w:rFonts w:ascii="Courier New" w:cs="Courier New" w:eastAsia="Courier New" w:hAnsi="Courier New"/>
          <w:sz w:val="18"/>
          <w:szCs w:val="18"/>
          <w:color w:val="auto"/>
        </w:rPr>
        <w:t>Name: Milton Millman</w:t>
      </w:r>
    </w:p>
    <w:p>
      <w:pPr>
        <w:spacing w:after="0"/>
        <w:rPr>
          <w:sz w:val="20"/>
          <w:szCs w:val="20"/>
          <w:color w:val="auto"/>
        </w:rPr>
      </w:pPr>
      <w:r>
        <w:rPr>
          <w:rFonts w:ascii="Courier New" w:cs="Courier New" w:eastAsia="Courier New" w:hAnsi="Courier New"/>
          <w:sz w:val="18"/>
          <w:szCs w:val="18"/>
          <w:color w:val="auto"/>
        </w:rPr>
        <w:t>Title: Authorized Signatory</w:t>
      </w:r>
    </w:p>
    <w:p>
      <w:pPr>
        <w:spacing w:after="0" w:line="37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11 of 11</w:t>
      </w:r>
    </w:p>
    <w:sectPr>
      <w:pgSz w:w="11900" w:h="16838" w:orient="portrait"/>
      <w:cols w:equalWidth="0" w:num="1">
        <w:col w:w="10139"/>
      </w:cols>
      <w:pgMar w:left="320" w:top="48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upperLetter"/>
      <w:start w:val="24"/>
    </w:lvl>
  </w:abstractNum>
  <w:abstractNum w:abstractNumId="1">
    <w:nsid w:val="79E2A9E3"/>
    <w:multiLevelType w:val="hybridMultilevel"/>
    <w:lvl w:ilvl="0">
      <w:lvlJc w:val="left"/>
      <w:lvlText w:val="%1."/>
      <w:numFmt w:val="decimal"/>
      <w:start w:val="1"/>
    </w:lvl>
  </w:abstractNum>
  <w:abstractNum w:abstractNumId="2">
    <w:nsid w:val="7545E146"/>
    <w:multiLevelType w:val="hybridMultilevel"/>
    <w:lvl w:ilvl="0">
      <w:lvlJc w:val="left"/>
      <w:lvlText w:val="%1."/>
      <w:numFmt w:val="decimal"/>
      <w:start w:val="4"/>
    </w:lvl>
  </w:abstractNum>
  <w:abstractNum w:abstractNumId="3">
    <w:nsid w:val="515F007C"/>
    <w:multiLevelType w:val="hybridMultilevel"/>
    <w:lvl w:ilvl="0">
      <w:lvlJc w:val="left"/>
      <w:lvlText w:val="%1."/>
      <w:numFmt w:val="decimal"/>
      <w:start w:val="9"/>
    </w:lvl>
  </w:abstractNum>
  <w:abstractNum w:abstractNumId="4">
    <w:nsid w:val="5BD062C2"/>
    <w:multiLevelType w:val="hybridMultilevel"/>
    <w:lvl w:ilvl="0">
      <w:lvlJc w:val="left"/>
      <w:lvlText w:val="%1."/>
      <w:numFmt w:val="decimal"/>
      <w:start w:val="10"/>
    </w:lvl>
  </w:abstractNum>
  <w:abstractNum w:abstractNumId="5">
    <w:nsid w:val="12200854"/>
    <w:multiLevelType w:val="hybridMultilevel"/>
    <w:lvl w:ilvl="0">
      <w:lvlJc w:val="left"/>
      <w:lvlText w:val="%1."/>
      <w:numFmt w:val="decimal"/>
      <w:start w:val="11"/>
    </w:lvl>
  </w:abstractNum>
  <w:abstractNum w:abstractNumId="6">
    <w:nsid w:val="4DB127F8"/>
    <w:multiLevelType w:val="hybridMultilevel"/>
    <w:lvl w:ilvl="0">
      <w:lvlJc w:val="left"/>
      <w:lvlText w:val="%1."/>
      <w:numFmt w:val="decimal"/>
      <w:start w:val="12"/>
    </w:lvl>
  </w:abstractNum>
  <w:abstractNum w:abstractNumId="7">
    <w:nsid w:val="216231B"/>
    <w:multiLevelType w:val="hybridMultilevel"/>
    <w:lvl w:ilvl="0">
      <w:lvlJc w:val="left"/>
      <w:lvlText w:val="%1."/>
      <w:numFmt w:val="decimal"/>
      <w:start w:val="1"/>
    </w:lvl>
  </w:abstractNum>
  <w:abstractNum w:abstractNumId="8">
    <w:nsid w:val="1F16E9E8"/>
    <w:multiLevelType w:val="hybridMultilevel"/>
    <w:lvl w:ilvl="0">
      <w:lvlJc w:val="left"/>
      <w:lvlText w:val="%1."/>
      <w:numFmt w:val="decimal"/>
      <w:start w:val="9"/>
    </w:lvl>
  </w:abstractNum>
  <w:abstractNum w:abstractNumId="9">
    <w:nsid w:val="1190CDE7"/>
    <w:multiLevelType w:val="hybridMultilevel"/>
    <w:lvl w:ilvl="0">
      <w:lvlJc w:val="left"/>
      <w:lvlText w:val="%1."/>
      <w:numFmt w:val="decimal"/>
      <w:start w:val="10"/>
    </w:lvl>
  </w:abstractNum>
  <w:abstractNum w:abstractNumId="10">
    <w:nsid w:val="66EF438D"/>
    <w:multiLevelType w:val="hybridMultilevel"/>
    <w:lvl w:ilvl="0">
      <w:lvlJc w:val="left"/>
      <w:lvlText w:val="%1."/>
      <w:numFmt w:val="decimal"/>
      <w:start w:val="11"/>
    </w:lvl>
  </w:abstractNum>
  <w:abstractNum w:abstractNumId="11">
    <w:nsid w:val="140E0F76"/>
    <w:multiLevelType w:val="hybridMultilevel"/>
    <w:lvl w:ilvl="0">
      <w:lvlJc w:val="left"/>
      <w:lvlText w:val="%1."/>
      <w:numFmt w:val="decimal"/>
      <w:start w:val="12"/>
    </w:lvl>
  </w:abstractNum>
  <w:abstractNum w:abstractNumId="12">
    <w:nsid w:val="3352255A"/>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2024-02-12T17:55:03Z</dcterms:created>
  <dcterms:modified xsi:type="dcterms:W3CDTF">2024-02-12T17:55:03Z</dcterms:modified>
</cp:coreProperties>
</file>