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Quarterly Period Ended March 1, 2008</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100"/>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90"/>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color w:val="auto"/>
              </w:rPr>
              <w:t>001-06403</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88"/>
              </w:rPr>
              <w:t>(State or Other Jurisdiction</w:t>
            </w:r>
          </w:p>
        </w:tc>
        <w:tc>
          <w:tcPr>
            <w:tcW w:w="372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88"/>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 585-3535</w:t>
      </w:r>
    </w:p>
    <w:p>
      <w:pPr>
        <w:spacing w:after="0" w:line="233" w:lineRule="exact"/>
        <w:rPr>
          <w:sz w:val="24"/>
          <w:szCs w:val="24"/>
          <w:color w:val="auto"/>
        </w:rPr>
      </w:pPr>
    </w:p>
    <w:p>
      <w:pPr>
        <w:ind w:right="140" w:firstLine="486"/>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b w:val="1"/>
          <w:bCs w:val="1"/>
          <w:color w:val="auto"/>
        </w:rPr>
        <w:t>x</w:t>
      </w:r>
      <w:r>
        <w:rPr>
          <w:rFonts w:ascii="Arial" w:cs="Arial" w:eastAsia="Arial" w:hAnsi="Arial"/>
          <w:sz w:val="21"/>
          <w:szCs w:val="21"/>
          <w:color w:val="auto"/>
        </w:rPr>
        <w:t xml:space="preserve"> No </w:t>
      </w:r>
      <w:r>
        <w:rPr>
          <w:rFonts w:ascii="Arial" w:cs="Arial" w:eastAsia="Arial" w:hAnsi="Arial"/>
          <w:sz w:val="21"/>
          <w:szCs w:val="21"/>
          <w:b w:val="1"/>
          <w:bCs w:val="1"/>
          <w:color w:val="auto"/>
        </w:rPr>
        <w:t>o</w:t>
      </w:r>
    </w:p>
    <w:p>
      <w:pPr>
        <w:spacing w:after="0" w:line="194" w:lineRule="exact"/>
        <w:rPr>
          <w:sz w:val="24"/>
          <w:szCs w:val="24"/>
          <w:color w:val="auto"/>
        </w:rPr>
      </w:pPr>
    </w:p>
    <w:p>
      <w:pPr>
        <w:ind w:right="280" w:firstLine="486"/>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13" w:lineRule="exact"/>
        <w:rPr>
          <w:sz w:val="24"/>
          <w:szCs w:val="24"/>
          <w:color w:val="auto"/>
        </w:rPr>
      </w:pPr>
    </w:p>
    <w:p>
      <w:pPr>
        <w:ind w:right="1100" w:firstLine="486"/>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on April 8, 2008 was 29,058,828.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16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460" w:type="dxa"/>
            <w:vAlign w:val="bottom"/>
            <w:gridSpan w:val="6"/>
            <w:vMerge w:val="restart"/>
          </w:tcPr>
          <w:p>
            <w:pPr>
              <w:ind w:left="440"/>
              <w:spacing w:after="0"/>
              <w:rPr>
                <w:sz w:val="20"/>
                <w:szCs w:val="20"/>
                <w:color w:val="auto"/>
              </w:rPr>
            </w:pPr>
            <w:r>
              <w:rPr>
                <w:rFonts w:ascii="Arial" w:cs="Arial" w:eastAsia="Arial" w:hAnsi="Arial"/>
                <w:sz w:val="18"/>
                <w:szCs w:val="18"/>
                <w:color w:val="auto"/>
              </w:rPr>
              <w:t>Financial Information</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Page Number</w:t>
            </w:r>
          </w:p>
        </w:tc>
        <w:tc>
          <w:tcPr>
            <w:tcW w:w="0" w:type="dxa"/>
            <w:vAlign w:val="bottom"/>
          </w:tcPr>
          <w:p>
            <w:pPr>
              <w:spacing w:after="0"/>
              <w:rPr>
                <w:sz w:val="1"/>
                <w:szCs w:val="1"/>
                <w:color w:val="auto"/>
              </w:rPr>
            </w:pPr>
          </w:p>
        </w:tc>
      </w:tr>
      <w:tr>
        <w:trPr>
          <w:trHeight w:val="194"/>
        </w:trPr>
        <w:tc>
          <w:tcPr>
            <w:tcW w:w="1160" w:type="dxa"/>
            <w:vAlign w:val="bottom"/>
            <w:vMerge w:val="continue"/>
          </w:tcPr>
          <w:p>
            <w:pPr>
              <w:spacing w:after="0"/>
              <w:rPr>
                <w:sz w:val="16"/>
                <w:szCs w:val="16"/>
                <w:color w:val="auto"/>
              </w:rPr>
            </w:pPr>
          </w:p>
        </w:tc>
        <w:tc>
          <w:tcPr>
            <w:tcW w:w="9460" w:type="dxa"/>
            <w:vAlign w:val="bottom"/>
            <w:gridSpan w:val="6"/>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60" w:type="dxa"/>
            <w:vAlign w:val="bottom"/>
          </w:tcPr>
          <w:p>
            <w:pPr>
              <w:ind w:left="120"/>
              <w:spacing w:after="0"/>
              <w:rPr>
                <w:sz w:val="20"/>
                <w:szCs w:val="20"/>
                <w:color w:val="auto"/>
              </w:rPr>
            </w:pPr>
            <w:r>
              <w:rPr>
                <w:rFonts w:ascii="Arial" w:cs="Arial" w:eastAsia="Arial" w:hAnsi="Arial"/>
                <w:sz w:val="18"/>
                <w:szCs w:val="18"/>
                <w:color w:val="auto"/>
              </w:rPr>
              <w:t>ITEM 1.</w:t>
            </w:r>
          </w:p>
        </w:tc>
        <w:tc>
          <w:tcPr>
            <w:tcW w:w="9460" w:type="dxa"/>
            <w:vAlign w:val="bottom"/>
            <w:gridSpan w:val="6"/>
          </w:tcPr>
          <w:p>
            <w:pPr>
              <w:ind w:left="44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80" w:type="dxa"/>
            <w:vAlign w:val="bottom"/>
            <w:gridSpan w:val="5"/>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Statements of Income</w:t>
              </w:r>
            </w:hyperlink>
          </w:p>
        </w:tc>
        <w:tc>
          <w:tcPr>
            <w:tcW w:w="800" w:type="dxa"/>
            <w:vAlign w:val="bottom"/>
          </w:tcPr>
          <w:p>
            <w:pPr>
              <w:jc w:val="center"/>
              <w:spacing w:after="0" w:line="184"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540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8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Cash Flows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40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0" w:gutter="0" w:footer="0" w:header="0"/>
        </w:sectPr>
      </w:pPr>
    </w:p>
    <w:bookmarkStart w:id="1" w:name="page2"/>
    <w:bookmarkEnd w:id="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ind w:left="120"/>
              <w:spacing w:after="0"/>
              <w:rPr>
                <w:sz w:val="20"/>
                <w:szCs w:val="20"/>
                <w:color w:val="auto"/>
              </w:rPr>
            </w:pPr>
            <w:r>
              <w:rPr>
                <w:rFonts w:ascii="Arial" w:cs="Arial" w:eastAsia="Arial" w:hAnsi="Arial"/>
                <w:sz w:val="18"/>
                <w:szCs w:val="18"/>
                <w:color w:val="auto"/>
              </w:rPr>
              <w:t>ITEM 2.</w:t>
            </w:r>
          </w:p>
        </w:tc>
        <w:tc>
          <w:tcPr>
            <w:tcW w:w="782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Management’s Discussion and Analysis of Financial Condition and Results of Operations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4.</w:t>
            </w:r>
          </w:p>
        </w:tc>
        <w:tc>
          <w:tcPr>
            <w:tcW w:w="782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600" w:type="dxa"/>
            <w:vAlign w:val="bottom"/>
          </w:tcPr>
          <w:p>
            <w:pPr>
              <w:spacing w:after="0"/>
              <w:rPr>
                <w:sz w:val="24"/>
                <w:szCs w:val="24"/>
                <w:color w:val="auto"/>
              </w:rPr>
            </w:pPr>
          </w:p>
        </w:tc>
        <w:tc>
          <w:tcPr>
            <w:tcW w:w="41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Report of Independent Registered Public Accounting Firm</w:t>
              </w:r>
            </w:hyperlink>
          </w:p>
        </w:tc>
        <w:tc>
          <w:tcPr>
            <w:tcW w:w="370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600" w:type="dxa"/>
            <w:vAlign w:val="bottom"/>
          </w:tcPr>
          <w:p>
            <w:pPr>
              <w:spacing w:after="0"/>
              <w:rPr>
                <w:sz w:val="20"/>
                <w:szCs w:val="20"/>
                <w:color w:val="auto"/>
              </w:rPr>
            </w:pPr>
            <w:r>
              <w:rPr>
                <w:rFonts w:ascii="Arial" w:cs="Arial" w:eastAsia="Arial" w:hAnsi="Arial"/>
                <w:sz w:val="18"/>
                <w:szCs w:val="18"/>
                <w:color w:val="auto"/>
              </w:rPr>
              <w:t>PART II.</w:t>
            </w:r>
          </w:p>
        </w:tc>
        <w:tc>
          <w:tcPr>
            <w:tcW w:w="782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1.</w:t>
            </w:r>
          </w:p>
        </w:tc>
        <w:tc>
          <w:tcPr>
            <w:tcW w:w="782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520" w:type="dxa"/>
            <w:vAlign w:val="bottom"/>
            <w:gridSpan w:val="7"/>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2.</w:t>
            </w:r>
          </w:p>
        </w:tc>
        <w:tc>
          <w:tcPr>
            <w:tcW w:w="782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Unregistered Sales of Equity Securities and Use of Proceeds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2"/>
          </w:tcPr>
          <w:p>
            <w:pPr>
              <w:spacing w:after="0"/>
              <w:rPr>
                <w:sz w:val="24"/>
                <w:szCs w:val="24"/>
                <w:color w:val="auto"/>
              </w:rPr>
            </w:pPr>
          </w:p>
        </w:tc>
        <w:tc>
          <w:tcPr>
            <w:tcW w:w="358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600" w:type="dxa"/>
            <w:vAlign w:val="bottom"/>
          </w:tcPr>
          <w:p>
            <w:pPr>
              <w:ind w:left="120"/>
              <w:spacing w:after="0"/>
              <w:rPr>
                <w:sz w:val="20"/>
                <w:szCs w:val="20"/>
                <w:color w:val="auto"/>
              </w:rPr>
            </w:pPr>
            <w:r>
              <w:rPr>
                <w:rFonts w:ascii="Arial" w:cs="Arial" w:eastAsia="Arial" w:hAnsi="Arial"/>
                <w:sz w:val="18"/>
                <w:szCs w:val="18"/>
                <w:color w:val="auto"/>
              </w:rPr>
              <w:t>ITEM 6.</w:t>
            </w:r>
          </w:p>
        </w:tc>
        <w:tc>
          <w:tcPr>
            <w:tcW w:w="782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600" w:type="dxa"/>
            <w:vAlign w:val="bottom"/>
          </w:tcPr>
          <w:p>
            <w:pPr>
              <w:spacing w:after="0"/>
              <w:rPr>
                <w:sz w:val="24"/>
                <w:szCs w:val="24"/>
                <w:color w:val="auto"/>
              </w:rPr>
            </w:pPr>
          </w:p>
        </w:tc>
        <w:tc>
          <w:tcPr>
            <w:tcW w:w="782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600" w:type="dxa"/>
            <w:vAlign w:val="bottom"/>
          </w:tcPr>
          <w:p>
            <w:pPr>
              <w:spacing w:after="0"/>
              <w:rPr>
                <w:sz w:val="24"/>
                <w:szCs w:val="24"/>
                <w:color w:val="auto"/>
              </w:rPr>
            </w:pPr>
          </w:p>
        </w:tc>
        <w:tc>
          <w:tcPr>
            <w:tcW w:w="782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 Index</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PART I. </w:t>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1. </w:t>
      </w:r>
      <w:r>
        <w:rPr>
          <w:rFonts w:ascii="Arial" w:cs="Arial" w:eastAsia="Arial" w:hAnsi="Arial"/>
          <w:sz w:val="22"/>
          <w:szCs w:val="22"/>
          <w:b w:val="1"/>
          <w:bCs w:val="1"/>
          <w:color w:val="auto"/>
        </w:rPr>
        <w:t>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Thirteen</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Twenty-Seven</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Twenty-Six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Weeks Ended</w:t>
            </w:r>
          </w:p>
        </w:tc>
        <w:tc>
          <w:tcPr>
            <w:tcW w:w="120" w:type="dxa"/>
            <w:vAlign w:val="bottom"/>
          </w:tcPr>
          <w:p>
            <w:pPr>
              <w:spacing w:after="0"/>
              <w:rPr>
                <w:sz w:val="14"/>
                <w:szCs w:val="14"/>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March 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3"/>
              </w:rPr>
              <w:t>February 24,</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1"/>
              </w:rPr>
              <w:t>March 1,</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February 24,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38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164,203</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199,014</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379,345</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400,779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152,034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180,049</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341,536</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360,430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vMerge w:val="continue"/>
            <w:shd w:val="clear" w:color="auto" w:fill="D6F3E8"/>
          </w:tcPr>
          <w:p>
            <w:pPr>
              <w:spacing w:after="0"/>
              <w:rPr>
                <w:sz w:val="19"/>
                <w:szCs w:val="19"/>
                <w:color w:val="auto"/>
              </w:rPr>
            </w:pPr>
          </w:p>
        </w:tc>
        <w:tc>
          <w:tcPr>
            <w:tcW w:w="118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12,169</w:t>
            </w:r>
          </w:p>
        </w:tc>
        <w:tc>
          <w:tcPr>
            <w:tcW w:w="1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18,965</w:t>
            </w:r>
          </w:p>
        </w:tc>
        <w:tc>
          <w:tcPr>
            <w:tcW w:w="120" w:type="dxa"/>
            <w:vAlign w:val="bottom"/>
            <w:shd w:val="clear" w:color="auto" w:fill="D6F3E8"/>
          </w:tcPr>
          <w:p>
            <w:pPr>
              <w:spacing w:after="0"/>
              <w:rPr>
                <w:sz w:val="19"/>
                <w:szCs w:val="19"/>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37,809</w:t>
            </w:r>
          </w:p>
        </w:tc>
        <w:tc>
          <w:tcPr>
            <w:tcW w:w="14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40,349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Selling</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4,258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4,315</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9,863</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5,457</w:t>
            </w:r>
          </w:p>
        </w:tc>
        <w:tc>
          <w:tcPr>
            <w:tcW w:w="16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11,908</w:t>
            </w:r>
          </w:p>
        </w:tc>
        <w:tc>
          <w:tcPr>
            <w:tcW w:w="140" w:type="dxa"/>
            <w:vAlign w:val="bottom"/>
            <w:shd w:val="clear" w:color="auto" w:fill="D6F3E8"/>
          </w:tcPr>
          <w:p>
            <w:pPr>
              <w:spacing w:after="0"/>
              <w:rPr>
                <w:sz w:val="21"/>
                <w:szCs w:val="21"/>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11,807</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6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9,715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21,771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2,454</w:t>
            </w:r>
          </w:p>
        </w:tc>
        <w:tc>
          <w:tcPr>
            <w:tcW w:w="1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9,360</w:t>
            </w:r>
          </w:p>
        </w:tc>
        <w:tc>
          <w:tcPr>
            <w:tcW w:w="120" w:type="dxa"/>
            <w:vAlign w:val="bottom"/>
            <w:shd w:val="clear" w:color="auto" w:fill="D6F3E8"/>
          </w:tcPr>
          <w:p>
            <w:pPr>
              <w:spacing w:after="0"/>
              <w:rPr>
                <w:sz w:val="19"/>
                <w:szCs w:val="19"/>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16,038</w:t>
            </w:r>
          </w:p>
        </w:tc>
        <w:tc>
          <w:tcPr>
            <w:tcW w:w="14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1,236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118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3,690</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34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18,514</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52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6,035</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vMerge w:val="continue"/>
            <w:shd w:val="clear" w:color="auto" w:fill="D6F3E8"/>
          </w:tcPr>
          <w:p>
            <w:pPr>
              <w:spacing w:after="0"/>
              <w:rPr>
                <w:sz w:val="19"/>
                <w:szCs w:val="19"/>
                <w:color w:val="auto"/>
              </w:rPr>
            </w:pPr>
          </w:p>
        </w:tc>
        <w:tc>
          <w:tcPr>
            <w:tcW w:w="118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2,517</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7,532</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12,479</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D6F3E8"/>
          </w:tcPr>
          <w:p>
            <w:pPr>
              <w:spacing w:after="0" w:line="20" w:lineRule="exact"/>
              <w:rPr>
                <w:sz w:val="1"/>
                <w:szCs w:val="1"/>
                <w:color w:val="auto"/>
              </w:rPr>
            </w:pPr>
          </w:p>
        </w:tc>
        <w:tc>
          <w:tcPr>
            <w:tcW w:w="118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Borders>
              <w:top w:val="single" w:sz="8" w:color="D6F3E8"/>
              <w:bottom w:val="single" w:sz="8" w:color="D6F3E8"/>
            </w:tcBorders>
            <w:shd w:val="clear" w:color="auto" w:fill="D6F3E8"/>
          </w:tcPr>
          <w:p>
            <w:pPr>
              <w:ind w:left="300"/>
              <w:spacing w:after="0" w:line="195" w:lineRule="exact"/>
              <w:rPr>
                <w:sz w:val="20"/>
                <w:szCs w:val="20"/>
                <w:color w:val="auto"/>
              </w:rPr>
            </w:pPr>
            <w:r>
              <w:rPr>
                <w:rFonts w:ascii="Arial" w:cs="Arial" w:eastAsia="Arial" w:hAnsi="Arial"/>
                <w:sz w:val="18"/>
                <w:szCs w:val="18"/>
                <w:color w:val="auto"/>
              </w:rPr>
              <w:t>Diluted</w:t>
            </w:r>
          </w:p>
        </w:tc>
        <w:tc>
          <w:tcPr>
            <w:tcW w:w="1180" w:type="dxa"/>
            <w:vAlign w:val="bottom"/>
            <w:tcBorders>
              <w:top w:val="single" w:sz="8" w:color="D6F3E8"/>
              <w:bottom w:val="single" w:sz="8" w:color="D6F3E8"/>
            </w:tcBorders>
            <w:shd w:val="clear" w:color="auto" w:fill="D6F3E8"/>
          </w:tcPr>
          <w:p>
            <w:pPr>
              <w:spacing w:after="0"/>
              <w:rPr>
                <w:sz w:val="17"/>
                <w:szCs w:val="17"/>
                <w:color w:val="auto"/>
              </w:rPr>
            </w:pPr>
          </w:p>
        </w:tc>
        <w:tc>
          <w:tcPr>
            <w:tcW w:w="200" w:type="dxa"/>
            <w:vAlign w:val="bottom"/>
            <w:tcBorders>
              <w:top w:val="single" w:sz="8" w:color="auto"/>
              <w:bottom w:val="single" w:sz="8" w:color="auto"/>
            </w:tcBorders>
            <w:shd w:val="clear" w:color="auto" w:fill="D6F3E8"/>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0.09</w:t>
            </w:r>
          </w:p>
        </w:tc>
        <w:tc>
          <w:tcPr>
            <w:tcW w:w="18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D6F3E8"/>
              <w:bottom w:val="single" w:sz="8" w:color="D6F3E8"/>
            </w:tcBorders>
            <w:shd w:val="clear" w:color="auto" w:fill="D6F3E8"/>
          </w:tcPr>
          <w:p>
            <w:pPr>
              <w:spacing w:after="0"/>
              <w:rPr>
                <w:sz w:val="17"/>
                <w:szCs w:val="17"/>
                <w:color w:val="auto"/>
              </w:rPr>
            </w:pPr>
          </w:p>
        </w:tc>
        <w:tc>
          <w:tcPr>
            <w:tcW w:w="14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0.24</w:t>
            </w:r>
          </w:p>
        </w:tc>
        <w:tc>
          <w:tcPr>
            <w:tcW w:w="340" w:type="dxa"/>
            <w:vAlign w:val="bottom"/>
            <w:tcBorders>
              <w:top w:val="single" w:sz="8" w:color="D6F3E8"/>
              <w:bottom w:val="single" w:sz="8" w:color="D6F3E8"/>
            </w:tcBorders>
            <w:shd w:val="clear" w:color="auto" w:fill="D6F3E8"/>
          </w:tcPr>
          <w:p>
            <w:pPr>
              <w:spacing w:after="0"/>
              <w:rPr>
                <w:sz w:val="17"/>
                <w:szCs w:val="17"/>
                <w:color w:val="auto"/>
              </w:rPr>
            </w:pPr>
          </w:p>
        </w:tc>
        <w:tc>
          <w:tcPr>
            <w:tcW w:w="12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0.43</w:t>
            </w:r>
          </w:p>
        </w:tc>
        <w:tc>
          <w:tcPr>
            <w:tcW w:w="340" w:type="dxa"/>
            <w:vAlign w:val="bottom"/>
            <w:tcBorders>
              <w:top w:val="single" w:sz="8" w:color="D6F3E8"/>
              <w:bottom w:val="single" w:sz="8" w:color="D6F3E8"/>
            </w:tcBorders>
            <w:shd w:val="clear" w:color="auto" w:fill="D6F3E8"/>
          </w:tcPr>
          <w:p>
            <w:pPr>
              <w:spacing w:after="0"/>
              <w:rPr>
                <w:sz w:val="17"/>
                <w:szCs w:val="17"/>
                <w:color w:val="auto"/>
              </w:rPr>
            </w:pPr>
          </w:p>
        </w:tc>
        <w:tc>
          <w:tcPr>
            <w:tcW w:w="14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0.49</w:t>
            </w:r>
          </w:p>
        </w:tc>
        <w:tc>
          <w:tcPr>
            <w:tcW w:w="220" w:type="dxa"/>
            <w:vAlign w:val="bottom"/>
            <w:tcBorders>
              <w:top w:val="single" w:sz="8" w:color="D6F3E8"/>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28,964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31,459</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29,165</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31,354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29,034</w:t>
            </w:r>
          </w:p>
        </w:tc>
        <w:tc>
          <w:tcPr>
            <w:tcW w:w="1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31,764</w:t>
            </w:r>
          </w:p>
        </w:tc>
        <w:tc>
          <w:tcPr>
            <w:tcW w:w="120" w:type="dxa"/>
            <w:vAlign w:val="bottom"/>
            <w:shd w:val="clear" w:color="auto" w:fill="D6F3E8"/>
          </w:tcPr>
          <w:p>
            <w:pPr>
              <w:spacing w:after="0"/>
              <w:rPr>
                <w:sz w:val="20"/>
                <w:szCs w:val="20"/>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29,245</w:t>
            </w:r>
          </w:p>
        </w:tc>
        <w:tc>
          <w:tcPr>
            <w:tcW w:w="140" w:type="dxa"/>
            <w:vAlign w:val="bottom"/>
            <w:shd w:val="clear" w:color="auto" w:fill="D6F3E8"/>
          </w:tcPr>
          <w:p>
            <w:pPr>
              <w:spacing w:after="0"/>
              <w:rPr>
                <w:sz w:val="20"/>
                <w:szCs w:val="20"/>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31,666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Dividends paid per common share</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ectPr>
          <w:pgSz w:w="11900" w:h="16846" w:orient="portrait"/>
          <w:cols w:equalWidth="0" w:num="1">
            <w:col w:w="11420"/>
          </w:cols>
          <w:pgMar w:left="240" w:top="122" w:right="239" w:bottom="0" w:gutter="0" w:footer="0" w:header="0"/>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March 1,</w:t>
            </w:r>
          </w:p>
        </w:tc>
        <w:tc>
          <w:tcPr>
            <w:tcW w:w="2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August 25,</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7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15,536</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102,650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Receivables, less allowance for doubtful accounts ($151 and $133, respectively)</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31,941</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30,285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128,477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3,870</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3,981</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4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Deferred income taxes</w:t>
            </w:r>
          </w:p>
        </w:tc>
        <w:tc>
          <w:tcPr>
            <w:tcW w:w="700" w:type="dxa"/>
            <w:vAlign w:val="bottom"/>
            <w:tcBorders>
              <w:bottom w:val="single" w:sz="8" w:color="D6F3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15,656</w:t>
            </w:r>
          </w:p>
        </w:tc>
        <w:tc>
          <w:tcPr>
            <w:tcW w:w="440" w:type="dxa"/>
            <w:vAlign w:val="bottom"/>
            <w:tcBorders>
              <w:bottom w:val="single" w:sz="8" w:color="D6F3E8"/>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D6F3E8"/>
          </w:tcPr>
          <w:p>
            <w:pPr>
              <w:ind w:left="480"/>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D6F3E8"/>
          </w:tcPr>
          <w:p>
            <w:pPr>
              <w:spacing w:after="0"/>
              <w:rPr>
                <w:sz w:val="19"/>
                <w:szCs w:val="19"/>
                <w:color w:val="auto"/>
              </w:rPr>
            </w:pPr>
          </w:p>
        </w:tc>
        <w:tc>
          <w:tcPr>
            <w:tcW w:w="280" w:type="dxa"/>
            <w:vAlign w:val="bottom"/>
            <w:tcBorders>
              <w:bottom w:val="single" w:sz="8" w:color="auto"/>
            </w:tcBorders>
            <w:shd w:val="clear" w:color="auto" w:fill="D6F3E8"/>
          </w:tcPr>
          <w:p>
            <w:pPr>
              <w:spacing w:after="0"/>
              <w:rPr>
                <w:sz w:val="19"/>
                <w:szCs w:val="19"/>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195,480</w:t>
            </w:r>
          </w:p>
        </w:tc>
        <w:tc>
          <w:tcPr>
            <w:tcW w:w="440" w:type="dxa"/>
            <w:vAlign w:val="bottom"/>
            <w:shd w:val="clear" w:color="auto" w:fill="D6F3E8"/>
          </w:tcPr>
          <w:p>
            <w:pPr>
              <w:spacing w:after="0"/>
              <w:rPr>
                <w:sz w:val="19"/>
                <w:szCs w:val="19"/>
                <w:color w:val="auto"/>
              </w:rPr>
            </w:pPr>
          </w:p>
        </w:tc>
        <w:tc>
          <w:tcPr>
            <w:tcW w:w="260" w:type="dxa"/>
            <w:vAlign w:val="bottom"/>
            <w:tcBorders>
              <w:bottom w:val="single" w:sz="8" w:color="auto"/>
            </w:tcBorders>
            <w:shd w:val="clear" w:color="auto" w:fill="D6F3E8"/>
          </w:tcPr>
          <w:p>
            <w:pPr>
              <w:spacing w:after="0"/>
              <w:rPr>
                <w:sz w:val="19"/>
                <w:szCs w:val="19"/>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257,700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40" w:type="dxa"/>
            <w:vAlign w:val="bottom"/>
          </w:tcPr>
          <w:p>
            <w:pPr>
              <w:spacing w:after="0" w:line="201" w:lineRule="exact"/>
              <w:rPr>
                <w:sz w:val="20"/>
                <w:szCs w:val="20"/>
                <w:color w:val="auto"/>
              </w:rPr>
            </w:pPr>
            <w:r>
              <w:rPr>
                <w:rFonts w:ascii="Arial" w:cs="Arial" w:eastAsia="Arial" w:hAnsi="Arial"/>
                <w:sz w:val="18"/>
                <w:szCs w:val="18"/>
                <w:color w:val="auto"/>
              </w:rPr>
              <w:t>Property and equipment, at cost:</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320"/>
              <w:spacing w:after="0"/>
              <w:rPr>
                <w:sz w:val="20"/>
                <w:szCs w:val="20"/>
                <w:color w:val="auto"/>
              </w:rPr>
            </w:pPr>
            <w:r>
              <w:rPr>
                <w:rFonts w:ascii="Arial" w:cs="Arial" w:eastAsia="Arial" w:hAnsi="Arial"/>
                <w:sz w:val="18"/>
                <w:szCs w:val="18"/>
                <w:color w:val="auto"/>
              </w:rPr>
              <w:t>Land</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Buildings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59,808</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59,525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98,928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98,026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Transportation equipment</w:t>
            </w:r>
          </w:p>
        </w:tc>
        <w:tc>
          <w:tcPr>
            <w:tcW w:w="700" w:type="dxa"/>
            <w:vAlign w:val="bottom"/>
            <w:shd w:val="clear" w:color="auto" w:fill="D6F3E8"/>
          </w:tcPr>
          <w:p>
            <w:pPr>
              <w:spacing w:after="0"/>
              <w:rPr>
                <w:sz w:val="21"/>
                <w:szCs w:val="21"/>
                <w:color w:val="auto"/>
              </w:rPr>
            </w:pPr>
          </w:p>
        </w:tc>
        <w:tc>
          <w:tcPr>
            <w:tcW w:w="280" w:type="dxa"/>
            <w:vAlign w:val="bottom"/>
            <w:tcBorders>
              <w:bottom w:val="single" w:sz="8" w:color="auto"/>
            </w:tcBorders>
            <w:shd w:val="clear" w:color="auto" w:fill="D6F3E8"/>
          </w:tcPr>
          <w:p>
            <w:pPr>
              <w:spacing w:after="0"/>
              <w:rPr>
                <w:sz w:val="21"/>
                <w:szCs w:val="21"/>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9,433</w:t>
            </w:r>
          </w:p>
        </w:tc>
        <w:tc>
          <w:tcPr>
            <w:tcW w:w="440" w:type="dxa"/>
            <w:vAlign w:val="bottom"/>
            <w:shd w:val="clear" w:color="auto" w:fill="D6F3E8"/>
          </w:tcPr>
          <w:p>
            <w:pPr>
              <w:spacing w:after="0"/>
              <w:rPr>
                <w:sz w:val="21"/>
                <w:szCs w:val="21"/>
                <w:color w:val="auto"/>
              </w:rPr>
            </w:pPr>
          </w:p>
        </w:tc>
        <w:tc>
          <w:tcPr>
            <w:tcW w:w="260" w:type="dxa"/>
            <w:vAlign w:val="bottom"/>
            <w:tcBorders>
              <w:bottom w:val="single" w:sz="8" w:color="auto"/>
            </w:tcBorders>
            <w:shd w:val="clear" w:color="auto" w:fill="D6F3E8"/>
          </w:tcPr>
          <w:p>
            <w:pPr>
              <w:spacing w:after="0"/>
              <w:rPr>
                <w:sz w:val="21"/>
                <w:szCs w:val="21"/>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9,593</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480"/>
              <w:spacing w:after="0" w:line="202" w:lineRule="exact"/>
              <w:rPr>
                <w:sz w:val="20"/>
                <w:szCs w:val="20"/>
                <w:color w:val="auto"/>
              </w:rPr>
            </w:pPr>
            <w:r>
              <w:rPr>
                <w:rFonts w:ascii="Arial" w:cs="Arial" w:eastAsia="Arial" w:hAnsi="Arial"/>
                <w:sz w:val="18"/>
                <w:szCs w:val="18"/>
                <w:color w:val="auto"/>
              </w:rPr>
              <w:t>Total property and equipment, at cost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169,103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168,078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Accumulated depreciation</w:t>
            </w:r>
          </w:p>
        </w:tc>
        <w:tc>
          <w:tcPr>
            <w:tcW w:w="70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(120,670)</w:t>
            </w:r>
          </w:p>
        </w:tc>
        <w:tc>
          <w:tcPr>
            <w:tcW w:w="26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(116,689)</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D6F3E8"/>
            </w:tcBorders>
          </w:tcPr>
          <w:p>
            <w:pPr>
              <w:ind w:left="480"/>
              <w:spacing w:after="0"/>
              <w:rPr>
                <w:sz w:val="20"/>
                <w:szCs w:val="20"/>
                <w:color w:val="auto"/>
              </w:rPr>
            </w:pPr>
            <w:r>
              <w:rPr>
                <w:rFonts w:ascii="Arial" w:cs="Arial" w:eastAsia="Arial" w:hAnsi="Arial"/>
                <w:sz w:val="18"/>
                <w:szCs w:val="18"/>
                <w:color w:val="auto"/>
              </w:rPr>
              <w:t>Total property and equipment, net</w:t>
            </w:r>
          </w:p>
        </w:tc>
        <w:tc>
          <w:tcPr>
            <w:tcW w:w="700" w:type="dxa"/>
            <w:vAlign w:val="bottom"/>
            <w:tcBorders>
              <w:bottom w:val="single" w:sz="8" w:color="D6F3E8"/>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48,433</w:t>
            </w:r>
          </w:p>
        </w:tc>
        <w:tc>
          <w:tcPr>
            <w:tcW w:w="440" w:type="dxa"/>
            <w:vAlign w:val="bottom"/>
            <w:tcBorders>
              <w:top w:val="single" w:sz="8" w:color="D6F3E8"/>
              <w:bottom w:val="single" w:sz="8" w:color="D6F3E8"/>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51,389</w:t>
            </w:r>
          </w:p>
        </w:tc>
        <w:tc>
          <w:tcPr>
            <w:tcW w:w="220" w:type="dxa"/>
            <w:vAlign w:val="bottom"/>
            <w:tcBorders>
              <w:top w:val="single" w:sz="8" w:color="D6F3E8"/>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140" w:type="dxa"/>
            <w:vAlign w:val="bottom"/>
            <w:shd w:val="clear" w:color="auto" w:fill="D6F3E8"/>
          </w:tcPr>
          <w:p>
            <w:pPr>
              <w:spacing w:after="0" w:line="205" w:lineRule="exact"/>
              <w:rPr>
                <w:sz w:val="20"/>
                <w:szCs w:val="20"/>
                <w:color w:val="auto"/>
              </w:rPr>
            </w:pPr>
            <w:r>
              <w:rPr>
                <w:rFonts w:ascii="Arial" w:cs="Arial" w:eastAsia="Arial" w:hAnsi="Arial"/>
                <w:sz w:val="18"/>
                <w:szCs w:val="18"/>
                <w:color w:val="auto"/>
              </w:rPr>
              <w:t>Long-term investments</w:t>
            </w:r>
          </w:p>
        </w:tc>
        <w:tc>
          <w:tcPr>
            <w:tcW w:w="7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50,829</w:t>
            </w:r>
          </w:p>
        </w:tc>
        <w:tc>
          <w:tcPr>
            <w:tcW w:w="4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19,925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14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25,791</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19,856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D6F3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440" w:type="dxa"/>
            <w:vAlign w:val="bottom"/>
            <w:tcBorders>
              <w:bottom w:val="single" w:sz="8" w:color="D6F3E8"/>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357,628</w:t>
            </w:r>
          </w:p>
        </w:tc>
        <w:tc>
          <w:tcPr>
            <w:tcW w:w="440" w:type="dxa"/>
            <w:vAlign w:val="bottom"/>
            <w:shd w:val="clear" w:color="auto" w:fill="D6F3E8"/>
          </w:tcPr>
          <w:p>
            <w:pPr>
              <w:spacing w:after="0"/>
              <w:rPr>
                <w:sz w:val="19"/>
                <w:szCs w:val="19"/>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1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31,257</w:t>
            </w:r>
          </w:p>
        </w:tc>
        <w:tc>
          <w:tcPr>
            <w:tcW w:w="44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35,286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Income taxes payable</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3,835</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660"/>
              <w:spacing w:after="0"/>
              <w:rPr>
                <w:sz w:val="20"/>
                <w:szCs w:val="20"/>
                <w:color w:val="auto"/>
              </w:rPr>
            </w:pPr>
            <w:r>
              <w:rPr>
                <w:rFonts w:ascii="Arial" w:cs="Arial" w:eastAsia="Arial" w:hAnsi="Arial"/>
                <w:sz w:val="18"/>
                <w:szCs w:val="18"/>
                <w:color w:val="auto"/>
              </w:rPr>
              <w:t>Accrued compensation</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660"/>
              <w:spacing w:after="0"/>
              <w:rPr>
                <w:sz w:val="20"/>
                <w:szCs w:val="20"/>
                <w:color w:val="auto"/>
              </w:rPr>
            </w:pPr>
            <w:r>
              <w:rPr>
                <w:rFonts w:ascii="Arial" w:cs="Arial" w:eastAsia="Arial" w:hAnsi="Arial"/>
                <w:sz w:val="18"/>
                <w:szCs w:val="18"/>
                <w:color w:val="auto"/>
              </w:rPr>
              <w:t>Unrecognized tax benefits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11,835</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Pr>
          <w:p>
            <w:pPr>
              <w:ind w:left="660"/>
              <w:spacing w:after="0"/>
              <w:rPr>
                <w:sz w:val="20"/>
                <w:szCs w:val="20"/>
                <w:color w:val="auto"/>
              </w:rPr>
            </w:pPr>
            <w:r>
              <w:rPr>
                <w:rFonts w:ascii="Arial" w:cs="Arial" w:eastAsia="Arial" w:hAnsi="Arial"/>
                <w:sz w:val="18"/>
                <w:szCs w:val="18"/>
                <w:color w:val="auto"/>
              </w:rPr>
              <w:t>Product warranties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660"/>
              <w:spacing w:after="0"/>
              <w:rPr>
                <w:sz w:val="20"/>
                <w:szCs w:val="20"/>
                <w:color w:val="auto"/>
              </w:rPr>
            </w:pPr>
            <w:r>
              <w:rPr>
                <w:rFonts w:ascii="Arial" w:cs="Arial" w:eastAsia="Arial" w:hAnsi="Arial"/>
                <w:sz w:val="18"/>
                <w:szCs w:val="18"/>
                <w:color w:val="auto"/>
              </w:rPr>
              <w:t>Self-insurance</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7,646</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7,919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660"/>
              <w:spacing w:after="0"/>
              <w:rPr>
                <w:sz w:val="20"/>
                <w:szCs w:val="20"/>
                <w:color w:val="auto"/>
              </w:rPr>
            </w:pPr>
            <w:r>
              <w:rPr>
                <w:rFonts w:ascii="Arial" w:cs="Arial" w:eastAsia="Arial" w:hAnsi="Arial"/>
                <w:sz w:val="18"/>
                <w:szCs w:val="18"/>
                <w:color w:val="auto"/>
              </w:rPr>
              <w:t>Promotional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660"/>
              <w:spacing w:after="0"/>
              <w:rPr>
                <w:sz w:val="20"/>
                <w:szCs w:val="20"/>
                <w:color w:val="auto"/>
              </w:rPr>
            </w:pPr>
            <w:r>
              <w:rPr>
                <w:rFonts w:ascii="Arial" w:cs="Arial" w:eastAsia="Arial" w:hAnsi="Arial"/>
                <w:sz w:val="18"/>
                <w:szCs w:val="18"/>
                <w:color w:val="auto"/>
              </w:rPr>
              <w:t>Accrued dividends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3,485</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40" w:type="dxa"/>
            <w:vAlign w:val="bottom"/>
            <w:tcBorders>
              <w:bottom w:val="single" w:sz="8" w:color="D6F3E8"/>
            </w:tcBorders>
          </w:tcPr>
          <w:p>
            <w:pPr>
              <w:ind w:left="6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D6F3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440" w:type="dxa"/>
            <w:vAlign w:val="bottom"/>
            <w:tcBorders>
              <w:bottom w:val="single" w:sz="8" w:color="D6F3E8"/>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D6F3E8"/>
          </w:tcPr>
          <w:p>
            <w:pPr>
              <w:ind w:left="78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D6F3E8"/>
          </w:tcPr>
          <w:p>
            <w:pPr>
              <w:spacing w:after="0"/>
              <w:rPr>
                <w:sz w:val="19"/>
                <w:szCs w:val="19"/>
                <w:color w:val="auto"/>
              </w:rPr>
            </w:pPr>
          </w:p>
        </w:tc>
        <w:tc>
          <w:tcPr>
            <w:tcW w:w="280" w:type="dxa"/>
            <w:vAlign w:val="bottom"/>
            <w:tcBorders>
              <w:bottom w:val="single" w:sz="8" w:color="auto"/>
            </w:tcBorders>
            <w:shd w:val="clear" w:color="auto" w:fill="D6F3E8"/>
          </w:tcPr>
          <w:p>
            <w:pPr>
              <w:spacing w:after="0"/>
              <w:rPr>
                <w:sz w:val="19"/>
                <w:szCs w:val="19"/>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92,013</w:t>
            </w:r>
          </w:p>
        </w:tc>
        <w:tc>
          <w:tcPr>
            <w:tcW w:w="440" w:type="dxa"/>
            <w:vAlign w:val="bottom"/>
            <w:shd w:val="clear" w:color="auto" w:fill="D6F3E8"/>
          </w:tcPr>
          <w:p>
            <w:pPr>
              <w:spacing w:after="0"/>
              <w:rPr>
                <w:sz w:val="19"/>
                <w:szCs w:val="19"/>
                <w:color w:val="auto"/>
              </w:rPr>
            </w:pPr>
          </w:p>
        </w:tc>
        <w:tc>
          <w:tcPr>
            <w:tcW w:w="260" w:type="dxa"/>
            <w:vAlign w:val="bottom"/>
            <w:tcBorders>
              <w:bottom w:val="single" w:sz="8" w:color="auto"/>
            </w:tcBorders>
            <w:shd w:val="clear" w:color="auto" w:fill="D6F3E8"/>
          </w:tcPr>
          <w:p>
            <w:pPr>
              <w:spacing w:after="0"/>
              <w:rPr>
                <w:sz w:val="19"/>
                <w:szCs w:val="19"/>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7140" w:type="dxa"/>
            <w:vAlign w:val="bottom"/>
          </w:tcPr>
          <w:p>
            <w:pPr>
              <w:spacing w:after="0"/>
              <w:rPr>
                <w:sz w:val="20"/>
                <w:szCs w:val="20"/>
                <w:color w:val="auto"/>
              </w:rPr>
            </w:pPr>
            <w:r>
              <w:rPr>
                <w:rFonts w:ascii="Arial" w:cs="Arial" w:eastAsia="Arial" w:hAnsi="Arial"/>
                <w:sz w:val="18"/>
                <w:szCs w:val="18"/>
                <w:color w:val="auto"/>
              </w:rPr>
              <w:t>Long-term liabilities: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140" w:type="dxa"/>
            <w:vAlign w:val="bottom"/>
          </w:tcPr>
          <w:p>
            <w:pPr>
              <w:ind w:left="340"/>
              <w:spacing w:after="0"/>
              <w:rPr>
                <w:sz w:val="20"/>
                <w:szCs w:val="20"/>
                <w:color w:val="auto"/>
              </w:rPr>
            </w:pPr>
            <w:r>
              <w:rPr>
                <w:rFonts w:ascii="Arial" w:cs="Arial" w:eastAsia="Arial" w:hAnsi="Arial"/>
                <w:sz w:val="18"/>
                <w:szCs w:val="18"/>
                <w:color w:val="auto"/>
              </w:rPr>
              <w:t>Unrecognized tax benefits</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Postretirement health care benefits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32,348</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31,581</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40"/>
              <w:spacing w:after="0"/>
              <w:rPr>
                <w:sz w:val="20"/>
                <w:szCs w:val="20"/>
                <w:color w:val="auto"/>
              </w:rPr>
            </w:pPr>
            <w:r>
              <w:rPr>
                <w:rFonts w:ascii="Arial" w:cs="Arial" w:eastAsia="Arial" w:hAnsi="Arial"/>
                <w:sz w:val="18"/>
                <w:szCs w:val="18"/>
                <w:color w:val="auto"/>
              </w:rPr>
              <w:t>Non-qualified deferred compensation benefits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14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Executive share option benefits</w:t>
            </w:r>
          </w:p>
        </w:tc>
        <w:tc>
          <w:tcPr>
            <w:tcW w:w="700" w:type="dxa"/>
            <w:vAlign w:val="bottom"/>
            <w:shd w:val="clear" w:color="auto" w:fill="D6F3E8"/>
          </w:tcPr>
          <w:p>
            <w:pPr>
              <w:spacing w:after="0"/>
              <w:rPr>
                <w:sz w:val="21"/>
                <w:szCs w:val="21"/>
                <w:color w:val="auto"/>
              </w:rPr>
            </w:pPr>
          </w:p>
        </w:tc>
        <w:tc>
          <w:tcPr>
            <w:tcW w:w="280" w:type="dxa"/>
            <w:vAlign w:val="bottom"/>
            <w:tcBorders>
              <w:bottom w:val="single" w:sz="8" w:color="auto"/>
            </w:tcBorders>
            <w:shd w:val="clear" w:color="auto" w:fill="D6F3E8"/>
          </w:tcPr>
          <w:p>
            <w:pPr>
              <w:spacing w:after="0"/>
              <w:rPr>
                <w:sz w:val="21"/>
                <w:szCs w:val="21"/>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11,709</w:t>
            </w:r>
          </w:p>
        </w:tc>
        <w:tc>
          <w:tcPr>
            <w:tcW w:w="440" w:type="dxa"/>
            <w:vAlign w:val="bottom"/>
            <w:shd w:val="clear" w:color="auto" w:fill="D6F3E8"/>
          </w:tcPr>
          <w:p>
            <w:pPr>
              <w:spacing w:after="0"/>
              <w:rPr>
                <w:sz w:val="21"/>
                <w:szCs w:val="21"/>
                <w:color w:val="auto"/>
              </w:rPr>
            </w:pPr>
          </w:p>
        </w:tc>
        <w:tc>
          <w:tcPr>
            <w:tcW w:w="260" w:type="dxa"/>
            <w:vAlign w:val="bottom"/>
            <w:tcBorders>
              <w:bottom w:val="single" w:sz="8" w:color="auto"/>
            </w:tcBorders>
            <w:shd w:val="clear" w:color="auto" w:fill="D6F3E8"/>
          </w:tcPr>
          <w:p>
            <w:pPr>
              <w:spacing w:after="0"/>
              <w:rPr>
                <w:sz w:val="21"/>
                <w:szCs w:val="21"/>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12,675</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140" w:type="dxa"/>
            <w:vAlign w:val="bottom"/>
          </w:tcPr>
          <w:p>
            <w:pPr>
              <w:ind w:left="780"/>
              <w:spacing w:after="0"/>
              <w:rPr>
                <w:sz w:val="20"/>
                <w:szCs w:val="20"/>
                <w:color w:val="auto"/>
              </w:rPr>
            </w:pPr>
            <w:r>
              <w:rPr>
                <w:rFonts w:ascii="Arial" w:cs="Arial" w:eastAsia="Arial" w:hAnsi="Arial"/>
                <w:sz w:val="18"/>
                <w:szCs w:val="18"/>
                <w:color w:val="auto"/>
              </w:rPr>
              <w:t>Total long-term liabilities</w:t>
            </w: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77,605</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7140" w:type="dxa"/>
            <w:vAlign w:val="bottom"/>
          </w:tcPr>
          <w:p>
            <w:pPr>
              <w:spacing w:after="0"/>
              <w:rPr>
                <w:sz w:val="20"/>
                <w:szCs w:val="20"/>
                <w:color w:val="auto"/>
              </w:rPr>
            </w:pPr>
            <w:r>
              <w:rPr>
                <w:rFonts w:ascii="Arial" w:cs="Arial" w:eastAsia="Arial" w:hAnsi="Arial"/>
                <w:sz w:val="18"/>
                <w:szCs w:val="18"/>
                <w:color w:val="auto"/>
              </w:rPr>
              <w:t>Contingent liabilities and commitments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D6F3E8"/>
          </w:tcPr>
          <w:p>
            <w:pPr>
              <w:ind w:left="300"/>
              <w:spacing w:after="0"/>
              <w:rPr>
                <w:sz w:val="20"/>
                <w:szCs w:val="20"/>
                <w:color w:val="auto"/>
              </w:rPr>
            </w:pPr>
            <w:r>
              <w:rPr>
                <w:rFonts w:ascii="Arial" w:cs="Arial" w:eastAsia="Arial" w:hAnsi="Arial"/>
                <w:sz w:val="18"/>
                <w:szCs w:val="18"/>
                <w:color w:val="auto"/>
                <w:w w:val="96"/>
              </w:rPr>
              <w:t>Capital stock common, par value $0.50; authorized 60,000 shares, issued 51,776 shares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29,381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Retained earnings</w:t>
            </w:r>
          </w:p>
        </w:tc>
        <w:tc>
          <w:tcPr>
            <w:tcW w:w="70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506,025</w:t>
            </w:r>
          </w:p>
        </w:tc>
        <w:tc>
          <w:tcPr>
            <w:tcW w:w="440" w:type="dxa"/>
            <w:vAlign w:val="bottom"/>
            <w:shd w:val="clear" w:color="auto" w:fill="D6F3E8"/>
          </w:tcPr>
          <w:p>
            <w:pPr>
              <w:spacing w:after="0"/>
              <w:rPr>
                <w:sz w:val="20"/>
                <w:szCs w:val="20"/>
                <w:color w:val="auto"/>
              </w:rPr>
            </w:pPr>
          </w:p>
        </w:tc>
        <w:tc>
          <w:tcPr>
            <w:tcW w:w="2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509,056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140" w:type="dxa"/>
            <w:vAlign w:val="bottom"/>
            <w:shd w:val="clear" w:color="auto" w:fill="D6F3E8"/>
          </w:tcPr>
          <w:p>
            <w:pPr>
              <w:ind w:left="340"/>
              <w:spacing w:after="0"/>
              <w:rPr>
                <w:sz w:val="20"/>
                <w:szCs w:val="20"/>
                <w:color w:val="auto"/>
              </w:rPr>
            </w:pPr>
            <w:r>
              <w:rPr>
                <w:rFonts w:ascii="Arial" w:cs="Arial" w:eastAsia="Arial" w:hAnsi="Arial"/>
                <w:sz w:val="18"/>
                <w:szCs w:val="18"/>
                <w:color w:val="auto"/>
              </w:rPr>
              <w:t>Treasury stock, at cost (22,740 and 22,223 shares, respectively)</w:t>
            </w:r>
          </w:p>
        </w:tc>
        <w:tc>
          <w:tcPr>
            <w:tcW w:w="70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(381,216)</w:t>
            </w:r>
          </w:p>
        </w:tc>
        <w:tc>
          <w:tcPr>
            <w:tcW w:w="26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(366,326)</w:t>
            </w:r>
          </w:p>
        </w:tc>
        <w:tc>
          <w:tcPr>
            <w:tcW w:w="0" w:type="dxa"/>
            <w:vAlign w:val="bottom"/>
          </w:tcPr>
          <w:p>
            <w:pPr>
              <w:spacing w:after="0"/>
              <w:rPr>
                <w:sz w:val="1"/>
                <w:szCs w:val="1"/>
                <w:color w:val="auto"/>
              </w:rPr>
            </w:pPr>
          </w:p>
        </w:tc>
      </w:tr>
      <w:tr>
        <w:trPr>
          <w:trHeight w:val="222"/>
        </w:trPr>
        <w:tc>
          <w:tcPr>
            <w:tcW w:w="714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D6F3E8"/>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188,010</w:t>
            </w:r>
          </w:p>
        </w:tc>
        <w:tc>
          <w:tcPr>
            <w:tcW w:w="440" w:type="dxa"/>
            <w:vAlign w:val="bottom"/>
            <w:tcBorders>
              <w:top w:val="single" w:sz="8" w:color="D6F3E8"/>
              <w:bottom w:val="single" w:sz="8" w:color="D6F3E8"/>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208,354</w:t>
            </w:r>
          </w:p>
        </w:tc>
        <w:tc>
          <w:tcPr>
            <w:tcW w:w="220" w:type="dxa"/>
            <w:vAlign w:val="bottom"/>
            <w:tcBorders>
              <w:top w:val="single" w:sz="8" w:color="D6F3E8"/>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D6F3E8"/>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357,628</w:t>
            </w:r>
          </w:p>
        </w:tc>
        <w:tc>
          <w:tcPr>
            <w:tcW w:w="440" w:type="dxa"/>
            <w:vAlign w:val="bottom"/>
            <w:shd w:val="clear" w:color="auto" w:fill="D6F3E8"/>
          </w:tcPr>
          <w:p>
            <w:pPr>
              <w:spacing w:after="0"/>
              <w:rPr>
                <w:sz w:val="19"/>
                <w:szCs w:val="19"/>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D6F3E8"/>
            </w:tcBorders>
          </w:tcPr>
          <w:p>
            <w:pPr>
              <w:spacing w:after="0" w:line="20" w:lineRule="exact"/>
              <w:rPr>
                <w:sz w:val="1"/>
                <w:szCs w:val="1"/>
                <w:color w:val="auto"/>
              </w:rPr>
            </w:pPr>
          </w:p>
        </w:tc>
        <w:tc>
          <w:tcPr>
            <w:tcW w:w="7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55" w:lineRule="exact"/>
        <w:rPr>
          <w:sz w:val="20"/>
          <w:szCs w:val="20"/>
          <w:color w:val="auto"/>
        </w:rPr>
      </w:pPr>
    </w:p>
    <w:p>
      <w:pPr>
        <w:ind w:left="8160"/>
        <w:spacing w:after="0"/>
        <w:tabs>
          <w:tab w:leader="none" w:pos="10120" w:val="left"/>
        </w:tabs>
        <w:rPr>
          <w:sz w:val="20"/>
          <w:szCs w:val="20"/>
          <w:color w:val="auto"/>
        </w:rPr>
      </w:pPr>
      <w:r>
        <w:rPr>
          <w:rFonts w:ascii="Arial" w:cs="Arial" w:eastAsia="Arial" w:hAnsi="Arial"/>
          <w:sz w:val="14"/>
          <w:szCs w:val="14"/>
          <w:b w:val="1"/>
          <w:bCs w:val="1"/>
          <w:color w:val="auto"/>
        </w:rPr>
        <w:t>Twenty-Seven</w:t>
      </w:r>
      <w:r>
        <w:rPr>
          <w:sz w:val="20"/>
          <w:szCs w:val="20"/>
          <w:color w:val="auto"/>
        </w:rPr>
        <w:tab/>
      </w:r>
      <w:r>
        <w:rPr>
          <w:rFonts w:ascii="Arial" w:cs="Arial" w:eastAsia="Arial" w:hAnsi="Arial"/>
          <w:sz w:val="12"/>
          <w:szCs w:val="12"/>
          <w:b w:val="1"/>
          <w:bCs w:val="1"/>
          <w:color w:val="auto"/>
        </w:rPr>
        <w:t>Twenty-Six</w:t>
      </w:r>
    </w:p>
    <w:p>
      <w:pPr>
        <w:spacing w:after="0" w:line="15"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0</wp:posOffset>
            </wp:positionV>
            <wp:extent cx="2135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ectPr>
          <w:pgSz w:w="11900" w:h="16843" w:orient="portrait"/>
          <w:cols w:equalWidth="0" w:num="1">
            <w:col w:w="11420"/>
          </w:cols>
          <w:pgMar w:left="240" w:top="33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March 1,</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73"/>
              <w:spacing w:after="0" w:line="149" w:lineRule="exact"/>
              <w:rPr>
                <w:sz w:val="20"/>
                <w:szCs w:val="20"/>
                <w:color w:val="auto"/>
              </w:rPr>
            </w:pPr>
            <w:r>
              <w:rPr>
                <w:rFonts w:ascii="Arial" w:cs="Arial" w:eastAsia="Arial" w:hAnsi="Arial"/>
                <w:sz w:val="14"/>
                <w:szCs w:val="14"/>
                <w:b w:val="1"/>
                <w:bCs w:val="1"/>
                <w:color w:val="auto"/>
              </w:rPr>
              <w:t>February 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100" w:type="dxa"/>
            <w:vAlign w:val="bottom"/>
          </w:tcPr>
          <w:p>
            <w:pPr>
              <w:spacing w:after="0"/>
              <w:rPr>
                <w:sz w:val="20"/>
                <w:szCs w:val="20"/>
                <w:color w:val="auto"/>
              </w:rPr>
            </w:pPr>
            <w:r>
              <w:rPr>
                <w:rFonts w:ascii="Arial" w:cs="Arial" w:eastAsia="Arial" w:hAnsi="Arial"/>
                <w:sz w:val="18"/>
                <w:szCs w:val="18"/>
                <w:color w:val="auto"/>
              </w:rPr>
              <w:t>Operating activities: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440" w:type="dxa"/>
            <w:vAlign w:val="bottom"/>
            <w:shd w:val="clear" w:color="auto" w:fill="D6F3E8"/>
          </w:tcPr>
          <w:p>
            <w:pPr>
              <w:spacing w:after="0"/>
              <w:rPr>
                <w:sz w:val="20"/>
                <w:szCs w:val="20"/>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w w:val="99"/>
              </w:rPr>
              <w:t>Adjustments to reconcile net income to net cash (used in) provided by operating activities: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2,910</w:t>
            </w:r>
          </w:p>
        </w:tc>
        <w:tc>
          <w:tcPr>
            <w:tcW w:w="4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Arial" w:cs="Arial" w:eastAsia="Arial" w:hAnsi="Arial"/>
                <w:sz w:val="18"/>
                <w:szCs w:val="18"/>
                <w:color w:val="auto"/>
              </w:rPr>
              <w:t>Postretirement benefit income and deferred compensation expense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Excess tax benefit of stock-based compensation</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56"/>
        </w:trPr>
        <w:tc>
          <w:tcPr>
            <w:tcW w:w="7100" w:type="dxa"/>
            <w:vAlign w:val="bottom"/>
          </w:tcPr>
          <w:p>
            <w:pPr>
              <w:ind w:left="340"/>
              <w:spacing w:after="0"/>
              <w:rPr>
                <w:sz w:val="20"/>
                <w:szCs w:val="20"/>
                <w:color w:val="auto"/>
              </w:rPr>
            </w:pPr>
            <w:r>
              <w:rPr>
                <w:rFonts w:ascii="Arial" w:cs="Arial" w:eastAsia="Arial" w:hAnsi="Arial"/>
                <w:sz w:val="18"/>
                <w:szCs w:val="18"/>
                <w:color w:val="auto"/>
              </w:rPr>
              <w:t>Increase in cash surrender value of life insurance policies</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Loss (gain) on disposal of property</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1"/>
        </w:trPr>
        <w:tc>
          <w:tcPr>
            <w:tcW w:w="7100" w:type="dxa"/>
            <w:vAlign w:val="bottom"/>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(27,269)</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56"/>
        </w:trPr>
        <w:tc>
          <w:tcPr>
            <w:tcW w:w="7100" w:type="dxa"/>
            <w:vAlign w:val="bottom"/>
          </w:tcPr>
          <w:p>
            <w:pPr>
              <w:ind w:left="340"/>
              <w:spacing w:after="0"/>
              <w:rPr>
                <w:sz w:val="20"/>
                <w:szCs w:val="20"/>
                <w:color w:val="auto"/>
              </w:rPr>
            </w:pPr>
            <w:r>
              <w:rPr>
                <w:rFonts w:ascii="Arial" w:cs="Arial" w:eastAsia="Arial" w:hAnsi="Arial"/>
                <w:sz w:val="18"/>
                <w:szCs w:val="18"/>
                <w:color w:val="auto"/>
              </w:rPr>
              <w:t>Receivables and prepaid assets</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(1,603)</w:t>
            </w: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(8,456)</w:t>
            </w:r>
          </w:p>
        </w:tc>
        <w:tc>
          <w:tcPr>
            <w:tcW w:w="220" w:type="dxa"/>
            <w:vAlign w:val="bottom"/>
            <w:shd w:val="clear" w:color="auto" w:fill="D6F3E8"/>
          </w:tcPr>
          <w:p>
            <w:pPr>
              <w:spacing w:after="0"/>
              <w:rPr>
                <w:sz w:val="22"/>
                <w:szCs w:val="22"/>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9,149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Arial" w:cs="Arial" w:eastAsia="Arial" w:hAnsi="Arial"/>
                <w:sz w:val="18"/>
                <w:szCs w:val="18"/>
                <w:color w:val="auto"/>
              </w:rPr>
              <w:t>Income taxes payable and unrecognized tax benefits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Postretirement and deferred compensation benefits</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(12,633)</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7100" w:type="dxa"/>
            <w:vAlign w:val="bottom"/>
          </w:tcPr>
          <w:p>
            <w:pPr>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Purchases of investments</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(228,069)</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(170,399)</w:t>
            </w: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Arial" w:cs="Arial" w:eastAsia="Arial" w:hAnsi="Arial"/>
                <w:sz w:val="18"/>
                <w:szCs w:val="18"/>
                <w:color w:val="auto"/>
              </w:rPr>
              <w:t>Proceeds from the sale or maturity of investments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276,519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145,800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(2,469)</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Arial" w:cs="Arial" w:eastAsia="Arial" w:hAnsi="Arial"/>
                <w:sz w:val="18"/>
                <w:szCs w:val="18"/>
                <w:color w:val="auto"/>
              </w:rPr>
              <w:t>Proceeds from the sale of property</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D6F3E8"/>
          </w:tcPr>
          <w:p>
            <w:pPr>
              <w:spacing w:after="0"/>
              <w:rPr>
                <w:sz w:val="22"/>
                <w:szCs w:val="22"/>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0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45,359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406"/>
        </w:trPr>
        <w:tc>
          <w:tcPr>
            <w:tcW w:w="7100" w:type="dxa"/>
            <w:vAlign w:val="bottom"/>
          </w:tcPr>
          <w:p>
            <w:pPr>
              <w:spacing w:after="0"/>
              <w:rPr>
                <w:sz w:val="20"/>
                <w:szCs w:val="20"/>
                <w:color w:val="auto"/>
              </w:rPr>
            </w:pPr>
            <w:r>
              <w:rPr>
                <w:rFonts w:ascii="Arial" w:cs="Arial" w:eastAsia="Arial" w:hAnsi="Arial"/>
                <w:sz w:val="18"/>
                <w:szCs w:val="18"/>
                <w:color w:val="auto"/>
              </w:rPr>
              <w:t>Financing activities:</w:t>
            </w: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Payments for purchase of common stock</w:t>
            </w:r>
          </w:p>
        </w:tc>
        <w:tc>
          <w:tcPr>
            <w:tcW w:w="7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(17,527)</w:t>
            </w:r>
          </w:p>
        </w:tc>
        <w:tc>
          <w:tcPr>
            <w:tcW w:w="22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100" w:type="dxa"/>
            <w:vAlign w:val="bottom"/>
          </w:tcPr>
          <w:p>
            <w:pPr>
              <w:ind w:left="340"/>
              <w:spacing w:after="0"/>
              <w:rPr>
                <w:sz w:val="20"/>
                <w:szCs w:val="20"/>
                <w:color w:val="auto"/>
              </w:rPr>
            </w:pPr>
            <w:r>
              <w:rPr>
                <w:rFonts w:ascii="Arial" w:cs="Arial" w:eastAsia="Arial" w:hAnsi="Arial"/>
                <w:sz w:val="18"/>
                <w:szCs w:val="18"/>
                <w:color w:val="auto"/>
              </w:rPr>
              <w:t>Payments of cash dividends</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(7,024)</w:t>
            </w: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31"/>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5,733</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00" w:type="dxa"/>
            <w:vAlign w:val="bottom"/>
            <w:tcBorders>
              <w:bottom w:val="single" w:sz="8" w:color="D6F3E8"/>
            </w:tcBorders>
          </w:tcPr>
          <w:p>
            <w:pPr>
              <w:ind w:left="340"/>
              <w:spacing w:after="0"/>
              <w:rPr>
                <w:sz w:val="20"/>
                <w:szCs w:val="20"/>
                <w:color w:val="auto"/>
              </w:rPr>
            </w:pPr>
            <w:r>
              <w:rPr>
                <w:rFonts w:ascii="Arial" w:cs="Arial" w:eastAsia="Arial" w:hAnsi="Arial"/>
                <w:sz w:val="18"/>
                <w:szCs w:val="18"/>
                <w:color w:val="auto"/>
              </w:rPr>
              <w:t>Excess tax benefit of stock-based compensation</w:t>
            </w:r>
          </w:p>
        </w:tc>
        <w:tc>
          <w:tcPr>
            <w:tcW w:w="740" w:type="dxa"/>
            <w:vAlign w:val="bottom"/>
            <w:tcBorders>
              <w:bottom w:val="single" w:sz="8" w:color="D6F3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D6F3E8"/>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00" w:type="dxa"/>
            <w:vAlign w:val="bottom"/>
            <w:shd w:val="clear" w:color="auto" w:fill="D6F3E8"/>
          </w:tcPr>
          <w:p>
            <w:pPr>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6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(24,079)</w:t>
            </w:r>
          </w:p>
        </w:tc>
        <w:tc>
          <w:tcPr>
            <w:tcW w:w="22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44"/>
        </w:trPr>
        <w:tc>
          <w:tcPr>
            <w:tcW w:w="71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D6F3E8"/>
          </w:tcPr>
          <w:p>
            <w:pPr>
              <w:spacing w:after="0"/>
              <w:rPr>
                <w:sz w:val="21"/>
                <w:szCs w:val="21"/>
                <w:color w:val="auto"/>
              </w:rPr>
            </w:pPr>
          </w:p>
        </w:tc>
        <w:tc>
          <w:tcPr>
            <w:tcW w:w="280" w:type="dxa"/>
            <w:vAlign w:val="bottom"/>
            <w:tcBorders>
              <w:bottom w:val="single" w:sz="8" w:color="auto"/>
            </w:tcBorders>
            <w:shd w:val="clear" w:color="auto" w:fill="D6F3E8"/>
          </w:tcPr>
          <w:p>
            <w:pPr>
              <w:spacing w:after="0"/>
              <w:rPr>
                <w:sz w:val="21"/>
                <w:szCs w:val="21"/>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440" w:type="dxa"/>
            <w:vAlign w:val="bottom"/>
            <w:shd w:val="clear" w:color="auto" w:fill="D6F3E8"/>
          </w:tcPr>
          <w:p>
            <w:pPr>
              <w:spacing w:after="0"/>
              <w:rPr>
                <w:sz w:val="21"/>
                <w:szCs w:val="21"/>
                <w:color w:val="auto"/>
              </w:rPr>
            </w:pPr>
          </w:p>
        </w:tc>
        <w:tc>
          <w:tcPr>
            <w:tcW w:w="220" w:type="dxa"/>
            <w:vAlign w:val="bottom"/>
            <w:tcBorders>
              <w:bottom w:val="single" w:sz="8" w:color="auto"/>
            </w:tcBorders>
            <w:shd w:val="clear" w:color="auto" w:fill="D6F3E8"/>
          </w:tcPr>
          <w:p>
            <w:pPr>
              <w:spacing w:after="0"/>
              <w:rPr>
                <w:sz w:val="21"/>
                <w:szCs w:val="21"/>
                <w:color w:val="auto"/>
              </w:rPr>
            </w:pPr>
          </w:p>
        </w:tc>
        <w:tc>
          <w:tcPr>
            <w:tcW w:w="12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15,536</w:t>
            </w:r>
          </w:p>
        </w:tc>
        <w:tc>
          <w:tcPr>
            <w:tcW w:w="4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Income taxes paid</w:t>
            </w: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1,494</w:t>
            </w:r>
          </w:p>
        </w:tc>
        <w:tc>
          <w:tcPr>
            <w:tcW w:w="440" w:type="dxa"/>
            <w:vAlign w:val="bottom"/>
            <w:shd w:val="clear" w:color="auto" w:fill="D6F3E8"/>
          </w:tcPr>
          <w:p>
            <w:pPr>
              <w:spacing w:after="0"/>
              <w:rPr>
                <w:sz w:val="21"/>
                <w:szCs w:val="21"/>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6,154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D6F3E8"/>
            </w:tcBorders>
          </w:tcPr>
          <w:p>
            <w:pPr>
              <w:spacing w:after="0" w:line="20" w:lineRule="exact"/>
              <w:rPr>
                <w:sz w:val="1"/>
                <w:szCs w:val="1"/>
                <w:color w:val="auto"/>
              </w:rPr>
            </w:pPr>
          </w:p>
        </w:tc>
        <w:tc>
          <w:tcPr>
            <w:tcW w:w="7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ectPr>
          <w:pgSz w:w="11900" w:h="16838" w:orient="portrait"/>
          <w:cols w:equalWidth="0" w:num="1">
            <w:col w:w="11420"/>
          </w:cols>
          <w:pgMar w:left="240" w:top="120" w:right="239" w:bottom="0" w:gutter="0" w:footer="0" w:header="0"/>
        </w:sectPr>
      </w:pPr>
    </w:p>
    <w:bookmarkStart w:id="4" w:name="page5"/>
    <w:bookmarkEnd w:id="4"/>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March 1, 2008 and the consolidated results of operations for the thirteen and twenty-seven weeks ended March 1, 2008 and the thirteen and twenty-six weeks ended February 24, 2007, and consolidated cash flows for the twenty-seven weeks ended March 1, 2008 and the twenty-six weeks ended February 24, 2007. The consolidated statement of income for the twenty-seven weeks ended March 1, 2008 is not necessarily indicative of the results to be expected for the full year. The balance sheet data as of August 25, 2007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25, 2007. Certain prior period information in the unaudited consolidated statements of cash flows has been reclassified to conform to the current year presentation.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 Plans</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 2004 Incentive Compensation Plan, as amended (the “Plan”), in place which allows us to grant stock options and other equity compensation to key employees and to nonemployee directors. In years prior to Fiscal 2007, stock-based compensation consisted primarily of stock options. In Fiscal 2007 and 2008,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w:t>
      </w:r>
    </w:p>
    <w:p>
      <w:pPr>
        <w:spacing w:after="0" w:line="167"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Total stock-based compensation expense included in our statements of income for the thirteen and twenty-seven weeks ended March 1, 2008 was $641,000 and $2.9 million, respectively, and for the thirteen and twenty-six weeks ended February 24, 2007 was $792,000 and $3.6 million, respectively. Of the $2.9 million, $2.3 million is related to the October 10, 2007 grant to employees of 109,200 shares and the December 19, 2007 grant to nonemployee directors of 10,500 shares of restricted stock. The remainder is related to the amortization of previously granted employee and nonemployee directors stock options and nonemployee directors stock units issued in lieu of their fees. We will continue to recognize compensation expense over the three-year vesting periods for awards granted prior to adoption of Statement of Financial Accounting Standards (SFAS) No. 123R, but for all awards granted after August 27, 2005, compensation expense will be recognized over the requisite service period of the award or over a period ending with an employee’s eligible retirement date, if earlier.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SFAS No. 157 defines fair value, establishes a framework for measuring fair value in generally accepted accounting principles, and expands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fair value measurements. This statement applies to other accounting pronouncements that require or permit fair value measurements where the FASB has previously determined that under those pronouncements, fair value is the appropriate measurement. This statement does not require any new fair value measurements, but may require companies to change current practice. This statement is effective for fiscal years beginning after November 15, 2007 (our Fiscal 2009). We are currently evaluating the impact of the adoption of SFAS No. 157 where fair value measurements are used.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April 2007, FASB ratified Emerging Issues Task Force (EITF) Issue No. 06-10, </w:t>
      </w:r>
      <w:r>
        <w:rPr>
          <w:rFonts w:ascii="Arial" w:cs="Arial" w:eastAsia="Arial" w:hAnsi="Arial"/>
          <w:sz w:val="16"/>
          <w:szCs w:val="16"/>
          <w:i w:val="1"/>
          <w:iCs w:val="1"/>
          <w:color w:val="auto"/>
        </w:rPr>
        <w:t>Accounting for Collateral Assignment Split-Dollar Life 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This statement establishes that companies will be required to recognize a liability for the postretirement benefit obligation related to a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assignment arrangement — in accordance with SFAS No. 106, </w:t>
      </w:r>
      <w:r>
        <w:rPr>
          <w:rFonts w:ascii="Arial" w:cs="Arial" w:eastAsia="Arial" w:hAnsi="Arial"/>
          <w:sz w:val="16"/>
          <w:szCs w:val="16"/>
          <w:i w:val="1"/>
          <w:iCs w:val="1"/>
          <w:color w:val="auto"/>
        </w:rPr>
        <w:t>Employers’ Accounting for Postretirement Benefits Other Than Pensions,</w:t>
      </w:r>
      <w:r>
        <w:rPr>
          <w:rFonts w:ascii="Arial" w:cs="Arial" w:eastAsia="Arial" w:hAnsi="Arial"/>
          <w:sz w:val="16"/>
          <w:szCs w:val="16"/>
          <w:color w:val="auto"/>
        </w:rPr>
        <w:t xml:space="preserve"> (if deemed part of a postretirement plan) or Accounting Principles Board Opinion 12, </w:t>
      </w:r>
      <w:r>
        <w:rPr>
          <w:rFonts w:ascii="Arial" w:cs="Arial" w:eastAsia="Arial" w:hAnsi="Arial"/>
          <w:sz w:val="16"/>
          <w:szCs w:val="16"/>
          <w:i w:val="1"/>
          <w:iCs w:val="1"/>
          <w:color w:val="auto"/>
        </w:rPr>
        <w:t>Omnibus Opinion — 1967,</w:t>
      </w:r>
      <w:r>
        <w:rPr>
          <w:rFonts w:ascii="Arial" w:cs="Arial" w:eastAsia="Arial" w:hAnsi="Arial"/>
          <w:sz w:val="16"/>
          <w:szCs w:val="16"/>
          <w:color w:val="auto"/>
        </w:rPr>
        <w:t xml:space="preserve"> (if not part of a plan) — if, based on the substantive agreement with the employee, the employer has agreed to maintain a life insurance policy during the postretirement period or provide a death benefit. The Task Force also reached a consensus that an employer should recognize and measure the associated asset on the basis of the terms of the collateral assignment arrangement. These requirements are effective for fiscal years beginning after December 15, 2007 (our Fiscal 2009). We are currently evaluating the impact of this pronouncement on our future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purchase investments and marketable securities that have been designated as “available-for-sale” in accordance with SFAS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Debt and Equity Securities</w:t>
      </w:r>
      <w:r>
        <w:rPr>
          <w:rFonts w:ascii="Arial" w:cs="Arial" w:eastAsia="Arial" w:hAnsi="Arial"/>
          <w:sz w:val="18"/>
          <w:szCs w:val="18"/>
          <w:color w:val="auto"/>
        </w:rPr>
        <w:t>. Available-for-sale securities are carried at fair value with the unrealized gains and losses reported in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Comprehensive Income,” a component of stockholders’ equity.</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March 1, 2008, we held $54.2 million (par value) of investments comprised of tax-exempt auction rate securities (ARSs), which are variable-rate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At March 1, 2008, the majority of the ARSs we held were AAA/Aaa rated, with most collateralized by student loans guaranteed by the U.S. government under the Federal Family Education Loan Program and the majority of remaining securities backed by monoline bond insurance companies. Until February 2008, the auction rate securities market was highly liquid. Starting the week of February 11, 2008, a substantial number of auctions “failed,” meaning that there was not enough demand to sell all of the securities that holders desired to sell at auction. The immediate effect of a failed auction is that such holders cannot sell the securities at auction and the interest rate on the security generally resets to a maximum auction rate. In the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w:t>
      </w:r>
    </w:p>
    <w:p>
      <w:pPr>
        <w:spacing w:after="0" w:line="18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March 1, 2008, there was insufficient observable ARS market information available to determine the fair value of our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w:t>
      </w:r>
    </w:p>
    <w:p>
      <w:pPr>
        <w:sectPr>
          <w:pgSz w:w="11900" w:h="16838" w:orient="portrait"/>
          <w:cols w:equalWidth="0" w:num="1">
            <w:col w:w="11420"/>
          </w:cols>
          <w:pgMar w:left="240" w:top="347" w:right="239" w:bottom="0" w:gutter="0" w:footer="0" w:header="0"/>
        </w:sectPr>
      </w:pPr>
    </w:p>
    <w:bookmarkStart w:id="5" w:name="page6"/>
    <w:bookmarkEnd w:id="5"/>
    <w:p>
      <w:pPr>
        <w:ind w:right="340"/>
        <w:spacing w:after="0" w:line="268" w:lineRule="auto"/>
        <w:rPr>
          <w:sz w:val="20"/>
          <w:szCs w:val="20"/>
          <w:color w:val="auto"/>
        </w:rPr>
      </w:pPr>
      <w:r>
        <w:rPr>
          <w:rFonts w:ascii="Arial" w:cs="Arial" w:eastAsia="Arial" w:hAnsi="Arial"/>
          <w:sz w:val="18"/>
          <w:szCs w:val="18"/>
          <w:color w:val="auto"/>
        </w:rPr>
        <w:t>broker quotes from independent evaluators. Based on this analysis, we recorded a temporary impairment of $3.4 million related to our ARS investments as of March 1, 2008. We believe this temporary impairment is primarily attributable to the limited liquidity of these investments.</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no reason to believe that any of the underlying issuers of our ARSs are presently at risk of default. Through April 4, 2008, we have continued to receive interest payments on the ARSs in accordance with their terms. We believe we will ultimately be able to liquidate our investments without significant loss primarily due to the collateral securing most of the ARSs. However, it could take until final maturity of the ARSs (up to 33 years) to realize our investments’ par value. Due to these recent changes and uncertainty in the ARS market, we believe the recovery period for these investments is likely to be longer than 12 months and as a result, we have classified these investments as long-term as of March 1, 2008.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March 1, 2008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August 25, 2007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4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Finished goods</w:t>
            </w:r>
          </w:p>
        </w:tc>
        <w:tc>
          <w:tcPr>
            <w:tcW w:w="284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52,536</w:t>
            </w: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45,489</w:t>
            </w:r>
          </w:p>
        </w:tc>
        <w:tc>
          <w:tcPr>
            <w:tcW w:w="180" w:type="dxa"/>
            <w:vAlign w:val="bottom"/>
            <w:tcBorders>
              <w:top w:val="single" w:sz="8" w:color="D6F3E8"/>
            </w:tcBorders>
            <w:shd w:val="clear" w:color="auto" w:fill="D6F3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D6F3E8"/>
          </w:tcPr>
          <w:p>
            <w:pPr>
              <w:spacing w:after="0"/>
              <w:rPr>
                <w:sz w:val="20"/>
                <w:szCs w:val="20"/>
                <w:color w:val="auto"/>
              </w:rPr>
            </w:pPr>
            <w:r>
              <w:rPr>
                <w:rFonts w:ascii="Arial" w:cs="Arial" w:eastAsia="Arial" w:hAnsi="Arial"/>
                <w:sz w:val="18"/>
                <w:szCs w:val="18"/>
                <w:color w:val="auto"/>
              </w:rPr>
              <w:t>Work-in-process</w:t>
            </w:r>
          </w:p>
        </w:tc>
        <w:tc>
          <w:tcPr>
            <w:tcW w:w="2840" w:type="dxa"/>
            <w:vAlign w:val="bottom"/>
            <w:shd w:val="clear" w:color="auto" w:fill="D6F3E8"/>
          </w:tcPr>
          <w:p>
            <w:pPr>
              <w:spacing w:after="0"/>
              <w:rPr>
                <w:sz w:val="19"/>
                <w:szCs w:val="19"/>
                <w:color w:val="auto"/>
              </w:rPr>
            </w:pPr>
          </w:p>
        </w:tc>
        <w:tc>
          <w:tcPr>
            <w:tcW w:w="36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36,963</w:t>
            </w:r>
          </w:p>
        </w:tc>
        <w:tc>
          <w:tcPr>
            <w:tcW w:w="2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41,417</w:t>
            </w:r>
          </w:p>
        </w:tc>
        <w:tc>
          <w:tcPr>
            <w:tcW w:w="180" w:type="dxa"/>
            <w:vAlign w:val="bottom"/>
            <w:shd w:val="clear" w:color="auto" w:fill="D6F3E8"/>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Raw materials</w:t>
            </w:r>
          </w:p>
        </w:tc>
        <w:tc>
          <w:tcPr>
            <w:tcW w:w="2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73,073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47,007</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840" w:type="dxa"/>
            <w:vAlign w:val="bottom"/>
            <w:tcBorders>
              <w:top w:val="single" w:sz="8" w:color="D6F3E8"/>
            </w:tcBorders>
            <w:shd w:val="clear" w:color="auto" w:fill="D6F3E8"/>
          </w:tcPr>
          <w:p>
            <w:pPr>
              <w:spacing w:after="0"/>
              <w:rPr>
                <w:sz w:val="18"/>
                <w:szCs w:val="18"/>
                <w:color w:val="auto"/>
              </w:rPr>
            </w:pPr>
          </w:p>
        </w:tc>
        <w:tc>
          <w:tcPr>
            <w:tcW w:w="284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162,572</w:t>
            </w: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133,913</w:t>
            </w:r>
          </w:p>
        </w:tc>
        <w:tc>
          <w:tcPr>
            <w:tcW w:w="180" w:type="dxa"/>
            <w:vAlign w:val="bottom"/>
            <w:tcBorders>
              <w:top w:val="single" w:sz="8" w:color="D6F3E8"/>
            </w:tcBorders>
            <w:shd w:val="clear" w:color="auto" w:fill="D6F3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LIFO reserve</w:t>
            </w:r>
          </w:p>
        </w:tc>
        <w:tc>
          <w:tcPr>
            <w:tcW w:w="2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(34,095)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(32,705)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840" w:type="dxa"/>
            <w:vAlign w:val="bottom"/>
            <w:tcBorders>
              <w:top w:val="single" w:sz="8" w:color="D6F3E8"/>
              <w:bottom w:val="single" w:sz="8" w:color="D6F3E8"/>
            </w:tcBorders>
            <w:shd w:val="clear" w:color="auto" w:fill="D6F3E8"/>
          </w:tcPr>
          <w:p>
            <w:pPr>
              <w:spacing w:after="0"/>
              <w:rPr>
                <w:sz w:val="18"/>
                <w:szCs w:val="18"/>
                <w:color w:val="auto"/>
              </w:rPr>
            </w:pPr>
          </w:p>
        </w:tc>
        <w:tc>
          <w:tcPr>
            <w:tcW w:w="3200" w:type="dxa"/>
            <w:vAlign w:val="bottom"/>
            <w:tcBorders>
              <w:top w:val="single" w:sz="8" w:color="D6F3E8"/>
              <w:bottom w:val="single" w:sz="8" w:color="D6F3E8"/>
            </w:tcBorders>
            <w:gridSpan w:val="2"/>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128,477</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101,208</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40" w:type="dxa"/>
            <w:vAlign w:val="bottom"/>
            <w:vMerge w:val="restart"/>
          </w:tcPr>
          <w:p>
            <w:pPr>
              <w:jc w:val="right"/>
              <w:ind w:right="99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-833120</wp:posOffset>
            </wp:positionV>
            <wp:extent cx="111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-833120</wp:posOffset>
            </wp:positionV>
            <wp:extent cx="231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Warranty</w:t>
      </w:r>
    </w:p>
    <w:p>
      <w:pPr>
        <w:spacing w:after="0" w:line="23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Twenty-Seven</w:t>
            </w:r>
          </w:p>
        </w:tc>
        <w:tc>
          <w:tcPr>
            <w:tcW w:w="20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Twenty-Six</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Weeks Ended</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1"/>
              </w:rPr>
              <w:t>March 1,</w:t>
            </w:r>
          </w:p>
        </w:tc>
        <w:tc>
          <w:tcPr>
            <w:tcW w:w="200" w:type="dxa"/>
            <w:vAlign w:val="bottom"/>
          </w:tcPr>
          <w:p>
            <w:pPr>
              <w:spacing w:after="0"/>
              <w:rPr>
                <w:sz w:val="11"/>
                <w:szCs w:val="11"/>
                <w:color w:val="auto"/>
              </w:rPr>
            </w:pPr>
          </w:p>
        </w:tc>
        <w:tc>
          <w:tcPr>
            <w:tcW w:w="1040" w:type="dxa"/>
            <w:vAlign w:val="bottom"/>
          </w:tcPr>
          <w:p>
            <w:pPr>
              <w:jc w:val="center"/>
              <w:ind w:right="141"/>
              <w:spacing w:after="0" w:line="129" w:lineRule="exact"/>
              <w:rPr>
                <w:sz w:val="20"/>
                <w:szCs w:val="20"/>
                <w:color w:val="auto"/>
              </w:rPr>
            </w:pPr>
            <w:r>
              <w:rPr>
                <w:rFonts w:ascii="Arial" w:cs="Arial" w:eastAsia="Arial" w:hAnsi="Arial"/>
                <w:sz w:val="14"/>
                <w:szCs w:val="14"/>
                <w:b w:val="1"/>
                <w:bCs w:val="1"/>
                <w:color w:val="auto"/>
                <w:w w:val="88"/>
              </w:rPr>
              <w:t>February 24,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9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11,259</w:t>
            </w:r>
          </w:p>
        </w:tc>
        <w:tc>
          <w:tcPr>
            <w:tcW w:w="380" w:type="dxa"/>
            <w:vAlign w:val="bottom"/>
            <w:tcBorders>
              <w:top w:val="single" w:sz="8" w:color="D6F3E8"/>
              <w:right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9,523</w:t>
            </w:r>
          </w:p>
        </w:tc>
        <w:tc>
          <w:tcPr>
            <w:tcW w:w="1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19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50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(6,191)</w:t>
            </w:r>
          </w:p>
        </w:tc>
        <w:tc>
          <w:tcPr>
            <w:tcW w:w="20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Borders>
              <w:right w:val="single" w:sz="8" w:color="D6F3E8"/>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21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11,446</w:t>
            </w:r>
          </w:p>
        </w:tc>
        <w:tc>
          <w:tcPr>
            <w:tcW w:w="380" w:type="dxa"/>
            <w:vAlign w:val="bottom"/>
          </w:tcPr>
          <w:p>
            <w:pPr>
              <w:spacing w:after="0"/>
              <w:rPr>
                <w:sz w:val="19"/>
                <w:szCs w:val="19"/>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claims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are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Twenty-Seven</w:t>
            </w:r>
          </w:p>
        </w:tc>
        <w:tc>
          <w:tcPr>
            <w:tcW w:w="20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Twenty-Six</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Weeks Ended</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1"/>
              </w:rPr>
              <w:t>March 1,</w:t>
            </w:r>
          </w:p>
        </w:tc>
        <w:tc>
          <w:tcPr>
            <w:tcW w:w="200" w:type="dxa"/>
            <w:vAlign w:val="bottom"/>
          </w:tcPr>
          <w:p>
            <w:pPr>
              <w:spacing w:after="0"/>
              <w:rPr>
                <w:sz w:val="11"/>
                <w:szCs w:val="11"/>
                <w:color w:val="auto"/>
              </w:rPr>
            </w:pPr>
          </w:p>
        </w:tc>
        <w:tc>
          <w:tcPr>
            <w:tcW w:w="1040" w:type="dxa"/>
            <w:vAlign w:val="bottom"/>
          </w:tcPr>
          <w:p>
            <w:pPr>
              <w:jc w:val="center"/>
              <w:ind w:right="181"/>
              <w:spacing w:after="0" w:line="129" w:lineRule="exact"/>
              <w:rPr>
                <w:sz w:val="20"/>
                <w:szCs w:val="20"/>
                <w:color w:val="auto"/>
              </w:rPr>
            </w:pPr>
            <w:r>
              <w:rPr>
                <w:rFonts w:ascii="Arial" w:cs="Arial" w:eastAsia="Arial" w:hAnsi="Arial"/>
                <w:sz w:val="14"/>
                <w:szCs w:val="14"/>
                <w:b w:val="1"/>
                <w:bCs w:val="1"/>
                <w:color w:val="auto"/>
                <w:w w:val="88"/>
              </w:rPr>
              <w:t>February 24,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9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253</w:t>
            </w:r>
          </w:p>
        </w:tc>
        <w:tc>
          <w:tcPr>
            <w:tcW w:w="380" w:type="dxa"/>
            <w:vAlign w:val="bottom"/>
            <w:tcBorders>
              <w:top w:val="single" w:sz="8" w:color="D6F3E8"/>
              <w:right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19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50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Borders>
              <w:right w:val="single" w:sz="8" w:color="D6F3E8"/>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21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9"/>
                <w:szCs w:val="19"/>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6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On August 26, 2007, we adopted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interim periods, disclosure, and transition with respect to the application of the new accounting standard. As a result of adoption in the first quarter 2008, we recognized a cumulative effect adjustment of $8.5 million as a reduction to the balance of retained earnings, an increase of $7.1 million in deferred tax assets and an increase of $15.6 million in tax liabilities. The amount of unrecognized tax benefits totaled $21.8 million ($19.6 million non-current, $2.2 million current), of which approximately $15.4 million could have an impact on the Company’s effective tax rate, if uncertain positions are ultimately resolved. It is our policy to recognize interest and penalties accrued relative to unrecognized tax benefits into tax expense. Also as a result of adoption, $8.3 million was accrued for interest and penalties.</w:t>
      </w:r>
    </w:p>
    <w:p>
      <w:pPr>
        <w:spacing w:after="0" w:line="17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During the second quarter, the Company increased its unrecognized tax benefits by approximately $900,000. The Company also settled liabilities of approximately $800,000 and decreased its unrecognized tax benefits by approximately $1.4 million for positions taken related to prior periods. If the remaining</w:t>
      </w:r>
    </w:p>
    <w:p>
      <w:pPr>
        <w:sectPr>
          <w:pgSz w:w="11900" w:h="16838"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uncertain positions are ultimately resolved in the manner the Company expects, approximately $7.1 million could have a positive impact on our effective tax 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$7.8 million is accrued for interest and penalties, which is a reduction of approximately $500,000 from the first quarter.</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 number of years may elapse before an uncertain tax position is audited and finally resolved, and is often very difficult to predict the outcome of such audits. Our Fiscal 2005 federal tax return was recently audited by the Internal Revenue Service and as a result of this audit, the IRS recommended no changes be made. Our Federal returns are not subject to examination prior to Fiscal 2004. Periodically, various state and local jurisdictions conduct audits, therefore, a variety of years are subject to state and local jurisdiction review.</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that it is reasonably possible that the total amount of unrecognized tax benefits as of March 1, 2008 will decrease by $11.8 million within the next twelve months from expected settlements or payments of uncertain tax positions. As a result, we have classified this portion as a current liability. Of this amount, approximately $4.5 million could positively impact our effective tax rate if ultimately resolved in the manner the Company expects. Actual settlements or payments may differ materially from this estimate.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and Retiree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long-term postretirement health care and deferred compensation benefits are as follows:</w:t>
      </w:r>
    </w:p>
    <w:p>
      <w:pPr>
        <w:sectPr>
          <w:pgSz w:w="11900" w:h="16838" w:orient="portrait"/>
          <w:cols w:equalWidth="0" w:num="1">
            <w:col w:w="11420"/>
          </w:cols>
          <w:pgMar w:left="240" w:top="131" w:right="239" w:bottom="0" w:gutter="0" w:footer="0" w:header="0"/>
        </w:sectPr>
      </w:pPr>
    </w:p>
    <w:p>
      <w:pPr>
        <w:spacing w:after="0" w:line="36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Postretirement health care benefit cost (1)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Non-qualified deferred compensation (2)</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Executive share option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Executive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Total postretirement health care and deferred compensation benefits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38"/>
              <w:spacing w:after="0"/>
              <w:rPr>
                <w:sz w:val="20"/>
                <w:szCs w:val="20"/>
                <w:color w:val="auto"/>
              </w:rPr>
            </w:pPr>
            <w:r>
              <w:rPr>
                <w:rFonts w:ascii="Arial" w:cs="Arial" w:eastAsia="Arial" w:hAnsi="Arial"/>
                <w:sz w:val="14"/>
                <w:szCs w:val="14"/>
                <w:b w:val="1"/>
                <w:bCs w:val="1"/>
                <w:color w:val="auto"/>
              </w:rPr>
              <w:t>August 25,</w:t>
            </w:r>
          </w:p>
        </w:tc>
      </w:tr>
      <w:tr>
        <w:trPr>
          <w:trHeight w:val="16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2007</w:t>
            </w:r>
          </w:p>
        </w:tc>
      </w:tr>
      <w:tr>
        <w:trPr>
          <w:trHeight w:val="215"/>
        </w:trPr>
        <w:tc>
          <w:tcPr>
            <w:tcW w:w="20" w:type="dxa"/>
            <w:vAlign w:val="bottom"/>
          </w:tcPr>
          <w:p>
            <w:pPr>
              <w:spacing w:after="0"/>
              <w:rPr>
                <w:sz w:val="18"/>
                <w:szCs w:val="18"/>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32,348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31,581</w:t>
            </w: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24,879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25,041</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12,675</w:t>
            </w:r>
          </w:p>
        </w:tc>
      </w:tr>
      <w:tr>
        <w:trPr>
          <w:trHeight w:val="244"/>
        </w:trPr>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40" w:type="dxa"/>
            <w:vAlign w:val="bottom"/>
            <w:gridSpan w:val="2"/>
          </w:tcPr>
          <w:p>
            <w:pPr>
              <w:jc w:val="right"/>
              <w:ind w:right="11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68,978</w:t>
            </w:r>
          </w:p>
        </w:tc>
        <w:tc>
          <w:tcPr>
            <w:tcW w:w="360" w:type="dxa"/>
            <w:vAlign w:val="bottom"/>
          </w:tcPr>
          <w:p>
            <w:pPr>
              <w:spacing w:after="0"/>
              <w:rPr>
                <w:sz w:val="19"/>
                <w:szCs w:val="19"/>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69,319</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131" w:right="239" w:bottom="0" w:gutter="0" w:footer="0" w:header="0"/>
          <w:type w:val="continuous"/>
        </w:sectPr>
      </w:pPr>
    </w:p>
    <w:p>
      <w:pPr>
        <w:spacing w:after="0" w:line="8" w:lineRule="exact"/>
        <w:rPr>
          <w:sz w:val="20"/>
          <w:szCs w:val="20"/>
          <w:color w:val="auto"/>
        </w:rPr>
      </w:pPr>
    </w:p>
    <w:p>
      <w:pPr>
        <w:ind w:left="340" w:right="18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$1.1 million and $979,000 as of March 1, 2008 and August 25, 2007, respectively, is included within other accrued expenses.</w:t>
      </w:r>
    </w:p>
    <w:p>
      <w:pPr>
        <w:ind w:left="340" w:right="26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$1.8 million and $1.6 million as of March 1, 2008 and August 25, 2007, respectively, is included within accrued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1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provide certain health care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August 25, 2007, we adopted SFAS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which requires that we recognize the overfunded or underfunded status of our retiree health care plan as an asset or liability in our Consolidated Balance Sheets as of August 25, 2007, with changes in the funded status, net of tax, being recognized through other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consisted of the following components:</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amortization and deferral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Pr>
          <w:p>
            <w:pPr>
              <w:spacing w:after="0"/>
              <w:rPr>
                <w:sz w:val="15"/>
                <w:szCs w:val="15"/>
                <w:color w:val="auto"/>
              </w:rPr>
            </w:pPr>
          </w:p>
        </w:tc>
        <w:tc>
          <w:tcPr>
            <w:tcW w:w="172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86"/>
              </w:rPr>
              <w:t>Thirteen Weeks</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Twenty-Seven</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Twenty-Six</w:t>
            </w:r>
          </w:p>
        </w:tc>
      </w:tr>
      <w:tr>
        <w:trPr>
          <w:trHeight w:val="163"/>
        </w:trPr>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Ended</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20" w:type="dxa"/>
            <w:vAlign w:val="bottom"/>
          </w:tcPr>
          <w:p>
            <w:pPr>
              <w:spacing w:after="0"/>
              <w:rPr>
                <w:sz w:val="11"/>
                <w:szCs w:val="11"/>
                <w:color w:val="auto"/>
              </w:rPr>
            </w:pPr>
          </w:p>
        </w:tc>
        <w:tc>
          <w:tcPr>
            <w:tcW w:w="1480" w:type="dxa"/>
            <w:vAlign w:val="bottom"/>
            <w:gridSpan w:val="2"/>
          </w:tcPr>
          <w:p>
            <w:pPr>
              <w:jc w:val="center"/>
              <w:ind w:right="612"/>
              <w:spacing w:after="0" w:line="129" w:lineRule="exact"/>
              <w:rPr>
                <w:sz w:val="20"/>
                <w:szCs w:val="20"/>
                <w:color w:val="auto"/>
              </w:rPr>
            </w:pPr>
            <w:r>
              <w:rPr>
                <w:rFonts w:ascii="Arial" w:cs="Arial" w:eastAsia="Arial" w:hAnsi="Arial"/>
                <w:sz w:val="14"/>
                <w:szCs w:val="14"/>
                <w:b w:val="1"/>
                <w:bCs w:val="1"/>
                <w:color w:val="auto"/>
                <w:w w:val="91"/>
              </w:rPr>
              <w:t>March 1,</w:t>
            </w:r>
          </w:p>
        </w:tc>
        <w:tc>
          <w:tcPr>
            <w:tcW w:w="240" w:type="dxa"/>
            <w:vAlign w:val="bottom"/>
          </w:tcPr>
          <w:p>
            <w:pPr>
              <w:spacing w:after="0"/>
              <w:rPr>
                <w:sz w:val="11"/>
                <w:szCs w:val="11"/>
                <w:color w:val="auto"/>
              </w:rPr>
            </w:pPr>
          </w:p>
        </w:tc>
        <w:tc>
          <w:tcPr>
            <w:tcW w:w="100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w w:val="86"/>
              </w:rPr>
              <w:t>February 24,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1"/>
              </w:rPr>
              <w:t>March 1,</w:t>
            </w:r>
          </w:p>
        </w:tc>
        <w:tc>
          <w:tcPr>
            <w:tcW w:w="200" w:type="dxa"/>
            <w:vAlign w:val="bottom"/>
          </w:tcPr>
          <w:p>
            <w:pPr>
              <w:spacing w:after="0"/>
              <w:rPr>
                <w:sz w:val="11"/>
                <w:szCs w:val="11"/>
                <w:color w:val="auto"/>
              </w:rPr>
            </w:pPr>
          </w:p>
        </w:tc>
        <w:tc>
          <w:tcPr>
            <w:tcW w:w="1040" w:type="dxa"/>
            <w:vAlign w:val="bottom"/>
          </w:tcPr>
          <w:p>
            <w:pPr>
              <w:jc w:val="center"/>
              <w:ind w:right="141"/>
              <w:spacing w:after="0" w:line="129" w:lineRule="exact"/>
              <w:rPr>
                <w:sz w:val="20"/>
                <w:szCs w:val="20"/>
                <w:color w:val="auto"/>
              </w:rPr>
            </w:pPr>
            <w:r>
              <w:rPr>
                <w:rFonts w:ascii="Arial" w:cs="Arial" w:eastAsia="Arial" w:hAnsi="Arial"/>
                <w:sz w:val="14"/>
                <w:szCs w:val="14"/>
                <w:b w:val="1"/>
                <w:bCs w:val="1"/>
                <w:color w:val="auto"/>
                <w:w w:val="88"/>
              </w:rPr>
              <w:t>February 24,</w:t>
            </w:r>
          </w:p>
        </w:tc>
        <w:tc>
          <w:tcPr>
            <w:tcW w:w="100" w:type="dxa"/>
            <w:vAlign w:val="bottom"/>
          </w:tcPr>
          <w:p>
            <w:pPr>
              <w:spacing w:after="0"/>
              <w:rPr>
                <w:sz w:val="11"/>
                <w:szCs w:val="11"/>
                <w:color w:val="auto"/>
              </w:rPr>
            </w:pPr>
          </w:p>
        </w:tc>
      </w:tr>
      <w:tr>
        <w:trPr>
          <w:trHeight w:val="161"/>
        </w:trPr>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15"/>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681"/>
              <w:spacing w:after="0"/>
              <w:rPr>
                <w:sz w:val="20"/>
                <w:szCs w:val="20"/>
                <w:color w:val="auto"/>
              </w:rPr>
            </w:pPr>
            <w:r>
              <w:rPr>
                <w:rFonts w:ascii="Arial" w:cs="Arial" w:eastAsia="Arial" w:hAnsi="Arial"/>
                <w:sz w:val="18"/>
                <w:szCs w:val="18"/>
                <w:color w:val="auto"/>
                <w:w w:val="86"/>
              </w:rPr>
              <w:t>491</w:t>
            </w:r>
          </w:p>
        </w:tc>
        <w:tc>
          <w:tcPr>
            <w:tcW w:w="46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1,020</w:t>
            </w:r>
          </w:p>
        </w:tc>
        <w:tc>
          <w:tcPr>
            <w:tcW w:w="4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1020" w:type="dxa"/>
            <w:vAlign w:val="bottom"/>
          </w:tcPr>
          <w:p>
            <w:pPr>
              <w:jc w:val="center"/>
              <w:ind w:left="681"/>
              <w:spacing w:after="0"/>
              <w:rPr>
                <w:sz w:val="20"/>
                <w:szCs w:val="20"/>
                <w:color w:val="auto"/>
              </w:rPr>
            </w:pPr>
            <w:r>
              <w:rPr>
                <w:rFonts w:ascii="Arial" w:cs="Arial" w:eastAsia="Arial" w:hAnsi="Arial"/>
                <w:sz w:val="18"/>
                <w:szCs w:val="18"/>
                <w:color w:val="auto"/>
                <w:w w:val="86"/>
              </w:rPr>
              <w:t>180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58"/>
        </w:trPr>
        <w:tc>
          <w:tcPr>
            <w:tcW w:w="220" w:type="dxa"/>
            <w:vAlign w:val="bottom"/>
          </w:tcPr>
          <w:p>
            <w:pPr>
              <w:spacing w:after="0"/>
              <w:rPr>
                <w:sz w:val="22"/>
                <w:szCs w:val="22"/>
                <w:color w:val="auto"/>
              </w:rPr>
            </w:pPr>
          </w:p>
        </w:tc>
        <w:tc>
          <w:tcPr>
            <w:tcW w:w="1480" w:type="dxa"/>
            <w:vAlign w:val="bottom"/>
            <w:gridSpan w:val="2"/>
          </w:tcPr>
          <w:p>
            <w:pPr>
              <w:jc w:val="center"/>
              <w:ind w:left="221"/>
              <w:spacing w:after="0"/>
              <w:rPr>
                <w:sz w:val="20"/>
                <w:szCs w:val="20"/>
                <w:color w:val="auto"/>
              </w:rPr>
            </w:pPr>
            <w:r>
              <w:rPr>
                <w:rFonts w:ascii="Arial" w:cs="Arial" w:eastAsia="Arial" w:hAnsi="Arial"/>
                <w:sz w:val="18"/>
                <w:szCs w:val="18"/>
                <w:color w:val="auto"/>
                <w:w w:val="90"/>
              </w:rPr>
              <w:t>(809)</w:t>
            </w:r>
          </w:p>
        </w:tc>
        <w:tc>
          <w:tcPr>
            <w:tcW w:w="2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(1,593)</w:t>
            </w:r>
          </w:p>
        </w:tc>
      </w:tr>
      <w:tr>
        <w:trPr>
          <w:trHeight w:val="20"/>
        </w:trPr>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Borders>
              <w:right w:val="single" w:sz="8" w:color="D6F3E8"/>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r>
      <w:tr>
        <w:trPr>
          <w:trHeight w:val="250"/>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center"/>
              <w:ind w:left="221"/>
              <w:spacing w:after="0"/>
              <w:rPr>
                <w:sz w:val="20"/>
                <w:szCs w:val="20"/>
                <w:color w:val="auto"/>
              </w:rPr>
            </w:pPr>
            <w:r>
              <w:rPr>
                <w:rFonts w:ascii="Arial" w:cs="Arial" w:eastAsia="Arial" w:hAnsi="Arial"/>
                <w:sz w:val="18"/>
                <w:szCs w:val="18"/>
                <w:color w:val="auto"/>
                <w:w w:val="90"/>
              </w:rPr>
              <w:t>(138)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3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(286)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-650875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-359410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420"/>
          </w:cols>
          <w:pgMar w:left="240" w:top="131" w:right="239" w:bottom="0" w:gutter="0" w:footer="0" w:header="0"/>
          <w:type w:val="continuous"/>
        </w:sectPr>
      </w:pPr>
    </w:p>
    <w:p>
      <w:pPr>
        <w:spacing w:after="0" w:line="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accounting purposes, we recognized income from the plan for the first and second quarters of both Fiscal 2008 and Fiscal 2007 due to the amortization of the cost savings from the September 2004 amendment to the plan. However, we are still obligated to pay the cost of previously accrued and earned retiree benefits and paid approximately $290,000 and $293,000 of such benefits for the thirteen weeks ended March 1, 2008 and February 24, 2007, respectively, and $533,000 and $462,000 for the twenty-seven weeks ended March 1, 2008 and the twenty-six weeks ended February 24, 2007,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repurchase agreements provide that, in the event of default by a dealer under its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$339.9 million and $308.2 million at March 1, 2008 and August 25, 2007, respectively. There were no losses under these repurchase agreements for the twenty-seven weeks ended March 1, 2008 compared to losses of $4,000 for the twenty-six weeks ended February 24, 2007. Repurchase reserves under our repurchase agreements at March 1, 2008 and August 25, 2007 were not significant. Upon resale of the repurchased units, we do not record the transaction as revenue. The difference between the repurchase price and the net proceeds received from reselling the units is charged against our reserve for losses on repurchases.</w:t>
      </w:r>
    </w:p>
    <w:p>
      <w:pPr>
        <w:sectPr>
          <w:pgSz w:w="11900" w:h="16838" w:orient="portrait"/>
          <w:cols w:equalWidth="0" w:num="1">
            <w:col w:w="11420"/>
          </w:cols>
          <w:pgMar w:left="240" w:top="131" w:right="239" w:bottom="0" w:gutter="0" w:footer="0" w:header="0"/>
          <w:type w:val="continuous"/>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Guaranty Agreement states that we will guarantee the first 60 monthly lease payments (totaling approximately $1.6 million of which $364,000 was remaining as of March 1, 2008). In the event of rental default before August 2009 and the Supplier’s failure to correct the default, the Landlord shall give us (Guarantor) written notice of its intent to terminate said lease. At the time of that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$1.5 million as of March 1, 2008. As of March 1, 2008, the Supplier is current with its lease payment obligations to the Landlord. In August 2004, approximately $315,000 was recorded by us as the estimated fair value for the guarantee. As of March 1, 2008, the fair value of the guarantee was approximately $88,000 and presented as prepaid expenses and other accrued liabilities in the accompanying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Declared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December 19, 2007, the Board of Directors declared a quarterly cash dividend of $0.12 per common share, which was paid on April 7, 2008 to shareholders of record on March 7, 2008, which has been recorded as an accrued liability in the accompanying balance sheet as of March 1, 2008.</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March 26, 2008, the Board of Directors declared a quarterly cash dividend of $0.12 per common share, payable July 8, 2008 to shareholders of record on June 6,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Repurchase of Outstanding Stock</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June 20, 2007, the Board of Directors authorized the repurchase of outstanding shares of our common stock, depending on market conditions, for an aggregate consideration of up to $60 million. During the first quarter of Fiscal 2008, approximately 676,000 shares were repurchased under this authorization for an aggregate consideration of approximately $17.5 million. The repurchases during the first quarter of Fiscal 2008 completed the June 20, 2007 authorization.</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December 19, 2007, the Board of Directors authorized the repurchase of outstanding shares of our common stock, depending on market conditions for an aggregate consideration of up to $60 million. There is no time restriction on this authorization. As of March 1, 2008, there have been no repurchases under this authorization.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reflects the calculation of basic and diluted income per share for the thirteen and twenty-seven weeks ended March 1, 2008 and the thirteen and twenty-six weeks ended February 24, 2007.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Twenty-Seven</w:t>
            </w: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Twenty-Six</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200" w:type="dxa"/>
            <w:vAlign w:val="bottom"/>
            <w:gridSpan w:val="5"/>
          </w:tcPr>
          <w:p>
            <w:pPr>
              <w:ind w:left="54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March 1,</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5"/>
              </w:rPr>
              <w:t>Feb. 24,</w:t>
            </w: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March 1,</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84"/>
              </w:rPr>
              <w:t>Feb. 24,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Income per share – basic</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2,517</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7,532</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340" w:type="dxa"/>
            <w:vAlign w:val="bottom"/>
            <w:shd w:val="clear" w:color="auto" w:fill="D6F3E8"/>
          </w:tcPr>
          <w:p>
            <w:pPr>
              <w:spacing w:after="0"/>
              <w:rPr>
                <w:sz w:val="21"/>
                <w:szCs w:val="21"/>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160"/>
              <w:spacing w:after="0"/>
              <w:rPr>
                <w:sz w:val="20"/>
                <w:szCs w:val="20"/>
                <w:color w:val="auto"/>
              </w:rPr>
            </w:pPr>
            <w:r>
              <w:rPr>
                <w:rFonts w:ascii="Arial" w:cs="Arial" w:eastAsia="Arial" w:hAnsi="Arial"/>
                <w:sz w:val="18"/>
                <w:szCs w:val="18"/>
                <w:color w:val="auto"/>
              </w:rPr>
              <w:t>Weighted average shares outstanding</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28,964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31,459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D6F3E8"/>
          </w:tcPr>
          <w:p>
            <w:pPr>
              <w:ind w:left="160"/>
              <w:spacing w:after="0"/>
              <w:rPr>
                <w:sz w:val="20"/>
                <w:szCs w:val="20"/>
                <w:color w:val="auto"/>
              </w:rPr>
            </w:pPr>
            <w:r>
              <w:rPr>
                <w:rFonts w:ascii="Arial" w:cs="Arial" w:eastAsia="Arial" w:hAnsi="Arial"/>
                <w:sz w:val="18"/>
                <w:szCs w:val="18"/>
                <w:color w:val="auto"/>
              </w:rPr>
              <w:t>Net income per share – basic</w:t>
            </w:r>
          </w:p>
        </w:tc>
        <w:tc>
          <w:tcPr>
            <w:tcW w:w="9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vMerge w:val="continue"/>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D6F3E8"/>
          </w:tcPr>
          <w:p>
            <w:pPr>
              <w:spacing w:after="0"/>
              <w:rPr>
                <w:sz w:val="19"/>
                <w:szCs w:val="19"/>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5700" w:type="dxa"/>
            <w:vAlign w:val="bottom"/>
          </w:tcPr>
          <w:p>
            <w:pPr>
              <w:spacing w:after="0"/>
              <w:rPr>
                <w:sz w:val="20"/>
                <w:szCs w:val="20"/>
                <w:color w:val="auto"/>
              </w:rPr>
            </w:pPr>
            <w:r>
              <w:rPr>
                <w:rFonts w:ascii="Arial" w:cs="Arial" w:eastAsia="Arial" w:hAnsi="Arial"/>
                <w:sz w:val="18"/>
                <w:szCs w:val="18"/>
                <w:color w:val="auto"/>
              </w:rPr>
              <w:t>Income per share – assuming dilution</w:t>
            </w:r>
          </w:p>
        </w:tc>
        <w:tc>
          <w:tcPr>
            <w:tcW w:w="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7,532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12,479</w:t>
            </w:r>
          </w:p>
        </w:tc>
        <w:tc>
          <w:tcPr>
            <w:tcW w:w="3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15,468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700" w:type="dxa"/>
            <w:vAlign w:val="bottom"/>
            <w:tcBorders>
              <w:top w:val="single" w:sz="8" w:color="D6F3E8"/>
            </w:tcBorders>
            <w:shd w:val="clear" w:color="auto" w:fill="D6F3E8"/>
          </w:tcPr>
          <w:p>
            <w:pPr>
              <w:ind w:left="160"/>
              <w:spacing w:after="0" w:line="203" w:lineRule="exact"/>
              <w:rPr>
                <w:sz w:val="20"/>
                <w:szCs w:val="20"/>
                <w:color w:val="auto"/>
              </w:rPr>
            </w:pPr>
            <w:r>
              <w:rPr>
                <w:rFonts w:ascii="Arial" w:cs="Arial" w:eastAsia="Arial" w:hAnsi="Arial"/>
                <w:sz w:val="18"/>
                <w:szCs w:val="18"/>
                <w:color w:val="auto"/>
              </w:rPr>
              <w:t>Weighted average shares outstanding</w:t>
            </w:r>
          </w:p>
        </w:tc>
        <w:tc>
          <w:tcPr>
            <w:tcW w:w="9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28,964</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31,459</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29,165</w:t>
            </w:r>
          </w:p>
        </w:tc>
        <w:tc>
          <w:tcPr>
            <w:tcW w:w="3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31,354</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700" w:type="dxa"/>
            <w:vAlign w:val="bottom"/>
          </w:tcPr>
          <w:p>
            <w:pPr>
              <w:ind w:left="160"/>
              <w:spacing w:after="0"/>
              <w:rPr>
                <w:sz w:val="20"/>
                <w:szCs w:val="20"/>
                <w:color w:val="auto"/>
              </w:rPr>
            </w:pPr>
            <w:r>
              <w:rPr>
                <w:rFonts w:ascii="Arial" w:cs="Arial" w:eastAsia="Arial" w:hAnsi="Arial"/>
                <w:sz w:val="18"/>
                <w:szCs w:val="18"/>
                <w:color w:val="auto"/>
              </w:rPr>
              <w:t>Dilutive impact of options and awards outstanding</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D6F3E8"/>
          </w:tcPr>
          <w:p>
            <w:pPr>
              <w:ind w:left="16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9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vMerge w:val="continue"/>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29,034</w:t>
            </w: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31,764</w:t>
            </w:r>
          </w:p>
        </w:tc>
        <w:tc>
          <w:tcPr>
            <w:tcW w:w="140" w:type="dxa"/>
            <w:vAlign w:val="bottom"/>
            <w:shd w:val="clear" w:color="auto" w:fill="D6F3E8"/>
          </w:tcPr>
          <w:p>
            <w:pPr>
              <w:spacing w:after="0"/>
              <w:rPr>
                <w:sz w:val="19"/>
                <w:szCs w:val="19"/>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29,245</w:t>
            </w:r>
          </w:p>
        </w:tc>
        <w:tc>
          <w:tcPr>
            <w:tcW w:w="3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31,666</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160"/>
              <w:spacing w:after="0"/>
              <w:rPr>
                <w:sz w:val="20"/>
                <w:szCs w:val="20"/>
                <w:color w:val="auto"/>
              </w:rPr>
            </w:pPr>
            <w:r>
              <w:rPr>
                <w:rFonts w:ascii="Arial" w:cs="Arial" w:eastAsia="Arial" w:hAnsi="Arial"/>
                <w:sz w:val="18"/>
                <w:szCs w:val="18"/>
                <w:color w:val="auto"/>
              </w:rPr>
              <w:t>Net income per share – assuming dilution</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For the thirteen weeks ended March 1, 2008 and February 24, 2007, there were options outstanding to purchase 888,981 shares and 255,800 shares, respectively, of common stock at an average price of $29.52 and $32.63,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ectPr>
          <w:pgSz w:w="11900" w:h="16838" w:orient="portrait"/>
          <w:cols w:equalWidth="0" w:num="1">
            <w:col w:w="11420"/>
          </w:cols>
          <w:pgMar w:left="240" w:top="1090" w:right="239" w:bottom="0" w:gutter="0" w:footer="0" w:header="0"/>
        </w:sectPr>
      </w:pPr>
    </w:p>
    <w:bookmarkStart w:id="8" w:name="page9"/>
    <w:bookmarkEnd w:id="8"/>
    <w:p>
      <w:pPr>
        <w:ind w:right="280"/>
        <w:spacing w:after="0" w:line="306" w:lineRule="auto"/>
        <w:rPr>
          <w:sz w:val="20"/>
          <w:szCs w:val="20"/>
          <w:color w:val="auto"/>
        </w:rPr>
      </w:pPr>
      <w:r>
        <w:rPr>
          <w:rFonts w:ascii="Arial" w:cs="Arial" w:eastAsia="Arial" w:hAnsi="Arial"/>
          <w:sz w:val="16"/>
          <w:szCs w:val="16"/>
          <w:color w:val="auto"/>
        </w:rPr>
        <w:t xml:space="preserve">For the twenty-seven weeks ended March 1, 2008 and the twenty-six weeks ended February 24, 2007, there were options outstanding to purchase 888,981 and 281,132 shares, respectively, of common stock at an average price of $29.52 and $32.78,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ectPr>
          <w:pgSz w:w="11900" w:h="16838" w:orient="portrait"/>
          <w:cols w:equalWidth="0" w:num="1">
            <w:col w:w="11420"/>
          </w:cols>
          <w:pgMar w:left="240" w:top="131" w:right="239" w:bottom="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thousands)</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Temporary impairment of investments</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Amortization of actuarial loss</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Twenty-Seven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Twenty-Six</w:t>
            </w:r>
          </w:p>
        </w:tc>
      </w:tr>
      <w:tr>
        <w:trPr>
          <w:trHeight w:val="163"/>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358"/>
              <w:spacing w:after="0"/>
              <w:rPr>
                <w:sz w:val="20"/>
                <w:szCs w:val="20"/>
                <w:color w:val="auto"/>
              </w:rPr>
            </w:pPr>
            <w:r>
              <w:rPr>
                <w:rFonts w:ascii="Arial" w:cs="Arial" w:eastAsia="Arial" w:hAnsi="Arial"/>
                <w:sz w:val="14"/>
                <w:szCs w:val="14"/>
                <w:b w:val="1"/>
                <w:bCs w:val="1"/>
                <w:color w:val="auto"/>
              </w:rPr>
              <w:t>Thirteen Weeks Ended</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Weeks Ended</w:t>
            </w: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8"/>
              </w:rPr>
              <w:t>March 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58"/>
              <w:spacing w:after="0" w:line="129" w:lineRule="exact"/>
              <w:rPr>
                <w:sz w:val="20"/>
                <w:szCs w:val="20"/>
                <w:color w:val="auto"/>
              </w:rPr>
            </w:pPr>
            <w:r>
              <w:rPr>
                <w:rFonts w:ascii="Arial" w:cs="Arial" w:eastAsia="Arial" w:hAnsi="Arial"/>
                <w:sz w:val="14"/>
                <w:szCs w:val="14"/>
                <w:b w:val="1"/>
                <w:bCs w:val="1"/>
                <w:color w:val="auto"/>
                <w:w w:val="95"/>
              </w:rPr>
              <w:t>Feb. 24,</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March 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Feb. 24,</w:t>
            </w: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2007</w:t>
            </w: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7,532</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12,479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15,468</w:t>
            </w:r>
          </w:p>
        </w:tc>
      </w:tr>
      <w:tr>
        <w:trPr>
          <w:trHeight w:val="248"/>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9,321</w:t>
            </w:r>
          </w:p>
        </w:tc>
        <w:tc>
          <w:tcPr>
            <w:tcW w:w="3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15,468</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-814070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-505460</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-187960</wp:posOffset>
            </wp:positionV>
            <wp:extent cx="57975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40"/>
          </w:cols>
          <w:pgMar w:left="240" w:top="131" w:right="239" w:bottom="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25,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50 years. Our retail market share per Statistical Surveys, Inc. of Class A and Class C motor homes for the calendar year ended December 31, 2007 compared to calendar year ended December 31, 2006 was 18.6 percent compared to 19.0 percent, respectively.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Our performance has enabled us to return significant profits to our shareholders through stock repurchases and dividends. During the six months ended March 1, 2008, we repurchased approximately 676,000 shares of stock for $17.5 million and paid out dividends of $7.0 million to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Recreation Vehicle (RV) industry is cyclical and susceptible to slowdowns in the general economy. RV industry sales have been characterized by cycles of growth and contraction in consumer demand, reflecting prevailing economic and demographic conditions that affect disposable income for leisure-time activities. The motorized portion of the RV industry has experienced a volume decline for over two years. We continue to anticipate softness in motor home sales. A continuation of high fuel costs, low discretionary spending and low consumer confidence would adversely affect our business, results of operations and financial condition. We will continue to adjust our factory schedule as necessary to reflect the demand for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6"/>
              </w:rPr>
              <w:t>As Of</w:t>
            </w: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March 1,</w:t>
            </w:r>
          </w:p>
        </w:tc>
        <w:tc>
          <w:tcPr>
            <w:tcW w:w="340" w:type="dxa"/>
            <w:vAlign w:val="bottom"/>
          </w:tcPr>
          <w:p>
            <w:pPr>
              <w:spacing w:after="0"/>
              <w:rPr>
                <w:sz w:val="11"/>
                <w:szCs w:val="11"/>
                <w:color w:val="auto"/>
              </w:rPr>
            </w:pPr>
          </w:p>
        </w:tc>
        <w:tc>
          <w:tcPr>
            <w:tcW w:w="13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Product Mix</w:t>
            </w:r>
          </w:p>
        </w:tc>
        <w:tc>
          <w:tcPr>
            <w:tcW w:w="140" w:type="dxa"/>
            <w:vAlign w:val="bottom"/>
          </w:tcPr>
          <w:p>
            <w:pPr>
              <w:spacing w:after="0"/>
              <w:rPr>
                <w:sz w:val="11"/>
                <w:szCs w:val="11"/>
                <w:color w:val="auto"/>
              </w:rPr>
            </w:pPr>
          </w:p>
        </w:tc>
        <w:tc>
          <w:tcPr>
            <w:tcW w:w="13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February 24,</w:t>
            </w:r>
          </w:p>
        </w:tc>
        <w:tc>
          <w:tcPr>
            <w:tcW w:w="10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Product Mix</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4"/>
              </w:rPr>
              <w:t>(Decrease)</w:t>
            </w:r>
          </w:p>
        </w:tc>
        <w:tc>
          <w:tcPr>
            <w:tcW w:w="1040" w:type="dxa"/>
            <w:vAlign w:val="bottom"/>
          </w:tcPr>
          <w:p>
            <w:pPr>
              <w:jc w:val="right"/>
              <w:ind w:right="37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Borders>
              <w:bottom w:val="single" w:sz="8" w:color="D6F3E8"/>
            </w:tcBorders>
          </w:tcPr>
          <w:p>
            <w:pPr>
              <w:spacing w:after="0"/>
              <w:rPr>
                <w:sz w:val="14"/>
                <w:szCs w:val="14"/>
                <w:color w:val="auto"/>
              </w:rPr>
            </w:pPr>
          </w:p>
        </w:tc>
        <w:tc>
          <w:tcPr>
            <w:tcW w:w="360" w:type="dxa"/>
            <w:vAlign w:val="bottom"/>
            <w:tcBorders>
              <w:bottom w:val="single" w:sz="8" w:color="D6F3E8"/>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D6F3E8"/>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D6F3E8"/>
            </w:tcBorders>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8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360" w:type="dxa"/>
            <w:vAlign w:val="bottom"/>
            <w:shd w:val="clear" w:color="auto" w:fill="D6F3E8"/>
          </w:tcPr>
          <w:p>
            <w:pPr>
              <w:spacing w:after="0"/>
              <w:rPr>
                <w:sz w:val="20"/>
                <w:szCs w:val="20"/>
                <w:color w:val="auto"/>
              </w:rPr>
            </w:pPr>
          </w:p>
        </w:tc>
        <w:tc>
          <w:tcPr>
            <w:tcW w:w="720" w:type="dxa"/>
            <w:vAlign w:val="bottom"/>
            <w:shd w:val="clear" w:color="auto" w:fill="D6F3E8"/>
          </w:tcPr>
          <w:p>
            <w:pPr>
              <w:spacing w:after="0"/>
              <w:rPr>
                <w:sz w:val="20"/>
                <w:szCs w:val="20"/>
                <w:color w:val="auto"/>
              </w:rPr>
            </w:pP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367</w:t>
            </w:r>
          </w:p>
        </w:tc>
        <w:tc>
          <w:tcPr>
            <w:tcW w:w="170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6F3E8"/>
          </w:tcPr>
          <w:p>
            <w:pPr>
              <w:spacing w:after="0"/>
              <w:rPr>
                <w:sz w:val="20"/>
                <w:szCs w:val="20"/>
                <w:color w:val="auto"/>
              </w:rPr>
            </w:pP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650</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(283)</w:t>
            </w:r>
          </w:p>
        </w:tc>
        <w:tc>
          <w:tcPr>
            <w:tcW w:w="11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1"/>
        </w:trPr>
        <w:tc>
          <w:tcPr>
            <w:tcW w:w="2780" w:type="dxa"/>
            <w:vAlign w:val="bottom"/>
          </w:tcPr>
          <w:p>
            <w:pPr>
              <w:spacing w:after="0"/>
              <w:rPr>
                <w:sz w:val="20"/>
                <w:szCs w:val="20"/>
                <w:color w:val="auto"/>
              </w:rPr>
            </w:pPr>
            <w:r>
              <w:rPr>
                <w:rFonts w:ascii="Arial" w:cs="Arial" w:eastAsia="Arial" w:hAnsi="Arial"/>
                <w:sz w:val="18"/>
                <w:szCs w:val="18"/>
                <w:color w:val="auto"/>
              </w:rPr>
              <w:t>Class A diesel</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Total Class A</w:t>
            </w:r>
          </w:p>
        </w:tc>
        <w:tc>
          <w:tcPr>
            <w:tcW w:w="360" w:type="dxa"/>
            <w:vAlign w:val="bottom"/>
            <w:shd w:val="clear" w:color="auto" w:fill="D6F3E8"/>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780" w:type="dxa"/>
            <w:vAlign w:val="bottom"/>
            <w:vMerge w:val="continue"/>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720" w:type="dxa"/>
            <w:vAlign w:val="bottom"/>
            <w:shd w:val="clear" w:color="auto" w:fill="D6F3E8"/>
          </w:tcPr>
          <w:p>
            <w:pPr>
              <w:spacing w:after="0"/>
              <w:rPr>
                <w:sz w:val="20"/>
                <w:szCs w:val="20"/>
                <w:color w:val="auto"/>
              </w:rPr>
            </w:pP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1,044</w:t>
            </w:r>
          </w:p>
        </w:tc>
        <w:tc>
          <w:tcPr>
            <w:tcW w:w="320" w:type="dxa"/>
            <w:vAlign w:val="bottom"/>
            <w:shd w:val="clear" w:color="auto" w:fill="D6F3E8"/>
          </w:tcPr>
          <w:p>
            <w:pPr>
              <w:spacing w:after="0"/>
              <w:rPr>
                <w:sz w:val="20"/>
                <w:szCs w:val="20"/>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55.1</w:t>
            </w:r>
          </w:p>
        </w:tc>
        <w:tc>
          <w:tcPr>
            <w:tcW w:w="34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(574)</w:t>
            </w:r>
          </w:p>
        </w:tc>
        <w:tc>
          <w:tcPr>
            <w:tcW w:w="11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Class B</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8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360" w:type="dxa"/>
            <w:vAlign w:val="bottom"/>
            <w:shd w:val="clear" w:color="auto" w:fill="D6F3E8"/>
          </w:tcPr>
          <w:p>
            <w:pPr>
              <w:spacing w:after="0"/>
              <w:rPr>
                <w:sz w:val="21"/>
                <w:szCs w:val="21"/>
                <w:color w:val="auto"/>
              </w:rPr>
            </w:pPr>
          </w:p>
        </w:tc>
        <w:tc>
          <w:tcPr>
            <w:tcW w:w="720" w:type="dxa"/>
            <w:vAlign w:val="bottom"/>
            <w:tcBorders>
              <w:bottom w:val="single" w:sz="8" w:color="auto"/>
            </w:tcBorders>
            <w:shd w:val="clear" w:color="auto" w:fill="D6F3E8"/>
          </w:tcPr>
          <w:p>
            <w:pPr>
              <w:spacing w:after="0"/>
              <w:rPr>
                <w:sz w:val="21"/>
                <w:szCs w:val="21"/>
                <w:color w:val="auto"/>
              </w:rPr>
            </w:pPr>
          </w:p>
        </w:tc>
        <w:tc>
          <w:tcPr>
            <w:tcW w:w="4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944</w:t>
            </w:r>
          </w:p>
        </w:tc>
        <w:tc>
          <w:tcPr>
            <w:tcW w:w="340" w:type="dxa"/>
            <w:vAlign w:val="bottom"/>
            <w:shd w:val="clear" w:color="auto" w:fill="D6F3E8"/>
          </w:tcPr>
          <w:p>
            <w:pPr>
              <w:spacing w:after="0"/>
              <w:rPr>
                <w:sz w:val="21"/>
                <w:szCs w:val="21"/>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852</w:t>
            </w:r>
          </w:p>
        </w:tc>
        <w:tc>
          <w:tcPr>
            <w:tcW w:w="320" w:type="dxa"/>
            <w:vAlign w:val="bottom"/>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Total backlog</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1,592</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1,896</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9"/>
        </w:trPr>
        <w:tc>
          <w:tcPr>
            <w:tcW w:w="2780" w:type="dxa"/>
            <w:vAlign w:val="bottom"/>
            <w:tcBorders>
              <w:top w:val="single" w:sz="8" w:color="D6F3E8"/>
            </w:tcBorders>
            <w:shd w:val="clear" w:color="auto" w:fill="D6F3E8"/>
          </w:tcPr>
          <w:p>
            <w:pPr>
              <w:spacing w:after="0" w:line="189" w:lineRule="exact"/>
              <w:rPr>
                <w:sz w:val="20"/>
                <w:szCs w:val="20"/>
                <w:color w:val="auto"/>
              </w:rPr>
            </w:pPr>
            <w:r>
              <w:rPr>
                <w:rFonts w:ascii="Arial" w:cs="Arial" w:eastAsia="Arial" w:hAnsi="Arial"/>
                <w:sz w:val="18"/>
                <w:szCs w:val="18"/>
                <w:color w:val="auto"/>
              </w:rPr>
              <w:t>Total approximate revenue dollars</w:t>
            </w:r>
          </w:p>
        </w:tc>
        <w:tc>
          <w:tcPr>
            <w:tcW w:w="360" w:type="dxa"/>
            <w:vAlign w:val="bottom"/>
            <w:tcBorders>
              <w:top w:val="single" w:sz="8" w:color="D6F3E8"/>
            </w:tcBorders>
            <w:shd w:val="clear" w:color="auto" w:fill="D6F3E8"/>
          </w:tcPr>
          <w:p>
            <w:pPr>
              <w:spacing w:after="0"/>
              <w:rPr>
                <w:sz w:val="16"/>
                <w:szCs w:val="16"/>
                <w:color w:val="auto"/>
              </w:rPr>
            </w:pPr>
          </w:p>
        </w:tc>
        <w:tc>
          <w:tcPr>
            <w:tcW w:w="720" w:type="dxa"/>
            <w:vAlign w:val="bottom"/>
            <w:tcBorders>
              <w:top w:val="single" w:sz="8" w:color="auto"/>
            </w:tcBorders>
            <w:shd w:val="clear" w:color="auto" w:fill="D6F3E8"/>
          </w:tcPr>
          <w:p>
            <w:pPr>
              <w:spacing w:after="0"/>
              <w:rPr>
                <w:sz w:val="16"/>
                <w:szCs w:val="16"/>
                <w:color w:val="auto"/>
              </w:rPr>
            </w:pPr>
          </w:p>
        </w:tc>
        <w:tc>
          <w:tcPr>
            <w:tcW w:w="420" w:type="dxa"/>
            <w:vAlign w:val="bottom"/>
            <w:tcBorders>
              <w:top w:val="single" w:sz="8" w:color="auto"/>
            </w:tcBorders>
            <w:shd w:val="clear" w:color="auto" w:fill="D6F3E8"/>
          </w:tcPr>
          <w:p>
            <w:pPr>
              <w:spacing w:after="0"/>
              <w:rPr>
                <w:sz w:val="16"/>
                <w:szCs w:val="16"/>
                <w:color w:val="auto"/>
              </w:rPr>
            </w:pPr>
          </w:p>
        </w:tc>
        <w:tc>
          <w:tcPr>
            <w:tcW w:w="340" w:type="dxa"/>
            <w:vAlign w:val="bottom"/>
            <w:tcBorders>
              <w:top w:val="single" w:sz="8" w:color="D6F3E8"/>
            </w:tcBorders>
            <w:shd w:val="clear" w:color="auto" w:fill="D6F3E8"/>
          </w:tcPr>
          <w:p>
            <w:pPr>
              <w:spacing w:after="0"/>
              <w:rPr>
                <w:sz w:val="16"/>
                <w:szCs w:val="16"/>
                <w:color w:val="auto"/>
              </w:rPr>
            </w:pPr>
          </w:p>
        </w:tc>
        <w:tc>
          <w:tcPr>
            <w:tcW w:w="1020" w:type="dxa"/>
            <w:vAlign w:val="bottom"/>
            <w:tcBorders>
              <w:top w:val="single" w:sz="8" w:color="auto"/>
            </w:tcBorders>
            <w:shd w:val="clear" w:color="auto" w:fill="D6F3E8"/>
          </w:tcPr>
          <w:p>
            <w:pPr>
              <w:spacing w:after="0"/>
              <w:rPr>
                <w:sz w:val="16"/>
                <w:szCs w:val="16"/>
                <w:color w:val="auto"/>
              </w:rPr>
            </w:pPr>
          </w:p>
        </w:tc>
        <w:tc>
          <w:tcPr>
            <w:tcW w:w="340" w:type="dxa"/>
            <w:vAlign w:val="bottom"/>
            <w:tcBorders>
              <w:top w:val="single" w:sz="8" w:color="D6F3E8"/>
            </w:tcBorders>
            <w:shd w:val="clear" w:color="auto" w:fill="D6F3E8"/>
          </w:tcPr>
          <w:p>
            <w:pPr>
              <w:spacing w:after="0"/>
              <w:rPr>
                <w:sz w:val="16"/>
                <w:szCs w:val="16"/>
                <w:color w:val="auto"/>
              </w:rPr>
            </w:pPr>
          </w:p>
        </w:tc>
        <w:tc>
          <w:tcPr>
            <w:tcW w:w="140" w:type="dxa"/>
            <w:vAlign w:val="bottom"/>
            <w:tcBorders>
              <w:top w:val="single" w:sz="8" w:color="auto"/>
            </w:tcBorders>
            <w:shd w:val="clear" w:color="auto" w:fill="D6F3E8"/>
          </w:tcPr>
          <w:p>
            <w:pPr>
              <w:spacing w:after="0"/>
              <w:rPr>
                <w:sz w:val="16"/>
                <w:szCs w:val="16"/>
                <w:color w:val="auto"/>
              </w:rPr>
            </w:pPr>
          </w:p>
        </w:tc>
        <w:tc>
          <w:tcPr>
            <w:tcW w:w="1000" w:type="dxa"/>
            <w:vAlign w:val="bottom"/>
            <w:tcBorders>
              <w:top w:val="single" w:sz="8" w:color="auto"/>
            </w:tcBorders>
            <w:shd w:val="clear" w:color="auto" w:fill="D6F3E8"/>
          </w:tcPr>
          <w:p>
            <w:pPr>
              <w:spacing w:after="0"/>
              <w:rPr>
                <w:sz w:val="16"/>
                <w:szCs w:val="16"/>
                <w:color w:val="auto"/>
              </w:rPr>
            </w:pPr>
          </w:p>
        </w:tc>
        <w:tc>
          <w:tcPr>
            <w:tcW w:w="320" w:type="dxa"/>
            <w:vAlign w:val="bottom"/>
            <w:tcBorders>
              <w:top w:val="single" w:sz="8" w:color="D6F3E8"/>
            </w:tcBorders>
            <w:shd w:val="clear" w:color="auto" w:fill="D6F3E8"/>
          </w:tcPr>
          <w:p>
            <w:pPr>
              <w:spacing w:after="0"/>
              <w:rPr>
                <w:sz w:val="16"/>
                <w:szCs w:val="16"/>
                <w:color w:val="auto"/>
              </w:rPr>
            </w:pPr>
          </w:p>
        </w:tc>
        <w:tc>
          <w:tcPr>
            <w:tcW w:w="1040" w:type="dxa"/>
            <w:vAlign w:val="bottom"/>
            <w:tcBorders>
              <w:top w:val="single" w:sz="8" w:color="auto"/>
            </w:tcBorders>
            <w:shd w:val="clear" w:color="auto" w:fill="D6F3E8"/>
          </w:tcPr>
          <w:p>
            <w:pPr>
              <w:spacing w:after="0"/>
              <w:rPr>
                <w:sz w:val="16"/>
                <w:szCs w:val="16"/>
                <w:color w:val="auto"/>
              </w:rPr>
            </w:pPr>
          </w:p>
        </w:tc>
        <w:tc>
          <w:tcPr>
            <w:tcW w:w="340" w:type="dxa"/>
            <w:vAlign w:val="bottom"/>
            <w:tcBorders>
              <w:top w:val="single" w:sz="8" w:color="D6F3E8"/>
            </w:tcBorders>
            <w:shd w:val="clear" w:color="auto" w:fill="D6F3E8"/>
          </w:tcPr>
          <w:p>
            <w:pPr>
              <w:spacing w:after="0"/>
              <w:rPr>
                <w:sz w:val="16"/>
                <w:szCs w:val="16"/>
                <w:color w:val="auto"/>
              </w:rPr>
            </w:pPr>
          </w:p>
        </w:tc>
        <w:tc>
          <w:tcPr>
            <w:tcW w:w="160" w:type="dxa"/>
            <w:vAlign w:val="bottom"/>
            <w:tcBorders>
              <w:top w:val="single" w:sz="8" w:color="auto"/>
            </w:tcBorders>
            <w:shd w:val="clear" w:color="auto" w:fill="D6F3E8"/>
          </w:tcPr>
          <w:p>
            <w:pPr>
              <w:spacing w:after="0"/>
              <w:rPr>
                <w:sz w:val="16"/>
                <w:szCs w:val="16"/>
                <w:color w:val="auto"/>
              </w:rPr>
            </w:pPr>
          </w:p>
        </w:tc>
        <w:tc>
          <w:tcPr>
            <w:tcW w:w="960" w:type="dxa"/>
            <w:vAlign w:val="bottom"/>
            <w:tcBorders>
              <w:top w:val="single" w:sz="8" w:color="auto"/>
            </w:tcBorders>
            <w:shd w:val="clear" w:color="auto" w:fill="D6F3E8"/>
          </w:tcPr>
          <w:p>
            <w:pPr>
              <w:spacing w:after="0"/>
              <w:rPr>
                <w:sz w:val="16"/>
                <w:szCs w:val="16"/>
                <w:color w:val="auto"/>
              </w:rPr>
            </w:pPr>
          </w:p>
        </w:tc>
        <w:tc>
          <w:tcPr>
            <w:tcW w:w="340" w:type="dxa"/>
            <w:vAlign w:val="bottom"/>
            <w:tcBorders>
              <w:top w:val="single" w:sz="8" w:color="D6F3E8"/>
            </w:tcBorders>
            <w:shd w:val="clear" w:color="auto" w:fill="D6F3E8"/>
          </w:tcPr>
          <w:p>
            <w:pPr>
              <w:spacing w:after="0"/>
              <w:rPr>
                <w:sz w:val="16"/>
                <w:szCs w:val="16"/>
                <w:color w:val="auto"/>
              </w:rPr>
            </w:pPr>
          </w:p>
        </w:tc>
        <w:tc>
          <w:tcPr>
            <w:tcW w:w="1040" w:type="dxa"/>
            <w:vAlign w:val="bottom"/>
            <w:tcBorders>
              <w:top w:val="single" w:sz="8" w:color="auto"/>
            </w:tcBorders>
            <w:shd w:val="clear" w:color="auto" w:fill="D6F3E8"/>
          </w:tcPr>
          <w:p>
            <w:pPr>
              <w:spacing w:after="0"/>
              <w:rPr>
                <w:sz w:val="16"/>
                <w:szCs w:val="16"/>
                <w:color w:val="auto"/>
              </w:rPr>
            </w:pPr>
          </w:p>
        </w:tc>
        <w:tc>
          <w:tcPr>
            <w:tcW w:w="100" w:type="dxa"/>
            <w:vAlign w:val="bottom"/>
            <w:tcBorders>
              <w:top w:val="single" w:sz="8" w:color="D6F3E8"/>
            </w:tcBorders>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 millions)</w:t>
            </w:r>
          </w:p>
        </w:tc>
        <w:tc>
          <w:tcPr>
            <w:tcW w:w="360" w:type="dxa"/>
            <w:vAlign w:val="bottom"/>
            <w:shd w:val="clear" w:color="auto" w:fill="D6F3E8"/>
          </w:tcPr>
          <w:p>
            <w:pPr>
              <w:spacing w:after="0"/>
              <w:rPr>
                <w:sz w:val="19"/>
                <w:szCs w:val="19"/>
                <w:color w:val="auto"/>
              </w:rPr>
            </w:pPr>
          </w:p>
        </w:tc>
        <w:tc>
          <w:tcPr>
            <w:tcW w:w="720" w:type="dxa"/>
            <w:vAlign w:val="bottom"/>
            <w:shd w:val="clear" w:color="auto" w:fill="D6F3E8"/>
          </w:tcPr>
          <w:p>
            <w:pPr>
              <w:jc w:val="right"/>
              <w:ind w:right="56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8"/>
              </w:rPr>
              <w:t>123.1</w:t>
            </w:r>
          </w:p>
        </w:tc>
        <w:tc>
          <w:tcPr>
            <w:tcW w:w="340" w:type="dxa"/>
            <w:vAlign w:val="bottom"/>
            <w:shd w:val="clear" w:color="auto" w:fill="D6F3E8"/>
          </w:tcPr>
          <w:p>
            <w:pPr>
              <w:spacing w:after="0"/>
              <w:rPr>
                <w:sz w:val="19"/>
                <w:szCs w:val="19"/>
                <w:color w:val="auto"/>
              </w:rPr>
            </w:pPr>
          </w:p>
        </w:tc>
        <w:tc>
          <w:tcPr>
            <w:tcW w:w="10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165.3</w:t>
            </w:r>
          </w:p>
        </w:tc>
        <w:tc>
          <w:tcPr>
            <w:tcW w:w="320" w:type="dxa"/>
            <w:vAlign w:val="bottom"/>
            <w:shd w:val="clear" w:color="auto" w:fill="D6F3E8"/>
          </w:tcPr>
          <w:p>
            <w:pPr>
              <w:spacing w:after="0"/>
              <w:rPr>
                <w:sz w:val="19"/>
                <w:szCs w:val="19"/>
                <w:color w:val="auto"/>
              </w:rPr>
            </w:pPr>
          </w:p>
        </w:tc>
        <w:tc>
          <w:tcPr>
            <w:tcW w:w="1040" w:type="dxa"/>
            <w:vAlign w:val="bottom"/>
            <w:shd w:val="clear" w:color="auto" w:fill="D6F3E8"/>
          </w:tcPr>
          <w:p>
            <w:pPr>
              <w:spacing w:after="0"/>
              <w:rPr>
                <w:sz w:val="19"/>
                <w:szCs w:val="19"/>
                <w:color w:val="auto"/>
              </w:rPr>
            </w:pP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(42.2)</w:t>
            </w:r>
          </w:p>
        </w:tc>
        <w:tc>
          <w:tcPr>
            <w:tcW w:w="11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7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Dealer inventory (units)</w:t>
            </w:r>
          </w:p>
        </w:tc>
        <w:tc>
          <w:tcPr>
            <w:tcW w:w="360" w:type="dxa"/>
            <w:vAlign w:val="bottom"/>
            <w:tcBorders>
              <w:top w:val="single" w:sz="8" w:color="D6F3E8"/>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02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04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4,837</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4,924</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-496570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-496570</wp:posOffset>
            </wp:positionV>
            <wp:extent cx="214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Long-term demographics are favorable for our industry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Motor home buyers are entering the market earlier than in the past, as young as 35, and living active and healthier lives with more buyers remaining in the RV lifestyle over the age of 75. The study also indicates that owners are using their motor homes for more than just traditional camping, having a positive impact on long-term motor home market growth. The study shows that motor homes are used to pursue consumers’ many lifestyle passions which may include riding their ATVs in the desert, going to motor sports events or tailgating at sporting events.</w:t>
      </w:r>
    </w:p>
    <w:p>
      <w:pPr>
        <w:sectPr>
          <w:pgSz w:w="11900" w:h="16838" w:orient="portrait"/>
          <w:cols w:equalWidth="0" w:num="1">
            <w:col w:w="11420"/>
          </w:cols>
          <w:pgMar w:left="240" w:top="131" w:right="239" w:bottom="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55"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Revenues from the sales of our original equipment manufacturing (OEM) components and motor home-related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b w:val="1"/>
          <w:bCs w:val="1"/>
          <w:color w:val="auto"/>
        </w:rPr>
        <w:t xml:space="preserve">Postretirement Benefits Obligations and Costs. </w:t>
      </w:r>
      <w:r>
        <w:rPr>
          <w:rFonts w:ascii="Arial" w:cs="Arial" w:eastAsia="Arial" w:hAnsi="Arial"/>
          <w:sz w:val="15"/>
          <w:szCs w:val="15"/>
          <w:color w:val="auto"/>
        </w:rPr>
        <w:t>We provide certain health care and other benefits for retired employees, hired before April 1, 2001, who have</w:t>
      </w:r>
      <w:r>
        <w:rPr>
          <w:rFonts w:ascii="Arial" w:cs="Arial" w:eastAsia="Arial" w:hAnsi="Arial"/>
          <w:sz w:val="15"/>
          <w:szCs w:val="15"/>
          <w:b w:val="1"/>
          <w:bCs w:val="1"/>
          <w:color w:val="auto"/>
        </w:rPr>
        <w:t xml:space="preserve"> </w:t>
      </w:r>
      <w:r>
        <w:rPr>
          <w:rFonts w:ascii="Arial" w:cs="Arial" w:eastAsia="Arial" w:hAnsi="Arial"/>
          <w:sz w:val="15"/>
          <w:szCs w:val="15"/>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8 to the Consolidated Financial Statements.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and a 3-year/36,000-mile warranty on</w:t>
      </w:r>
      <w:r>
        <w:rPr>
          <w:rFonts w:ascii="Arial" w:cs="Arial" w:eastAsia="Arial" w:hAnsi="Arial"/>
          <w:sz w:val="16"/>
          <w:szCs w:val="16"/>
          <w:b w:val="1"/>
          <w:bCs w:val="1"/>
          <w:color w:val="auto"/>
        </w:rPr>
        <w:t xml:space="preserve"> </w:t>
      </w:r>
      <w:r>
        <w:rPr>
          <w:rFonts w:ascii="Arial" w:cs="Arial" w:eastAsia="Arial" w:hAnsi="Arial"/>
          <w:sz w:val="16"/>
          <w:szCs w:val="16"/>
          <w:color w:val="auto"/>
        </w:rPr>
        <w:t>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6.</w:t>
      </w:r>
    </w:p>
    <w:p>
      <w:pPr>
        <w:spacing w:after="0" w:line="167"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have granted both stock options and restricted stock awards to our key employees and nonemployee directors as part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In the first quarter of both Fiscal 2008 and Fiscal 2007, we granted restricted stock awards to key employees.</w:t>
      </w:r>
    </w:p>
    <w:p>
      <w:pPr>
        <w:spacing w:after="0" w:line="13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determination of stock option compensation expense. These assumptions include, among others, our expected stock price volatility and the expected life of our stock options, which are based primarily on our historical experience.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 to the Consolidated Financial Statements.</w:t>
      </w:r>
    </w:p>
    <w:p>
      <w:pPr>
        <w:spacing w:after="0" w:line="19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have reserves for unrecognized tax benefits and other loss exposures, such as litigation, product liability, repurchase commitments, worker’s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employee medical claims, 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ectPr>
          <w:pgSz w:w="11900" w:h="16838" w:orient="portrait"/>
          <w:cols w:equalWidth="0" w:num="1">
            <w:col w:w="11400"/>
          </w:cols>
          <w:pgMar w:left="240" w:top="1090" w:right="259" w:bottom="991"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Same Quarter Last Year</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March 1, 2008 compared to the quarter ended February 24, 2007.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March 1,</w:t>
            </w:r>
          </w:p>
        </w:tc>
        <w:tc>
          <w:tcPr>
            <w:tcW w:w="3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Feb. 24,</w:t>
            </w:r>
          </w:p>
        </w:tc>
        <w:tc>
          <w:tcPr>
            <w:tcW w:w="13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120" w:type="dxa"/>
            <w:vAlign w:val="bottom"/>
            <w:gridSpan w:val="2"/>
          </w:tcPr>
          <w:p>
            <w:pPr>
              <w:jc w:val="center"/>
              <w:ind w:right="398"/>
              <w:spacing w:after="0" w:line="12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tcBorders>
              <w:bottom w:val="single" w:sz="8" w:color="D6F3E8"/>
            </w:tcBorders>
            <w:gridSpan w:val="2"/>
          </w:tcPr>
          <w:p>
            <w:pPr>
              <w:spacing w:after="0"/>
              <w:rPr>
                <w:sz w:val="20"/>
                <w:szCs w:val="20"/>
                <w:color w:val="auto"/>
              </w:rPr>
            </w:pPr>
            <w:r>
              <w:rPr>
                <w:rFonts w:ascii="Arial" w:cs="Arial" w:eastAsia="Arial" w:hAnsi="Arial"/>
                <w:sz w:val="14"/>
                <w:szCs w:val="14"/>
                <w:b w:val="1"/>
                <w:bCs w:val="1"/>
                <w:color w:val="auto"/>
              </w:rPr>
              <w:t>percent and per share data)</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D6F3E8"/>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2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D6F3E8"/>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Increase</w:t>
            </w:r>
          </w:p>
        </w:tc>
        <w:tc>
          <w:tcPr>
            <w:tcW w:w="340" w:type="dxa"/>
            <w:vAlign w:val="bottom"/>
            <w:tcBorders>
              <w:bottom w:val="single" w:sz="8" w:color="D6F3E8"/>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164,203</w:t>
            </w:r>
          </w:p>
        </w:tc>
        <w:tc>
          <w:tcPr>
            <w:tcW w:w="1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199,014</w:t>
            </w:r>
          </w:p>
        </w:tc>
        <w:tc>
          <w:tcPr>
            <w:tcW w:w="13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(34,811)</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152,034</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180,049</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(28,015)</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20" w:type="dxa"/>
            <w:vAlign w:val="bottom"/>
            <w:gridSpan w:val="2"/>
            <w:vMerge w:val="continue"/>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12,169</w:t>
            </w:r>
          </w:p>
        </w:tc>
        <w:tc>
          <w:tcPr>
            <w:tcW w:w="340" w:type="dxa"/>
            <w:vAlign w:val="bottom"/>
            <w:shd w:val="clear" w:color="auto" w:fill="D6F3E8"/>
          </w:tcPr>
          <w:p>
            <w:pPr>
              <w:spacing w:after="0"/>
              <w:rPr>
                <w:sz w:val="20"/>
                <w:szCs w:val="20"/>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18,965</w:t>
            </w:r>
          </w:p>
        </w:tc>
        <w:tc>
          <w:tcPr>
            <w:tcW w:w="34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(6,796)</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Selling</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4,258</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4,315</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(57)</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37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5,457</w:t>
            </w:r>
          </w:p>
        </w:tc>
        <w:tc>
          <w:tcPr>
            <w:tcW w:w="340" w:type="dxa"/>
            <w:vAlign w:val="bottom"/>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5,290</w:t>
            </w:r>
          </w:p>
        </w:tc>
        <w:tc>
          <w:tcPr>
            <w:tcW w:w="340" w:type="dxa"/>
            <w:vAlign w:val="bottom"/>
            <w:shd w:val="clear" w:color="auto" w:fill="D6F3E8"/>
          </w:tcPr>
          <w:p>
            <w:pPr>
              <w:spacing w:after="0"/>
              <w:rPr>
                <w:sz w:val="21"/>
                <w:szCs w:val="21"/>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D6F3E8"/>
          </w:tcPr>
          <w:p>
            <w:pPr>
              <w:spacing w:after="0"/>
              <w:rPr>
                <w:sz w:val="21"/>
                <w:szCs w:val="21"/>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72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340" w:type="dxa"/>
            <w:vAlign w:val="bottom"/>
            <w:tcBorders>
              <w:bottom w:val="single" w:sz="8" w:color="D6F3E8"/>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340" w:type="dxa"/>
            <w:vAlign w:val="bottom"/>
            <w:tcBorders>
              <w:bottom w:val="single" w:sz="8" w:color="D6F3E8"/>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D6F3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D6F3E8"/>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20" w:type="dxa"/>
            <w:vAlign w:val="bottom"/>
            <w:gridSpan w:val="2"/>
            <w:shd w:val="clear" w:color="auto" w:fill="D6F3E8"/>
          </w:tcPr>
          <w:p>
            <w:pPr>
              <w:spacing w:after="0" w:line="205"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D6F3E8"/>
          </w:tcPr>
          <w:p>
            <w:pPr>
              <w:spacing w:after="0"/>
              <w:rPr>
                <w:sz w:val="20"/>
                <w:szCs w:val="20"/>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2,454</w:t>
            </w:r>
          </w:p>
        </w:tc>
        <w:tc>
          <w:tcPr>
            <w:tcW w:w="1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9,360</w:t>
            </w:r>
          </w:p>
        </w:tc>
        <w:tc>
          <w:tcPr>
            <w:tcW w:w="13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(6,906)</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1"/>
        </w:trPr>
        <w:tc>
          <w:tcPr>
            <w:tcW w:w="37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(366)</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gridSpan w:val="2"/>
            <w:vMerge w:val="continue"/>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3,690</w:t>
            </w:r>
          </w:p>
        </w:tc>
        <w:tc>
          <w:tcPr>
            <w:tcW w:w="340" w:type="dxa"/>
            <w:vAlign w:val="bottom"/>
            <w:shd w:val="clear" w:color="auto" w:fill="D6F3E8"/>
          </w:tcPr>
          <w:p>
            <w:pPr>
              <w:spacing w:after="0"/>
              <w:rPr>
                <w:sz w:val="20"/>
                <w:szCs w:val="20"/>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34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(7,272)</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3,430</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(2,257)</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gridSpan w:val="2"/>
            <w:vMerge w:val="continue"/>
            <w:shd w:val="clear" w:color="auto" w:fill="D6F3E8"/>
          </w:tcPr>
          <w:p>
            <w:pPr>
              <w:spacing w:after="0"/>
              <w:rPr>
                <w:sz w:val="20"/>
                <w:szCs w:val="20"/>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2,517</w:t>
            </w:r>
          </w:p>
        </w:tc>
        <w:tc>
          <w:tcPr>
            <w:tcW w:w="340" w:type="dxa"/>
            <w:vAlign w:val="bottom"/>
            <w:shd w:val="clear" w:color="auto" w:fill="D6F3E8"/>
          </w:tcPr>
          <w:p>
            <w:pPr>
              <w:spacing w:after="0"/>
              <w:rPr>
                <w:sz w:val="20"/>
                <w:szCs w:val="20"/>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D6F3E8"/>
          </w:tcPr>
          <w:p>
            <w:pPr>
              <w:spacing w:after="0"/>
              <w:rPr>
                <w:sz w:val="20"/>
                <w:szCs w:val="20"/>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7,532</w:t>
            </w:r>
          </w:p>
        </w:tc>
        <w:tc>
          <w:tcPr>
            <w:tcW w:w="34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D6F3E8"/>
          </w:tcPr>
          <w:p>
            <w:pPr>
              <w:spacing w:after="0"/>
              <w:rPr>
                <w:sz w:val="20"/>
                <w:szCs w:val="20"/>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(5,015)</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(0.15)</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tcBorders>
            <w:gridSpan w:val="2"/>
            <w:vMerge w:val="restart"/>
            <w:shd w:val="clear" w:color="auto" w:fill="D6F3E8"/>
          </w:tcPr>
          <w:p>
            <w:pPr>
              <w:spacing w:after="0"/>
              <w:rPr>
                <w:sz w:val="20"/>
                <w:szCs w:val="20"/>
                <w:color w:val="auto"/>
              </w:rPr>
            </w:pPr>
            <w:r>
              <w:rPr>
                <w:rFonts w:ascii="Arial" w:cs="Arial" w:eastAsia="Arial" w:hAnsi="Arial"/>
                <w:sz w:val="18"/>
                <w:szCs w:val="18"/>
                <w:color w:val="auto"/>
              </w:rPr>
              <w:t>Fully diluted average shares outstanding</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4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2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gridSpan w:val="2"/>
            <w:vMerge w:val="continue"/>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29,034</w:t>
            </w:r>
          </w:p>
        </w:tc>
        <w:tc>
          <w:tcPr>
            <w:tcW w:w="340" w:type="dxa"/>
            <w:vAlign w:val="bottom"/>
            <w:shd w:val="clear" w:color="auto" w:fill="D6F3E8"/>
          </w:tcPr>
          <w:p>
            <w:pPr>
              <w:spacing w:after="0"/>
              <w:rPr>
                <w:sz w:val="20"/>
                <w:szCs w:val="20"/>
                <w:color w:val="auto"/>
              </w:rPr>
            </w:pPr>
          </w:p>
        </w:tc>
        <w:tc>
          <w:tcPr>
            <w:tcW w:w="104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31,764</w:t>
            </w:r>
          </w:p>
        </w:tc>
        <w:tc>
          <w:tcPr>
            <w:tcW w:w="340" w:type="dxa"/>
            <w:vAlign w:val="bottom"/>
            <w:shd w:val="clear" w:color="auto" w:fill="D6F3E8"/>
          </w:tcPr>
          <w:p>
            <w:pPr>
              <w:spacing w:after="0"/>
              <w:rPr>
                <w:sz w:val="20"/>
                <w:szCs w:val="20"/>
                <w:color w:val="auto"/>
              </w:rPr>
            </w:pPr>
          </w:p>
        </w:tc>
        <w:tc>
          <w:tcPr>
            <w:tcW w:w="102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(2,730)</w:t>
            </w:r>
          </w:p>
        </w:tc>
        <w:tc>
          <w:tcPr>
            <w:tcW w:w="124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04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02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w w:val="91"/>
              </w:rPr>
              <w:t>March 1,</w:t>
            </w:r>
          </w:p>
        </w:tc>
        <w:tc>
          <w:tcPr>
            <w:tcW w:w="3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Product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Feb. 24,</w:t>
            </w:r>
          </w:p>
        </w:tc>
        <w:tc>
          <w:tcPr>
            <w:tcW w:w="13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Product</w:t>
            </w:r>
          </w:p>
        </w:tc>
        <w:tc>
          <w:tcPr>
            <w:tcW w:w="120" w:type="dxa"/>
            <w:vAlign w:val="bottom"/>
          </w:tcPr>
          <w:p>
            <w:pPr>
              <w:spacing w:after="0"/>
              <w:rPr>
                <w:sz w:val="11"/>
                <w:szCs w:val="11"/>
                <w:color w:val="auto"/>
              </w:rPr>
            </w:pPr>
          </w:p>
        </w:tc>
        <w:tc>
          <w:tcPr>
            <w:tcW w:w="1120" w:type="dxa"/>
            <w:vAlign w:val="bottom"/>
            <w:gridSpan w:val="2"/>
          </w:tcPr>
          <w:p>
            <w:pPr>
              <w:jc w:val="center"/>
              <w:ind w:right="398"/>
              <w:spacing w:after="0" w:line="12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120" w:type="dxa"/>
            <w:vAlign w:val="bottom"/>
          </w:tcPr>
          <w:p>
            <w:pPr>
              <w:spacing w:after="0"/>
              <w:rPr>
                <w:sz w:val="14"/>
                <w:szCs w:val="14"/>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Mix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Mix %</w:t>
            </w:r>
          </w:p>
        </w:tc>
        <w:tc>
          <w:tcPr>
            <w:tcW w:w="120" w:type="dxa"/>
            <w:vAlign w:val="bottom"/>
          </w:tcPr>
          <w:p>
            <w:pPr>
              <w:spacing w:after="0"/>
              <w:rPr>
                <w:sz w:val="14"/>
                <w:szCs w:val="14"/>
                <w:color w:val="auto"/>
              </w:rPr>
            </w:pPr>
          </w:p>
        </w:tc>
        <w:tc>
          <w:tcPr>
            <w:tcW w:w="1120" w:type="dxa"/>
            <w:vAlign w:val="bottom"/>
            <w:gridSpan w:val="2"/>
          </w:tcPr>
          <w:p>
            <w:pPr>
              <w:jc w:val="center"/>
              <w:ind w:right="378"/>
              <w:spacing w:after="0"/>
              <w:rPr>
                <w:sz w:val="20"/>
                <w:szCs w:val="20"/>
                <w:color w:val="auto"/>
              </w:rPr>
            </w:pPr>
            <w:r>
              <w:rPr>
                <w:rFonts w:ascii="Arial" w:cs="Arial" w:eastAsia="Arial" w:hAnsi="Arial"/>
                <w:sz w:val="14"/>
                <w:szCs w:val="14"/>
                <w:b w:val="1"/>
                <w:bCs w:val="1"/>
                <w:color w:val="auto"/>
                <w:w w:val="87"/>
              </w:rPr>
              <w:t>Increase</w:t>
            </w:r>
          </w:p>
        </w:tc>
        <w:tc>
          <w:tcPr>
            <w:tcW w:w="124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60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12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Borders>
              <w:top w:val="single" w:sz="8" w:color="D6F3E8"/>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886</w:t>
            </w:r>
          </w:p>
        </w:tc>
        <w:tc>
          <w:tcPr>
            <w:tcW w:w="34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(335)</w:t>
            </w:r>
          </w:p>
        </w:tc>
        <w:tc>
          <w:tcPr>
            <w:tcW w:w="34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(143)</w:t>
            </w:r>
          </w:p>
        </w:tc>
        <w:tc>
          <w:tcPr>
            <w:tcW w:w="1240" w:type="dxa"/>
            <w:vAlign w:val="bottom"/>
            <w:gridSpan w:val="2"/>
          </w:tcPr>
          <w:p>
            <w:pPr>
              <w:jc w:val="right"/>
              <w:ind w:right="78"/>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60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2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838</w:t>
            </w:r>
          </w:p>
        </w:tc>
        <w:tc>
          <w:tcPr>
            <w:tcW w:w="340" w:type="dxa"/>
            <w:vAlign w:val="bottom"/>
            <w:tcBorders>
              <w:top w:val="single" w:sz="8" w:color="D6F3E8"/>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49.4</w:t>
            </w:r>
          </w:p>
        </w:tc>
        <w:tc>
          <w:tcPr>
            <w:tcW w:w="3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34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62.6</w:t>
            </w:r>
          </w:p>
        </w:tc>
        <w:tc>
          <w:tcPr>
            <w:tcW w:w="34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20" w:type="dxa"/>
            <w:vAlign w:val="bottom"/>
            <w:gridSpan w:val="2"/>
          </w:tcPr>
          <w:p>
            <w:pPr>
              <w:spacing w:after="0"/>
              <w:rPr>
                <w:sz w:val="20"/>
                <w:szCs w:val="20"/>
                <w:color w:val="auto"/>
              </w:rPr>
            </w:pPr>
            <w:r>
              <w:rPr>
                <w:rFonts w:ascii="Arial" w:cs="Arial" w:eastAsia="Arial" w:hAnsi="Arial"/>
                <w:sz w:val="18"/>
                <w:szCs w:val="18"/>
                <w:color w:val="auto"/>
              </w:rPr>
              <w:t>Class B</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60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120" w:type="dxa"/>
            <w:vAlign w:val="bottom"/>
            <w:tcBorders>
              <w:bottom w:val="single" w:sz="8" w:color="auto"/>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50.5</w:t>
            </w:r>
          </w:p>
        </w:tc>
        <w:tc>
          <w:tcPr>
            <w:tcW w:w="32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D6F3E8"/>
          </w:tcPr>
          <w:p>
            <w:pPr>
              <w:spacing w:after="0"/>
              <w:rPr>
                <w:sz w:val="21"/>
                <w:szCs w:val="21"/>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D6F3E8"/>
          </w:tcPr>
          <w:p>
            <w:pPr>
              <w:spacing w:after="0"/>
              <w:rPr>
                <w:sz w:val="21"/>
                <w:szCs w:val="21"/>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ind w:left="340"/>
              <w:spacing w:after="0"/>
              <w:rPr>
                <w:sz w:val="20"/>
                <w:szCs w:val="20"/>
                <w:color w:val="auto"/>
              </w:rPr>
            </w:pPr>
            <w:r>
              <w:rPr>
                <w:rFonts w:ascii="Arial" w:cs="Arial" w:eastAsia="Arial" w:hAnsi="Arial"/>
                <w:sz w:val="18"/>
                <w:szCs w:val="18"/>
                <w:color w:val="auto"/>
              </w:rPr>
              <w:t>Total deliveries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revenues for the quarter ended March 1, 2008 decreased $34.8 million, or 17.5 percent, as a result of a 19.3 percent decrease in unit deliveries. Partially offsetting the revenue decline was an increase in our average selling price for motor homes of 1.7 percent when comparing the quarter ended March 1, 2008 to the quarter ended February 24, 2007.</w:t>
      </w:r>
    </w:p>
    <w:p>
      <w:pPr>
        <w:spacing w:after="0" w:line="19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gross profit margin was 7.4 percent for the second quarter compared to 9.5 percent for the same quarter last year. Of the 2.1 percent decrease in our margin, the most significant factor was the reduced sales volume which represented a 1.9 percent impact. Also contributing to the decrease in gross profit margin was additional promotional programs, which decrease was partially offset by increased pricing as compared to the prior period.</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Selling expenses decreased $57,000, or 1.3 percent, for the quarter ended March 1, 2008. As a percent of net revenues, selling expenses were 2.6 percent and 2.1 percent for the quarters ended March 1, 2008 and February 24, 2007, respectively. Our Louisville Show was held in the first quarter of 2008 compared to the second quarter of 2007. Other shows have shifted into the second quarter of 2008, resulting in little overall change. The decrease in dollars was due primarily to reductions in payouts under the Company’s District Sales Managers’ incentive programs. The increase in percent of net revenues was due to the reduced revenue dollars during the quarter ended March 1, 2008.</w:t>
      </w:r>
    </w:p>
    <w:p>
      <w:pPr>
        <w:spacing w:after="0" w:line="19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General and administrative expenses increased $167,000 for the quarter ended March 1, 2008. As a percent of net revenues, general and administrative expenses were 3.3 percent and 2.7 percent for the quarters ended March 1, 2008 and February 24, 2007, respectively. General and administrative expenses for the quarter ended March 1, 2008 included severance-related costs of approximately $500,000 associated with layoffs that occurred during the quarter and increased legal expenses, offset partially by reversals in the Company’s management incentives that had been recorded during the first quarter of Fiscal 2008. The increase in percent of net revenues was due primarily to the reduced revenue dollars.</w:t>
      </w:r>
    </w:p>
    <w:p>
      <w:pPr>
        <w:sectPr>
          <w:pgSz w:w="11900" w:h="16838" w:orient="portrait"/>
          <w:cols w:equalWidth="0" w:num="1">
            <w:col w:w="11420"/>
          </w:cols>
          <w:pgMar w:left="240" w:top="1440" w:right="239" w:bottom="0" w:gutter="0" w:footer="0" w:header="0"/>
          <w:type w:val="continuous"/>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40" w:right="239" w:bottom="0" w:gutter="0" w:footer="0" w:header="0"/>
          <w:type w:val="continuous"/>
        </w:sectPr>
      </w:pPr>
    </w:p>
    <w:bookmarkStart w:id="11" w:name="page12"/>
    <w:bookmarkEnd w:id="1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Financial income decreased $366,000, or 22.8 percent, for the quarter ended March 1, 2008. The decrease in financial income was due to lower average investment balances offset partially by higher rates earned on those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overall effective income tax rate increased to 31.8 percent for the quarter ended March 1, 2008 from 31.3 percent for the quarter ended February 24,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a result of an increase in state taxes.</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income decreased by 66.6 percent and income per diluted share decreased by 62.5 percent when comparing the quarter ended March 1, 2008 to the quarter ended February 24, 2007. The reason for the higher percentage decrease in net income compared to the percentage decrease in income per diluted share was due to a lower average number of shares of common stock outstanding during the quarter ended March 1, 2008, as a result of shares of common stock repurchased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Current Twenty-Seven Weeks Compared to Twenty-Six Weeks Last Year</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twenty-seven weeks ended March 1, 2008 compared to the twenty-six weeks ended February 24, 2007.</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Twenty-Seven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89"/>
              </w:rPr>
              <w:t>Twenty-Six</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5"/>
              </w:rPr>
              <w:t>Weeks Ended</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85"/>
              </w:rPr>
              <w:t>Weeks Ended</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398"/>
              <w:spacing w:after="0"/>
              <w:rPr>
                <w:sz w:val="20"/>
                <w:szCs w:val="20"/>
                <w:color w:val="auto"/>
              </w:rPr>
            </w:pPr>
            <w:r>
              <w:rPr>
                <w:rFonts w:ascii="Arial" w:cs="Arial" w:eastAsia="Arial" w:hAnsi="Arial"/>
                <w:sz w:val="14"/>
                <w:szCs w:val="14"/>
                <w:b w:val="1"/>
                <w:bCs w:val="1"/>
                <w:color w:val="auto"/>
                <w:w w:val="83"/>
              </w:rPr>
              <w:t>(Decrease)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91"/>
              </w:rPr>
              <w:t>March 1,</w:t>
            </w:r>
          </w:p>
        </w:tc>
        <w:tc>
          <w:tcPr>
            <w:tcW w:w="78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8"/>
              </w:rPr>
              <w:t>Feb. 24,</w:t>
            </w:r>
          </w:p>
        </w:tc>
        <w:tc>
          <w:tcPr>
            <w:tcW w:w="800" w:type="dxa"/>
            <w:vAlign w:val="bottom"/>
          </w:tcPr>
          <w:p>
            <w:pPr>
              <w:jc w:val="center"/>
              <w:ind w:right="156"/>
              <w:spacing w:after="0" w:line="129"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Borders>
              <w:bottom w:val="single" w:sz="8" w:color="D6F3E8"/>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78"/>
              </w:rPr>
              <w:t>Revenues</w:t>
            </w:r>
          </w:p>
        </w:tc>
        <w:tc>
          <w:tcPr>
            <w:tcW w:w="34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Borders>
              <w:bottom w:val="single" w:sz="8" w:color="D6F3E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4"/>
              </w:rPr>
              <w:t>Increase</w:t>
            </w:r>
          </w:p>
        </w:tc>
        <w:tc>
          <w:tcPr>
            <w:tcW w:w="340" w:type="dxa"/>
            <w:vAlign w:val="bottom"/>
            <w:tcBorders>
              <w:bottom w:val="single" w:sz="8" w:color="D6F3E8"/>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00" w:type="dxa"/>
            <w:vAlign w:val="bottom"/>
            <w:tcBorders>
              <w:right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379,345</w:t>
            </w: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400,779</w:t>
            </w:r>
          </w:p>
        </w:tc>
        <w:tc>
          <w:tcPr>
            <w:tcW w:w="220" w:type="dxa"/>
            <w:vAlign w:val="bottom"/>
            <w:shd w:val="clear" w:color="auto" w:fill="D6F3E8"/>
          </w:tcPr>
          <w:p>
            <w:pPr>
              <w:spacing w:after="0"/>
              <w:rPr>
                <w:sz w:val="20"/>
                <w:szCs w:val="20"/>
                <w:color w:val="auto"/>
              </w:rPr>
            </w:pPr>
          </w:p>
        </w:tc>
        <w:tc>
          <w:tcPr>
            <w:tcW w:w="114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(21,434)</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341,536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360,430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(18,894)</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500" w:type="dxa"/>
            <w:vAlign w:val="bottom"/>
            <w:tcBorders>
              <w:right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60" w:type="dxa"/>
            <w:vAlign w:val="bottom"/>
            <w:tcBorders>
              <w:right w:val="single" w:sz="8" w:color="D6F3E8"/>
            </w:tcBorders>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500" w:type="dxa"/>
            <w:vAlign w:val="bottom"/>
            <w:tcBorders>
              <w:right w:val="single" w:sz="8" w:color="D6F3E8"/>
            </w:tcBorders>
            <w:vMerge w:val="continue"/>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37,809</w:t>
            </w:r>
          </w:p>
        </w:tc>
        <w:tc>
          <w:tcPr>
            <w:tcW w:w="340" w:type="dxa"/>
            <w:vAlign w:val="bottom"/>
            <w:tcBorders>
              <w:right w:val="single" w:sz="8" w:color="D6F3E8"/>
            </w:tcBorders>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4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40,349</w:t>
            </w: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8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(2,540)</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500" w:type="dxa"/>
            <w:vAlign w:val="bottom"/>
          </w:tcPr>
          <w:p>
            <w:pPr>
              <w:spacing w:after="0" w:line="202" w:lineRule="exact"/>
              <w:rPr>
                <w:sz w:val="20"/>
                <w:szCs w:val="20"/>
                <w:color w:val="auto"/>
              </w:rPr>
            </w:pPr>
            <w:r>
              <w:rPr>
                <w:rFonts w:ascii="Arial" w:cs="Arial" w:eastAsia="Arial" w:hAnsi="Arial"/>
                <w:sz w:val="18"/>
                <w:szCs w:val="18"/>
                <w:color w:val="auto"/>
              </w:rPr>
              <w:t>Selling</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40" w:type="dxa"/>
            <w:vAlign w:val="bottom"/>
            <w:tcBorders>
              <w:top w:val="single" w:sz="8" w:color="D6F3E8"/>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0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11,908</w:t>
            </w:r>
          </w:p>
        </w:tc>
        <w:tc>
          <w:tcPr>
            <w:tcW w:w="340" w:type="dxa"/>
            <w:vAlign w:val="bottom"/>
            <w:tcBorders>
              <w:right w:val="single" w:sz="8" w:color="D6F3E8"/>
            </w:tcBorders>
            <w:shd w:val="clear" w:color="auto" w:fill="D6F3E8"/>
          </w:tcPr>
          <w:p>
            <w:pPr>
              <w:spacing w:after="0"/>
              <w:rPr>
                <w:sz w:val="21"/>
                <w:szCs w:val="21"/>
                <w:color w:val="auto"/>
              </w:rPr>
            </w:pPr>
          </w:p>
        </w:tc>
        <w:tc>
          <w:tcPr>
            <w:tcW w:w="24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right w:val="single" w:sz="8" w:color="D6F3E8"/>
            </w:tcBorders>
            <w:shd w:val="clear" w:color="auto" w:fill="D6F3E8"/>
          </w:tcPr>
          <w:p>
            <w:pPr>
              <w:spacing w:after="0"/>
              <w:rPr>
                <w:sz w:val="21"/>
                <w:szCs w:val="21"/>
                <w:color w:val="auto"/>
              </w:rPr>
            </w:pPr>
          </w:p>
        </w:tc>
        <w:tc>
          <w:tcPr>
            <w:tcW w:w="180" w:type="dxa"/>
            <w:vAlign w:val="bottom"/>
            <w:tcBorders>
              <w:bottom w:val="single" w:sz="8" w:color="auto"/>
            </w:tcBorders>
            <w:shd w:val="clear" w:color="auto" w:fill="D6F3E8"/>
          </w:tcPr>
          <w:p>
            <w:pPr>
              <w:spacing w:after="0"/>
              <w:rPr>
                <w:sz w:val="21"/>
                <w:szCs w:val="21"/>
                <w:color w:val="auto"/>
              </w:rPr>
            </w:pPr>
          </w:p>
        </w:tc>
        <w:tc>
          <w:tcPr>
            <w:tcW w:w="84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11,807</w:t>
            </w:r>
          </w:p>
        </w:tc>
        <w:tc>
          <w:tcPr>
            <w:tcW w:w="340" w:type="dxa"/>
            <w:vAlign w:val="bottom"/>
            <w:tcBorders>
              <w:right w:val="single" w:sz="8" w:color="D6F3E8"/>
            </w:tcBorders>
            <w:shd w:val="clear" w:color="auto" w:fill="D6F3E8"/>
          </w:tcPr>
          <w:p>
            <w:pPr>
              <w:spacing w:after="0"/>
              <w:rPr>
                <w:sz w:val="21"/>
                <w:szCs w:val="21"/>
                <w:color w:val="auto"/>
              </w:rPr>
            </w:pPr>
          </w:p>
        </w:tc>
        <w:tc>
          <w:tcPr>
            <w:tcW w:w="220" w:type="dxa"/>
            <w:vAlign w:val="bottom"/>
            <w:tcBorders>
              <w:bottom w:val="single" w:sz="8" w:color="auto"/>
            </w:tcBorders>
            <w:shd w:val="clear" w:color="auto" w:fill="D6F3E8"/>
          </w:tcPr>
          <w:p>
            <w:pPr>
              <w:spacing w:after="0"/>
              <w:rPr>
                <w:sz w:val="21"/>
                <w:szCs w:val="21"/>
                <w:color w:val="auto"/>
              </w:rPr>
            </w:pPr>
          </w:p>
        </w:tc>
        <w:tc>
          <w:tcPr>
            <w:tcW w:w="80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D6F3E8"/>
          </w:tcPr>
          <w:p>
            <w:pPr>
              <w:spacing w:after="0"/>
              <w:rPr>
                <w:sz w:val="21"/>
                <w:szCs w:val="21"/>
                <w:color w:val="auto"/>
              </w:rPr>
            </w:pPr>
          </w:p>
        </w:tc>
        <w:tc>
          <w:tcPr>
            <w:tcW w:w="10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w:t>
            </w:r>
          </w:p>
        </w:tc>
        <w:tc>
          <w:tcPr>
            <w:tcW w:w="340" w:type="dxa"/>
            <w:vAlign w:val="bottom"/>
            <w:tcBorders>
              <w:bottom w:val="single" w:sz="8" w:color="D6F3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D6F3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340" w:type="dxa"/>
            <w:vAlign w:val="bottom"/>
            <w:tcBorders>
              <w:bottom w:val="single" w:sz="8" w:color="D6F3E8"/>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40" w:type="dxa"/>
            <w:vAlign w:val="bottom"/>
            <w:tcBorders>
              <w:bottom w:val="single" w:sz="8" w:color="D6F3E8"/>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Borders>
              <w:right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D6F3E8"/>
          </w:tcPr>
          <w:p>
            <w:pPr>
              <w:spacing w:after="0"/>
              <w:rPr>
                <w:sz w:val="20"/>
                <w:szCs w:val="20"/>
                <w:color w:val="auto"/>
              </w:rPr>
            </w:pPr>
          </w:p>
        </w:tc>
        <w:tc>
          <w:tcPr>
            <w:tcW w:w="120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16,038</w:t>
            </w: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19,500</w:t>
            </w:r>
          </w:p>
        </w:tc>
        <w:tc>
          <w:tcPr>
            <w:tcW w:w="220" w:type="dxa"/>
            <w:vAlign w:val="bottom"/>
            <w:shd w:val="clear" w:color="auto" w:fill="D6F3E8"/>
          </w:tcPr>
          <w:p>
            <w:pPr>
              <w:spacing w:after="0"/>
              <w:rPr>
                <w:sz w:val="20"/>
                <w:szCs w:val="20"/>
                <w:color w:val="auto"/>
              </w:rPr>
            </w:pPr>
          </w:p>
        </w:tc>
        <w:tc>
          <w:tcPr>
            <w:tcW w:w="114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(3,462)</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(689)</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3500" w:type="dxa"/>
            <w:vAlign w:val="bottom"/>
            <w:tcBorders>
              <w:right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60" w:type="dxa"/>
            <w:vAlign w:val="bottom"/>
            <w:tcBorders>
              <w:right w:val="single" w:sz="8" w:color="D6F3E8"/>
            </w:tcBorders>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500" w:type="dxa"/>
            <w:vAlign w:val="bottom"/>
            <w:tcBorders>
              <w:right w:val="single" w:sz="8" w:color="D6F3E8"/>
            </w:tcBorders>
            <w:vMerge w:val="continue"/>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18,514</w:t>
            </w:r>
          </w:p>
        </w:tc>
        <w:tc>
          <w:tcPr>
            <w:tcW w:w="340" w:type="dxa"/>
            <w:vAlign w:val="bottom"/>
            <w:tcBorders>
              <w:right w:val="single" w:sz="8" w:color="D6F3E8"/>
            </w:tcBorders>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4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8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(4,151)</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6,035</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(1,162)</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500" w:type="dxa"/>
            <w:vAlign w:val="bottom"/>
            <w:tcBorders>
              <w:right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60" w:type="dxa"/>
            <w:vAlign w:val="bottom"/>
            <w:tcBorders>
              <w:right w:val="single" w:sz="8" w:color="D6F3E8"/>
            </w:tcBorders>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right w:val="single" w:sz="8" w:color="D6F3E8"/>
            </w:tcBorders>
            <w:vMerge w:val="continue"/>
            <w:shd w:val="clear" w:color="auto" w:fill="D6F3E8"/>
          </w:tcPr>
          <w:p>
            <w:pPr>
              <w:spacing w:after="0"/>
              <w:rPr>
                <w:sz w:val="20"/>
                <w:szCs w:val="20"/>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340" w:type="dxa"/>
            <w:vAlign w:val="bottom"/>
            <w:tcBorders>
              <w:right w:val="single" w:sz="8" w:color="D6F3E8"/>
            </w:tcBorders>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8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(2,989)</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3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Diluted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0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(0.06)</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3500" w:type="dxa"/>
            <w:vAlign w:val="bottom"/>
            <w:tcBorders>
              <w:top w:val="single" w:sz="8" w:color="D6F3E8"/>
              <w:right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Fully diluted average shares outstanding</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78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80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60" w:type="dxa"/>
            <w:vAlign w:val="bottom"/>
            <w:tcBorders>
              <w:top w:val="single" w:sz="8" w:color="auto"/>
              <w:right w:val="single" w:sz="8" w:color="D6F3E8"/>
            </w:tcBorders>
            <w:shd w:val="clear" w:color="auto" w:fill="000000"/>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right w:val="single" w:sz="8" w:color="D6F3E8"/>
            </w:tcBorders>
            <w:vMerge w:val="continue"/>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29,245</w:t>
            </w:r>
          </w:p>
        </w:tc>
        <w:tc>
          <w:tcPr>
            <w:tcW w:w="340" w:type="dxa"/>
            <w:vAlign w:val="bottom"/>
            <w:tcBorders>
              <w:right w:val="single" w:sz="8" w:color="D6F3E8"/>
            </w:tcBorders>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780" w:type="dxa"/>
            <w:vAlign w:val="bottom"/>
            <w:tcBorders>
              <w:right w:val="single" w:sz="8" w:color="D6F3E8"/>
            </w:tcBorders>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4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31,666</w:t>
            </w: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800" w:type="dxa"/>
            <w:vAlign w:val="bottom"/>
            <w:tcBorders>
              <w:right w:val="single" w:sz="8" w:color="D6F3E8"/>
            </w:tcBorders>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(2,421)</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7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87"/>
              </w:rPr>
              <w:t>Twenty-Seven</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Twenty-Six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0"/>
              </w:rPr>
              <w:t>Weeks Ended</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5"/>
              </w:rPr>
              <w:t>Weeks Ended</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398"/>
              <w:spacing w:after="0"/>
              <w:rPr>
                <w:sz w:val="20"/>
                <w:szCs w:val="20"/>
                <w:color w:val="auto"/>
              </w:rPr>
            </w:pPr>
            <w:r>
              <w:rPr>
                <w:rFonts w:ascii="Arial" w:cs="Arial" w:eastAsia="Arial" w:hAnsi="Arial"/>
                <w:sz w:val="14"/>
                <w:szCs w:val="14"/>
                <w:b w:val="1"/>
                <w:bCs w:val="1"/>
                <w:color w:val="auto"/>
                <w:w w:val="83"/>
              </w:rPr>
              <w:t>(Decrease)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91"/>
              </w:rPr>
              <w:t>March 1,</w:t>
            </w: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w w:val="86"/>
              </w:rPr>
              <w:t>Product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tcPr>
          <w:p>
            <w:pPr>
              <w:jc w:val="center"/>
              <w:ind w:right="780"/>
              <w:spacing w:after="0" w:line="129" w:lineRule="exact"/>
              <w:rPr>
                <w:sz w:val="20"/>
                <w:szCs w:val="20"/>
                <w:color w:val="auto"/>
              </w:rPr>
            </w:pPr>
            <w:r>
              <w:rPr>
                <w:rFonts w:ascii="Arial" w:cs="Arial" w:eastAsia="Arial" w:hAnsi="Arial"/>
                <w:sz w:val="14"/>
                <w:szCs w:val="14"/>
                <w:b w:val="1"/>
                <w:bCs w:val="1"/>
                <w:color w:val="auto"/>
                <w:w w:val="88"/>
              </w:rPr>
              <w:t>Feb. 24,</w:t>
            </w:r>
          </w:p>
        </w:tc>
        <w:tc>
          <w:tcPr>
            <w:tcW w:w="80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w w:val="86"/>
              </w:rPr>
              <w:t>Product</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color w:val="auto"/>
              </w:rPr>
              <w:t>Motor home unit deliveries:</w:t>
            </w:r>
          </w:p>
        </w:tc>
        <w:tc>
          <w:tcPr>
            <w:tcW w:w="160" w:type="dxa"/>
            <w:vAlign w:val="bottom"/>
          </w:tcPr>
          <w:p>
            <w:pPr>
              <w:spacing w:after="0"/>
              <w:rPr>
                <w:sz w:val="14"/>
                <w:szCs w:val="14"/>
                <w:color w:val="auto"/>
              </w:rPr>
            </w:pPr>
          </w:p>
        </w:tc>
        <w:tc>
          <w:tcPr>
            <w:tcW w:w="86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Mix %</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Mix %</w:t>
            </w:r>
          </w:p>
        </w:tc>
        <w:tc>
          <w:tcPr>
            <w:tcW w:w="140" w:type="dxa"/>
            <w:vAlign w:val="bottom"/>
          </w:tcPr>
          <w:p>
            <w:pPr>
              <w:spacing w:after="0"/>
              <w:rPr>
                <w:sz w:val="14"/>
                <w:szCs w:val="14"/>
                <w:color w:val="auto"/>
              </w:rPr>
            </w:pPr>
          </w:p>
        </w:tc>
        <w:tc>
          <w:tcPr>
            <w:tcW w:w="1200" w:type="dxa"/>
            <w:vAlign w:val="bottom"/>
            <w:gridSpan w:val="2"/>
          </w:tcPr>
          <w:p>
            <w:pPr>
              <w:jc w:val="center"/>
              <w:ind w:right="398"/>
              <w:spacing w:after="0"/>
              <w:rPr>
                <w:sz w:val="20"/>
                <w:szCs w:val="20"/>
                <w:color w:val="auto"/>
              </w:rPr>
            </w:pPr>
            <w:r>
              <w:rPr>
                <w:rFonts w:ascii="Arial" w:cs="Arial" w:eastAsia="Arial" w:hAnsi="Arial"/>
                <w:sz w:val="14"/>
                <w:szCs w:val="14"/>
                <w:b w:val="1"/>
                <w:bCs w:val="1"/>
                <w:color w:val="auto"/>
                <w:w w:val="84"/>
              </w:rPr>
              <w:t>Increase</w:t>
            </w:r>
          </w:p>
        </w:tc>
        <w:tc>
          <w:tcPr>
            <w:tcW w:w="114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D6F3E8"/>
              <w:right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1,387</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1,658</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(271)</w:t>
            </w:r>
          </w:p>
        </w:tc>
        <w:tc>
          <w:tcPr>
            <w:tcW w:w="340" w:type="dxa"/>
            <w:vAlign w:val="bottom"/>
            <w:tcBorders>
              <w:top w:val="single" w:sz="8" w:color="D6F3E8"/>
            </w:tcBorders>
            <w:shd w:val="clear" w:color="auto" w:fill="D6F3E8"/>
          </w:tcPr>
          <w:p>
            <w:pPr>
              <w:spacing w:after="0"/>
              <w:rPr>
                <w:sz w:val="18"/>
                <w:szCs w:val="18"/>
                <w:color w:val="auto"/>
              </w:rPr>
            </w:pPr>
          </w:p>
        </w:tc>
        <w:tc>
          <w:tcPr>
            <w:tcW w:w="10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r>
              <w:rPr>
                <w:rFonts w:ascii="Arial" w:cs="Arial" w:eastAsia="Arial" w:hAnsi="Arial"/>
                <w:sz w:val="18"/>
                <w:szCs w:val="18"/>
                <w:color w:val="auto"/>
              </w:rPr>
              <w:t>Class A diesel</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(121)</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2"/>
        </w:trPr>
        <w:tc>
          <w:tcPr>
            <w:tcW w:w="3500" w:type="dxa"/>
            <w:vAlign w:val="bottom"/>
            <w:tcBorders>
              <w:top w:val="single" w:sz="8" w:color="D6F3E8"/>
              <w:right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Total Class A</w:t>
            </w: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2,037</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52.9</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2,429</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56.3</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Borders>
              <w:top w:val="single" w:sz="8" w:color="D6F3E8"/>
            </w:tcBorders>
            <w:shd w:val="clear" w:color="auto" w:fill="D6F3E8"/>
          </w:tcPr>
          <w:p>
            <w:pPr>
              <w:spacing w:after="0"/>
              <w:rPr>
                <w:sz w:val="18"/>
                <w:szCs w:val="18"/>
                <w:color w:val="auto"/>
              </w:rPr>
            </w:pPr>
          </w:p>
        </w:tc>
        <w:tc>
          <w:tcPr>
            <w:tcW w:w="10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Class B</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160" w:type="dxa"/>
            <w:vAlign w:val="bottom"/>
            <w:shd w:val="clear" w:color="auto" w:fill="D6F3E8"/>
          </w:tcPr>
          <w:p>
            <w:pPr>
              <w:spacing w:after="0"/>
              <w:rPr>
                <w:sz w:val="21"/>
                <w:szCs w:val="21"/>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1,814</w:t>
            </w:r>
          </w:p>
        </w:tc>
        <w:tc>
          <w:tcPr>
            <w:tcW w:w="340" w:type="dxa"/>
            <w:vAlign w:val="bottom"/>
            <w:tcBorders>
              <w:right w:val="single" w:sz="8" w:color="D6F3E8"/>
            </w:tcBorders>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7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84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1,883</w:t>
            </w:r>
          </w:p>
        </w:tc>
        <w:tc>
          <w:tcPr>
            <w:tcW w:w="340" w:type="dxa"/>
            <w:vAlign w:val="bottom"/>
            <w:tcBorders>
              <w:right w:val="single" w:sz="8" w:color="D6F3E8"/>
            </w:tcBorders>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8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D6F3E8"/>
          </w:tcPr>
          <w:p>
            <w:pPr>
              <w:jc w:val="right"/>
              <w:ind w:right="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3500" w:type="dxa"/>
            <w:vAlign w:val="bottom"/>
          </w:tcPr>
          <w:p>
            <w:pPr>
              <w:ind w:left="340"/>
              <w:spacing w:after="0"/>
              <w:rPr>
                <w:sz w:val="20"/>
                <w:szCs w:val="20"/>
                <w:color w:val="auto"/>
              </w:rPr>
            </w:pPr>
            <w:r>
              <w:rPr>
                <w:rFonts w:ascii="Arial" w:cs="Arial" w:eastAsia="Arial" w:hAnsi="Arial"/>
                <w:sz w:val="18"/>
                <w:szCs w:val="18"/>
                <w:color w:val="auto"/>
              </w:rPr>
              <w:t>Total deliveries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Borders>
              <w:top w:val="single" w:sz="8" w:color="D6F3E8"/>
            </w:tcBorders>
          </w:tcPr>
          <w:p>
            <w:pPr>
              <w:jc w:val="right"/>
              <w:ind w:right="198"/>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D6F3E8"/>
            </w:tcBorders>
          </w:tcPr>
          <w:p>
            <w:pPr>
              <w:jc w:val="right"/>
              <w:ind w:right="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-625475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-625475</wp:posOffset>
            </wp:positionV>
            <wp:extent cx="214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Net revenues for the twenty-seven weeks ended March 1, 2008 decreased $21.4 million, or 5.3 percent, primarily as a result of a 10.7 percent decrease in unit deliveries. Partially offsetting the revenue decline was an increase in our average selling price for motor homes of 5.3 percent.</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margin decreased to 10.0 percent for the twenty-seven weeks ended March 1, 2008 from 10.1 percent, or by $2.5 million, for the twenty-six weeks ended February 24, 2007. The reduction in margin was primarily due to lower sales volume and additional promotional programs partially offset by increased pricing as compared to the prior period.</w:t>
      </w:r>
    </w:p>
    <w:p>
      <w:pPr>
        <w:spacing w:after="0" w:line="19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Selling expenses increased $821,000, or 9.1 percent, for the twenty-seven weeks ended March 1, 2008. As a percent of net revenues, selling expenses were 2.6 percent and 2.3 percent for the twenty-seven weeks ended March 1, 2008 and twenty-six weeks ended February 24, 2007, respectively. The increases were primarily due to an increase in advertising expenses of $628,000 and to the reduced revenue dollars.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General and administrative expenses increased $101,000, or 0.9 percent, for the twenty-seven weeks ended March 1, 2008. As a percent of net revenues, general and administrative expenses were 3.1 percent and 2.9 percent for the twenty-seven weeks ended March 1, 2008 and twenty-six weeks ended February 24, 2007,</w:t>
      </w:r>
    </w:p>
    <w:p>
      <w:pPr>
        <w:sectPr>
          <w:pgSz w:w="11900" w:h="16840" w:orient="portrait"/>
          <w:cols w:equalWidth="0" w:num="1">
            <w:col w:w="11420"/>
          </w:cols>
          <w:pgMar w:left="240" w:top="1090" w:right="239" w:bottom="0" w:gutter="0" w:footer="0" w:header="0"/>
        </w:sectPr>
      </w:pPr>
    </w:p>
    <w:bookmarkStart w:id="12" w:name="page13"/>
    <w:bookmarkEnd w:id="12"/>
    <w:p>
      <w:pPr>
        <w:ind w:right="200"/>
        <w:spacing w:after="0" w:line="268" w:lineRule="auto"/>
        <w:rPr>
          <w:sz w:val="20"/>
          <w:szCs w:val="20"/>
          <w:color w:val="auto"/>
        </w:rPr>
      </w:pPr>
      <w:r>
        <w:rPr>
          <w:rFonts w:ascii="Arial" w:cs="Arial" w:eastAsia="Arial" w:hAnsi="Arial"/>
          <w:sz w:val="18"/>
          <w:szCs w:val="18"/>
          <w:color w:val="auto"/>
        </w:rPr>
        <w:t>respectively. The increases were due primarily to severance-related costs and increased legal expense offset partially by reduced stock-based compensation and reversals of the management incentives recorded during the twenty-seven weeks ended March 1, 2008.</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income decreased $689,000, or 21.8 percent, for the twenty-seven weeks ended March 1, 2008. The decrease in financial income was due to lower average investment balances offset partially by higher rates earned on these investments.</w:t>
      </w:r>
    </w:p>
    <w:p>
      <w:pPr>
        <w:spacing w:after="0" w:line="1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overall effective income tax rate increased to 32.6 percent for the twenty-seven weeks ended March 1, 2008 from 31.8 percent for the twenty-six weeks ended February 24, 2007. The increase was a result of an increase in state taxes.</w:t>
      </w:r>
    </w:p>
    <w:p>
      <w:pPr>
        <w:spacing w:after="0" w:line="18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Net income decreased by 19.3 percent and income per diluted share decreased by 12.2 percent when comparing the twenty-seven weeks ended March 1, 2008 to the twenty-six weeks ended February 24, 2007. The smaller percentage decrease in income per diluted share was due to a lower average number of shares of common stock outstanding during the twenty-seven weeks ended March 1, 2008, as a result of shares of common stock repurchased by the Company</w:t>
      </w:r>
      <w:r>
        <w:rPr>
          <w:rFonts w:ascii="Arial" w:cs="Arial" w:eastAsia="Arial" w:hAnsi="Arial"/>
          <w:sz w:val="15"/>
          <w:szCs w:val="15"/>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prior fiscal years, we have generated substantial cash from operations, which has enabled us to meet our working capital needs and make appropriate investments in manufacturing equipment and facilities, as well as pay increased cash dividends and repurchase stock. Cash and cash equivalents totaled $15.5 million and $6.9 million as of March 1, 2008 and August 25, 2007, respectively.</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Investments were $50.8 million as of March 1, 2008 and $102.7 million as of August 25, 2007. These investments were comprised of ARSs. For additional information on the Company’s investments, please refer to Note 4.</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Until February 2008, the ARS market was highly liquid. Starting the week of February 11, 2008, a substantial number of auctions “failed,” meaning that there was not enough demand to sell all of the securities that holders desired to sell at auction. From February 11, 2008 through our fiscal quarter end, March 1, 2008, we successfully sold $5.8 million of our $60 million portfolio. The securities for which auctions have failed will continue to accrue interest at the contractual rate and be auctioned generally every 35 days until the auction succeeds, the issuer calls the securities or they mature. We continue to believe that we will ultimately recover all amounts invested in these ARSs. Management does not believe that the current illiquidity of these securities will have a material impact on our ability to execute the current business plan.</w:t>
      </w:r>
    </w:p>
    <w:p>
      <w:pPr>
        <w:spacing w:after="0" w:line="19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Working capital at March 1, 2008 and August 25, 2007 was $103.5 million and $168.9 million, respectively, a decrease of $65.4 million. We have no long-term debt. If necessary, we believe the Company would be able to obtain a revolving credit facility to provide additional cash to support our business plan. However, we currently expect our cash on hand and funds generated from operations to be sufficient to cover both short- and long-term operation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Cash used in operating activities was $12.6 million for the twenty-seven weeks ended March 1, 2008 compared to cash provided of $13.1 million for the twenty-six weeks ended February 24, 2007. A significant increase in inventory of $27.3 million for the six months ended March 1, 2008 was the primary reason for the cash used in operating activities. For the six months ended February 24, 2007, inventory and accounts receivables levels increased $19.6 million. This was offset by an increase in accounts payable and accrued expenses of $9.1 million and net income of $15.5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Cash provided by investing activities was due to proceeds from the sale or maturity of investments for the twenty-seven weeks ended March 1, 2008, whereas during the twenty-six weeks ended February 24, 2007, the Company used cash to purchase investments.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used cash for financing activities by repurchasing Company common stock and paying dividends during the twenty-seven weeks ended March 1, 2008. Conversely, during the twenty-six weeks ended February 24, 2007, the Company received cash for the exercise of stock options offset partially by the payment of cash dividends. (See Unaudited Condensed Consolidated Statements of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At March 1, 2008, estimated uses of our liquid assets for the remainder of Fiscal 2008 include $7.0 million for payments of cash dividends (assuming dividends continue to be paid at the current rate and the number of outstanding shares does not change significantly from the number outstanding at March 1, 2008). We expect spending for capital expenditures will be approximately $2 million for the remainder of Fiscal 2008.</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December 19, 2007, the Board of Directors declared a quarterly cash dividend of $0.12 per common share which was paid on April 7, 2008 to shareholders of record as of March 7, 2008.</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March 26, 2008, the Board of Directors declared a quarterly cash dividend of $0.12 per common share, payable July 8, 2008 to shareholders of record on June 6, 2008.</w:t>
      </w:r>
    </w:p>
    <w:p>
      <w:pPr>
        <w:spacing w:after="0" w:line="18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total liability for uncertain tax positions under FIN 48 at March 1, 2008 was approximately $21 million (refer to Note 7). We believe that it is reasonably possible that the total amount of unrecognized tax benefits as of March 1, 2008 will decrease by $11.8 million within the next twelve months from expected settlements or payments of uncertain tax positions. As a result, we have classified this portion as a current liability.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Other than as noted above, there have been no material changes with respect to the contractual obligations as described in our 2007 Annual Report on Form 10-K.</w:t>
      </w:r>
    </w:p>
    <w:p>
      <w:pPr>
        <w:sectPr>
          <w:pgSz w:w="11900" w:h="16838" w:orient="portrait"/>
          <w:cols w:equalWidth="0" w:num="1">
            <w:col w:w="11400"/>
          </w:cols>
          <w:pgMar w:left="240" w:top="131" w:right="259" w:bottom="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investments are comprised of ARSs. These securities have historically traded at par and are callable at par at the option of the issuer. Interest is typically paid at the end of each auction period or semiannually. At March 1, 2008, the majority of the ARSs we held were AAA/Aaa rated with most collateralized by student loans guaranteed by the U.S. government under the Federal Family Education Loan Program and a majority of the remaining securities backed by monoline bond insurance companies. Until February 2008, the auction rate securities market was highly liquid. Starting the week of February 11, 2008, a substantial number of auctions “failed,” meaning that there was not enough demand to sell all of the securities that holders desired to sell at auction. The immediate effect of a failed auction is that such holders cannot sell the securities at auction and the interest rate on the security generally resets to a maximum auction rate. In the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auction feature for each instrument is an opportunity to accept the reset rate or liquidate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ARSs. We have no reason to believe that any of the underlying issuers of our auction rate securities are presently at risk of default. However, the above recent developments have resulted in the classification of all of these securities as long-term investments in our consolidated financial statements and a temporary impairment of $3.4 million or 6 percent of our initial investment. If we are unable to successfully sell the ARS we hold at auction and the issuers’ credit ratings deteriorate, we may, in the future, be required to record additional impairment charges on these investments. We believe we will ultimately be able to liquidate our investment without significant loss primarily due to the collateral securing most of the ARSs. However, it could take until final maturity of the ARS (up to 33 years) to realize our investments’ par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Securities and Exchange Commission’s (SEC) rules and forms.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March 1, 2008. During our assessment, we did not identify any material weaknesses in our internal control over financial reporting.</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connection with the evaluation of internal control over financial reporting described above, no changes in our internal control over financing reporting were identified that occurred during the first or second quarters of Fiscal 2008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ectPr>
          <w:pgSz w:w="11900" w:h="16838" w:orient="portrait"/>
          <w:cols w:equalWidth="0" w:num="1">
            <w:col w:w="11420"/>
          </w:cols>
          <w:pgMar w:left="240" w:top="328"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Forest City, Iowa</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reviewed the accompanying condensed consolidated balance sheet of Winnebago Industries, Inc. and subsidiaries (the “Company”) as of March 1, 2008, and the related condensed consolidated statements of income for the thirteen and twenty-seven weeks ended March 1, 2008 and the thirteen and twenty-six weeks ended February 24, 2007 and the related condensed consolidated statements of cash flows for the twenty-seven weeks ended March 1, 2008 and the twenty-six weeks ended February 24, 2007. These interim financial statements are the responsibility of the Company’s management.</w:t>
      </w:r>
    </w:p>
    <w:p>
      <w:pPr>
        <w:spacing w:after="0" w:line="167"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As discussed in Note 7 to the condensed consolidated interim financial statements, the Company changed its method of accounting for unrecognized tax benefits to conform to </w:t>
      </w:r>
      <w:r>
        <w:rPr>
          <w:rFonts w:ascii="Arial" w:cs="Arial" w:eastAsia="Arial" w:hAnsi="Arial"/>
          <w:sz w:val="18"/>
          <w:szCs w:val="18"/>
          <w:i w:val="1"/>
          <w:iCs w:val="1"/>
          <w:color w:val="auto"/>
        </w:rPr>
        <w:t>Statement of Financial Accounting Standards Interpretation No. 48</w:t>
      </w:r>
      <w:r>
        <w:rPr>
          <w:rFonts w:ascii="Arial" w:cs="Arial" w:eastAsia="Arial" w:hAnsi="Arial"/>
          <w:sz w:val="18"/>
          <w:szCs w:val="18"/>
          <w:color w:val="auto"/>
        </w:rPr>
        <w:t xml:space="preserve"> effective August 26, 2007.</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25, 2007, and the related consolidated statements of income, stockholders’ equity, and cash flows for the year then ended (not presented herein); and in our report dated October 22, 2007, we expressed an unqualified opinion on those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PART II. </w:t>
      </w:r>
      <w:r>
        <w:rPr>
          <w:rFonts w:ascii="Arial" w:cs="Arial" w:eastAsia="Arial" w:hAnsi="Arial"/>
          <w:sz w:val="22"/>
          <w:szCs w:val="22"/>
          <w:b w:val="1"/>
          <w:bCs w:val="1"/>
          <w:color w:val="auto"/>
        </w:rPr>
        <w:t>OTHER INFORMATION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8"/>
          <w:szCs w:val="18"/>
          <w:b w:val="1"/>
          <w:bCs w:val="1"/>
          <w:color w:val="auto"/>
        </w:rPr>
        <w:t>Legal Proceedings</w:t>
      </w:r>
      <w:r>
        <w:rPr>
          <w:rFonts w:ascii="Arial" w:cs="Arial" w:eastAsia="Arial" w:hAnsi="Arial"/>
          <w:sz w:val="18"/>
          <w:szCs w:val="18"/>
          <w:color w:val="auto"/>
        </w:rPr>
        <w:t>.</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1A.  </w:t>
      </w:r>
      <w:r>
        <w:rPr>
          <w:rFonts w:ascii="Arial" w:cs="Arial" w:eastAsia="Arial" w:hAnsi="Arial"/>
          <w:sz w:val="22"/>
          <w:szCs w:val="22"/>
          <w:b w:val="1"/>
          <w:bCs w:val="1"/>
          <w:color w:val="auto"/>
        </w:rPr>
        <w:t>Risk Factors</w:t>
      </w:r>
      <w:r>
        <w:rPr>
          <w:rFonts w:ascii="Arial" w:cs="Arial" w:eastAsia="Arial" w:hAnsi="Arial"/>
          <w:sz w:val="22"/>
          <w:szCs w:val="22"/>
          <w:color w:val="auto"/>
        </w:rPr>
        <w:t>.</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than with respect to the risk factor below, there have been no material changes from the risk factors previously disclosed on Part I, Item 1A, of our Annual Report on Form 10-K for the fiscal year ended August 25,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investments are comprised of ARSs. The securities have historically traded at par and are callable at par on any interest payment date at the option of the issuer. Interest is typically paid at the end of each auction period or semiannually. At the end of the fiscal quarter, the majority of the ARSs we held were AAA/Aaa rated with most collateralized by student loans guaranteed by the U.S. government under the Federal Family Education Loan Program and a majority of the remaining securities backed by monoline bond insurance companies. Until February 2008, the auction rate securities market was highly liquid. Starting the week of February 11, 2008, a substantial number of auctions “failed,” meaning that there was not enough demand to sell all of the securities that holders desired to sell at auction. In the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auction feature for each instrument is an opportunity to accept the reset rate or sell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ARSs. We have no reason to believe that any of the issuers of our ARS investments are presently at risk of default. However, the above recent developments have resulted in the classification of all of these securities as long-term investments in our consolidated financial statements and a temporary impairment as detailed in Note 4. If we are unable to successfully sell the ARS we hold at auction and the issuers’ credit ratings deteriorate, we may, in the future, be required to record additional impairment charges on these investments.</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r>
        <w:rPr>
          <w:rFonts w:ascii="Arial" w:cs="Arial" w:eastAsia="Arial" w:hAnsi="Arial"/>
          <w:sz w:val="19"/>
          <w:szCs w:val="19"/>
          <w:color w:val="auto"/>
        </w:rPr>
        <w:t>.</w:t>
      </w:r>
    </w:p>
    <w:p>
      <w:pPr>
        <w:sectPr>
          <w:pgSz w:w="11900" w:h="16838" w:orient="portrait"/>
          <w:cols w:equalWidth="0" w:num="1">
            <w:col w:w="11400"/>
          </w:cols>
          <w:pgMar w:left="240" w:top="131" w:right="259" w:bottom="175" w:gutter="0" w:footer="0" w:header="0"/>
        </w:sectPr>
      </w:pPr>
    </w:p>
    <w:bookmarkStart w:id="15" w:name="page16"/>
    <w:bookmarkEnd w:id="15"/>
    <w:p>
      <w:pPr>
        <w:jc w:val="both"/>
        <w:ind w:right="200"/>
        <w:spacing w:after="0" w:line="259" w:lineRule="auto"/>
        <w:rPr>
          <w:sz w:val="20"/>
          <w:szCs w:val="20"/>
          <w:color w:val="auto"/>
        </w:rPr>
      </w:pPr>
      <w:r>
        <w:rPr>
          <w:rFonts w:ascii="Arial" w:cs="Arial" w:eastAsia="Arial" w:hAnsi="Arial"/>
          <w:sz w:val="18"/>
          <w:szCs w:val="18"/>
          <w:color w:val="auto"/>
        </w:rPr>
        <w:t>On December 19, 2007 the Board of Directors authorized the repurchase of outstanding shares of our common stock, depending on market conditions, for an aggregate consideration of up to $60 million. There is no time restriction on this authorization. As of March 1, 2008, there had been no repurchases under this authorization.</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b w:val="1"/>
          <w:bCs w:val="1"/>
          <w:color w:val="auto"/>
        </w:rPr>
        <w:t>Submission of Matters to a Vote of Security Holders</w:t>
      </w:r>
      <w:r>
        <w:rPr>
          <w:rFonts w:ascii="Arial" w:cs="Arial" w:eastAsia="Arial" w:hAnsi="Arial"/>
          <w:sz w:val="19"/>
          <w:szCs w:val="19"/>
          <w:color w:val="auto"/>
        </w:rPr>
        <w:t>.</w:t>
      </w:r>
    </w:p>
    <w:p>
      <w:pPr>
        <w:spacing w:after="0" w:line="25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Meeting of Shareholders was held December 18, 2007.</w:t>
      </w:r>
    </w:p>
    <w:p>
      <w:pPr>
        <w:spacing w:after="0" w:line="225" w:lineRule="exact"/>
        <w:rPr>
          <w:rFonts w:ascii="Arial" w:cs="Arial" w:eastAsia="Arial" w:hAnsi="Arial"/>
          <w:sz w:val="18"/>
          <w:szCs w:val="18"/>
          <w:color w:val="auto"/>
        </w:rPr>
      </w:pPr>
    </w:p>
    <w:p>
      <w:pPr>
        <w:ind w:left="580" w:right="3360" w:hanging="572"/>
        <w:spacing w:after="0" w:line="268" w:lineRule="auto"/>
        <w:tabs>
          <w:tab w:leader="none" w:pos="569" w:val="left"/>
        </w:tabs>
        <w:numPr>
          <w:ilvl w:val="0"/>
          <w:numId w:val="2"/>
        </w:numPr>
        <w:rPr>
          <w:rFonts w:ascii="Arial" w:cs="Arial" w:eastAsia="Arial" w:hAnsi="Arial"/>
          <w:sz w:val="18"/>
          <w:szCs w:val="18"/>
          <w:color w:val="auto"/>
        </w:rPr>
      </w:pPr>
      <w:r>
        <w:rPr>
          <w:rFonts w:ascii="Arial" w:cs="Arial" w:eastAsia="Arial" w:hAnsi="Arial"/>
          <w:sz w:val="18"/>
          <w:szCs w:val="18"/>
          <w:color w:val="auto"/>
        </w:rPr>
        <w:t>Jerry N. Currie, Lawrence A. Erickson and John E. Herlitz were elected directors at the Annual Meeting. Directors whose terms continued after the shareholders meeting:</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40" w:type="dxa"/>
            <w:vAlign w:val="bottom"/>
            <w:shd w:val="clear" w:color="auto" w:fill="D6F3E8"/>
          </w:tcPr>
          <w:p>
            <w:pPr>
              <w:spacing w:after="0"/>
              <w:rPr>
                <w:sz w:val="20"/>
                <w:szCs w:val="20"/>
                <w:color w:val="auto"/>
              </w:rPr>
            </w:pPr>
            <w:r>
              <w:rPr>
                <w:rFonts w:ascii="Arial" w:cs="Arial" w:eastAsia="Arial" w:hAnsi="Arial"/>
                <w:sz w:val="18"/>
                <w:szCs w:val="18"/>
                <w:color w:val="auto"/>
              </w:rPr>
              <w:t>John V. Hanson</w:t>
            </w:r>
          </w:p>
        </w:tc>
        <w:tc>
          <w:tcPr>
            <w:tcW w:w="2320" w:type="dxa"/>
            <w:vAlign w:val="bottom"/>
            <w:shd w:val="clear" w:color="auto" w:fill="D6F3E8"/>
          </w:tcPr>
          <w:p>
            <w:pPr>
              <w:jc w:val="right"/>
              <w:ind w:right="872"/>
              <w:spacing w:after="0"/>
              <w:rPr>
                <w:sz w:val="20"/>
                <w:szCs w:val="20"/>
                <w:color w:val="auto"/>
              </w:rPr>
            </w:pPr>
            <w:r>
              <w:rPr>
                <w:rFonts w:ascii="Arial" w:cs="Arial" w:eastAsia="Arial" w:hAnsi="Arial"/>
                <w:sz w:val="18"/>
                <w:szCs w:val="18"/>
                <w:color w:val="auto"/>
              </w:rPr>
              <w:t>(2008)</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Bruce D. Hertzke</w:t>
            </w:r>
          </w:p>
        </w:tc>
        <w:tc>
          <w:tcPr>
            <w:tcW w:w="2320" w:type="dxa"/>
            <w:vAlign w:val="bottom"/>
          </w:tcPr>
          <w:p>
            <w:pPr>
              <w:jc w:val="right"/>
              <w:ind w:right="872"/>
              <w:spacing w:after="0"/>
              <w:rPr>
                <w:sz w:val="20"/>
                <w:szCs w:val="20"/>
                <w:color w:val="auto"/>
              </w:rPr>
            </w:pPr>
            <w:r>
              <w:rPr>
                <w:rFonts w:ascii="Arial" w:cs="Arial" w:eastAsia="Arial" w:hAnsi="Arial"/>
                <w:sz w:val="18"/>
                <w:szCs w:val="18"/>
                <w:color w:val="auto"/>
              </w:rPr>
              <w:t>(2008)</w:t>
            </w:r>
          </w:p>
        </w:tc>
      </w:tr>
      <w:tr>
        <w:trPr>
          <w:trHeight w:val="216"/>
        </w:trPr>
        <w:tc>
          <w:tcPr>
            <w:tcW w:w="2240" w:type="dxa"/>
            <w:vAlign w:val="bottom"/>
            <w:shd w:val="clear" w:color="auto" w:fill="D6F3E8"/>
          </w:tcPr>
          <w:p>
            <w:pPr>
              <w:spacing w:after="0"/>
              <w:rPr>
                <w:sz w:val="20"/>
                <w:szCs w:val="20"/>
                <w:color w:val="auto"/>
              </w:rPr>
            </w:pPr>
            <w:r>
              <w:rPr>
                <w:rFonts w:ascii="Arial" w:cs="Arial" w:eastAsia="Arial" w:hAnsi="Arial"/>
                <w:sz w:val="18"/>
                <w:szCs w:val="18"/>
                <w:color w:val="auto"/>
              </w:rPr>
              <w:t>Gerald C. Kitch</w:t>
            </w:r>
          </w:p>
        </w:tc>
        <w:tc>
          <w:tcPr>
            <w:tcW w:w="2320" w:type="dxa"/>
            <w:vAlign w:val="bottom"/>
            <w:shd w:val="clear" w:color="auto" w:fill="D6F3E8"/>
          </w:tcPr>
          <w:p>
            <w:pPr>
              <w:jc w:val="right"/>
              <w:ind w:right="872"/>
              <w:spacing w:after="0"/>
              <w:rPr>
                <w:sz w:val="20"/>
                <w:szCs w:val="20"/>
                <w:color w:val="auto"/>
              </w:rPr>
            </w:pPr>
            <w:r>
              <w:rPr>
                <w:rFonts w:ascii="Arial" w:cs="Arial" w:eastAsia="Arial" w:hAnsi="Arial"/>
                <w:sz w:val="18"/>
                <w:szCs w:val="18"/>
                <w:color w:val="auto"/>
              </w:rPr>
              <w:t>(2008)</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Irvin E. Aal</w:t>
            </w:r>
          </w:p>
        </w:tc>
        <w:tc>
          <w:tcPr>
            <w:tcW w:w="2320" w:type="dxa"/>
            <w:vAlign w:val="bottom"/>
          </w:tcPr>
          <w:p>
            <w:pPr>
              <w:jc w:val="right"/>
              <w:ind w:right="872"/>
              <w:spacing w:after="0"/>
              <w:rPr>
                <w:sz w:val="20"/>
                <w:szCs w:val="20"/>
                <w:color w:val="auto"/>
              </w:rPr>
            </w:pPr>
            <w:r>
              <w:rPr>
                <w:rFonts w:ascii="Arial" w:cs="Arial" w:eastAsia="Arial" w:hAnsi="Arial"/>
                <w:sz w:val="18"/>
                <w:szCs w:val="18"/>
                <w:color w:val="auto"/>
              </w:rPr>
              <w:t>(2009)</w:t>
            </w:r>
          </w:p>
        </w:tc>
      </w:tr>
      <w:tr>
        <w:trPr>
          <w:trHeight w:val="216"/>
        </w:trPr>
        <w:tc>
          <w:tcPr>
            <w:tcW w:w="2240" w:type="dxa"/>
            <w:vAlign w:val="bottom"/>
            <w:shd w:val="clear" w:color="auto" w:fill="D6F3E8"/>
          </w:tcPr>
          <w:p>
            <w:pPr>
              <w:spacing w:after="0"/>
              <w:rPr>
                <w:sz w:val="20"/>
                <w:szCs w:val="20"/>
                <w:color w:val="auto"/>
              </w:rPr>
            </w:pPr>
            <w:r>
              <w:rPr>
                <w:rFonts w:ascii="Arial" w:cs="Arial" w:eastAsia="Arial" w:hAnsi="Arial"/>
                <w:sz w:val="18"/>
                <w:szCs w:val="18"/>
                <w:color w:val="auto"/>
              </w:rPr>
              <w:t>Joseph W. England</w:t>
            </w:r>
          </w:p>
        </w:tc>
        <w:tc>
          <w:tcPr>
            <w:tcW w:w="2320" w:type="dxa"/>
            <w:vAlign w:val="bottom"/>
            <w:shd w:val="clear" w:color="auto" w:fill="D6F3E8"/>
          </w:tcPr>
          <w:p>
            <w:pPr>
              <w:jc w:val="right"/>
              <w:ind w:right="872"/>
              <w:spacing w:after="0"/>
              <w:rPr>
                <w:sz w:val="20"/>
                <w:szCs w:val="20"/>
                <w:color w:val="auto"/>
              </w:rPr>
            </w:pPr>
            <w:r>
              <w:rPr>
                <w:rFonts w:ascii="Arial" w:cs="Arial" w:eastAsia="Arial" w:hAnsi="Arial"/>
                <w:sz w:val="18"/>
                <w:szCs w:val="18"/>
                <w:color w:val="auto"/>
              </w:rPr>
              <w:t>(2009)</w:t>
            </w:r>
          </w:p>
        </w:tc>
      </w:tr>
    </w:tbl>
    <w:p>
      <w:pPr>
        <w:spacing w:after="0" w:line="208" w:lineRule="exact"/>
        <w:rPr>
          <w:sz w:val="20"/>
          <w:szCs w:val="20"/>
          <w:color w:val="auto"/>
        </w:rPr>
      </w:pPr>
    </w:p>
    <w:p>
      <w:pPr>
        <w:jc w:val="right"/>
        <w:ind w:left="5620" w:right="5500" w:hanging="5041"/>
        <w:spacing w:after="0" w:line="895" w:lineRule="auto"/>
        <w:tabs>
          <w:tab w:leader="none" w:pos="719" w:val="left"/>
        </w:tabs>
        <w:numPr>
          <w:ilvl w:val="0"/>
          <w:numId w:val="3"/>
        </w:numPr>
        <w:rPr>
          <w:rFonts w:ascii="Arial" w:cs="Arial" w:eastAsia="Arial" w:hAnsi="Arial"/>
          <w:sz w:val="16"/>
          <w:szCs w:val="16"/>
          <w:color w:val="auto"/>
        </w:rPr>
      </w:pPr>
      <w:r>
        <w:rPr>
          <w:rFonts w:ascii="Arial" w:cs="Arial" w:eastAsia="Arial" w:hAnsi="Arial"/>
          <w:sz w:val="16"/>
          <w:szCs w:val="16"/>
          <w:color w:val="auto"/>
        </w:rPr>
        <w:t>)  Represents year of Annual Meeting that individual’s term will expire.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breakdown of votes for the election of three directors was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8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Votes Cast For</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2"/>
              </w:rPr>
              <w:t>Authority Withheld</w:t>
            </w:r>
          </w:p>
        </w:tc>
      </w:tr>
      <w:tr>
        <w:trPr>
          <w:trHeight w:val="210"/>
        </w:trPr>
        <w:tc>
          <w:tcPr>
            <w:tcW w:w="3780" w:type="dxa"/>
            <w:vAlign w:val="bottom"/>
            <w:tcBorders>
              <w:top w:val="single" w:sz="8" w:color="D6F3E8"/>
            </w:tcBorders>
            <w:shd w:val="clear" w:color="auto" w:fill="D6F3E8"/>
          </w:tcPr>
          <w:p>
            <w:pPr>
              <w:spacing w:after="0" w:line="203" w:lineRule="exact"/>
              <w:rPr>
                <w:sz w:val="20"/>
                <w:szCs w:val="20"/>
                <w:color w:val="auto"/>
              </w:rPr>
            </w:pPr>
            <w:r>
              <w:rPr>
                <w:rFonts w:ascii="Arial" w:cs="Arial" w:eastAsia="Arial" w:hAnsi="Arial"/>
                <w:sz w:val="18"/>
                <w:szCs w:val="18"/>
                <w:color w:val="auto"/>
              </w:rPr>
              <w:t>Jerry N. Currie (2010)</w:t>
            </w:r>
          </w:p>
        </w:tc>
        <w:tc>
          <w:tcPr>
            <w:tcW w:w="122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6"/>
              </w:rPr>
              <w:t>23,166,573</w:t>
            </w:r>
          </w:p>
        </w:tc>
        <w:tc>
          <w:tcPr>
            <w:tcW w:w="620" w:type="dxa"/>
            <w:vAlign w:val="bottom"/>
            <w:tcBorders>
              <w:top w:val="single" w:sz="8" w:color="D6F3E8"/>
            </w:tcBorders>
            <w:shd w:val="clear" w:color="auto" w:fill="D6F3E8"/>
          </w:tcPr>
          <w:p>
            <w:pPr>
              <w:spacing w:after="0"/>
              <w:rPr>
                <w:sz w:val="18"/>
                <w:szCs w:val="18"/>
                <w:color w:val="auto"/>
              </w:rPr>
            </w:pPr>
          </w:p>
        </w:tc>
        <w:tc>
          <w:tcPr>
            <w:tcW w:w="1220" w:type="dxa"/>
            <w:vAlign w:val="bottom"/>
            <w:tcBorders>
              <w:top w:val="single" w:sz="8" w:color="auto"/>
            </w:tcBorders>
            <w:shd w:val="clear" w:color="auto" w:fill="D6F3E8"/>
          </w:tcPr>
          <w:p>
            <w:pPr>
              <w:jc w:val="right"/>
              <w:ind w:right="177"/>
              <w:spacing w:after="0"/>
              <w:rPr>
                <w:sz w:val="20"/>
                <w:szCs w:val="20"/>
                <w:color w:val="auto"/>
              </w:rPr>
            </w:pPr>
            <w:r>
              <w:rPr>
                <w:rFonts w:ascii="Arial" w:cs="Arial" w:eastAsia="Arial" w:hAnsi="Arial"/>
                <w:sz w:val="18"/>
                <w:szCs w:val="18"/>
                <w:color w:val="auto"/>
              </w:rPr>
              <w:t>2,471,547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Lawrence A. Erickson (2010)</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24,816,887</w:t>
            </w:r>
          </w:p>
        </w:tc>
        <w:tc>
          <w:tcPr>
            <w:tcW w:w="620" w:type="dxa"/>
            <w:vAlign w:val="bottom"/>
          </w:tcPr>
          <w:p>
            <w:pPr>
              <w:spacing w:after="0"/>
              <w:rPr>
                <w:sz w:val="18"/>
                <w:szCs w:val="18"/>
                <w:color w:val="auto"/>
              </w:rPr>
            </w:pP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821,233</w:t>
            </w:r>
          </w:p>
        </w:tc>
      </w:tr>
      <w:tr>
        <w:trPr>
          <w:trHeight w:val="216"/>
        </w:trPr>
        <w:tc>
          <w:tcPr>
            <w:tcW w:w="3780" w:type="dxa"/>
            <w:vAlign w:val="bottom"/>
            <w:shd w:val="clear" w:color="auto" w:fill="D6F3E8"/>
          </w:tcPr>
          <w:p>
            <w:pPr>
              <w:spacing w:after="0"/>
              <w:rPr>
                <w:sz w:val="20"/>
                <w:szCs w:val="20"/>
                <w:color w:val="auto"/>
              </w:rPr>
            </w:pPr>
            <w:r>
              <w:rPr>
                <w:rFonts w:ascii="Arial" w:cs="Arial" w:eastAsia="Arial" w:hAnsi="Arial"/>
                <w:sz w:val="18"/>
                <w:szCs w:val="18"/>
                <w:color w:val="auto"/>
              </w:rPr>
              <w:t>John E. Herlitz (**)</w:t>
            </w:r>
          </w:p>
        </w:tc>
        <w:tc>
          <w:tcPr>
            <w:tcW w:w="12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23,166,373</w:t>
            </w:r>
          </w:p>
        </w:tc>
        <w:tc>
          <w:tcPr>
            <w:tcW w:w="62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2,471,747</w:t>
            </w:r>
          </w:p>
        </w:tc>
      </w:tr>
    </w:tbl>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There were no broker nonvotes.</w:t>
      </w:r>
    </w:p>
    <w:p>
      <w:pPr>
        <w:spacing w:after="0" w:line="225" w:lineRule="exact"/>
        <w:rPr>
          <w:sz w:val="20"/>
          <w:szCs w:val="20"/>
          <w:color w:val="auto"/>
        </w:rPr>
      </w:pPr>
    </w:p>
    <w:p>
      <w:pPr>
        <w:ind w:left="580" w:right="180" w:firstLine="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8-K filed on March 25, 2008 reported that John E. Herlitz, an independent director of Winnebago Industries, Inc., died on March 23, 2008. The Board of Directors of the Company has made no decision to when the resulting vacancy will be filled.</w:t>
      </w:r>
    </w:p>
    <w:p>
      <w:pPr>
        <w:spacing w:after="0" w:line="18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Company’s proposal regarding ratification of the appointment of Deloitte &amp; Touche, LLP, as our independent registered public accountants for the fiscal year ending August 30, 2008.*</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2460" w:type="dxa"/>
            <w:vAlign w:val="bottom"/>
            <w:gridSpan w:val="2"/>
          </w:tcPr>
          <w:p>
            <w:pPr>
              <w:ind w:left="560"/>
              <w:spacing w:after="0"/>
              <w:rPr>
                <w:sz w:val="20"/>
                <w:szCs w:val="20"/>
                <w:color w:val="auto"/>
              </w:rPr>
            </w:pPr>
            <w:r>
              <w:rPr>
                <w:rFonts w:ascii="Arial" w:cs="Arial" w:eastAsia="Arial" w:hAnsi="Arial"/>
                <w:sz w:val="14"/>
                <w:szCs w:val="14"/>
                <w:b w:val="1"/>
                <w:bCs w:val="1"/>
                <w:color w:val="auto"/>
              </w:rPr>
              <w:t>Votes Cast for</w:t>
            </w:r>
          </w:p>
        </w:tc>
        <w:tc>
          <w:tcPr>
            <w:tcW w:w="2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Votes Cast Against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0"/>
        </w:trPr>
        <w:tc>
          <w:tcPr>
            <w:tcW w:w="1920" w:type="dxa"/>
            <w:vAlign w:val="bottom"/>
            <w:tcBorders>
              <w:top w:val="single" w:sz="8" w:color="auto"/>
            </w:tcBorders>
            <w:shd w:val="clear" w:color="auto" w:fill="D6F3E8"/>
          </w:tcPr>
          <w:p>
            <w:pPr>
              <w:ind w:left="560"/>
              <w:spacing w:after="0"/>
              <w:rPr>
                <w:sz w:val="20"/>
                <w:szCs w:val="20"/>
                <w:color w:val="auto"/>
              </w:rPr>
            </w:pPr>
            <w:r>
              <w:rPr>
                <w:rFonts w:ascii="Arial" w:cs="Arial" w:eastAsia="Arial" w:hAnsi="Arial"/>
                <w:sz w:val="18"/>
                <w:szCs w:val="18"/>
                <w:color w:val="auto"/>
              </w:rPr>
              <w:t>24,855,368</w:t>
            </w:r>
          </w:p>
        </w:tc>
        <w:tc>
          <w:tcPr>
            <w:tcW w:w="540" w:type="dxa"/>
            <w:vAlign w:val="bottom"/>
            <w:tcBorders>
              <w:top w:val="single" w:sz="8" w:color="D6F3E8"/>
            </w:tcBorders>
            <w:shd w:val="clear" w:color="auto" w:fill="D6F3E8"/>
          </w:tcPr>
          <w:p>
            <w:pPr>
              <w:spacing w:after="0"/>
              <w:rPr>
                <w:sz w:val="18"/>
                <w:szCs w:val="18"/>
                <w:color w:val="auto"/>
              </w:rPr>
            </w:pPr>
          </w:p>
        </w:tc>
        <w:tc>
          <w:tcPr>
            <w:tcW w:w="1920" w:type="dxa"/>
            <w:vAlign w:val="bottom"/>
            <w:tcBorders>
              <w:top w:val="single" w:sz="8" w:color="auto"/>
            </w:tcBorders>
            <w:shd w:val="clear" w:color="auto" w:fill="D6F3E8"/>
          </w:tcPr>
          <w:p>
            <w:pPr>
              <w:jc w:val="right"/>
              <w:ind w:right="582"/>
              <w:spacing w:after="0"/>
              <w:rPr>
                <w:sz w:val="20"/>
                <w:szCs w:val="20"/>
                <w:color w:val="auto"/>
              </w:rPr>
            </w:pPr>
            <w:r>
              <w:rPr>
                <w:rFonts w:ascii="Arial" w:cs="Arial" w:eastAsia="Arial" w:hAnsi="Arial"/>
                <w:sz w:val="18"/>
                <w:szCs w:val="18"/>
                <w:color w:val="auto"/>
              </w:rPr>
              <w:t>773,446</w:t>
            </w:r>
          </w:p>
        </w:tc>
        <w:tc>
          <w:tcPr>
            <w:tcW w:w="560" w:type="dxa"/>
            <w:vAlign w:val="bottom"/>
            <w:tcBorders>
              <w:top w:val="single" w:sz="8" w:color="D6F3E8"/>
            </w:tcBorders>
            <w:shd w:val="clear" w:color="auto" w:fill="D6F3E8"/>
          </w:tcPr>
          <w:p>
            <w:pPr>
              <w:spacing w:after="0"/>
              <w:rPr>
                <w:sz w:val="18"/>
                <w:szCs w:val="18"/>
                <w:color w:val="auto"/>
              </w:rPr>
            </w:pPr>
          </w:p>
        </w:tc>
        <w:tc>
          <w:tcPr>
            <w:tcW w:w="1900" w:type="dxa"/>
            <w:vAlign w:val="bottom"/>
            <w:tcBorders>
              <w:top w:val="single" w:sz="8" w:color="auto"/>
            </w:tcBorders>
            <w:shd w:val="clear" w:color="auto" w:fill="D6F3E8"/>
          </w:tcPr>
          <w:p>
            <w:pPr>
              <w:jc w:val="right"/>
              <w:ind w:right="662"/>
              <w:spacing w:after="0"/>
              <w:rPr>
                <w:sz w:val="20"/>
                <w:szCs w:val="20"/>
                <w:color w:val="auto"/>
              </w:rPr>
            </w:pPr>
            <w:r>
              <w:rPr>
                <w:rFonts w:ascii="Arial" w:cs="Arial" w:eastAsia="Arial" w:hAnsi="Arial"/>
                <w:sz w:val="18"/>
                <w:szCs w:val="18"/>
                <w:color w:val="auto"/>
              </w:rPr>
              <w:t>9,306</w:t>
            </w:r>
          </w:p>
        </w:tc>
      </w:tr>
      <w:tr>
        <w:trPr>
          <w:trHeight w:val="430"/>
        </w:trPr>
        <w:tc>
          <w:tcPr>
            <w:tcW w:w="2460" w:type="dxa"/>
            <w:vAlign w:val="bottom"/>
            <w:gridSpan w:val="2"/>
          </w:tcPr>
          <w:p>
            <w:pPr>
              <w:spacing w:after="0"/>
              <w:rPr>
                <w:sz w:val="20"/>
                <w:szCs w:val="20"/>
                <w:color w:val="auto"/>
              </w:rPr>
            </w:pPr>
            <w:r>
              <w:rPr>
                <w:rFonts w:ascii="Arial" w:cs="Arial" w:eastAsia="Arial" w:hAnsi="Arial"/>
                <w:sz w:val="18"/>
                <w:szCs w:val="18"/>
                <w:color w:val="auto"/>
                <w:w w:val="91"/>
              </w:rPr>
              <w:t>* There were no broker nonvotes.</w:t>
            </w: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b w:val="1"/>
          <w:bCs w:val="1"/>
          <w:color w:val="auto"/>
        </w:rPr>
        <w:t>Exhibits</w:t>
      </w:r>
      <w:r>
        <w:rPr>
          <w:rFonts w:ascii="Arial" w:cs="Arial" w:eastAsia="Arial" w:hAnsi="Arial"/>
          <w:sz w:val="19"/>
          <w:szCs w:val="19"/>
          <w:color w:val="auto"/>
        </w:rPr>
        <w:t>.</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 See Exhibit Index on page 22.</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WINNEBAGO INDUSTRIES, INC.</w:t>
            </w:r>
          </w:p>
        </w:tc>
      </w:tr>
      <w:tr>
        <w:trPr>
          <w:trHeight w:val="217"/>
        </w:trPr>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654"/>
        </w:trPr>
        <w:tc>
          <w:tcPr>
            <w:tcW w:w="4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gridSpan w:val="2"/>
          </w:tcPr>
          <w:p>
            <w:pPr>
              <w:ind w:left="440"/>
              <w:spacing w:after="0"/>
              <w:rPr>
                <w:sz w:val="20"/>
                <w:szCs w:val="20"/>
                <w:color w:val="auto"/>
              </w:rPr>
            </w:pPr>
            <w:r>
              <w:rPr>
                <w:rFonts w:ascii="Arial" w:cs="Arial" w:eastAsia="Arial" w:hAnsi="Arial"/>
                <w:sz w:val="18"/>
                <w:szCs w:val="18"/>
                <w:color w:val="auto"/>
              </w:rPr>
              <w:t>April 8, 2008</w:t>
            </w:r>
          </w:p>
        </w:tc>
        <w:tc>
          <w:tcPr>
            <w:tcW w:w="4120" w:type="dxa"/>
            <w:vAlign w:val="bottom"/>
          </w:tcPr>
          <w:p>
            <w:pPr>
              <w:spacing w:after="0"/>
              <w:rPr>
                <w:sz w:val="20"/>
                <w:szCs w:val="20"/>
                <w:color w:val="auto"/>
              </w:rPr>
            </w:pPr>
            <w:r>
              <w:rPr>
                <w:rFonts w:ascii="Arial" w:cs="Arial" w:eastAsia="Arial" w:hAnsi="Arial"/>
                <w:sz w:val="18"/>
                <w:szCs w:val="18"/>
                <w:color w:val="auto"/>
              </w:rPr>
              <w:t>/s/ Bruce D. Hertzke</w:t>
            </w:r>
          </w:p>
        </w:tc>
      </w:tr>
      <w:tr>
        <w:trPr>
          <w:trHeight w:val="202"/>
        </w:trPr>
        <w:tc>
          <w:tcPr>
            <w:tcW w:w="4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4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r>
      <w:tr>
        <w:trPr>
          <w:trHeight w:val="216"/>
        </w:trPr>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20" w:type="dxa"/>
            <w:vAlign w:val="bottom"/>
          </w:tcPr>
          <w:p>
            <w:pPr>
              <w:ind w:left="6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00"/>
          </w:cols>
          <w:pgMar w:left="240" w:top="131" w:right="359" w:bottom="105"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gridSpan w:val="2"/>
          </w:tcPr>
          <w:p>
            <w:pPr>
              <w:ind w:left="440"/>
              <w:spacing w:after="0"/>
              <w:rPr>
                <w:sz w:val="20"/>
                <w:szCs w:val="20"/>
                <w:color w:val="auto"/>
              </w:rPr>
            </w:pPr>
            <w:r>
              <w:rPr>
                <w:rFonts w:ascii="Arial" w:cs="Arial" w:eastAsia="Arial" w:hAnsi="Arial"/>
                <w:sz w:val="18"/>
                <w:szCs w:val="18"/>
                <w:color w:val="auto"/>
              </w:rPr>
              <w:t>April 8, 2008</w:t>
            </w:r>
          </w:p>
        </w:tc>
        <w:tc>
          <w:tcPr>
            <w:tcW w:w="4120" w:type="dxa"/>
            <w:vAlign w:val="bottom"/>
          </w:tcPr>
          <w:p>
            <w:pPr>
              <w:spacing w:after="0"/>
              <w:rPr>
                <w:sz w:val="20"/>
                <w:szCs w:val="20"/>
                <w:color w:val="auto"/>
              </w:rPr>
            </w:pPr>
            <w:r>
              <w:rPr>
                <w:rFonts w:ascii="Arial" w:cs="Arial" w:eastAsia="Arial" w:hAnsi="Arial"/>
                <w:sz w:val="18"/>
                <w:szCs w:val="18"/>
                <w:color w:val="auto"/>
              </w:rPr>
              <w:t>/s/ Sarah N. Nielsen</w:t>
            </w:r>
          </w:p>
        </w:tc>
      </w:tr>
      <w:tr>
        <w:trPr>
          <w:trHeight w:val="202"/>
        </w:trPr>
        <w:tc>
          <w:tcPr>
            <w:tcW w:w="4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4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r>
      <w:tr>
        <w:trPr>
          <w:trHeight w:val="222"/>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Index</w:t>
      </w:r>
    </w:p>
    <w:p>
      <w:pPr>
        <w:spacing w:after="0" w:line="225"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April 8, 2008.</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April 8, 2008.</w:t>
      </w:r>
    </w:p>
    <w:p>
      <w:pPr>
        <w:spacing w:after="0" w:line="225" w:lineRule="exact"/>
        <w:rPr>
          <w:sz w:val="20"/>
          <w:szCs w:val="20"/>
          <w:color w:val="auto"/>
        </w:rPr>
      </w:pPr>
    </w:p>
    <w:p>
      <w:pPr>
        <w:ind w:left="680" w:right="360" w:hanging="674"/>
        <w:spacing w:after="0" w:line="268"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April 8, 2008.</w:t>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April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Winnebago Industries, Inc. and subsidiaries for the thirteen and twenty-seven weeks ended March 1, 2008 and the thirteen and twenty-six weeks ended February 24, 2007, as indicated in our report dated April 8, 2008 (which included an explanatory paragraph regarding the Company’s change in its method of accounting for unrecognized tax benefits to conform to Statement of Financial Accounting Standards Interpretation No. 48); because we did not perform an audit, we expressed no opinion on that information.</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1, 2008, is incorporated by reference in Registration Statements No. 333-31595, No. 333-47123 and No. 333-113246 on Form S-8.</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Statements prepared or certified by an accountant or a report prepared or certified by an accountant within the meaning of Sections 7 and 11 of that 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260" w:hanging="577"/>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260" w:right="40" w:hanging="577"/>
        <w:spacing w:after="0" w:line="259"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260" w:right="20" w:hanging="577"/>
        <w:spacing w:after="0" w:line="259"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260" w:right="80" w:hanging="577"/>
        <w:spacing w:after="0" w:line="286"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820" w:hanging="569"/>
        <w:spacing w:after="0" w:line="306" w:lineRule="auto"/>
        <w:tabs>
          <w:tab w:leader="none" w:pos="1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820" w:right="60" w:hanging="569"/>
        <w:spacing w:after="0" w:line="259" w:lineRule="auto"/>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820" w:right="160" w:hanging="569"/>
        <w:spacing w:after="0" w:line="259" w:lineRule="auto"/>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the end of the period covered by this Quarterly Report; and</w:t>
      </w:r>
    </w:p>
    <w:p>
      <w:pPr>
        <w:spacing w:after="0" w:line="194" w:lineRule="exact"/>
        <w:rPr>
          <w:rFonts w:ascii="Arial" w:cs="Arial" w:eastAsia="Arial" w:hAnsi="Arial"/>
          <w:sz w:val="18"/>
          <w:szCs w:val="18"/>
          <w:color w:val="auto"/>
        </w:rPr>
      </w:pPr>
    </w:p>
    <w:p>
      <w:pPr>
        <w:ind w:left="1820" w:right="200" w:hanging="569"/>
        <w:spacing w:after="0" w:line="259" w:lineRule="auto"/>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260" w:right="40" w:hanging="577"/>
        <w:spacing w:after="0" w:line="332"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820" w:right="400" w:hanging="569"/>
        <w:spacing w:after="0" w:line="332" w:lineRule="auto"/>
        <w:tabs>
          <w:tab w:leader="none" w:pos="1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820" w:right="40" w:hanging="569"/>
        <w:spacing w:after="0" w:line="268" w:lineRule="auto"/>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c>
          <w:tcPr>
            <w:tcW w:w="1640" w:type="dxa"/>
            <w:vAlign w:val="bottom"/>
          </w:tcPr>
          <w:p>
            <w:pPr>
              <w:ind w:left="360"/>
              <w:spacing w:after="0"/>
              <w:rPr>
                <w:sz w:val="20"/>
                <w:szCs w:val="20"/>
                <w:color w:val="auto"/>
              </w:rPr>
            </w:pPr>
            <w:r>
              <w:rPr>
                <w:rFonts w:ascii="Arial" w:cs="Arial" w:eastAsia="Arial" w:hAnsi="Arial"/>
                <w:sz w:val="18"/>
                <w:szCs w:val="18"/>
                <w:color w:val="auto"/>
              </w:rPr>
              <w:t>April 8, 2008</w:t>
            </w:r>
          </w:p>
        </w:tc>
        <w:tc>
          <w:tcPr>
            <w:tcW w:w="7100" w:type="dxa"/>
            <w:vAlign w:val="bottom"/>
            <w:gridSpan w:val="2"/>
          </w:tcPr>
          <w:p>
            <w:pPr>
              <w:ind w:left="3560"/>
              <w:spacing w:after="0"/>
              <w:rPr>
                <w:sz w:val="20"/>
                <w:szCs w:val="20"/>
                <w:color w:val="auto"/>
              </w:rPr>
            </w:pPr>
            <w:r>
              <w:rPr>
                <w:rFonts w:ascii="Arial" w:cs="Arial" w:eastAsia="Arial" w:hAnsi="Arial"/>
                <w:sz w:val="18"/>
                <w:szCs w:val="18"/>
                <w:color w:val="auto"/>
              </w:rPr>
              <w:t>By:  /s/ Bruce D. Hertzke</w:t>
            </w:r>
          </w:p>
        </w:tc>
        <w:tc>
          <w:tcPr>
            <w:tcW w:w="1600" w:type="dxa"/>
            <w:vAlign w:val="bottom"/>
          </w:tcPr>
          <w:p>
            <w:pPr>
              <w:spacing w:after="0"/>
              <w:rPr>
                <w:sz w:val="19"/>
                <w:szCs w:val="19"/>
                <w:color w:val="auto"/>
              </w:rPr>
            </w:pPr>
          </w:p>
        </w:tc>
      </w:tr>
      <w:tr>
        <w:trPr>
          <w:trHeight w:val="202"/>
        </w:trPr>
        <w:tc>
          <w:tcPr>
            <w:tcW w:w="10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c>
          <w:tcPr>
            <w:tcW w:w="160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00" w:type="dxa"/>
            <w:vAlign w:val="bottom"/>
          </w:tcPr>
          <w:p>
            <w:pPr>
              <w:spacing w:after="0"/>
              <w:rPr>
                <w:sz w:val="19"/>
                <w:szCs w:val="19"/>
                <w:color w:val="auto"/>
              </w:rPr>
            </w:pPr>
          </w:p>
        </w:tc>
      </w:tr>
      <w:tr>
        <w:trPr>
          <w:trHeight w:val="809"/>
        </w:trPr>
        <w:tc>
          <w:tcPr>
            <w:tcW w:w="10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260" w:hanging="577"/>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260" w:right="40" w:hanging="577"/>
        <w:spacing w:after="0" w:line="259"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260" w:right="20" w:hanging="577"/>
        <w:spacing w:after="0" w:line="259"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260" w:right="80" w:hanging="577"/>
        <w:spacing w:after="0" w:line="28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820" w:hanging="569"/>
        <w:spacing w:after="0" w:line="306" w:lineRule="auto"/>
        <w:tabs>
          <w:tab w:leader="none" w:pos="1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820" w:right="60" w:hanging="569"/>
        <w:spacing w:after="0" w:line="259"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820" w:right="160" w:hanging="569"/>
        <w:spacing w:after="0" w:line="259"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the end of the period covered by this Quarterly Report; and</w:t>
      </w:r>
    </w:p>
    <w:p>
      <w:pPr>
        <w:spacing w:after="0" w:line="194" w:lineRule="exact"/>
        <w:rPr>
          <w:rFonts w:ascii="Arial" w:cs="Arial" w:eastAsia="Arial" w:hAnsi="Arial"/>
          <w:sz w:val="18"/>
          <w:szCs w:val="18"/>
          <w:color w:val="auto"/>
        </w:rPr>
      </w:pPr>
    </w:p>
    <w:p>
      <w:pPr>
        <w:ind w:left="1820" w:right="200" w:hanging="569"/>
        <w:spacing w:after="0" w:line="259"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260" w:right="40" w:hanging="577"/>
        <w:spacing w:after="0" w:line="332"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820" w:right="400" w:hanging="569"/>
        <w:spacing w:after="0" w:line="332" w:lineRule="auto"/>
        <w:tabs>
          <w:tab w:leader="none" w:pos="1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820" w:right="40" w:hanging="569"/>
        <w:spacing w:after="0" w:line="268"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c>
          <w:tcPr>
            <w:tcW w:w="1640" w:type="dxa"/>
            <w:vAlign w:val="bottom"/>
          </w:tcPr>
          <w:p>
            <w:pPr>
              <w:ind w:left="360"/>
              <w:spacing w:after="0"/>
              <w:rPr>
                <w:sz w:val="20"/>
                <w:szCs w:val="20"/>
                <w:color w:val="auto"/>
              </w:rPr>
            </w:pPr>
            <w:r>
              <w:rPr>
                <w:rFonts w:ascii="Arial" w:cs="Arial" w:eastAsia="Arial" w:hAnsi="Arial"/>
                <w:sz w:val="18"/>
                <w:szCs w:val="18"/>
                <w:color w:val="auto"/>
              </w:rPr>
              <w:t>April 8, 2008</w:t>
            </w:r>
          </w:p>
        </w:tc>
        <w:tc>
          <w:tcPr>
            <w:tcW w:w="7100" w:type="dxa"/>
            <w:vAlign w:val="bottom"/>
            <w:gridSpan w:val="2"/>
          </w:tcPr>
          <w:p>
            <w:pPr>
              <w:ind w:left="3560"/>
              <w:spacing w:after="0"/>
              <w:rPr>
                <w:sz w:val="20"/>
                <w:szCs w:val="20"/>
                <w:color w:val="auto"/>
              </w:rPr>
            </w:pPr>
            <w:r>
              <w:rPr>
                <w:rFonts w:ascii="Arial" w:cs="Arial" w:eastAsia="Arial" w:hAnsi="Arial"/>
                <w:sz w:val="18"/>
                <w:szCs w:val="18"/>
                <w:color w:val="auto"/>
              </w:rPr>
              <w:t>By:  /s/ Sarah N. Nielsen</w:t>
            </w:r>
          </w:p>
        </w:tc>
        <w:tc>
          <w:tcPr>
            <w:tcW w:w="1600" w:type="dxa"/>
            <w:vAlign w:val="bottom"/>
          </w:tcPr>
          <w:p>
            <w:pPr>
              <w:spacing w:after="0"/>
              <w:rPr>
                <w:sz w:val="19"/>
                <w:szCs w:val="19"/>
                <w:color w:val="auto"/>
              </w:rPr>
            </w:pPr>
          </w:p>
        </w:tc>
      </w:tr>
      <w:tr>
        <w:trPr>
          <w:trHeight w:val="202"/>
        </w:trPr>
        <w:tc>
          <w:tcPr>
            <w:tcW w:w="10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160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spacing w:after="0"/>
              <w:rPr>
                <w:sz w:val="19"/>
                <w:szCs w:val="19"/>
                <w:color w:val="auto"/>
              </w:rPr>
            </w:pPr>
          </w:p>
        </w:tc>
      </w:tr>
      <w:tr>
        <w:trPr>
          <w:trHeight w:val="809"/>
        </w:trPr>
        <w:tc>
          <w:tcPr>
            <w:tcW w:w="10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 Bruce D. Hertzke, Chairman of the Board and Chief Executive Officer of Winnebago Industries, Inc., certifies that pursuant to 18 U.S.C. §1350 as adopted pursuant to §906 of the Sarbanes-Oxley Act of 2002, that:</w:t>
      </w:r>
    </w:p>
    <w:p>
      <w:pPr>
        <w:spacing w:after="0" w:line="186" w:lineRule="exact"/>
        <w:rPr>
          <w:sz w:val="20"/>
          <w:szCs w:val="20"/>
          <w:color w:val="auto"/>
        </w:rPr>
      </w:pPr>
    </w:p>
    <w:p>
      <w:pPr>
        <w:jc w:val="both"/>
        <w:ind w:left="1260" w:right="280" w:hanging="577"/>
        <w:spacing w:after="0" w:line="259"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March 1,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260" w:right="60" w:hanging="577"/>
        <w:spacing w:after="0" w:line="268"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c>
          <w:tcPr>
            <w:tcW w:w="1640" w:type="dxa"/>
            <w:vAlign w:val="bottom"/>
          </w:tcPr>
          <w:p>
            <w:pPr>
              <w:ind w:left="360"/>
              <w:spacing w:after="0"/>
              <w:rPr>
                <w:sz w:val="20"/>
                <w:szCs w:val="20"/>
                <w:color w:val="auto"/>
              </w:rPr>
            </w:pPr>
            <w:r>
              <w:rPr>
                <w:rFonts w:ascii="Arial" w:cs="Arial" w:eastAsia="Arial" w:hAnsi="Arial"/>
                <w:sz w:val="18"/>
                <w:szCs w:val="18"/>
                <w:color w:val="auto"/>
              </w:rPr>
              <w:t>April 8, 2008</w:t>
            </w:r>
          </w:p>
        </w:tc>
        <w:tc>
          <w:tcPr>
            <w:tcW w:w="7100" w:type="dxa"/>
            <w:vAlign w:val="bottom"/>
            <w:gridSpan w:val="2"/>
          </w:tcPr>
          <w:p>
            <w:pPr>
              <w:ind w:left="3560"/>
              <w:spacing w:after="0"/>
              <w:rPr>
                <w:sz w:val="20"/>
                <w:szCs w:val="20"/>
                <w:color w:val="auto"/>
              </w:rPr>
            </w:pPr>
            <w:r>
              <w:rPr>
                <w:rFonts w:ascii="Arial" w:cs="Arial" w:eastAsia="Arial" w:hAnsi="Arial"/>
                <w:sz w:val="18"/>
                <w:szCs w:val="18"/>
                <w:color w:val="auto"/>
              </w:rPr>
              <w:t>By:  /s/ Bruce D. Hertzke</w:t>
            </w:r>
          </w:p>
        </w:tc>
        <w:tc>
          <w:tcPr>
            <w:tcW w:w="1600" w:type="dxa"/>
            <w:vAlign w:val="bottom"/>
          </w:tcPr>
          <w:p>
            <w:pPr>
              <w:spacing w:after="0"/>
              <w:rPr>
                <w:sz w:val="19"/>
                <w:szCs w:val="19"/>
                <w:color w:val="auto"/>
              </w:rPr>
            </w:pPr>
          </w:p>
        </w:tc>
      </w:tr>
      <w:tr>
        <w:trPr>
          <w:trHeight w:val="202"/>
        </w:trPr>
        <w:tc>
          <w:tcPr>
            <w:tcW w:w="10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c>
          <w:tcPr>
            <w:tcW w:w="160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00" w:type="dxa"/>
            <w:vAlign w:val="bottom"/>
          </w:tcPr>
          <w:p>
            <w:pPr>
              <w:spacing w:after="0"/>
              <w:rPr>
                <w:sz w:val="19"/>
                <w:szCs w:val="19"/>
                <w:color w:val="auto"/>
              </w:rPr>
            </w:pPr>
          </w:p>
        </w:tc>
      </w:tr>
      <w:tr>
        <w:trPr>
          <w:trHeight w:val="809"/>
        </w:trPr>
        <w:tc>
          <w:tcPr>
            <w:tcW w:w="10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I, Sarah N. Nielsen, Chief Financial Officer of Winnebago Industries, Inc., certifies that pursuant to 18 U.S.C. §1350 as adopted pursuant to §906 of the Sarbanes-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that:</w:t>
      </w:r>
    </w:p>
    <w:p>
      <w:pPr>
        <w:spacing w:after="0" w:line="219" w:lineRule="exact"/>
        <w:rPr>
          <w:sz w:val="20"/>
          <w:szCs w:val="20"/>
          <w:color w:val="auto"/>
        </w:rPr>
      </w:pPr>
    </w:p>
    <w:p>
      <w:pPr>
        <w:jc w:val="both"/>
        <w:ind w:left="1260" w:right="280" w:hanging="577"/>
        <w:spacing w:after="0" w:line="259"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March 1,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260" w:right="60" w:hanging="577"/>
        <w:spacing w:after="0" w:line="26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c>
          <w:tcPr>
            <w:tcW w:w="1640" w:type="dxa"/>
            <w:vAlign w:val="bottom"/>
          </w:tcPr>
          <w:p>
            <w:pPr>
              <w:ind w:left="360"/>
              <w:spacing w:after="0"/>
              <w:rPr>
                <w:sz w:val="20"/>
                <w:szCs w:val="20"/>
                <w:color w:val="auto"/>
              </w:rPr>
            </w:pPr>
            <w:r>
              <w:rPr>
                <w:rFonts w:ascii="Arial" w:cs="Arial" w:eastAsia="Arial" w:hAnsi="Arial"/>
                <w:sz w:val="18"/>
                <w:szCs w:val="18"/>
                <w:color w:val="auto"/>
              </w:rPr>
              <w:t>April 8, 2008</w:t>
            </w:r>
          </w:p>
        </w:tc>
        <w:tc>
          <w:tcPr>
            <w:tcW w:w="7100" w:type="dxa"/>
            <w:vAlign w:val="bottom"/>
            <w:gridSpan w:val="2"/>
          </w:tcPr>
          <w:p>
            <w:pPr>
              <w:ind w:left="3560"/>
              <w:spacing w:after="0"/>
              <w:rPr>
                <w:sz w:val="20"/>
                <w:szCs w:val="20"/>
                <w:color w:val="auto"/>
              </w:rPr>
            </w:pPr>
            <w:r>
              <w:rPr>
                <w:rFonts w:ascii="Arial" w:cs="Arial" w:eastAsia="Arial" w:hAnsi="Arial"/>
                <w:sz w:val="18"/>
                <w:szCs w:val="18"/>
                <w:color w:val="auto"/>
              </w:rPr>
              <w:t>By:  /s/ Sarah N. Nielsen</w:t>
            </w:r>
          </w:p>
        </w:tc>
        <w:tc>
          <w:tcPr>
            <w:tcW w:w="1600" w:type="dxa"/>
            <w:vAlign w:val="bottom"/>
          </w:tcPr>
          <w:p>
            <w:pPr>
              <w:spacing w:after="0"/>
              <w:rPr>
                <w:sz w:val="19"/>
                <w:szCs w:val="19"/>
                <w:color w:val="auto"/>
              </w:rPr>
            </w:pPr>
          </w:p>
        </w:tc>
      </w:tr>
      <w:tr>
        <w:trPr>
          <w:trHeight w:val="202"/>
        </w:trPr>
        <w:tc>
          <w:tcPr>
            <w:tcW w:w="10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160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spacing w:after="0"/>
              <w:rPr>
                <w:sz w:val="19"/>
                <w:szCs w:val="19"/>
                <w:color w:val="auto"/>
              </w:rPr>
            </w:pPr>
          </w:p>
        </w:tc>
      </w:tr>
      <w:tr>
        <w:trPr>
          <w:trHeight w:val="1025"/>
        </w:trPr>
        <w:tc>
          <w:tcPr>
            <w:tcW w:w="10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5"/>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2019-12-11T14:36:25Z</dcterms:created>
  <dcterms:modified xsi:type="dcterms:W3CDTF">2019-12-11T14:36:25Z</dcterms:modified>
</cp:coreProperties>
</file>