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80"/>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SCHEDULE 13D</w:t>
      </w:r>
    </w:p>
    <w:p>
      <w:pPr>
        <w:spacing w:after="0" w:line="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WINNEBAGO INDUSTRIES, INC.</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(Name of Issuer)</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COMMON STOCK, $.50 PAR VALUE</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(Title of Class of Securities)</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974637100</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(CUSIP Number)</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WILLIAM M. LIBIT, ESQ.</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CHAPMAN AND CUTLER</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111 WEST MONROE STREET</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CHICAGO, ILLINOIS 60603</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(312) 845-2981</w:t>
      </w:r>
    </w:p>
    <w:p>
      <w:pPr>
        <w:spacing w:after="0" w:line="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(Name, Address and Telephone Number of Person</w:t>
      </w:r>
    </w:p>
    <w:p>
      <w:pPr>
        <w:spacing w:after="0" w:line="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Authorized to Receive Notices and Communications)</w:t>
      </w:r>
    </w:p>
    <w:p>
      <w:pPr>
        <w:spacing w:after="0" w:line="19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OCTOBER 20, 2003</w:t>
      </w:r>
    </w:p>
    <w:p>
      <w:pPr>
        <w:spacing w:after="0" w:line="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(Date of Event which Requires</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right="3740"/>
        <w:spacing w:after="0" w:line="252"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187" w:lineRule="exact"/>
        <w:rPr>
          <w:sz w:val="24"/>
          <w:szCs w:val="24"/>
          <w:color w:val="auto"/>
        </w:rPr>
      </w:pPr>
    </w:p>
    <w:p>
      <w:pPr>
        <w:ind w:right="3640"/>
        <w:spacing w:after="0" w:line="252"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right="3640"/>
        <w:spacing w:after="0" w:line="252"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974637100</w:t>
      </w:r>
    </w:p>
    <w:p>
      <w:pPr>
        <w:spacing w:after="0" w:line="8" w:lineRule="exact"/>
        <w:rPr>
          <w:sz w:val="24"/>
          <w:szCs w:val="24"/>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880" w:hanging="879"/>
        <w:spacing w:after="0"/>
        <w:tabs>
          <w:tab w:leader="none" w:pos="8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S.S. or I.R.S. Identification Nos. of Above Person</w:t>
      </w:r>
    </w:p>
    <w:p>
      <w:pPr>
        <w:spacing w:after="0" w:line="198" w:lineRule="exact"/>
        <w:rPr>
          <w:sz w:val="24"/>
          <w:szCs w:val="24"/>
          <w:color w:val="auto"/>
        </w:rPr>
      </w:pPr>
    </w:p>
    <w:p>
      <w:pPr>
        <w:ind w:left="880"/>
        <w:spacing w:after="0"/>
        <w:tabs>
          <w:tab w:leader="none" w:pos="4120" w:val="left"/>
        </w:tabs>
        <w:rPr>
          <w:sz w:val="20"/>
          <w:szCs w:val="20"/>
          <w:color w:val="auto"/>
        </w:rPr>
      </w:pPr>
      <w:r>
        <w:rPr>
          <w:rFonts w:ascii="Courier New" w:cs="Courier New" w:eastAsia="Courier New" w:hAnsi="Courier New"/>
          <w:sz w:val="16"/>
          <w:szCs w:val="16"/>
          <w:color w:val="auto"/>
        </w:rPr>
        <w:t>Hanson Capital Partners, L.L.C.</w:t>
        <w:tab/>
        <w:t>I.R.S. Identification No. 52-2286575</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John V. Hanson</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Mary Joan Boman</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Paul D. Hanson</w:t>
      </w: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spacing w:after="0"/>
        <w:tabs>
          <w:tab w:leader="none" w:pos="860" w:val="left"/>
          <w:tab w:leader="none" w:pos="5800" w:val="left"/>
          <w:tab w:leader="none" w:pos="10140" w:val="left"/>
          <w:tab w:leader="none" w:pos="109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tab/>
        <w:t>(See Instructions)</w:t>
      </w:r>
      <w:r>
        <w:rPr>
          <w:sz w:val="20"/>
          <w:szCs w:val="20"/>
          <w:color w:val="auto"/>
        </w:rPr>
        <w:tab/>
      </w: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[x]</w:t>
      </w:r>
    </w:p>
    <w:p>
      <w:pPr>
        <w:spacing w:after="0" w:line="8" w:lineRule="exact"/>
        <w:rPr>
          <w:sz w:val="24"/>
          <w:szCs w:val="24"/>
          <w:color w:val="auto"/>
        </w:rPr>
      </w:pPr>
    </w:p>
    <w:p>
      <w:pPr>
        <w:ind w:left="10160"/>
        <w:spacing w:after="0"/>
        <w:tabs>
          <w:tab w:leader="none" w:pos="1092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ind w:left="880" w:hanging="879"/>
        <w:spacing w:after="0"/>
        <w:tabs>
          <w:tab w:leader="none" w:pos="8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Source of Funds</w:t>
      </w:r>
    </w:p>
    <w:p>
      <w:pPr>
        <w:sectPr>
          <w:pgSz w:w="11900" w:h="16838" w:orient="portrait"/>
          <w:cols w:equalWidth="0" w:num="1">
            <w:col w:w="11520"/>
          </w:cols>
          <w:pgMar w:left="240" w:top="243" w:right="139" w:bottom="0" w:gutter="0" w:footer="0" w:header="0"/>
        </w:sectPr>
      </w:pPr>
    </w:p>
    <w:bookmarkStart w:id="1" w:name="page2"/>
    <w:bookmarkEnd w:id="1"/>
    <w:p>
      <w:pPr>
        <w:ind w:left="880"/>
        <w:spacing w:after="0"/>
        <w:rPr>
          <w:sz w:val="20"/>
          <w:szCs w:val="20"/>
          <w:color w:val="auto"/>
        </w:rPr>
      </w:pPr>
      <w:r>
        <w:rPr>
          <w:rFonts w:ascii="Courier New" w:cs="Courier New" w:eastAsia="Courier New" w:hAnsi="Courier New"/>
          <w:sz w:val="16"/>
          <w:szCs w:val="16"/>
          <w:color w:val="auto"/>
        </w:rPr>
        <w:t>Not applicable.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tabs>
          <w:tab w:leader="none" w:pos="860" w:val="left"/>
          <w:tab w:leader="none" w:pos="1102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Check if Disclosure of Legal Proceedings is Required Pursuant 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880" w:hanging="879"/>
        <w:spacing w:after="0"/>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197"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Hanson Capital Partners, L.L.C. is a Delaware limited liability company.</w:t>
      </w:r>
    </w:p>
    <w:p>
      <w:pPr>
        <w:spacing w:after="0" w:line="197"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V. Hanson, Mary Joan Boman and Paul D. Hanson are United States citizens.</w:t>
      </w:r>
    </w:p>
    <w:p>
      <w:pPr>
        <w:sectPr>
          <w:pgSz w:w="11900" w:h="16838" w:orient="portrait"/>
          <w:cols w:equalWidth="0" w:num="1">
            <w:col w:w="11520"/>
          </w:cols>
          <w:pgMar w:left="240" w:top="142" w:right="139" w:bottom="1440" w:gutter="0" w:footer="0" w:header="0"/>
        </w:sectPr>
      </w:pPr>
    </w:p>
    <w:bookmarkStart w:id="2" w:name="page3"/>
    <w:bookmarkEnd w:id="2"/>
    <w:p>
      <w:pPr>
        <w:spacing w:after="0"/>
        <w:tabs>
          <w:tab w:leader="none" w:pos="106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1560" w:type="dxa"/>
            <w:vAlign w:val="bottom"/>
          </w:tcPr>
          <w:p>
            <w:pPr>
              <w:spacing w:after="0"/>
              <w:rPr>
                <w:sz w:val="16"/>
                <w:szCs w:val="16"/>
                <w:color w:val="auto"/>
              </w:rPr>
            </w:pPr>
          </w:p>
        </w:tc>
        <w:tc>
          <w:tcPr>
            <w:tcW w:w="9260" w:type="dxa"/>
            <w:vAlign w:val="bottom"/>
            <w:gridSpan w:val="3"/>
          </w:tcPr>
          <w:p>
            <w:pPr>
              <w:ind w:left="500"/>
              <w:spacing w:after="0"/>
              <w:rPr>
                <w:sz w:val="20"/>
                <w:szCs w:val="20"/>
                <w:color w:val="auto"/>
              </w:rPr>
            </w:pPr>
            <w:r>
              <w:rPr>
                <w:rFonts w:ascii="Courier New" w:cs="Courier New" w:eastAsia="Courier New" w:hAnsi="Courier New"/>
                <w:sz w:val="16"/>
                <w:szCs w:val="16"/>
                <w:color w:val="auto"/>
              </w:rPr>
              <w:t>-----------------------------------------------------------------------------------------</w:t>
            </w:r>
          </w:p>
        </w:tc>
      </w:tr>
      <w:tr>
        <w:trPr>
          <w:trHeight w:val="190"/>
        </w:trPr>
        <w:tc>
          <w:tcPr>
            <w:tcW w:w="1560" w:type="dxa"/>
            <w:vAlign w:val="bottom"/>
          </w:tcPr>
          <w:p>
            <w:pPr>
              <w:spacing w:after="0"/>
              <w:rPr>
                <w:sz w:val="16"/>
                <w:szCs w:val="16"/>
                <w:color w:val="auto"/>
              </w:rPr>
            </w:pPr>
          </w:p>
        </w:tc>
        <w:tc>
          <w:tcPr>
            <w:tcW w:w="1300" w:type="dxa"/>
            <w:vAlign w:val="bottom"/>
          </w:tcPr>
          <w:p>
            <w:pPr>
              <w:ind w:left="500"/>
              <w:spacing w:after="0"/>
              <w:rPr>
                <w:sz w:val="20"/>
                <w:szCs w:val="20"/>
                <w:color w:val="auto"/>
              </w:rPr>
            </w:pPr>
            <w:r>
              <w:rPr>
                <w:rFonts w:ascii="Courier New" w:cs="Courier New" w:eastAsia="Courier New" w:hAnsi="Courier New"/>
                <w:sz w:val="16"/>
                <w:szCs w:val="16"/>
                <w:color w:val="auto"/>
              </w:rPr>
              <w:t>(7)</w:t>
            </w: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Sole Voting Power</w:t>
            </w:r>
          </w:p>
        </w:tc>
        <w:tc>
          <w:tcPr>
            <w:tcW w:w="5500" w:type="dxa"/>
            <w:vAlign w:val="bottom"/>
          </w:tcPr>
          <w:p>
            <w:pPr>
              <w:spacing w:after="0"/>
              <w:rPr>
                <w:sz w:val="16"/>
                <w:szCs w:val="16"/>
                <w:color w:val="auto"/>
              </w:rPr>
            </w:pP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Hanson Capital</w:t>
            </w:r>
          </w:p>
        </w:tc>
        <w:tc>
          <w:tcPr>
            <w:tcW w:w="5500" w:type="dxa"/>
            <w:vAlign w:val="bottom"/>
          </w:tcPr>
          <w:p>
            <w:pPr>
              <w:spacing w:after="0"/>
              <w:rPr>
                <w:sz w:val="16"/>
                <w:szCs w:val="16"/>
                <w:color w:val="auto"/>
              </w:rPr>
            </w:pP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ind w:left="380"/>
              <w:spacing w:after="0"/>
              <w:rPr>
                <w:sz w:val="20"/>
                <w:szCs w:val="20"/>
                <w:color w:val="auto"/>
              </w:rPr>
            </w:pPr>
            <w:r>
              <w:rPr>
                <w:rFonts w:ascii="Courier New" w:cs="Courier New" w:eastAsia="Courier New" w:hAnsi="Courier New"/>
                <w:sz w:val="16"/>
                <w:szCs w:val="16"/>
                <w:color w:val="auto"/>
              </w:rPr>
              <w:t>Partners, L.L.C.</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3,846,306 shares (22.9%)</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John V. Hanson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20,130 (includes 100 shares owned by wife</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and 20,000 shares which John V. Hanson has a</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right to acquire)*</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Mary Joan Boman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75,864 (includes 28,084 shares owned by</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husband, Gerald E. Boman, and 20,000 shares</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which Gerald E. Boman has the right to</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acquire)*</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Paul D. Hanson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160 shares*</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*less than 1.0 percent.</w:t>
            </w:r>
          </w:p>
        </w:tc>
        <w:tc>
          <w:tcPr>
            <w:tcW w:w="5500" w:type="dxa"/>
            <w:vAlign w:val="bottom"/>
          </w:tcPr>
          <w:p>
            <w:pPr>
              <w:spacing w:after="0"/>
              <w:rPr>
                <w:sz w:val="16"/>
                <w:szCs w:val="16"/>
                <w:color w:val="auto"/>
              </w:rPr>
            </w:pPr>
          </w:p>
        </w:tc>
      </w:tr>
      <w:tr>
        <w:trPr>
          <w:trHeight w:val="758"/>
        </w:trPr>
        <w:tc>
          <w:tcPr>
            <w:tcW w:w="1560" w:type="dxa"/>
            <w:vAlign w:val="bottom"/>
          </w:tcPr>
          <w:p>
            <w:pPr>
              <w:ind w:left="180"/>
              <w:spacing w:after="0"/>
              <w:rPr>
                <w:sz w:val="20"/>
                <w:szCs w:val="20"/>
                <w:color w:val="auto"/>
              </w:rPr>
            </w:pPr>
            <w:r>
              <w:rPr>
                <w:rFonts w:ascii="Courier New" w:cs="Courier New" w:eastAsia="Courier New" w:hAnsi="Courier New"/>
                <w:sz w:val="16"/>
                <w:szCs w:val="16"/>
                <w:color w:val="auto"/>
              </w:rPr>
              <w:t>NUMBER OF</w:t>
            </w:r>
          </w:p>
        </w:tc>
        <w:tc>
          <w:tcPr>
            <w:tcW w:w="1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90"/>
        </w:trPr>
        <w:tc>
          <w:tcPr>
            <w:tcW w:w="156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SHARES</w:t>
            </w:r>
          </w:p>
        </w:tc>
        <w:tc>
          <w:tcPr>
            <w:tcW w:w="3760" w:type="dxa"/>
            <w:vAlign w:val="bottom"/>
            <w:gridSpan w:val="2"/>
          </w:tcPr>
          <w:p>
            <w:pPr>
              <w:ind w:left="500"/>
              <w:spacing w:after="0"/>
              <w:rPr>
                <w:sz w:val="20"/>
                <w:szCs w:val="20"/>
                <w:color w:val="auto"/>
              </w:rPr>
            </w:pPr>
            <w:r>
              <w:rPr>
                <w:rFonts w:ascii="Courier New" w:cs="Courier New" w:eastAsia="Courier New" w:hAnsi="Courier New"/>
                <w:sz w:val="8"/>
                <w:szCs w:val="8"/>
                <w:color w:val="auto"/>
                <w:w w:val="75"/>
              </w:rPr>
              <w:t>-----------------------------------------------------------------------------------------</w:t>
            </w:r>
          </w:p>
        </w:tc>
        <w:tc>
          <w:tcPr>
            <w:tcW w:w="5500" w:type="dxa"/>
            <w:vAlign w:val="bottom"/>
          </w:tcPr>
          <w:p>
            <w:pPr>
              <w:spacing w:after="0"/>
              <w:rPr>
                <w:sz w:val="16"/>
                <w:szCs w:val="16"/>
                <w:color w:val="auto"/>
              </w:rPr>
            </w:pPr>
          </w:p>
        </w:tc>
      </w:tr>
      <w:tr>
        <w:trPr>
          <w:trHeight w:val="190"/>
        </w:trPr>
        <w:tc>
          <w:tcPr>
            <w:tcW w:w="1560" w:type="dxa"/>
            <w:vAlign w:val="bottom"/>
          </w:tcPr>
          <w:p>
            <w:pPr>
              <w:jc w:val="center"/>
              <w:ind w:right="298"/>
              <w:spacing w:after="0"/>
              <w:rPr>
                <w:sz w:val="20"/>
                <w:szCs w:val="20"/>
                <w:color w:val="auto"/>
              </w:rPr>
            </w:pPr>
            <w:r>
              <w:rPr>
                <w:rFonts w:ascii="Courier New" w:cs="Courier New" w:eastAsia="Courier New" w:hAnsi="Courier New"/>
                <w:sz w:val="16"/>
                <w:szCs w:val="16"/>
                <w:color w:val="auto"/>
              </w:rPr>
              <w:t>BENEFICIALLY</w:t>
            </w:r>
          </w:p>
        </w:tc>
        <w:tc>
          <w:tcPr>
            <w:tcW w:w="1300" w:type="dxa"/>
            <w:vAlign w:val="bottom"/>
          </w:tcPr>
          <w:p>
            <w:pPr>
              <w:ind w:left="500"/>
              <w:spacing w:after="0"/>
              <w:rPr>
                <w:sz w:val="20"/>
                <w:szCs w:val="20"/>
                <w:color w:val="auto"/>
              </w:rPr>
            </w:pPr>
            <w:r>
              <w:rPr>
                <w:rFonts w:ascii="Courier New" w:cs="Courier New" w:eastAsia="Courier New" w:hAnsi="Courier New"/>
                <w:sz w:val="16"/>
                <w:szCs w:val="16"/>
                <w:color w:val="auto"/>
              </w:rPr>
              <w:t>(8)</w:t>
            </w: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Shared Voting Power</w:t>
            </w:r>
          </w:p>
        </w:tc>
        <w:tc>
          <w:tcPr>
            <w:tcW w:w="5500" w:type="dxa"/>
            <w:vAlign w:val="bottom"/>
          </w:tcPr>
          <w:p>
            <w:pPr>
              <w:spacing w:after="0"/>
              <w:rPr>
                <w:sz w:val="16"/>
                <w:szCs w:val="16"/>
                <w:color w:val="auto"/>
              </w:rPr>
            </w:pPr>
          </w:p>
        </w:tc>
      </w:tr>
      <w:tr>
        <w:trPr>
          <w:trHeight w:val="190"/>
        </w:trPr>
        <w:tc>
          <w:tcPr>
            <w:tcW w:w="156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OWNED BY</w:t>
            </w: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tcPr>
          <w:p>
            <w:pPr>
              <w:spacing w:after="0"/>
              <w:rPr>
                <w:sz w:val="16"/>
                <w:szCs w:val="16"/>
                <w:color w:val="auto"/>
              </w:rPr>
            </w:pPr>
          </w:p>
        </w:tc>
      </w:tr>
      <w:tr>
        <w:trPr>
          <w:trHeight w:val="190"/>
        </w:trPr>
        <w:tc>
          <w:tcPr>
            <w:tcW w:w="156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EACH</w:t>
            </w:r>
          </w:p>
        </w:tc>
        <w:tc>
          <w:tcPr>
            <w:tcW w:w="130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Not Applicable</w:t>
            </w:r>
          </w:p>
        </w:tc>
        <w:tc>
          <w:tcPr>
            <w:tcW w:w="5500" w:type="dxa"/>
            <w:vAlign w:val="bottom"/>
          </w:tcPr>
          <w:p>
            <w:pPr>
              <w:spacing w:after="0"/>
              <w:rPr>
                <w:sz w:val="16"/>
                <w:szCs w:val="16"/>
                <w:color w:val="auto"/>
              </w:rPr>
            </w:pPr>
          </w:p>
        </w:tc>
      </w:tr>
      <w:tr>
        <w:trPr>
          <w:trHeight w:val="190"/>
        </w:trPr>
        <w:tc>
          <w:tcPr>
            <w:tcW w:w="1560" w:type="dxa"/>
            <w:vAlign w:val="bottom"/>
          </w:tcPr>
          <w:p>
            <w:pPr>
              <w:ind w:left="180"/>
              <w:spacing w:after="0"/>
              <w:rPr>
                <w:sz w:val="20"/>
                <w:szCs w:val="20"/>
                <w:color w:val="auto"/>
              </w:rPr>
            </w:pPr>
            <w:r>
              <w:rPr>
                <w:rFonts w:ascii="Courier New" w:cs="Courier New" w:eastAsia="Courier New" w:hAnsi="Courier New"/>
                <w:sz w:val="16"/>
                <w:szCs w:val="16"/>
                <w:color w:val="auto"/>
              </w:rPr>
              <w:t>REPORTING</w:t>
            </w: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tcPr>
          <w:p>
            <w:pPr>
              <w:spacing w:after="0"/>
              <w:rPr>
                <w:sz w:val="16"/>
                <w:szCs w:val="16"/>
                <w:color w:val="auto"/>
              </w:rPr>
            </w:pPr>
          </w:p>
        </w:tc>
      </w:tr>
      <w:tr>
        <w:trPr>
          <w:trHeight w:val="190"/>
        </w:trPr>
        <w:tc>
          <w:tcPr>
            <w:tcW w:w="156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PERSON</w:t>
            </w:r>
          </w:p>
        </w:tc>
        <w:tc>
          <w:tcPr>
            <w:tcW w:w="3760" w:type="dxa"/>
            <w:vAlign w:val="bottom"/>
            <w:gridSpan w:val="2"/>
          </w:tcPr>
          <w:p>
            <w:pPr>
              <w:ind w:left="500"/>
              <w:spacing w:after="0"/>
              <w:rPr>
                <w:sz w:val="20"/>
                <w:szCs w:val="20"/>
                <w:color w:val="auto"/>
              </w:rPr>
            </w:pPr>
            <w:r>
              <w:rPr>
                <w:rFonts w:ascii="Courier New" w:cs="Courier New" w:eastAsia="Courier New" w:hAnsi="Courier New"/>
                <w:sz w:val="8"/>
                <w:szCs w:val="8"/>
                <w:color w:val="auto"/>
                <w:w w:val="75"/>
              </w:rPr>
              <w:t>-----------------------------------------------------------------------------------------</w:t>
            </w:r>
          </w:p>
        </w:tc>
        <w:tc>
          <w:tcPr>
            <w:tcW w:w="5500" w:type="dxa"/>
            <w:vAlign w:val="bottom"/>
          </w:tcPr>
          <w:p>
            <w:pPr>
              <w:spacing w:after="0"/>
              <w:rPr>
                <w:sz w:val="16"/>
                <w:szCs w:val="16"/>
                <w:color w:val="auto"/>
              </w:rPr>
            </w:pPr>
          </w:p>
        </w:tc>
      </w:tr>
      <w:tr>
        <w:trPr>
          <w:trHeight w:val="190"/>
        </w:trPr>
        <w:tc>
          <w:tcPr>
            <w:tcW w:w="1560" w:type="dxa"/>
            <w:vAlign w:val="bottom"/>
          </w:tcPr>
          <w:p>
            <w:pPr>
              <w:spacing w:after="0"/>
              <w:rPr>
                <w:sz w:val="16"/>
                <w:szCs w:val="16"/>
                <w:color w:val="auto"/>
              </w:rPr>
            </w:pPr>
          </w:p>
        </w:tc>
        <w:tc>
          <w:tcPr>
            <w:tcW w:w="1300" w:type="dxa"/>
            <w:vAlign w:val="bottom"/>
          </w:tcPr>
          <w:p>
            <w:pPr>
              <w:ind w:left="400"/>
              <w:spacing w:after="0"/>
              <w:rPr>
                <w:sz w:val="20"/>
                <w:szCs w:val="20"/>
                <w:color w:val="auto"/>
              </w:rPr>
            </w:pPr>
            <w:r>
              <w:rPr>
                <w:rFonts w:ascii="Courier New" w:cs="Courier New" w:eastAsia="Courier New" w:hAnsi="Courier New"/>
                <w:sz w:val="16"/>
                <w:szCs w:val="16"/>
                <w:color w:val="auto"/>
              </w:rPr>
              <w:t>(9)</w:t>
            </w:r>
          </w:p>
        </w:tc>
        <w:tc>
          <w:tcPr>
            <w:tcW w:w="246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c>
          <w:tcPr>
            <w:tcW w:w="5500" w:type="dxa"/>
            <w:vAlign w:val="bottom"/>
          </w:tcPr>
          <w:p>
            <w:pPr>
              <w:spacing w:after="0"/>
              <w:rPr>
                <w:sz w:val="16"/>
                <w:szCs w:val="16"/>
                <w:color w:val="auto"/>
              </w:rPr>
            </w:pP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Courier New" w:cs="Courier New" w:eastAsia="Courier New" w:hAnsi="Courier New"/>
                <w:sz w:val="16"/>
                <w:szCs w:val="16"/>
                <w:color w:val="auto"/>
              </w:rPr>
              <w:t>Hanson Capital</w:t>
            </w:r>
          </w:p>
        </w:tc>
        <w:tc>
          <w:tcPr>
            <w:tcW w:w="5500" w:type="dxa"/>
            <w:vAlign w:val="bottom"/>
          </w:tcPr>
          <w:p>
            <w:pPr>
              <w:spacing w:after="0"/>
              <w:rPr>
                <w:sz w:val="16"/>
                <w:szCs w:val="16"/>
                <w:color w:val="auto"/>
              </w:rPr>
            </w:pP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ind w:left="380"/>
              <w:spacing w:after="0"/>
              <w:rPr>
                <w:sz w:val="20"/>
                <w:szCs w:val="20"/>
                <w:color w:val="auto"/>
              </w:rPr>
            </w:pPr>
            <w:r>
              <w:rPr>
                <w:rFonts w:ascii="Courier New" w:cs="Courier New" w:eastAsia="Courier New" w:hAnsi="Courier New"/>
                <w:sz w:val="16"/>
                <w:szCs w:val="16"/>
                <w:color w:val="auto"/>
              </w:rPr>
              <w:t>Partners, L.L.C.</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3,846,306 shares (22.9%)</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John V. Hanson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20,130 (includes 100 shares owned by wife</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and 20,000 shares which John V. Hanson has a</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right to acquire)*</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Mary Joan Boman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75,864 (includes 28,084 shares owned by</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husband, Gerald E. Boman, and 20,000 shares</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which Gerald E. Boman has the right to</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acquire)*</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Paul D. Hanson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160 shares*</w:t>
            </w: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*less than 1.0 percent.</w:t>
            </w:r>
          </w:p>
        </w:tc>
        <w:tc>
          <w:tcPr>
            <w:tcW w:w="5500" w:type="dxa"/>
            <w:vAlign w:val="bottom"/>
          </w:tcPr>
          <w:p>
            <w:pPr>
              <w:spacing w:after="0"/>
              <w:rPr>
                <w:sz w:val="16"/>
                <w:szCs w:val="16"/>
                <w:color w:val="auto"/>
              </w:rPr>
            </w:pPr>
          </w:p>
        </w:tc>
      </w:tr>
      <w:tr>
        <w:trPr>
          <w:trHeight w:val="190"/>
        </w:trPr>
        <w:tc>
          <w:tcPr>
            <w:tcW w:w="1560" w:type="dxa"/>
            <w:vAlign w:val="bottom"/>
          </w:tcPr>
          <w:p>
            <w:pPr>
              <w:spacing w:after="0"/>
              <w:rPr>
                <w:sz w:val="16"/>
                <w:szCs w:val="16"/>
                <w:color w:val="auto"/>
              </w:rPr>
            </w:pPr>
          </w:p>
        </w:tc>
        <w:tc>
          <w:tcPr>
            <w:tcW w:w="9260" w:type="dxa"/>
            <w:vAlign w:val="bottom"/>
            <w:gridSpan w:val="3"/>
          </w:tcPr>
          <w:p>
            <w:pPr>
              <w:ind w:left="500"/>
              <w:spacing w:after="0"/>
              <w:rPr>
                <w:sz w:val="20"/>
                <w:szCs w:val="20"/>
                <w:color w:val="auto"/>
              </w:rPr>
            </w:pPr>
            <w:r>
              <w:rPr>
                <w:rFonts w:ascii="Courier New" w:cs="Courier New" w:eastAsia="Courier New" w:hAnsi="Courier New"/>
                <w:sz w:val="16"/>
                <w:szCs w:val="16"/>
                <w:color w:val="auto"/>
              </w:rPr>
              <w:t>-----------------------------------------------------------------------------------------</w:t>
            </w:r>
          </w:p>
        </w:tc>
      </w:tr>
      <w:tr>
        <w:trPr>
          <w:trHeight w:val="190"/>
        </w:trPr>
        <w:tc>
          <w:tcPr>
            <w:tcW w:w="156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WITH</w:t>
            </w:r>
          </w:p>
        </w:tc>
        <w:tc>
          <w:tcPr>
            <w:tcW w:w="1300" w:type="dxa"/>
            <w:vAlign w:val="bottom"/>
          </w:tcPr>
          <w:p>
            <w:pPr>
              <w:ind w:left="500"/>
              <w:spacing w:after="0"/>
              <w:rPr>
                <w:sz w:val="20"/>
                <w:szCs w:val="20"/>
                <w:color w:val="auto"/>
              </w:rPr>
            </w:pPr>
            <w:r>
              <w:rPr>
                <w:rFonts w:ascii="Courier New" w:cs="Courier New" w:eastAsia="Courier New" w:hAnsi="Courier New"/>
                <w:sz w:val="16"/>
                <w:szCs w:val="16"/>
                <w:color w:val="auto"/>
              </w:rPr>
              <w:t>(10)</w:t>
            </w: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Shared Dispositive Power</w:t>
            </w:r>
          </w:p>
        </w:tc>
        <w:tc>
          <w:tcPr>
            <w:tcW w:w="5500" w:type="dxa"/>
            <w:vAlign w:val="bottom"/>
          </w:tcPr>
          <w:p>
            <w:pPr>
              <w:spacing w:after="0"/>
              <w:rPr>
                <w:sz w:val="16"/>
                <w:szCs w:val="16"/>
                <w:color w:val="auto"/>
              </w:rPr>
            </w:pPr>
          </w:p>
        </w:tc>
      </w:tr>
      <w:tr>
        <w:trPr>
          <w:trHeight w:val="190"/>
        </w:trPr>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6"/>
                <w:szCs w:val="16"/>
                <w:color w:val="auto"/>
              </w:rPr>
              <w:t>See (9) above.</w:t>
            </w:r>
          </w:p>
        </w:tc>
        <w:tc>
          <w:tcPr>
            <w:tcW w:w="5500" w:type="dxa"/>
            <w:vAlign w:val="bottom"/>
          </w:tcPr>
          <w:p>
            <w:pPr>
              <w:spacing w:after="0"/>
              <w:rPr>
                <w:sz w:val="16"/>
                <w:szCs w:val="16"/>
                <w:color w:val="auto"/>
              </w:rPr>
            </w:pPr>
          </w:p>
        </w:tc>
      </w:tr>
    </w:tbl>
    <w:p>
      <w:pPr>
        <w:sectPr>
          <w:pgSz w:w="11900" w:h="16838" w:orient="portrait"/>
          <w:cols w:equalWidth="0" w:num="1">
            <w:col w:w="11520"/>
          </w:cols>
          <w:pgMar w:left="240" w:top="685" w:right="139" w:bottom="1440" w:gutter="0" w:footer="0" w:header="0"/>
        </w:sectPr>
      </w:pPr>
    </w:p>
    <w:bookmarkStart w:id="3" w:name="page4"/>
    <w:bookmarkEnd w:id="3"/>
    <w:p>
      <w:pPr>
        <w:spacing w:after="0"/>
        <w:tabs>
          <w:tab w:leader="none" w:pos="106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8" w:lineRule="exact"/>
        <w:rPr>
          <w:sz w:val="20"/>
          <w:szCs w:val="20"/>
          <w:color w:val="auto"/>
        </w:rPr>
      </w:pPr>
    </w:p>
    <w:p>
      <w:pPr>
        <w:ind w:left="200" w:hanging="199"/>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80" w:right="4720" w:hanging="879"/>
        <w:spacing w:after="0" w:line="506" w:lineRule="auto"/>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See (7) and (9) above.</w:t>
      </w:r>
    </w:p>
    <w:p>
      <w:pPr>
        <w:spacing w:after="0" w:line="184" w:lineRule="exact"/>
        <w:rPr>
          <w:sz w:val="20"/>
          <w:szCs w:val="20"/>
          <w:color w:val="auto"/>
        </w:rPr>
      </w:pPr>
    </w:p>
    <w:p>
      <w:pPr>
        <w:spacing w:after="0"/>
        <w:tabs>
          <w:tab w:leader="none" w:pos="860" w:val="left"/>
          <w:tab w:leader="none" w:pos="1102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Check if the Aggregate Amount in Row (11) Excludes Certain Shares (See Instructions)</w:t>
      </w:r>
      <w:r>
        <w:rPr>
          <w:sz w:val="20"/>
          <w:szCs w:val="20"/>
          <w:color w:val="auto"/>
        </w:rPr>
        <w:tab/>
      </w:r>
      <w:r>
        <w:rPr>
          <w:rFonts w:ascii="Courier New" w:cs="Courier New" w:eastAsia="Courier New" w:hAnsi="Courier New"/>
          <w:sz w:val="16"/>
          <w:szCs w:val="16"/>
          <w:color w:val="auto"/>
        </w:rPr>
        <w:t>[ ]</w:t>
      </w:r>
    </w:p>
    <w:p>
      <w:pPr>
        <w:spacing w:after="0" w:line="388" w:lineRule="exact"/>
        <w:rPr>
          <w:sz w:val="20"/>
          <w:szCs w:val="20"/>
          <w:color w:val="auto"/>
        </w:rPr>
      </w:pPr>
    </w:p>
    <w:p>
      <w:pPr>
        <w:ind w:left="880" w:right="5700" w:hanging="879"/>
        <w:spacing w:after="0" w:line="506"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See (7) and (9) above.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880" w:right="6400" w:hanging="879"/>
        <w:spacing w:after="0" w:line="502" w:lineRule="auto"/>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V. Hanson, IN; Mary Joan Boman, IN; Paul D. Hanson, IN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SECURITY AND ISSUER</w:t>
      </w:r>
    </w:p>
    <w:p>
      <w:pPr>
        <w:spacing w:after="0" w:line="198" w:lineRule="exact"/>
        <w:rPr>
          <w:sz w:val="20"/>
          <w:szCs w:val="20"/>
          <w:color w:val="auto"/>
        </w:rPr>
      </w:pPr>
    </w:p>
    <w:p>
      <w:pPr>
        <w:ind w:right="4220" w:firstLine="887"/>
        <w:spacing w:after="0" w:line="252"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IDENTITY AND BACKGROUND</w:t>
      </w:r>
    </w:p>
    <w:p>
      <w:pPr>
        <w:spacing w:after="0" w:line="198" w:lineRule="exact"/>
        <w:rPr>
          <w:sz w:val="20"/>
          <w:szCs w:val="20"/>
          <w:color w:val="auto"/>
        </w:rPr>
      </w:pPr>
    </w:p>
    <w:p>
      <w:pPr>
        <w:ind w:right="3640" w:firstLine="887"/>
        <w:spacing w:after="0" w:line="251"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two members, the Luise V. Hanson Qualified Terminable Interest Property Marital Deduction Trust (the "QTIP TRUST") and the Luise V. Hanson Revocable Trust dated September 22, 1984 (the "REVOCABLE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33962.</w:t>
      </w:r>
    </w:p>
    <w:p>
      <w:pPr>
        <w:sectPr>
          <w:pgSz w:w="11900" w:h="16838" w:orient="portrait"/>
          <w:cols w:equalWidth="0" w:num="1">
            <w:col w:w="11520"/>
          </w:cols>
          <w:pgMar w:left="240" w:top="685" w:right="139" w:bottom="1440" w:gutter="0" w:footer="0" w:header="0"/>
        </w:sectPr>
      </w:pPr>
    </w:p>
    <w:bookmarkStart w:id="4" w:name="page5"/>
    <w:bookmarkEnd w:id="4"/>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190" w:lineRule="exact"/>
        <w:rPr>
          <w:sz w:val="20"/>
          <w:szCs w:val="20"/>
          <w:color w:val="auto"/>
        </w:rPr>
      </w:pPr>
    </w:p>
    <w:p>
      <w:pPr>
        <w:jc w:val="both"/>
        <w:ind w:right="2519" w:firstLine="887"/>
        <w:spacing w:after="0" w:line="251"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ind w:right="2339"/>
        <w:spacing w:after="0" w:line="251" w:lineRule="auto"/>
        <w:rPr>
          <w:sz w:val="20"/>
          <w:szCs w:val="20"/>
          <w:color w:val="auto"/>
        </w:rPr>
      </w:pPr>
      <w:r>
        <w:rPr>
          <w:rFonts w:ascii="Courier New" w:cs="Courier New" w:eastAsia="Courier New" w:hAnsi="Courier New"/>
          <w:sz w:val="16"/>
          <w:szCs w:val="16"/>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John V. Hanson, Mary Joan Boman and Paul D. Hanson are United States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SOURCE AND AMOUNT OF FUNDS OR OTHER CONSIDERATION</w:t>
      </w:r>
    </w:p>
    <w:p>
      <w:pPr>
        <w:spacing w:after="0" w:line="198"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NOT APPLICABLE. This amendment is being filed to report a change in the direct and indirect beneficial ownership by HCP of an aggregate of 1,450,000 shares of Common Stock as a result of the sale by HCP of 1,450,000 shares of Common Stock. Reference is made to Item 4 for a description of the transaction.</w:t>
      </w:r>
    </w:p>
    <w:p>
      <w:pPr>
        <w:spacing w:after="0" w:line="37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PURPOSE OF TRANSACTION</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On October 20, 2003 HCP sold 1,450,000 shares of Common Stock to Winnebago for an aggregate purchase price of $63,979,075 or $44.1235 per share, plus interest in the approximate amount of $102,000.</w:t>
      </w:r>
    </w:p>
    <w:p>
      <w:pPr>
        <w:spacing w:after="0" w:line="185" w:lineRule="exact"/>
        <w:rPr>
          <w:sz w:val="20"/>
          <w:szCs w:val="20"/>
          <w:color w:val="auto"/>
        </w:rPr>
      </w:pPr>
    </w:p>
    <w:p>
      <w:pPr>
        <w:ind w:right="2519" w:firstLine="887"/>
        <w:spacing w:after="0" w:line="253" w:lineRule="auto"/>
        <w:rPr>
          <w:sz w:val="20"/>
          <w:szCs w:val="20"/>
          <w:color w:val="auto"/>
        </w:rPr>
      </w:pPr>
      <w:r>
        <w:rPr>
          <w:rFonts w:ascii="Courier New" w:cs="Courier New" w:eastAsia="Courier New" w:hAnsi="Courier New"/>
          <w:sz w:val="16"/>
          <w:szCs w:val="16"/>
          <w:color w:val="auto"/>
        </w:rPr>
        <w:t>The QTIP Trust, the Revocable Trust, the John V. Hanson Family Trust, the Paul D. Hanson Family Trust and the Mary Joan Boman Family Trust are the only members of HCP.</w:t>
      </w:r>
    </w:p>
    <w:p>
      <w:pPr>
        <w:spacing w:after="0" w:line="185" w:lineRule="exact"/>
        <w:rPr>
          <w:sz w:val="20"/>
          <w:szCs w:val="20"/>
          <w:color w:val="auto"/>
        </w:rPr>
      </w:pPr>
    </w:p>
    <w:p>
      <w:pPr>
        <w:ind w:right="2819" w:firstLine="887"/>
        <w:spacing w:after="0" w:line="255" w:lineRule="auto"/>
        <w:rPr>
          <w:sz w:val="20"/>
          <w:szCs w:val="20"/>
          <w:color w:val="auto"/>
        </w:rPr>
      </w:pPr>
      <w:r>
        <w:rPr>
          <w:rFonts w:ascii="Courier New" w:cs="Courier New" w:eastAsia="Courier New" w:hAnsi="Courier New"/>
          <w:sz w:val="16"/>
          <w:szCs w:val="16"/>
          <w:color w:val="auto"/>
        </w:rPr>
        <w:t>The undersigned do not presently have any plans or proposals which relate to or would result in:</w:t>
      </w:r>
    </w:p>
    <w:p>
      <w:pPr>
        <w:spacing w:after="0" w:line="184" w:lineRule="exact"/>
        <w:rPr>
          <w:sz w:val="20"/>
          <w:szCs w:val="20"/>
          <w:color w:val="auto"/>
        </w:rPr>
      </w:pPr>
    </w:p>
    <w:p>
      <w:pPr>
        <w:ind w:left="880" w:right="2339" w:hanging="879"/>
        <w:spacing w:after="0" w:line="253" w:lineRule="auto"/>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w:t>
      </w:r>
    </w:p>
    <w:p>
      <w:pPr>
        <w:sectPr>
          <w:pgSz w:w="11900" w:h="16838" w:orient="portrait"/>
          <w:cols w:equalWidth="0" w:num="1">
            <w:col w:w="10219"/>
          </w:cols>
          <w:pgMar w:left="240" w:top="875" w:right="1440" w:bottom="1440" w:gutter="0" w:footer="0" w:header="0"/>
        </w:sectPr>
      </w:pPr>
    </w:p>
    <w:bookmarkStart w:id="5" w:name="page6"/>
    <w:bookmarkEnd w:id="5"/>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880" w:right="2339"/>
        <w:spacing w:after="0" w:line="253" w:lineRule="auto"/>
        <w:rPr>
          <w:sz w:val="20"/>
          <w:szCs w:val="20"/>
          <w:color w:val="auto"/>
        </w:rPr>
      </w:pPr>
      <w:r>
        <w:rPr>
          <w:rFonts w:ascii="Courier New" w:cs="Courier New" w:eastAsia="Courier New" w:hAnsi="Courier New"/>
          <w:sz w:val="16"/>
          <w:szCs w:val="16"/>
          <w:color w:val="auto"/>
        </w:rPr>
        <w:t>economic interests in HCP or the disposition by HCP of Winnebago Common Stock from time to time when believed to be in the best interests of HCP's members.</w:t>
      </w:r>
    </w:p>
    <w:p>
      <w:pPr>
        <w:spacing w:after="0" w:line="185" w:lineRule="exact"/>
        <w:rPr>
          <w:sz w:val="20"/>
          <w:szCs w:val="20"/>
          <w:color w:val="auto"/>
        </w:rPr>
      </w:pPr>
    </w:p>
    <w:p>
      <w:pPr>
        <w:ind w:left="880" w:right="3019" w:hanging="879"/>
        <w:spacing w:after="0" w:line="253"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extraordinary corporate transaction, such as a merger, reorganization or liquidation, involving Winnebago or any of its subsidiaries;</w:t>
      </w:r>
    </w:p>
    <w:p>
      <w:pPr>
        <w:spacing w:after="0" w:line="185" w:lineRule="exact"/>
        <w:rPr>
          <w:rFonts w:ascii="Courier New" w:cs="Courier New" w:eastAsia="Courier New" w:hAnsi="Courier New"/>
          <w:sz w:val="16"/>
          <w:szCs w:val="16"/>
          <w:color w:val="auto"/>
        </w:rPr>
      </w:pPr>
    </w:p>
    <w:p>
      <w:pPr>
        <w:ind w:left="880" w:right="2519" w:hanging="879"/>
        <w:spacing w:after="0" w:line="255"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transfer of a material amount of assets of Winnebago or any of its subsidiaries;</w:t>
      </w:r>
    </w:p>
    <w:p>
      <w:pPr>
        <w:spacing w:after="0" w:line="183" w:lineRule="exact"/>
        <w:rPr>
          <w:rFonts w:ascii="Courier New" w:cs="Courier New" w:eastAsia="Courier New" w:hAnsi="Courier New"/>
          <w:sz w:val="16"/>
          <w:szCs w:val="16"/>
          <w:color w:val="auto"/>
        </w:rPr>
      </w:pPr>
    </w:p>
    <w:p>
      <w:pPr>
        <w:ind w:left="880" w:right="2719" w:hanging="879"/>
        <w:spacing w:after="0" w:line="253"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85" w:lineRule="exact"/>
        <w:rPr>
          <w:rFonts w:ascii="Courier New" w:cs="Courier New" w:eastAsia="Courier New" w:hAnsi="Courier New"/>
          <w:sz w:val="16"/>
          <w:szCs w:val="16"/>
          <w:color w:val="auto"/>
        </w:rPr>
      </w:pPr>
    </w:p>
    <w:p>
      <w:pPr>
        <w:ind w:left="880" w:right="2339" w:hanging="879"/>
        <w:spacing w:after="0" w:line="255"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change in the present capitalization or dividend policy of Winnebago;</w:t>
      </w:r>
    </w:p>
    <w:p>
      <w:pPr>
        <w:spacing w:after="0" w:line="183" w:lineRule="exact"/>
        <w:rPr>
          <w:rFonts w:ascii="Courier New" w:cs="Courier New" w:eastAsia="Courier New" w:hAnsi="Courier New"/>
          <w:sz w:val="16"/>
          <w:szCs w:val="16"/>
          <w:color w:val="auto"/>
        </w:rPr>
      </w:pPr>
    </w:p>
    <w:p>
      <w:pPr>
        <w:ind w:left="880" w:right="3219" w:hanging="879"/>
        <w:spacing w:after="0" w:line="255"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material change in Winnebago's business or corporate structure;</w:t>
      </w:r>
    </w:p>
    <w:p>
      <w:pPr>
        <w:spacing w:after="0" w:line="183" w:lineRule="exact"/>
        <w:rPr>
          <w:rFonts w:ascii="Courier New" w:cs="Courier New" w:eastAsia="Courier New" w:hAnsi="Courier New"/>
          <w:sz w:val="16"/>
          <w:szCs w:val="16"/>
          <w:color w:val="auto"/>
        </w:rPr>
      </w:pPr>
    </w:p>
    <w:p>
      <w:pPr>
        <w:ind w:left="880" w:right="2339" w:hanging="879"/>
        <w:spacing w:after="0" w:line="253"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Winnebago's charter, bylaws or instruments corresponding thereto or other actions which may impede the acquisition of control of Winnebago by any person;</w:t>
      </w:r>
    </w:p>
    <w:p>
      <w:pPr>
        <w:spacing w:after="0" w:line="185" w:lineRule="exact"/>
        <w:rPr>
          <w:rFonts w:ascii="Courier New" w:cs="Courier New" w:eastAsia="Courier New" w:hAnsi="Courier New"/>
          <w:sz w:val="16"/>
          <w:szCs w:val="16"/>
          <w:color w:val="auto"/>
        </w:rPr>
      </w:pPr>
    </w:p>
    <w:p>
      <w:pPr>
        <w:ind w:left="880" w:right="2339" w:hanging="879"/>
        <w:spacing w:after="0" w:line="252"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186" w:lineRule="exact"/>
        <w:rPr>
          <w:rFonts w:ascii="Courier New" w:cs="Courier New" w:eastAsia="Courier New" w:hAnsi="Courier New"/>
          <w:sz w:val="16"/>
          <w:szCs w:val="16"/>
          <w:color w:val="auto"/>
        </w:rPr>
      </w:pPr>
    </w:p>
    <w:p>
      <w:pPr>
        <w:ind w:left="880" w:right="2339" w:hanging="879"/>
        <w:spacing w:after="0" w:line="255"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83" w:lineRule="exact"/>
        <w:rPr>
          <w:rFonts w:ascii="Courier New" w:cs="Courier New" w:eastAsia="Courier New" w:hAnsi="Courier New"/>
          <w:sz w:val="16"/>
          <w:szCs w:val="16"/>
          <w:color w:val="auto"/>
        </w:rPr>
      </w:pPr>
    </w:p>
    <w:p>
      <w:pPr>
        <w:ind w:left="880" w:hanging="879"/>
        <w:spacing w:after="0"/>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similar to any of those enumerated above.</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INTEREST IN SECURITIES OF THE ISSUER</w:t>
      </w:r>
    </w:p>
    <w:p>
      <w:pPr>
        <w:spacing w:after="0" w:line="198" w:lineRule="exact"/>
        <w:rPr>
          <w:sz w:val="20"/>
          <w:szCs w:val="20"/>
          <w:color w:val="auto"/>
        </w:rPr>
      </w:pPr>
    </w:p>
    <w:p>
      <w:pPr>
        <w:ind w:left="880" w:right="2339" w:hanging="879"/>
        <w:spacing w:after="0" w:line="251"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HCP is the beneficial owner of 3,846,306 shares of Common Stock, which represent approximately 22.9%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189" w:lineRule="exact"/>
        <w:rPr>
          <w:rFonts w:ascii="Courier New" w:cs="Courier New" w:eastAsia="Courier New" w:hAnsi="Courier New"/>
          <w:sz w:val="16"/>
          <w:szCs w:val="16"/>
          <w:color w:val="auto"/>
        </w:rPr>
      </w:pPr>
    </w:p>
    <w:p>
      <w:pPr>
        <w:ind w:left="880" w:right="2339" w:hanging="879"/>
        <w:spacing w:after="0" w:line="251"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the Revocable Trust's 64.4% membership interest in HCP, a majority of the Individual Trustees together with the Corporate Trustee have sole voting power with respect to 3,846,306 shares of Common Stock of which HCP is the beneficial owner. A majority of the Individual Trustees together with the Corporate Trustee have sole dispositive power with respect to the 3,846,306 shares of Common Stock of which HCP is the beneficial owner, except that disposition of all or substantially all of those shares requires the unanimous approval of all members of HCP.</w:t>
      </w:r>
    </w:p>
    <w:p>
      <w:pPr>
        <w:sectPr>
          <w:pgSz w:w="11900" w:h="16838" w:orient="portrait"/>
          <w:cols w:equalWidth="0" w:num="1">
            <w:col w:w="10219"/>
          </w:cols>
          <w:pgMar w:left="240" w:top="875" w:right="1440" w:bottom="1440" w:gutter="0" w:footer="0" w:header="0"/>
        </w:sectPr>
      </w:pPr>
    </w:p>
    <w:bookmarkStart w:id="6" w:name="page7"/>
    <w:bookmarkEnd w:id="6"/>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jc w:val="both"/>
        <w:ind w:left="880" w:right="2519" w:hanging="879"/>
        <w:spacing w:after="0" w:line="253" w:lineRule="auto"/>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transactions described in Item 4, none of HCP, John V. Hanson, Mary Joan Boman or Paul D. Hanson has had any transactions in Common Stock during the past 60 days.</w:t>
      </w:r>
    </w:p>
    <w:p>
      <w:pPr>
        <w:spacing w:after="0" w:line="185" w:lineRule="exact"/>
        <w:rPr>
          <w:rFonts w:ascii="Courier New" w:cs="Courier New" w:eastAsia="Courier New" w:hAnsi="Courier New"/>
          <w:sz w:val="16"/>
          <w:szCs w:val="16"/>
          <w:color w:val="auto"/>
        </w:rPr>
      </w:pPr>
    </w:p>
    <w:p>
      <w:pPr>
        <w:ind w:left="880" w:hanging="879"/>
        <w:spacing w:after="0"/>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7" w:lineRule="exact"/>
        <w:rPr>
          <w:rFonts w:ascii="Courier New" w:cs="Courier New" w:eastAsia="Courier New" w:hAnsi="Courier New"/>
          <w:sz w:val="16"/>
          <w:szCs w:val="16"/>
          <w:color w:val="auto"/>
        </w:rPr>
      </w:pPr>
    </w:p>
    <w:p>
      <w:pPr>
        <w:ind w:left="880" w:hanging="879"/>
        <w:spacing w:after="0"/>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388" w:lineRule="exact"/>
        <w:rPr>
          <w:sz w:val="20"/>
          <w:szCs w:val="20"/>
          <w:color w:val="auto"/>
        </w:rPr>
      </w:pPr>
    </w:p>
    <w:p>
      <w:pPr>
        <w:ind w:left="880" w:right="3999" w:hanging="886"/>
        <w:spacing w:after="0" w:line="255" w:lineRule="auto"/>
        <w:tabs>
          <w:tab w:leader="none" w:pos="860" w:val="left"/>
        </w:tabs>
        <w:rPr>
          <w:sz w:val="20"/>
          <w:szCs w:val="20"/>
          <w:color w:val="auto"/>
        </w:rPr>
      </w:pPr>
      <w:r>
        <w:rPr>
          <w:rFonts w:ascii="Courier New" w:cs="Courier New" w:eastAsia="Courier New" w:hAnsi="Courier New"/>
          <w:sz w:val="16"/>
          <w:szCs w:val="16"/>
          <w:color w:val="auto"/>
        </w:rPr>
        <w:t>ITEM 6.</w:t>
        <w:tab/>
        <w:t>CONTRACTS, ARRANGEMENTS, UNDERSTANDINGS OR RELATIONSHIPS WITH RESPECT TO SECURITIES OF THE ISSUER</w:t>
      </w:r>
    </w:p>
    <w:p>
      <w:pPr>
        <w:spacing w:after="0" w:line="184"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37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MATERIAL TO BE FILED AS EXHIBITS</w:t>
      </w:r>
    </w:p>
    <w:p>
      <w:pPr>
        <w:sectPr>
          <w:pgSz w:w="11900" w:h="16838" w:orient="portrait"/>
          <w:cols w:equalWidth="0" w:num="1">
            <w:col w:w="10219"/>
          </w:cols>
          <w:pgMar w:left="240" w:top="1064" w:right="1440" w:bottom="1440" w:gutter="0" w:footer="0" w:header="0"/>
        </w:sectPr>
      </w:pPr>
    </w:p>
    <w:bookmarkStart w:id="7" w:name="page8"/>
    <w:bookmarkEnd w:id="7"/>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8" w:lineRule="exact"/>
        <w:rPr>
          <w:sz w:val="20"/>
          <w:szCs w:val="20"/>
          <w:color w:val="auto"/>
        </w:rPr>
      </w:pPr>
    </w:p>
    <w:p>
      <w:pPr>
        <w:ind w:left="200" w:hanging="199"/>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3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HANSON CAPITAL PARTNERS, L.L.C.</w:t>
            </w:r>
          </w:p>
        </w:tc>
      </w:tr>
      <w:tr>
        <w:trPr>
          <w:trHeight w:val="379"/>
        </w:trPr>
        <w:tc>
          <w:tcPr>
            <w:tcW w:w="2960" w:type="dxa"/>
            <w:vAlign w:val="bottom"/>
          </w:tcPr>
          <w:p>
            <w:pPr>
              <w:jc w:val="center"/>
              <w:ind w:right="698"/>
              <w:spacing w:after="0"/>
              <w:rPr>
                <w:sz w:val="20"/>
                <w:szCs w:val="20"/>
                <w:color w:val="auto"/>
              </w:rPr>
            </w:pPr>
            <w:r>
              <w:rPr>
                <w:rFonts w:ascii="Courier New" w:cs="Courier New" w:eastAsia="Courier New" w:hAnsi="Courier New"/>
                <w:sz w:val="16"/>
                <w:szCs w:val="16"/>
                <w:color w:val="auto"/>
              </w:rPr>
              <w:t>October 30, 2003</w:t>
            </w: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/s/ John V. Hanson</w:t>
            </w:r>
          </w:p>
        </w:tc>
      </w:tr>
      <w:tr>
        <w:trPr>
          <w:trHeight w:val="190"/>
        </w:trPr>
        <w:tc>
          <w:tcPr>
            <w:tcW w:w="296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 ----------------------</w:t>
            </w:r>
          </w:p>
        </w:tc>
        <w:tc>
          <w:tcPr>
            <w:tcW w:w="424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90"/>
        </w:trPr>
        <w:tc>
          <w:tcPr>
            <w:tcW w:w="2960" w:type="dxa"/>
            <w:vAlign w:val="bottom"/>
          </w:tcPr>
          <w:p>
            <w:pPr>
              <w:jc w:val="center"/>
              <w:ind w:right="718"/>
              <w:spacing w:after="0"/>
              <w:rPr>
                <w:sz w:val="20"/>
                <w:szCs w:val="20"/>
                <w:color w:val="auto"/>
              </w:rPr>
            </w:pPr>
            <w:r>
              <w:rPr>
                <w:rFonts w:ascii="Courier New" w:cs="Courier New" w:eastAsia="Courier New" w:hAnsi="Courier New"/>
                <w:sz w:val="16"/>
                <w:szCs w:val="16"/>
                <w:color w:val="auto"/>
              </w:rPr>
              <w:t>(Date)</w:t>
            </w: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John V. Hanson, as Managing Director</w:t>
            </w:r>
          </w:p>
        </w:tc>
      </w:tr>
      <w:tr>
        <w:trPr>
          <w:trHeight w:val="758"/>
        </w:trPr>
        <w:tc>
          <w:tcPr>
            <w:tcW w:w="2960" w:type="dxa"/>
            <w:vAlign w:val="bottom"/>
          </w:tcPr>
          <w:p>
            <w:pPr>
              <w:jc w:val="center"/>
              <w:ind w:right="698"/>
              <w:spacing w:after="0"/>
              <w:rPr>
                <w:sz w:val="20"/>
                <w:szCs w:val="20"/>
                <w:color w:val="auto"/>
              </w:rPr>
            </w:pPr>
            <w:r>
              <w:rPr>
                <w:rFonts w:ascii="Courier New" w:cs="Courier New" w:eastAsia="Courier New" w:hAnsi="Courier New"/>
                <w:sz w:val="16"/>
                <w:szCs w:val="16"/>
                <w:color w:val="auto"/>
              </w:rPr>
              <w:t>October 30, 2003</w:t>
            </w: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/s/ Mary Joan Boman</w:t>
            </w:r>
          </w:p>
        </w:tc>
      </w:tr>
      <w:tr>
        <w:trPr>
          <w:trHeight w:val="190"/>
        </w:trPr>
        <w:tc>
          <w:tcPr>
            <w:tcW w:w="296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 ----------------------</w:t>
            </w:r>
          </w:p>
        </w:tc>
        <w:tc>
          <w:tcPr>
            <w:tcW w:w="424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90"/>
        </w:trPr>
        <w:tc>
          <w:tcPr>
            <w:tcW w:w="2960" w:type="dxa"/>
            <w:vAlign w:val="bottom"/>
          </w:tcPr>
          <w:p>
            <w:pPr>
              <w:jc w:val="center"/>
              <w:ind w:right="718"/>
              <w:spacing w:after="0"/>
              <w:rPr>
                <w:sz w:val="20"/>
                <w:szCs w:val="20"/>
                <w:color w:val="auto"/>
              </w:rPr>
            </w:pPr>
            <w:r>
              <w:rPr>
                <w:rFonts w:ascii="Courier New" w:cs="Courier New" w:eastAsia="Courier New" w:hAnsi="Courier New"/>
                <w:sz w:val="16"/>
                <w:szCs w:val="16"/>
                <w:color w:val="auto"/>
              </w:rPr>
              <w:t>(Date)</w:t>
            </w: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Mary Joan Boman, as Managing Director</w:t>
            </w:r>
          </w:p>
        </w:tc>
      </w:tr>
      <w:tr>
        <w:trPr>
          <w:trHeight w:val="569"/>
        </w:trPr>
        <w:tc>
          <w:tcPr>
            <w:tcW w:w="2960" w:type="dxa"/>
            <w:vAlign w:val="bottom"/>
          </w:tcPr>
          <w:p>
            <w:pPr>
              <w:jc w:val="center"/>
              <w:ind w:right="698"/>
              <w:spacing w:after="0"/>
              <w:rPr>
                <w:sz w:val="20"/>
                <w:szCs w:val="20"/>
                <w:color w:val="auto"/>
              </w:rPr>
            </w:pPr>
            <w:r>
              <w:rPr>
                <w:rFonts w:ascii="Courier New" w:cs="Courier New" w:eastAsia="Courier New" w:hAnsi="Courier New"/>
                <w:sz w:val="16"/>
                <w:szCs w:val="16"/>
                <w:color w:val="auto"/>
              </w:rPr>
              <w:t>October 30, 2003</w:t>
            </w: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/s/ Paul D. Hanson</w:t>
            </w:r>
          </w:p>
        </w:tc>
      </w:tr>
      <w:tr>
        <w:trPr>
          <w:trHeight w:val="190"/>
        </w:trPr>
        <w:tc>
          <w:tcPr>
            <w:tcW w:w="296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 ----------------------</w:t>
            </w:r>
          </w:p>
        </w:tc>
        <w:tc>
          <w:tcPr>
            <w:tcW w:w="424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90"/>
        </w:trPr>
        <w:tc>
          <w:tcPr>
            <w:tcW w:w="2960" w:type="dxa"/>
            <w:vAlign w:val="bottom"/>
          </w:tcPr>
          <w:p>
            <w:pPr>
              <w:jc w:val="center"/>
              <w:ind w:right="718"/>
              <w:spacing w:after="0"/>
              <w:rPr>
                <w:sz w:val="20"/>
                <w:szCs w:val="20"/>
                <w:color w:val="auto"/>
              </w:rPr>
            </w:pPr>
            <w:r>
              <w:rPr>
                <w:rFonts w:ascii="Courier New" w:cs="Courier New" w:eastAsia="Courier New" w:hAnsi="Courier New"/>
                <w:sz w:val="16"/>
                <w:szCs w:val="16"/>
                <w:color w:val="auto"/>
              </w:rPr>
              <w:t>(Date)</w:t>
            </w: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Paul D. Hanson, as Managing Director</w:t>
            </w:r>
          </w:p>
        </w:tc>
      </w:tr>
    </w:tbl>
    <w:p>
      <w:pPr>
        <w:sectPr>
          <w:pgSz w:w="11900" w:h="16838" w:orient="portrait"/>
          <w:cols w:equalWidth="0" w:num="1">
            <w:col w:w="10219"/>
          </w:cols>
          <w:pgMar w:left="240" w:top="1254" w:right="1440" w:bottom="1440" w:gutter="0" w:footer="0" w:header="0"/>
        </w:sectPr>
      </w:pPr>
    </w:p>
    <w:bookmarkStart w:id="8" w:name="page9"/>
    <w:bookmarkEnd w:id="8"/>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October 30,</w:t>
            </w:r>
          </w:p>
        </w:tc>
        <w:tc>
          <w:tcPr>
            <w:tcW w:w="1240" w:type="dxa"/>
            <w:vAlign w:val="bottom"/>
          </w:tcPr>
          <w:p>
            <w:pPr>
              <w:jc w:val="right"/>
              <w:ind w:right="758"/>
              <w:spacing w:after="0"/>
              <w:rPr>
                <w:sz w:val="20"/>
                <w:szCs w:val="20"/>
                <w:color w:val="auto"/>
              </w:rPr>
            </w:pPr>
            <w:r>
              <w:rPr>
                <w:rFonts w:ascii="Courier New" w:cs="Courier New" w:eastAsia="Courier New" w:hAnsi="Courier New"/>
                <w:sz w:val="16"/>
                <w:szCs w:val="16"/>
                <w:color w:val="auto"/>
                <w:w w:val="98"/>
              </w:rPr>
              <w:t>2003</w:t>
            </w:r>
          </w:p>
        </w:tc>
        <w:tc>
          <w:tcPr>
            <w:tcW w:w="2900" w:type="dxa"/>
            <w:vAlign w:val="bottom"/>
          </w:tcPr>
          <w:p>
            <w:pPr>
              <w:ind w:left="840"/>
              <w:spacing w:after="0"/>
              <w:rPr>
                <w:sz w:val="20"/>
                <w:szCs w:val="20"/>
                <w:color w:val="auto"/>
              </w:rPr>
            </w:pPr>
            <w:r>
              <w:rPr>
                <w:rFonts w:ascii="Courier New" w:cs="Courier New" w:eastAsia="Courier New" w:hAnsi="Courier New"/>
                <w:sz w:val="16"/>
                <w:szCs w:val="16"/>
                <w:color w:val="auto"/>
              </w:rPr>
              <w:t>/s/ Mary Joan Boman</w:t>
            </w:r>
          </w:p>
        </w:tc>
      </w:tr>
      <w:tr>
        <w:trPr>
          <w:trHeight w:val="190"/>
        </w:trPr>
        <w:tc>
          <w:tcPr>
            <w:tcW w:w="272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w:t>
            </w:r>
          </w:p>
        </w:tc>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(Date)</w:t>
            </w:r>
          </w:p>
        </w:tc>
        <w:tc>
          <w:tcPr>
            <w:tcW w:w="1240" w:type="dxa"/>
            <w:vAlign w:val="bottom"/>
          </w:tcPr>
          <w:p>
            <w:pPr>
              <w:spacing w:after="0"/>
              <w:rPr>
                <w:sz w:val="16"/>
                <w:szCs w:val="16"/>
                <w:color w:val="auto"/>
              </w:rPr>
            </w:pPr>
          </w:p>
        </w:tc>
        <w:tc>
          <w:tcPr>
            <w:tcW w:w="2900" w:type="dxa"/>
            <w:vAlign w:val="bottom"/>
          </w:tcPr>
          <w:p>
            <w:pPr>
              <w:ind w:left="840"/>
              <w:spacing w:after="0"/>
              <w:rPr>
                <w:sz w:val="20"/>
                <w:szCs w:val="20"/>
                <w:color w:val="auto"/>
              </w:rPr>
            </w:pPr>
            <w:r>
              <w:rPr>
                <w:rFonts w:ascii="Courier New" w:cs="Courier New" w:eastAsia="Courier New" w:hAnsi="Courier New"/>
                <w:sz w:val="16"/>
                <w:szCs w:val="16"/>
                <w:color w:val="auto"/>
              </w:rPr>
              <w:t>Mary Joan Boman</w:t>
            </w:r>
          </w:p>
        </w:tc>
      </w:tr>
    </w:tbl>
    <w:p>
      <w:pPr>
        <w:sectPr>
          <w:pgSz w:w="11900" w:h="16838" w:orient="portrait"/>
          <w:cols w:equalWidth="0" w:num="1">
            <w:col w:w="10219"/>
          </w:cols>
          <w:pgMar w:left="240" w:top="1064" w:right="1440" w:bottom="1440" w:gutter="0" w:footer="0" w:header="0"/>
        </w:sectPr>
      </w:pPr>
    </w:p>
    <w:bookmarkStart w:id="9" w:name="page10"/>
    <w:bookmarkEnd w:id="9"/>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October 30,</w:t>
            </w:r>
          </w:p>
        </w:tc>
        <w:tc>
          <w:tcPr>
            <w:tcW w:w="1240" w:type="dxa"/>
            <w:vAlign w:val="bottom"/>
          </w:tcPr>
          <w:p>
            <w:pPr>
              <w:jc w:val="right"/>
              <w:ind w:right="758"/>
              <w:spacing w:after="0"/>
              <w:rPr>
                <w:sz w:val="20"/>
                <w:szCs w:val="20"/>
                <w:color w:val="auto"/>
              </w:rPr>
            </w:pPr>
            <w:r>
              <w:rPr>
                <w:rFonts w:ascii="Courier New" w:cs="Courier New" w:eastAsia="Courier New" w:hAnsi="Courier New"/>
                <w:sz w:val="16"/>
                <w:szCs w:val="16"/>
                <w:color w:val="auto"/>
                <w:w w:val="98"/>
              </w:rPr>
              <w:t>2003</w:t>
            </w:r>
          </w:p>
        </w:tc>
        <w:tc>
          <w:tcPr>
            <w:tcW w:w="2800" w:type="dxa"/>
            <w:vAlign w:val="bottom"/>
          </w:tcPr>
          <w:p>
            <w:pPr>
              <w:ind w:left="840"/>
              <w:spacing w:after="0"/>
              <w:rPr>
                <w:sz w:val="20"/>
                <w:szCs w:val="20"/>
                <w:color w:val="auto"/>
              </w:rPr>
            </w:pPr>
            <w:r>
              <w:rPr>
                <w:rFonts w:ascii="Courier New" w:cs="Courier New" w:eastAsia="Courier New" w:hAnsi="Courier New"/>
                <w:sz w:val="16"/>
                <w:szCs w:val="16"/>
                <w:color w:val="auto"/>
              </w:rPr>
              <w:t>/s/ John V. Hanson</w:t>
            </w:r>
          </w:p>
        </w:tc>
      </w:tr>
      <w:tr>
        <w:trPr>
          <w:trHeight w:val="190"/>
        </w:trPr>
        <w:tc>
          <w:tcPr>
            <w:tcW w:w="272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(Date)</w:t>
            </w:r>
          </w:p>
        </w:tc>
        <w:tc>
          <w:tcPr>
            <w:tcW w:w="1240" w:type="dxa"/>
            <w:vAlign w:val="bottom"/>
          </w:tcPr>
          <w:p>
            <w:pPr>
              <w:spacing w:after="0"/>
              <w:rPr>
                <w:sz w:val="16"/>
                <w:szCs w:val="16"/>
                <w:color w:val="auto"/>
              </w:rPr>
            </w:pPr>
          </w:p>
        </w:tc>
        <w:tc>
          <w:tcPr>
            <w:tcW w:w="2800" w:type="dxa"/>
            <w:vAlign w:val="bottom"/>
          </w:tcPr>
          <w:p>
            <w:pPr>
              <w:ind w:left="840"/>
              <w:spacing w:after="0"/>
              <w:rPr>
                <w:sz w:val="20"/>
                <w:szCs w:val="20"/>
                <w:color w:val="auto"/>
              </w:rPr>
            </w:pPr>
            <w:r>
              <w:rPr>
                <w:rFonts w:ascii="Courier New" w:cs="Courier New" w:eastAsia="Courier New" w:hAnsi="Courier New"/>
                <w:sz w:val="16"/>
                <w:szCs w:val="16"/>
                <w:color w:val="auto"/>
              </w:rPr>
              <w:t>John V. Hanson</w:t>
            </w:r>
          </w:p>
        </w:tc>
      </w:tr>
    </w:tbl>
    <w:p>
      <w:pPr>
        <w:sectPr>
          <w:pgSz w:w="11900" w:h="16838" w:orient="portrait"/>
          <w:cols w:equalWidth="0" w:num="1">
            <w:col w:w="10219"/>
          </w:cols>
          <w:pgMar w:left="240" w:top="1064" w:right="1440" w:bottom="1440" w:gutter="0" w:footer="0" w:header="0"/>
        </w:sectPr>
      </w:pPr>
    </w:p>
    <w:bookmarkStart w:id="10" w:name="page11"/>
    <w:bookmarkEnd w:id="10"/>
    <w:p>
      <w:pPr>
        <w:spacing w:after="0"/>
        <w:tabs>
          <w:tab w:leader="none" w:pos="71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October 30,</w:t>
            </w:r>
          </w:p>
        </w:tc>
        <w:tc>
          <w:tcPr>
            <w:tcW w:w="1240" w:type="dxa"/>
            <w:vAlign w:val="bottom"/>
          </w:tcPr>
          <w:p>
            <w:pPr>
              <w:jc w:val="right"/>
              <w:ind w:right="758"/>
              <w:spacing w:after="0"/>
              <w:rPr>
                <w:sz w:val="20"/>
                <w:szCs w:val="20"/>
                <w:color w:val="auto"/>
              </w:rPr>
            </w:pPr>
            <w:r>
              <w:rPr>
                <w:rFonts w:ascii="Courier New" w:cs="Courier New" w:eastAsia="Courier New" w:hAnsi="Courier New"/>
                <w:sz w:val="16"/>
                <w:szCs w:val="16"/>
                <w:color w:val="auto"/>
                <w:w w:val="98"/>
              </w:rPr>
              <w:t>2003</w:t>
            </w:r>
          </w:p>
        </w:tc>
        <w:tc>
          <w:tcPr>
            <w:tcW w:w="2800" w:type="dxa"/>
            <w:vAlign w:val="bottom"/>
          </w:tcPr>
          <w:p>
            <w:pPr>
              <w:ind w:left="840"/>
              <w:spacing w:after="0"/>
              <w:rPr>
                <w:sz w:val="20"/>
                <w:szCs w:val="20"/>
                <w:color w:val="auto"/>
              </w:rPr>
            </w:pPr>
            <w:r>
              <w:rPr>
                <w:rFonts w:ascii="Courier New" w:cs="Courier New" w:eastAsia="Courier New" w:hAnsi="Courier New"/>
                <w:sz w:val="16"/>
                <w:szCs w:val="16"/>
                <w:color w:val="auto"/>
              </w:rPr>
              <w:t>/s/ Paul D. Hanson</w:t>
            </w:r>
          </w:p>
        </w:tc>
      </w:tr>
      <w:tr>
        <w:trPr>
          <w:trHeight w:val="190"/>
        </w:trPr>
        <w:tc>
          <w:tcPr>
            <w:tcW w:w="272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(Date)</w:t>
            </w:r>
          </w:p>
        </w:tc>
        <w:tc>
          <w:tcPr>
            <w:tcW w:w="1240" w:type="dxa"/>
            <w:vAlign w:val="bottom"/>
          </w:tcPr>
          <w:p>
            <w:pPr>
              <w:spacing w:after="0"/>
              <w:rPr>
                <w:sz w:val="16"/>
                <w:szCs w:val="16"/>
                <w:color w:val="auto"/>
              </w:rPr>
            </w:pPr>
          </w:p>
        </w:tc>
        <w:tc>
          <w:tcPr>
            <w:tcW w:w="2800" w:type="dxa"/>
            <w:vAlign w:val="bottom"/>
          </w:tcPr>
          <w:p>
            <w:pPr>
              <w:ind w:left="840"/>
              <w:spacing w:after="0"/>
              <w:rPr>
                <w:sz w:val="20"/>
                <w:szCs w:val="20"/>
                <w:color w:val="auto"/>
              </w:rPr>
            </w:pPr>
            <w:r>
              <w:rPr>
                <w:rFonts w:ascii="Courier New" w:cs="Courier New" w:eastAsia="Courier New" w:hAnsi="Courier New"/>
                <w:sz w:val="16"/>
                <w:szCs w:val="16"/>
                <w:color w:val="auto"/>
              </w:rPr>
              <w:t>Paul D. Hanson</w:t>
            </w:r>
          </w:p>
        </w:tc>
      </w:tr>
    </w:tbl>
    <w:p>
      <w:pPr>
        <w:spacing w:after="0" w:line="1" w:lineRule="exact"/>
        <w:rPr>
          <w:sz w:val="20"/>
          <w:szCs w:val="20"/>
          <w:color w:val="auto"/>
        </w:rPr>
      </w:pPr>
    </w:p>
    <w:sectPr>
      <w:pgSz w:w="11900" w:h="16838" w:orient="portrait"/>
      <w:cols w:equalWidth="0" w:num="1">
        <w:col w:w="10219"/>
      </w:cols>
      <w:pgMar w:left="240" w:top="8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6"/>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3"/>
    </w:lvl>
  </w:abstractNum>
  <w:abstractNum w:abstractNumId="7">
    <w:nsid w:val="216231B"/>
    <w:multiLevelType w:val="hybridMultilevel"/>
    <w:lvl w:ilvl="0">
      <w:lvlJc w:val="left"/>
      <w:lvlText w:val="(%1)"/>
      <w:numFmt w:val="decimal"/>
      <w:start w:val="14"/>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2019-12-13T08:33:03Z</dcterms:created>
  <dcterms:modified xsi:type="dcterms:W3CDTF">2019-12-13T08:33:03Z</dcterms:modified>
</cp:coreProperties>
</file>