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January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902335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241935</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8.01 Other Events.</w:t>
      </w:r>
    </w:p>
    <w:p>
      <w:pPr>
        <w:spacing w:after="0" w:line="21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the first quarter of Fiscal 2017, we revised our reporting segments. Previously we had one reporting segment which included all recreational vehicle products and services. With the acquisition of Grand Design in the first quarter of Fiscal 2017, we expanded the number of reporting segments to two: (1) Motorized products and services and (2) Towable products and services. The Towable segment includes all products which are not motorized and are generally towed by another vehicle. The Motorized segment includes all products that include a motorized chassis as well as other related manufactured products. We are filing this Current Report on Form 8-K to present prior year segment information to our Annual Report on Form 10-K for the fiscal year ended August 27, 2016 to conform to the current reporting segment presentation in accordance with SEC Financial Reporting Manual - Topic 13 - Effects of Subsequent Events on Financial Statements Required in Filings.</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10220" w:type="dxa"/>
            <w:vAlign w:val="bottom"/>
          </w:tcPr>
          <w:p>
            <w:pPr>
              <w:spacing w:after="0"/>
              <w:rPr>
                <w:sz w:val="16"/>
                <w:szCs w:val="16"/>
                <w:color w:val="auto"/>
              </w:rPr>
            </w:pPr>
          </w:p>
        </w:tc>
      </w:tr>
      <w:tr>
        <w:trPr>
          <w:trHeight w:val="339"/>
        </w:trPr>
        <w:tc>
          <w:tcPr>
            <w:tcW w:w="36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10220" w:type="dxa"/>
            <w:vAlign w:val="bottom"/>
          </w:tcPr>
          <w:p>
            <w:pPr>
              <w:spacing w:after="0"/>
              <w:rPr>
                <w:sz w:val="24"/>
                <w:szCs w:val="24"/>
                <w:color w:val="auto"/>
              </w:rPr>
            </w:pPr>
          </w:p>
        </w:tc>
      </w:tr>
      <w:tr>
        <w:trPr>
          <w:trHeight w:val="228"/>
        </w:trPr>
        <w:tc>
          <w:tcPr>
            <w:tcW w:w="360" w:type="dxa"/>
            <w:vAlign w:val="bottom"/>
          </w:tcPr>
          <w:p>
            <w:pPr>
              <w:spacing w:after="0"/>
              <w:rPr>
                <w:sz w:val="19"/>
                <w:szCs w:val="19"/>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102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Description</w:t>
            </w:r>
          </w:p>
        </w:tc>
      </w:tr>
      <w:tr>
        <w:trPr>
          <w:trHeight w:val="237"/>
        </w:trPr>
        <w:tc>
          <w:tcPr>
            <w:tcW w:w="1200" w:type="dxa"/>
            <w:vAlign w:val="bottom"/>
            <w:gridSpan w:val="2"/>
          </w:tcPr>
          <w:p>
            <w:pPr>
              <w:ind w:left="380"/>
              <w:spacing w:after="0"/>
              <w:rPr>
                <w:sz w:val="20"/>
                <w:szCs w:val="20"/>
                <w:color w:val="auto"/>
              </w:rPr>
            </w:pPr>
            <w:r>
              <w:rPr>
                <w:rFonts w:ascii="Arial" w:cs="Arial" w:eastAsia="Arial" w:hAnsi="Arial"/>
                <w:sz w:val="16"/>
                <w:szCs w:val="16"/>
                <w:color w:val="auto"/>
              </w:rPr>
              <w:t>23.1</w:t>
            </w:r>
          </w:p>
        </w:tc>
        <w:tc>
          <w:tcPr>
            <w:tcW w:w="10220" w:type="dxa"/>
            <w:vAlign w:val="bottom"/>
          </w:tcPr>
          <w:p>
            <w:pPr>
              <w:ind w:left="220"/>
              <w:spacing w:after="0"/>
              <w:rPr>
                <w:sz w:val="20"/>
                <w:szCs w:val="20"/>
                <w:color w:val="auto"/>
              </w:rPr>
            </w:pPr>
            <w:r>
              <w:rPr>
                <w:rFonts w:ascii="Arial" w:cs="Arial" w:eastAsia="Arial" w:hAnsi="Arial"/>
                <w:sz w:val="16"/>
                <w:szCs w:val="16"/>
                <w:color w:val="auto"/>
              </w:rPr>
              <w:t>Consent of Independent Registered Public Accounting Firm-Deloitte &amp; Touche LLP.</w:t>
            </w:r>
          </w:p>
        </w:tc>
      </w:tr>
      <w:tr>
        <w:trPr>
          <w:trHeight w:val="238"/>
        </w:trPr>
        <w:tc>
          <w:tcPr>
            <w:tcW w:w="1200" w:type="dxa"/>
            <w:vAlign w:val="bottom"/>
            <w:gridSpan w:val="2"/>
          </w:tcPr>
          <w:p>
            <w:pPr>
              <w:ind w:left="380"/>
              <w:spacing w:after="0"/>
              <w:rPr>
                <w:sz w:val="20"/>
                <w:szCs w:val="20"/>
                <w:color w:val="auto"/>
              </w:rPr>
            </w:pPr>
            <w:r>
              <w:rPr>
                <w:rFonts w:ascii="Arial" w:cs="Arial" w:eastAsia="Arial" w:hAnsi="Arial"/>
                <w:sz w:val="16"/>
                <w:szCs w:val="16"/>
                <w:color w:val="auto"/>
              </w:rPr>
              <w:t>99.1</w:t>
            </w:r>
          </w:p>
        </w:tc>
        <w:tc>
          <w:tcPr>
            <w:tcW w:w="10220" w:type="dxa"/>
            <w:vAlign w:val="bottom"/>
          </w:tcPr>
          <w:p>
            <w:pPr>
              <w:ind w:left="220"/>
              <w:spacing w:after="0"/>
              <w:rPr>
                <w:sz w:val="20"/>
                <w:szCs w:val="20"/>
                <w:color w:val="auto"/>
              </w:rPr>
            </w:pPr>
            <w:r>
              <w:rPr>
                <w:rFonts w:ascii="Arial" w:cs="Arial" w:eastAsia="Arial" w:hAnsi="Arial"/>
                <w:sz w:val="16"/>
                <w:szCs w:val="16"/>
                <w:color w:val="auto"/>
              </w:rPr>
              <w:t>Updated Part I, Item 1. Business, Part II, Item 7. Management's Discussion and Analysis of Financial Condition and Results of Operations</w:t>
            </w:r>
          </w:p>
        </w:tc>
      </w:tr>
      <w:tr>
        <w:trPr>
          <w:trHeight w:val="189"/>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20" w:type="dxa"/>
            <w:vAlign w:val="bottom"/>
          </w:tcPr>
          <w:p>
            <w:pPr>
              <w:ind w:left="220"/>
              <w:spacing w:after="0"/>
              <w:rPr>
                <w:sz w:val="20"/>
                <w:szCs w:val="20"/>
                <w:color w:val="auto"/>
              </w:rPr>
            </w:pPr>
            <w:r>
              <w:rPr>
                <w:rFonts w:ascii="Arial" w:cs="Arial" w:eastAsia="Arial" w:hAnsi="Arial"/>
                <w:sz w:val="16"/>
                <w:szCs w:val="16"/>
                <w:color w:val="auto"/>
              </w:rPr>
              <w:t>and Item 8. Financial Statements and Supplementary Data from Winnebago Industries, Inc.'s Annual Report on Form 10-K for the fiscal</w:t>
            </w:r>
          </w:p>
        </w:tc>
      </w:tr>
      <w:tr>
        <w:trPr>
          <w:trHeight w:val="195"/>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20" w:type="dxa"/>
            <w:vAlign w:val="bottom"/>
          </w:tcPr>
          <w:p>
            <w:pPr>
              <w:ind w:left="220"/>
              <w:spacing w:after="0"/>
              <w:rPr>
                <w:sz w:val="20"/>
                <w:szCs w:val="20"/>
                <w:color w:val="auto"/>
              </w:rPr>
            </w:pPr>
            <w:r>
              <w:rPr>
                <w:rFonts w:ascii="Arial" w:cs="Arial" w:eastAsia="Arial" w:hAnsi="Arial"/>
                <w:sz w:val="16"/>
                <w:szCs w:val="16"/>
                <w:color w:val="auto"/>
              </w:rPr>
              <w:t>year ended August 27, 2016.</w:t>
            </w:r>
          </w:p>
        </w:tc>
      </w:tr>
    </w:tbl>
    <w:p>
      <w:pPr>
        <w:spacing w:after="0" w:line="48" w:lineRule="exact"/>
        <w:rPr>
          <w:sz w:val="20"/>
          <w:szCs w:val="20"/>
          <w:color w:val="auto"/>
        </w:rPr>
      </w:pPr>
    </w:p>
    <w:p>
      <w:pPr>
        <w:ind w:left="1420" w:right="80" w:hanging="1034"/>
        <w:spacing w:after="0" w:line="249" w:lineRule="auto"/>
        <w:tabs>
          <w:tab w:leader="none" w:pos="1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following materials from Winnebago Industries, Inc.'s Annual Report on Form 10-K for the year ended August 27, 2016 are filed herewith, formatted in XBRL (Extensible Business Reporting Language): (i) the Consolidated Statements of Income and Comprehensive Income for the years ended August 27, 2016, August 29, 2015 and August 30, 2014, (ii) the Consolidated Balance Sheets as of August 27, 2016 and August 29, 2015, (iii) the Consolidated Statements of Cash Flows for the years ended August 27, 2016, August 29, 2015 and August 30, 2014, (iv) the Consolidated Statements of Changes in Stockholders' Equity for the years ended August 27, 2016, August 29, 2015 and August 30, 2014 and (v)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6580" w:type="dxa"/>
            <w:vAlign w:val="bottom"/>
            <w:gridSpan w:val="2"/>
          </w:tcPr>
          <w:p>
            <w:pPr>
              <w:ind w:left="114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600" w:type="dxa"/>
            <w:vAlign w:val="bottom"/>
          </w:tcPr>
          <w:p>
            <w:pPr>
              <w:ind w:left="200"/>
              <w:spacing w:after="0"/>
              <w:rPr>
                <w:sz w:val="20"/>
                <w:szCs w:val="20"/>
                <w:color w:val="auto"/>
              </w:rPr>
            </w:pPr>
            <w:r>
              <w:rPr>
                <w:rFonts w:ascii="Arial" w:cs="Arial" w:eastAsia="Arial" w:hAnsi="Arial"/>
                <w:sz w:val="16"/>
                <w:szCs w:val="16"/>
                <w:color w:val="auto"/>
              </w:rPr>
              <w:t>January 20, 2017</w:t>
            </w:r>
          </w:p>
        </w:tc>
        <w:tc>
          <w:tcPr>
            <w:tcW w:w="1920" w:type="dxa"/>
            <w:vAlign w:val="bottom"/>
          </w:tcPr>
          <w:p>
            <w:pPr>
              <w:ind w:left="114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920" w:type="dxa"/>
            <w:vAlign w:val="bottom"/>
          </w:tcPr>
          <w:p>
            <w:pPr>
              <w:ind w:left="114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920" w:type="dxa"/>
            <w:vAlign w:val="bottom"/>
          </w:tcPr>
          <w:p>
            <w:pPr>
              <w:ind w:left="114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420"/>
          </w:cols>
          <w:pgMar w:left="240" w:top="733"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consent to the incorporation by reference in Registration Statements No. 333-31595, No. 333-47123, No. 333-113246, and No. 333-194854 on Form S-8 and No. 333-210659 on Form S-3 of our report dated October 18, 2016 (January 20, 2017 for the effects of the adjustments made as a result of the reporting segment change described in Note 12 to the consolidated financial statements), relating to the consolidated financial statements of Winnebago Industries, Inc. and subsidiaries, and our report dated October 18, 2016 relating to the effectiveness of Winnebago Industries, Inc. and subsidiaries' internal control over financial reporting, appearing in this Current Report on Form 8-K dated January 20, 2017.</w:t>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Deloitte &amp; Touche LLP</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Minneapolis, Minnesota</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January 20, 2017</w:t>
      </w:r>
    </w:p>
    <w:p>
      <w:pPr>
        <w:sectPr>
          <w:pgSz w:w="11900" w:h="16838" w:orient="portrait"/>
          <w:cols w:equalWidth="0" w:num="1">
            <w:col w:w="11320"/>
          </w:cols>
          <w:pgMar w:left="240" w:top="57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228"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UPDATED PART I, ITEM 1. BUSINESS, PART II, ITEM 7. MANAGEMENT'S DISCUSSION AND ANALYSIS OF FINANCIAL CONDITION AND RESULTS OF OPERATIONS AND ITEM 8. FINANCIAL STATEMENTS AND SUPPLEMENTARY DATA FROM THE ANNUAL REPORT ON FORM 10-K FOR THE YEAR ENDED AUGUST 27, 2016</w:t>
      </w:r>
    </w:p>
    <w:p>
      <w:pPr>
        <w:spacing w:after="0" w:line="13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See Item 8.01 of the accompanying Current Report on Form 8-K for a discussion of the facts surrounding, rationale for and other matters involving the following disclosure. The following information replaces Item 1. Business, Item 7. Management's Discussion and Analysis of Financial Condition and Results of Operations and Item 8. Financial Statements and Supplementary Data previously filed in the Annual Report on Form 10-K for the year ended August 27, 2016 for Winnebago Industries, Inc. All other portions of such Annual Report on Form 10-K are unchanged.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8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Certain of the matters discussed in this report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risks relating to the consummation of our acquisition of Grand Design; risks inherent in the achievement of cost synergies and the timing thereof; risks that the pendency, financing, and efforts to consummate the transaction may be disruptive to Winnebago Industries or Grand Design or their respective management; the effect of announcement of the transaction on Grand Design's ability to retain and hire key personnel and maintain relationships with customers, suppliers and other third parties, risks related to integration of the two companies and other factors which may be disclosed throughout this Current Report on Form 8-K.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 We advise you, however, to consult any further disclosures made on related subjects in future quarterly reports on Form 10-Q and current reports on Form 8-K that are filed or furnished with the SEC.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AOCI</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0" w:type="dxa"/>
            <w:vAlign w:val="bottom"/>
          </w:tcPr>
          <w:p>
            <w:pPr>
              <w:spacing w:after="0"/>
              <w:rPr>
                <w:sz w:val="1"/>
                <w:szCs w:val="1"/>
                <w:color w:val="auto"/>
              </w:rPr>
            </w:pPr>
          </w:p>
        </w:tc>
      </w:tr>
      <w:tr>
        <w:trPr>
          <w:trHeight w:val="218"/>
        </w:trPr>
        <w:tc>
          <w:tcPr>
            <w:tcW w:w="1680" w:type="dxa"/>
            <w:vAlign w:val="bottom"/>
          </w:tcPr>
          <w:p>
            <w:pPr>
              <w:ind w:left="40"/>
              <w:spacing w:after="0"/>
              <w:rPr>
                <w:sz w:val="20"/>
                <w:szCs w:val="20"/>
                <w:color w:val="auto"/>
              </w:rPr>
            </w:pPr>
            <w:r>
              <w:rPr>
                <w:rFonts w:ascii="Arial" w:cs="Arial" w:eastAsia="Arial" w:hAnsi="Arial"/>
                <w:sz w:val="16"/>
                <w:szCs w:val="16"/>
                <w:color w:val="auto"/>
              </w:rPr>
              <w:t>Amended Credit</w:t>
            </w:r>
          </w:p>
        </w:tc>
        <w:tc>
          <w:tcPr>
            <w:tcW w:w="9740" w:type="dxa"/>
            <w:vAlign w:val="bottom"/>
          </w:tcPr>
          <w:p>
            <w:pPr>
              <w:ind w:left="380"/>
              <w:spacing w:after="0"/>
              <w:rPr>
                <w:sz w:val="20"/>
                <w:szCs w:val="20"/>
                <w:color w:val="auto"/>
              </w:rPr>
            </w:pPr>
            <w:r>
              <w:rPr>
                <w:rFonts w:ascii="Arial" w:cs="Arial" w:eastAsia="Arial" w:hAnsi="Arial"/>
                <w:sz w:val="16"/>
                <w:szCs w:val="16"/>
                <w:color w:val="auto"/>
              </w:rPr>
              <w:t>Credit Agreement dated as of May 28, 2014 by and between Winnebago Industries, Inc and Winnebago of Indiana, LLC, as</w:t>
            </w:r>
          </w:p>
        </w:tc>
        <w:tc>
          <w:tcPr>
            <w:tcW w:w="0" w:type="dxa"/>
            <w:vAlign w:val="bottom"/>
          </w:tcPr>
          <w:p>
            <w:pPr>
              <w:spacing w:after="0"/>
              <w:rPr>
                <w:sz w:val="1"/>
                <w:szCs w:val="1"/>
                <w:color w:val="auto"/>
              </w:rPr>
            </w:pPr>
          </w:p>
        </w:tc>
      </w:tr>
      <w:tr>
        <w:trPr>
          <w:trHeight w:val="204"/>
        </w:trPr>
        <w:tc>
          <w:tcPr>
            <w:tcW w:w="1680" w:type="dxa"/>
            <w:vAlign w:val="bottom"/>
          </w:tcPr>
          <w:p>
            <w:pPr>
              <w:ind w:left="40"/>
              <w:spacing w:after="0"/>
              <w:rPr>
                <w:sz w:val="20"/>
                <w:szCs w:val="20"/>
                <w:color w:val="auto"/>
              </w:rPr>
            </w:pPr>
            <w:r>
              <w:rPr>
                <w:rFonts w:ascii="Arial" w:cs="Arial" w:eastAsia="Arial" w:hAnsi="Arial"/>
                <w:sz w:val="16"/>
                <w:szCs w:val="16"/>
                <w:color w:val="auto"/>
              </w:rPr>
              <w:t>Agreement</w:t>
            </w:r>
          </w:p>
        </w:tc>
        <w:tc>
          <w:tcPr>
            <w:tcW w:w="9740" w:type="dxa"/>
            <w:vAlign w:val="bottom"/>
          </w:tcPr>
          <w:p>
            <w:pPr>
              <w:ind w:left="380"/>
              <w:spacing w:after="0"/>
              <w:rPr>
                <w:sz w:val="20"/>
                <w:szCs w:val="20"/>
                <w:color w:val="auto"/>
              </w:rPr>
            </w:pPr>
            <w:r>
              <w:rPr>
                <w:rFonts w:ascii="Arial" w:cs="Arial" w:eastAsia="Arial" w:hAnsi="Arial"/>
                <w:sz w:val="16"/>
                <w:szCs w:val="16"/>
                <w:color w:val="auto"/>
              </w:rPr>
              <w:t>Borrowers, and Wells Fargo Capital Finance, as Agent</w:t>
            </w:r>
          </w:p>
        </w:tc>
        <w:tc>
          <w:tcPr>
            <w:tcW w:w="0" w:type="dxa"/>
            <w:vAlign w:val="bottom"/>
          </w:tcPr>
          <w:p>
            <w:pPr>
              <w:spacing w:after="0"/>
              <w:rPr>
                <w:sz w:val="1"/>
                <w:szCs w:val="1"/>
                <w:color w:val="auto"/>
              </w:rPr>
            </w:pPr>
          </w:p>
        </w:tc>
      </w:tr>
      <w:tr>
        <w:trPr>
          <w:trHeight w:val="25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ARS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Auction Rate Securities</w:t>
            </w: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ASC</w:t>
            </w:r>
          </w:p>
        </w:tc>
        <w:tc>
          <w:tcPr>
            <w:tcW w:w="9740" w:type="dxa"/>
            <w:vAlign w:val="bottom"/>
          </w:tcPr>
          <w:p>
            <w:pPr>
              <w:ind w:left="38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ASU</w:t>
            </w:r>
          </w:p>
        </w:tc>
        <w:tc>
          <w:tcPr>
            <w:tcW w:w="9740" w:type="dxa"/>
            <w:vAlign w:val="bottom"/>
          </w:tcPr>
          <w:p>
            <w:pPr>
              <w:ind w:left="38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COLI</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Company Owned Life Insurance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680" w:type="dxa"/>
            <w:vAlign w:val="bottom"/>
          </w:tcPr>
          <w:p>
            <w:pPr>
              <w:ind w:left="40"/>
              <w:spacing w:after="0"/>
              <w:rPr>
                <w:sz w:val="20"/>
                <w:szCs w:val="20"/>
                <w:color w:val="auto"/>
              </w:rPr>
            </w:pPr>
            <w:r>
              <w:rPr>
                <w:rFonts w:ascii="Arial" w:cs="Arial" w:eastAsia="Arial" w:hAnsi="Arial"/>
                <w:sz w:val="16"/>
                <w:szCs w:val="16"/>
                <w:color w:val="auto"/>
              </w:rPr>
              <w:t>Credit Agreement</w:t>
            </w:r>
          </w:p>
        </w:tc>
        <w:tc>
          <w:tcPr>
            <w:tcW w:w="9740" w:type="dxa"/>
            <w:vAlign w:val="bottom"/>
          </w:tcPr>
          <w:p>
            <w:pPr>
              <w:ind w:left="380"/>
              <w:spacing w:after="0"/>
              <w:rPr>
                <w:sz w:val="20"/>
                <w:szCs w:val="20"/>
                <w:color w:val="auto"/>
              </w:rPr>
            </w:pPr>
            <w:r>
              <w:rPr>
                <w:rFonts w:ascii="Arial" w:cs="Arial" w:eastAsia="Arial" w:hAnsi="Arial"/>
                <w:sz w:val="16"/>
                <w:szCs w:val="16"/>
                <w:color w:val="auto"/>
              </w:rPr>
              <w:t>Credit Agreement dated as of October 31, 2012 by and between Winnebago Industries, Inc. and Winnebago of Indiana, LLC, as</w:t>
            </w:r>
          </w:p>
        </w:tc>
        <w:tc>
          <w:tcPr>
            <w:tcW w:w="0" w:type="dxa"/>
            <w:vAlign w:val="bottom"/>
          </w:tcPr>
          <w:p>
            <w:pPr>
              <w:spacing w:after="0"/>
              <w:rPr>
                <w:sz w:val="1"/>
                <w:szCs w:val="1"/>
                <w:color w:val="auto"/>
              </w:rPr>
            </w:pPr>
          </w:p>
        </w:tc>
      </w:tr>
      <w:tr>
        <w:trPr>
          <w:trHeight w:val="195"/>
        </w:trPr>
        <w:tc>
          <w:tcPr>
            <w:tcW w:w="1680" w:type="dxa"/>
            <w:vAlign w:val="bottom"/>
          </w:tcPr>
          <w:p>
            <w:pPr>
              <w:spacing w:after="0"/>
              <w:rPr>
                <w:sz w:val="16"/>
                <w:szCs w:val="16"/>
                <w:color w:val="auto"/>
              </w:rPr>
            </w:pPr>
          </w:p>
        </w:tc>
        <w:tc>
          <w:tcPr>
            <w:tcW w:w="9740" w:type="dxa"/>
            <w:vAlign w:val="bottom"/>
          </w:tcPr>
          <w:p>
            <w:pPr>
              <w:ind w:left="380"/>
              <w:spacing w:after="0"/>
              <w:rPr>
                <w:sz w:val="20"/>
                <w:szCs w:val="20"/>
                <w:color w:val="auto"/>
              </w:rPr>
            </w:pPr>
            <w:r>
              <w:rPr>
                <w:rFonts w:ascii="Arial" w:cs="Arial" w:eastAsia="Arial" w:hAnsi="Arial"/>
                <w:sz w:val="16"/>
                <w:szCs w:val="16"/>
                <w:color w:val="auto"/>
              </w:rPr>
              <w:t>Borrowers, and General Electric Capital Corporation, as Agent (as amended May 28, 2014)</w:t>
            </w:r>
          </w:p>
        </w:tc>
        <w:tc>
          <w:tcPr>
            <w:tcW w:w="0" w:type="dxa"/>
            <w:vAlign w:val="bottom"/>
          </w:tcPr>
          <w:p>
            <w:pPr>
              <w:spacing w:after="0"/>
              <w:rPr>
                <w:sz w:val="1"/>
                <w:szCs w:val="1"/>
                <w:color w:val="auto"/>
              </w:rPr>
            </w:pPr>
          </w:p>
        </w:tc>
      </w:tr>
      <w:tr>
        <w:trPr>
          <w:trHeight w:val="74"/>
        </w:trPr>
        <w:tc>
          <w:tcPr>
            <w:tcW w:w="1680" w:type="dxa"/>
            <w:vAlign w:val="bottom"/>
          </w:tcPr>
          <w:p>
            <w:pPr>
              <w:spacing w:after="0"/>
              <w:rPr>
                <w:sz w:val="6"/>
                <w:szCs w:val="6"/>
                <w:color w:val="auto"/>
              </w:rPr>
            </w:pPr>
          </w:p>
        </w:tc>
        <w:tc>
          <w:tcPr>
            <w:tcW w:w="9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EPS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Earnings Per Share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ERP</w:t>
            </w:r>
          </w:p>
        </w:tc>
        <w:tc>
          <w:tcPr>
            <w:tcW w:w="9740" w:type="dxa"/>
            <w:vAlign w:val="bottom"/>
          </w:tcPr>
          <w:p>
            <w:pPr>
              <w:ind w:left="380"/>
              <w:spacing w:after="0"/>
              <w:rPr>
                <w:sz w:val="20"/>
                <w:szCs w:val="20"/>
                <w:color w:val="auto"/>
              </w:rPr>
            </w:pPr>
            <w:r>
              <w:rPr>
                <w:rFonts w:ascii="Arial" w:cs="Arial" w:eastAsia="Arial" w:hAnsi="Arial"/>
                <w:sz w:val="16"/>
                <w:szCs w:val="16"/>
                <w:color w:val="auto"/>
              </w:rPr>
              <w:t>Enterprise Resource Planning</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FASB</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FIFO</w:t>
            </w:r>
          </w:p>
        </w:tc>
        <w:tc>
          <w:tcPr>
            <w:tcW w:w="9740" w:type="dxa"/>
            <w:vAlign w:val="bottom"/>
          </w:tcPr>
          <w:p>
            <w:pPr>
              <w:ind w:left="38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GAAP</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GECC</w:t>
            </w:r>
          </w:p>
        </w:tc>
        <w:tc>
          <w:tcPr>
            <w:tcW w:w="9740" w:type="dxa"/>
            <w:vAlign w:val="bottom"/>
          </w:tcPr>
          <w:p>
            <w:pPr>
              <w:ind w:left="380"/>
              <w:spacing w:after="0"/>
              <w:rPr>
                <w:sz w:val="20"/>
                <w:szCs w:val="20"/>
                <w:color w:val="auto"/>
              </w:rPr>
            </w:pPr>
            <w:r>
              <w:rPr>
                <w:rFonts w:ascii="Arial" w:cs="Arial" w:eastAsia="Arial" w:hAnsi="Arial"/>
                <w:sz w:val="16"/>
                <w:szCs w:val="16"/>
                <w:color w:val="auto"/>
              </w:rPr>
              <w:t>General Electric Capital Corporation</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Grand Design</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Grand Design RV, LLC</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IRS</w:t>
            </w:r>
          </w:p>
        </w:tc>
        <w:tc>
          <w:tcPr>
            <w:tcW w:w="9740" w:type="dxa"/>
            <w:vAlign w:val="bottom"/>
          </w:tcPr>
          <w:p>
            <w:pPr>
              <w:ind w:left="38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IT</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Information Technology</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JPMorgan</w:t>
            </w:r>
          </w:p>
        </w:tc>
        <w:tc>
          <w:tcPr>
            <w:tcW w:w="9740" w:type="dxa"/>
            <w:vAlign w:val="bottom"/>
          </w:tcPr>
          <w:p>
            <w:pPr>
              <w:ind w:left="380"/>
              <w:spacing w:after="0"/>
              <w:rPr>
                <w:sz w:val="20"/>
                <w:szCs w:val="20"/>
                <w:color w:val="auto"/>
              </w:rPr>
            </w:pPr>
            <w:r>
              <w:rPr>
                <w:rFonts w:ascii="Arial" w:cs="Arial" w:eastAsia="Arial" w:hAnsi="Arial"/>
                <w:sz w:val="16"/>
                <w:szCs w:val="16"/>
                <w:color w:val="auto"/>
              </w:rPr>
              <w:t>JPMorgan Chase Bank, N.A.</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LIBOR</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40"/>
              <w:spacing w:after="0"/>
              <w:rPr>
                <w:sz w:val="20"/>
                <w:szCs w:val="20"/>
                <w:color w:val="auto"/>
              </w:rPr>
            </w:pPr>
            <w:r>
              <w:rPr>
                <w:rFonts w:ascii="Arial" w:cs="Arial" w:eastAsia="Arial" w:hAnsi="Arial"/>
                <w:sz w:val="16"/>
                <w:szCs w:val="16"/>
                <w:color w:val="auto"/>
              </w:rPr>
              <w:t>LIFO</w:t>
            </w:r>
          </w:p>
        </w:tc>
        <w:tc>
          <w:tcPr>
            <w:tcW w:w="9740" w:type="dxa"/>
            <w:vAlign w:val="bottom"/>
          </w:tcPr>
          <w:p>
            <w:pPr>
              <w:ind w:left="38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74"/>
        </w:trPr>
        <w:tc>
          <w:tcPr>
            <w:tcW w:w="1680" w:type="dxa"/>
            <w:vAlign w:val="bottom"/>
          </w:tcPr>
          <w:p>
            <w:pPr>
              <w:spacing w:after="0"/>
              <w:rPr>
                <w:sz w:val="6"/>
                <w:szCs w:val="6"/>
                <w:color w:val="auto"/>
              </w:rPr>
            </w:pPr>
          </w:p>
        </w:tc>
        <w:tc>
          <w:tcPr>
            <w:tcW w:w="9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LTIP</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Long-Term Incentive Plan</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Motorized</w:t>
            </w:r>
          </w:p>
        </w:tc>
        <w:tc>
          <w:tcPr>
            <w:tcW w:w="9740" w:type="dxa"/>
            <w:vAlign w:val="bottom"/>
          </w:tcPr>
          <w:p>
            <w:pPr>
              <w:ind w:left="380"/>
              <w:spacing w:after="0"/>
              <w:rPr>
                <w:sz w:val="20"/>
                <w:szCs w:val="20"/>
                <w:color w:val="auto"/>
              </w:rPr>
            </w:pPr>
            <w:r>
              <w:rPr>
                <w:rFonts w:ascii="Arial" w:cs="Arial" w:eastAsia="Arial" w:hAnsi="Arial"/>
                <w:sz w:val="16"/>
                <w:szCs w:val="16"/>
                <w:color w:val="auto"/>
              </w:rPr>
              <w:t>Business segment including motorhomes and other related manufactured products</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MVA</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Motor Vehicle Act</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NMF</w:t>
            </w:r>
          </w:p>
        </w:tc>
        <w:tc>
          <w:tcPr>
            <w:tcW w:w="9740" w:type="dxa"/>
            <w:vAlign w:val="bottom"/>
          </w:tcPr>
          <w:p>
            <w:pPr>
              <w:ind w:left="380"/>
              <w:spacing w:after="0"/>
              <w:rPr>
                <w:sz w:val="20"/>
                <w:szCs w:val="20"/>
                <w:color w:val="auto"/>
              </w:rPr>
            </w:pPr>
            <w:r>
              <w:rPr>
                <w:rFonts w:ascii="Arial" w:cs="Arial" w:eastAsia="Arial" w:hAnsi="Arial"/>
                <w:sz w:val="16"/>
                <w:szCs w:val="16"/>
                <w:color w:val="auto"/>
              </w:rPr>
              <w:t>Non-Meaningful Figure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NOL</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Operating Loss</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NYSE</w:t>
            </w:r>
          </w:p>
        </w:tc>
        <w:tc>
          <w:tcPr>
            <w:tcW w:w="9740" w:type="dxa"/>
            <w:vAlign w:val="bottom"/>
          </w:tcPr>
          <w:p>
            <w:pPr>
              <w:ind w:left="38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OCI</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Comprehensive Income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Octavius</w:t>
            </w:r>
          </w:p>
        </w:tc>
        <w:tc>
          <w:tcPr>
            <w:tcW w:w="9740" w:type="dxa"/>
            <w:vAlign w:val="bottom"/>
          </w:tcPr>
          <w:p>
            <w:pPr>
              <w:ind w:left="380"/>
              <w:spacing w:after="0"/>
              <w:rPr>
                <w:sz w:val="20"/>
                <w:szCs w:val="20"/>
                <w:color w:val="auto"/>
              </w:rPr>
            </w:pPr>
            <w:r>
              <w:rPr>
                <w:rFonts w:ascii="Arial" w:cs="Arial" w:eastAsia="Arial" w:hAnsi="Arial"/>
                <w:sz w:val="16"/>
                <w:szCs w:val="16"/>
                <w:color w:val="auto"/>
              </w:rPr>
              <w:t>Octavius Corporation, a wholly-owned subsidiary of Winnebago Industries, Inc.</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OEM</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Original Equipment Manufacturing</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OSHA</w:t>
            </w:r>
          </w:p>
        </w:tc>
        <w:tc>
          <w:tcPr>
            <w:tcW w:w="9740" w:type="dxa"/>
            <w:vAlign w:val="bottom"/>
          </w:tcPr>
          <w:p>
            <w:pPr>
              <w:ind w:left="380"/>
              <w:spacing w:after="0"/>
              <w:rPr>
                <w:sz w:val="20"/>
                <w:szCs w:val="20"/>
                <w:color w:val="auto"/>
              </w:rPr>
            </w:pPr>
            <w:r>
              <w:rPr>
                <w:rFonts w:ascii="Arial" w:cs="Arial" w:eastAsia="Arial" w:hAnsi="Arial"/>
                <w:sz w:val="16"/>
                <w:szCs w:val="16"/>
                <w:color w:val="auto"/>
              </w:rPr>
              <w:t>Occupational Safety and Health Administration</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ROE</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Return on Equity</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ROIC</w:t>
            </w:r>
          </w:p>
        </w:tc>
        <w:tc>
          <w:tcPr>
            <w:tcW w:w="9740" w:type="dxa"/>
            <w:vAlign w:val="bottom"/>
          </w:tcPr>
          <w:p>
            <w:pPr>
              <w:ind w:left="380"/>
              <w:spacing w:after="0"/>
              <w:rPr>
                <w:sz w:val="20"/>
                <w:szCs w:val="20"/>
                <w:color w:val="auto"/>
              </w:rPr>
            </w:pPr>
            <w:r>
              <w:rPr>
                <w:rFonts w:ascii="Arial" w:cs="Arial" w:eastAsia="Arial" w:hAnsi="Arial"/>
                <w:sz w:val="16"/>
                <w:szCs w:val="16"/>
                <w:color w:val="auto"/>
              </w:rPr>
              <w:t>Return on Invested Capital</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RV</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RVIA</w:t>
            </w:r>
          </w:p>
        </w:tc>
        <w:tc>
          <w:tcPr>
            <w:tcW w:w="9740" w:type="dxa"/>
            <w:vAlign w:val="bottom"/>
          </w:tcPr>
          <w:p>
            <w:pPr>
              <w:ind w:left="38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SERP</w:t>
            </w:r>
          </w:p>
        </w:tc>
        <w:tc>
          <w:tcPr>
            <w:tcW w:w="9740" w:type="dxa"/>
            <w:vAlign w:val="bottom"/>
          </w:tcPr>
          <w:p>
            <w:pPr>
              <w:ind w:left="38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SIR</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Self-Insured Retention</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40"/>
              <w:spacing w:after="0"/>
              <w:rPr>
                <w:sz w:val="20"/>
                <w:szCs w:val="20"/>
                <w:color w:val="auto"/>
              </w:rPr>
            </w:pPr>
            <w:r>
              <w:rPr>
                <w:rFonts w:ascii="Arial" w:cs="Arial" w:eastAsia="Arial" w:hAnsi="Arial"/>
                <w:sz w:val="16"/>
                <w:szCs w:val="16"/>
                <w:color w:val="auto"/>
              </w:rPr>
              <w:t>Stat Surveys</w:t>
            </w:r>
          </w:p>
        </w:tc>
        <w:tc>
          <w:tcPr>
            <w:tcW w:w="9740" w:type="dxa"/>
            <w:vAlign w:val="bottom"/>
          </w:tcPr>
          <w:p>
            <w:pPr>
              <w:ind w:left="38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74"/>
        </w:trPr>
        <w:tc>
          <w:tcPr>
            <w:tcW w:w="1680" w:type="dxa"/>
            <w:vAlign w:val="bottom"/>
          </w:tcPr>
          <w:p>
            <w:pPr>
              <w:spacing w:after="0"/>
              <w:rPr>
                <w:sz w:val="6"/>
                <w:szCs w:val="6"/>
                <w:color w:val="auto"/>
              </w:rPr>
            </w:pPr>
          </w:p>
        </w:tc>
        <w:tc>
          <w:tcPr>
            <w:tcW w:w="9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SunnyBrook</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SunnyBrook RV, Inc.</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40"/>
              <w:spacing w:after="0"/>
              <w:rPr>
                <w:sz w:val="20"/>
                <w:szCs w:val="20"/>
                <w:color w:val="auto"/>
              </w:rPr>
            </w:pPr>
            <w:r>
              <w:rPr>
                <w:rFonts w:ascii="Arial" w:cs="Arial" w:eastAsia="Arial" w:hAnsi="Arial"/>
                <w:sz w:val="16"/>
                <w:szCs w:val="16"/>
                <w:color w:val="auto"/>
              </w:rPr>
              <w:t>Towable</w:t>
            </w:r>
          </w:p>
        </w:tc>
        <w:tc>
          <w:tcPr>
            <w:tcW w:w="9740" w:type="dxa"/>
            <w:vAlign w:val="bottom"/>
          </w:tcPr>
          <w:p>
            <w:pPr>
              <w:ind w:left="380"/>
              <w:spacing w:after="0"/>
              <w:rPr>
                <w:sz w:val="20"/>
                <w:szCs w:val="20"/>
                <w:color w:val="auto"/>
              </w:rPr>
            </w:pPr>
            <w:r>
              <w:rPr>
                <w:rFonts w:ascii="Arial" w:cs="Arial" w:eastAsia="Arial" w:hAnsi="Arial"/>
                <w:sz w:val="16"/>
                <w:szCs w:val="16"/>
                <w:color w:val="auto"/>
              </w:rPr>
              <w:t>Business segment including products which are not motorized and are towable by another vehicle</w:t>
            </w:r>
          </w:p>
        </w:tc>
        <w:tc>
          <w:tcPr>
            <w:tcW w:w="0" w:type="dxa"/>
            <w:vAlign w:val="bottom"/>
          </w:tcPr>
          <w:p>
            <w:pPr>
              <w:spacing w:after="0"/>
              <w:rPr>
                <w:sz w:val="1"/>
                <w:szCs w:val="1"/>
                <w:color w:val="auto"/>
              </w:rPr>
            </w:pPr>
          </w:p>
        </w:tc>
      </w:tr>
      <w:tr>
        <w:trPr>
          <w:trHeight w:val="74"/>
        </w:trPr>
        <w:tc>
          <w:tcPr>
            <w:tcW w:w="1680" w:type="dxa"/>
            <w:vAlign w:val="bottom"/>
          </w:tcPr>
          <w:p>
            <w:pPr>
              <w:spacing w:after="0"/>
              <w:rPr>
                <w:sz w:val="6"/>
                <w:szCs w:val="6"/>
                <w:color w:val="auto"/>
              </w:rPr>
            </w:pPr>
          </w:p>
        </w:tc>
        <w:tc>
          <w:tcPr>
            <w:tcW w:w="9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40"/>
              <w:spacing w:after="0"/>
              <w:rPr>
                <w:sz w:val="20"/>
                <w:szCs w:val="20"/>
                <w:color w:val="auto"/>
              </w:rPr>
            </w:pPr>
            <w:r>
              <w:rPr>
                <w:rFonts w:ascii="Arial" w:cs="Arial" w:eastAsia="Arial" w:hAnsi="Arial"/>
                <w:sz w:val="16"/>
                <w:szCs w:val="16"/>
                <w:color w:val="auto"/>
              </w:rPr>
              <w:t>XBRL</w:t>
            </w:r>
          </w:p>
        </w:tc>
        <w:tc>
          <w:tcPr>
            <w:tcW w:w="9740" w:type="dxa"/>
            <w:vAlign w:val="bottom"/>
          </w:tcPr>
          <w:p>
            <w:pPr>
              <w:ind w:left="38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74"/>
        </w:trPr>
        <w:tc>
          <w:tcPr>
            <w:tcW w:w="1680" w:type="dxa"/>
            <w:vAlign w:val="bottom"/>
          </w:tcPr>
          <w:p>
            <w:pPr>
              <w:spacing w:after="0"/>
              <w:rPr>
                <w:sz w:val="6"/>
                <w:szCs w:val="6"/>
                <w:color w:val="auto"/>
              </w:rPr>
            </w:pPr>
          </w:p>
        </w:tc>
        <w:tc>
          <w:tcPr>
            <w:tcW w:w="9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YTD</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Year to Date</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64"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color w:val="auto"/>
        </w:rPr>
        <w:t>PART 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8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subsidiary, Winnebago of Indiana, LLC, as appropriate in the context.</w:t>
      </w:r>
    </w:p>
    <w:p>
      <w:pPr>
        <w:spacing w:after="0" w:line="142"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Winnebago Industries, Inc., headquartered in Forest City, Iowa, is a leading United States manufacturer of RVs used primarily in leisure travel and outdoor recreation activities.</w:t>
      </w:r>
    </w:p>
    <w:p>
      <w:pPr>
        <w:spacing w:after="0" w:line="142" w:lineRule="exact"/>
        <w:rPr>
          <w:sz w:val="20"/>
          <w:szCs w:val="20"/>
          <w:color w:val="auto"/>
        </w:rPr>
      </w:pPr>
    </w:p>
    <w:p>
      <w:pPr>
        <w:ind w:right="820"/>
        <w:spacing w:after="0" w:line="260" w:lineRule="auto"/>
        <w:rPr>
          <w:sz w:val="20"/>
          <w:szCs w:val="20"/>
          <w:color w:val="auto"/>
        </w:rPr>
      </w:pPr>
      <w:r>
        <w:rPr>
          <w:rFonts w:ascii="Arial" w:cs="Arial" w:eastAsia="Arial" w:hAnsi="Arial"/>
          <w:sz w:val="16"/>
          <w:szCs w:val="16"/>
          <w:color w:val="auto"/>
        </w:rPr>
        <w:t>We own facilities in Middlebury, Indiana, where we manufacture travel trailers and fifth wheel RVs and Junction City, Oregon, where we manufacture motorhomes.</w:t>
      </w:r>
    </w:p>
    <w:p>
      <w:pPr>
        <w:spacing w:after="0" w:line="14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87"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Our website, located at www.wgo.net, provides additional information about us. On our website, you can obtain, free of charge, this and prior year Annual Reports on Form 10-K, Quarterly Reports on Form 10-Q, Current Reports on Form 8-K and all of our other filings with the SEC. Our recent press releases are also available on our website. Our website also contains important information regarding our corporate governance practices. Information contained on our website is not incorporated into this Current Report on Form 8-K. You may also read and copy any materials that we file with the SEC at the SEC's Public Reference Room at 100 F Street, NE, Room 1580, Washington, D.C. 20549. You may obtain information on the Public Reference Room by calling the SEC at 1-800-SEC-0330. In addition, the SEC maintains a website that contains reports, proxy statements and other information that is filed electronically with the SEC. The website can be accessed at www.sec.gov.</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Products</w:t>
      </w:r>
    </w:p>
    <w:p>
      <w:pPr>
        <w:spacing w:after="0" w:line="20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have two reporting segments: (1) Motorized products and services and (2) Towable products and services. The Towable segment includes all products which are not motorized and are generally towed by another vehicle. The Motorized segment includes all products that include a motorized chassis as well as other related manufactured products. Net revenues by major product classes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6"/>
                <w:szCs w:val="16"/>
                <w:b w:val="1"/>
                <w:bCs w:val="1"/>
                <w:color w:val="auto"/>
                <w:w w:val="96"/>
              </w:rPr>
              <w:t xml:space="preserve">Year Ended </w:t>
            </w:r>
            <w:r>
              <w:rPr>
                <w:rFonts w:ascii="Arial" w:cs="Arial" w:eastAsia="Arial" w:hAnsi="Arial"/>
                <w:sz w:val="21"/>
                <w:szCs w:val="21"/>
                <w:b w:val="1"/>
                <w:bCs w:val="1"/>
                <w:color w:val="auto"/>
                <w:w w:val="96"/>
                <w:vertAlign w:val="superscript"/>
              </w:rPr>
              <w:t>(1)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57"/>
        </w:trPr>
        <w:tc>
          <w:tcPr>
            <w:tcW w:w="17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2"/>
                <w:szCs w:val="22"/>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August 27, 2016</w:t>
            </w:r>
          </w:p>
        </w:tc>
        <w:tc>
          <w:tcPr>
            <w:tcW w:w="220" w:type="dxa"/>
            <w:vAlign w:val="bottom"/>
          </w:tcPr>
          <w:p>
            <w:pPr>
              <w:spacing w:after="0"/>
              <w:rPr>
                <w:sz w:val="22"/>
                <w:szCs w:val="22"/>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August 29, 2015</w:t>
            </w:r>
          </w:p>
        </w:tc>
        <w:tc>
          <w:tcPr>
            <w:tcW w:w="220" w:type="dxa"/>
            <w:vAlign w:val="bottom"/>
          </w:tcPr>
          <w:p>
            <w:pPr>
              <w:spacing w:after="0"/>
              <w:rPr>
                <w:sz w:val="22"/>
                <w:szCs w:val="22"/>
                <w:color w:val="auto"/>
              </w:rPr>
            </w:pPr>
          </w:p>
        </w:tc>
        <w:tc>
          <w:tcPr>
            <w:tcW w:w="17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August 30, 2014</w:t>
            </w:r>
          </w:p>
        </w:tc>
        <w:tc>
          <w:tcPr>
            <w:tcW w:w="220" w:type="dxa"/>
            <w:vAlign w:val="bottom"/>
          </w:tcPr>
          <w:p>
            <w:pPr>
              <w:spacing w:after="0"/>
              <w:rPr>
                <w:sz w:val="22"/>
                <w:szCs w:val="22"/>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August 31, 2013</w:t>
            </w:r>
          </w:p>
        </w:tc>
        <w:tc>
          <w:tcPr>
            <w:tcW w:w="220" w:type="dxa"/>
            <w:vAlign w:val="bottom"/>
          </w:tcPr>
          <w:p>
            <w:pPr>
              <w:spacing w:after="0"/>
              <w:rPr>
                <w:sz w:val="22"/>
                <w:szCs w:val="22"/>
                <w:color w:val="auto"/>
              </w:rPr>
            </w:pPr>
          </w:p>
        </w:tc>
        <w:tc>
          <w:tcPr>
            <w:tcW w:w="16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August 25, 2012</w:t>
            </w:r>
          </w:p>
        </w:tc>
      </w:tr>
      <w:tr>
        <w:trPr>
          <w:trHeight w:val="257"/>
        </w:trPr>
        <w:tc>
          <w:tcPr>
            <w:tcW w:w="1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Motorized </w:t>
            </w:r>
            <w:r>
              <w:rPr>
                <w:rFonts w:ascii="Arial" w:cs="Arial" w:eastAsia="Arial" w:hAnsi="Arial"/>
                <w:sz w:val="21"/>
                <w:szCs w:val="21"/>
                <w:color w:val="auto"/>
                <w:vertAlign w:val="superscript"/>
              </w:rPr>
              <w:t>(2)</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885,814</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904,821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887,040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748,482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524,895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w:t>
            </w:r>
          </w:p>
        </w:tc>
      </w:tr>
      <w:tr>
        <w:trPr>
          <w:trHeight w:val="270"/>
        </w:trPr>
        <w:tc>
          <w:tcPr>
            <w:tcW w:w="1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Towable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89,412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71,684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58,123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54,683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56,784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23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975,226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976,505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945,163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803,165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581,679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1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 w:lineRule="exact"/>
        <w:rPr>
          <w:sz w:val="20"/>
          <w:szCs w:val="20"/>
          <w:color w:val="auto"/>
        </w:rPr>
      </w:pPr>
    </w:p>
    <w:p>
      <w:pPr>
        <w:ind w:left="260" w:hanging="238"/>
        <w:spacing w:after="0"/>
        <w:tabs>
          <w:tab w:leader="none" w:pos="2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contained 53 weeks; all other fiscal years contained 52 weeks.</w:t>
      </w:r>
    </w:p>
    <w:p>
      <w:pPr>
        <w:ind w:left="260" w:hanging="238"/>
        <w:spacing w:after="0" w:line="187" w:lineRule="auto"/>
        <w:tabs>
          <w:tab w:leader="none" w:pos="2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 and other related manufactured products.</w:t>
      </w:r>
    </w:p>
    <w:p>
      <w:pPr>
        <w:ind w:left="260" w:hanging="238"/>
        <w:spacing w:after="0" w:line="199" w:lineRule="auto"/>
        <w:tabs>
          <w:tab w:leader="none" w:pos="2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9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color w:val="auto"/>
        </w:rPr>
        <w:t>Motorized products and services</w:t>
      </w:r>
      <w:r>
        <w:rPr>
          <w:rFonts w:ascii="Arial" w:cs="Arial" w:eastAsia="Arial" w:hAnsi="Arial"/>
          <w:sz w:val="16"/>
          <w:szCs w:val="16"/>
          <w:color w:val="auto"/>
        </w:rPr>
        <w:t>. A motorhome is a self-propelled mobile dwelling used primarily as temporary living quarters during vacation and camping</w:t>
      </w:r>
      <w:r>
        <w:rPr>
          <w:rFonts w:ascii="Arial" w:cs="Arial" w:eastAsia="Arial" w:hAnsi="Arial"/>
          <w:sz w:val="16"/>
          <w:szCs w:val="16"/>
          <w:b w:val="1"/>
          <w:bCs w:val="1"/>
          <w:color w:val="auto"/>
        </w:rPr>
        <w:t xml:space="preserve"> </w:t>
      </w:r>
      <w:r>
        <w:rPr>
          <w:rFonts w:ascii="Arial" w:cs="Arial" w:eastAsia="Arial" w:hAnsi="Arial"/>
          <w:sz w:val="16"/>
          <w:szCs w:val="16"/>
          <w:color w:val="auto"/>
        </w:rPr>
        <w:t>trips, or to support some other active lifestyle. The RVIA classifies motorhomes into three types, all of which we manufacture and sell under the Winnebago brand name, which are defined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57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Description</w:t>
            </w:r>
          </w:p>
        </w:tc>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Winnebago products offerings</w:t>
            </w:r>
          </w:p>
        </w:tc>
        <w:tc>
          <w:tcPr>
            <w:tcW w:w="0" w:type="dxa"/>
            <w:vAlign w:val="bottom"/>
          </w:tcPr>
          <w:p>
            <w:pPr>
              <w:spacing w:after="0"/>
              <w:rPr>
                <w:sz w:val="1"/>
                <w:szCs w:val="1"/>
                <w:color w:val="auto"/>
              </w:rPr>
            </w:pPr>
          </w:p>
        </w:tc>
      </w:tr>
      <w:tr>
        <w:trPr>
          <w:trHeight w:val="218"/>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Conventional motorhomes constructed directly on medium- and heavy-duty</w:t>
            </w: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Gas: Adventurer, Sightseer, Suncruiser, Sunova, Sunstar,</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truck chassis, which include the engine and drivetrain components. The</w:t>
            </w: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Sunstar LX, Vista, Vista LX</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living area and driver's compartment are designed and produced by the</w:t>
            </w:r>
          </w:p>
        </w:tc>
        <w:tc>
          <w:tcPr>
            <w:tcW w:w="424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Diesel: Forza, Grand Tour, Journey, Tour, Via</w:t>
            </w:r>
          </w:p>
        </w:tc>
        <w:tc>
          <w:tcPr>
            <w:tcW w:w="0" w:type="dxa"/>
            <w:vAlign w:val="bottom"/>
          </w:tcPr>
          <w:p>
            <w:pPr>
              <w:spacing w:after="0"/>
              <w:rPr>
                <w:sz w:val="1"/>
                <w:szCs w:val="1"/>
                <w:color w:val="auto"/>
              </w:rPr>
            </w:pPr>
          </w:p>
        </w:tc>
      </w:tr>
      <w:tr>
        <w:trPr>
          <w:trHeight w:val="141"/>
        </w:trPr>
        <w:tc>
          <w:tcPr>
            <w:tcW w:w="1460" w:type="dxa"/>
            <w:vAlign w:val="bottom"/>
            <w:shd w:val="clear" w:color="auto" w:fill="CCEEFF"/>
          </w:tcPr>
          <w:p>
            <w:pPr>
              <w:spacing w:after="0"/>
              <w:rPr>
                <w:sz w:val="12"/>
                <w:szCs w:val="12"/>
                <w:color w:val="auto"/>
              </w:rPr>
            </w:pPr>
          </w:p>
        </w:tc>
        <w:tc>
          <w:tcPr>
            <w:tcW w:w="572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rPr>
              <w:t>motorhome manufacturer.</w:t>
            </w:r>
          </w:p>
        </w:tc>
        <w:tc>
          <w:tcPr>
            <w:tcW w:w="42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460" w:type="dxa"/>
            <w:vAlign w:val="bottom"/>
            <w:shd w:val="clear" w:color="auto" w:fill="CCEEFF"/>
          </w:tcPr>
          <w:p>
            <w:pPr>
              <w:spacing w:after="0"/>
              <w:rPr>
                <w:sz w:val="6"/>
                <w:szCs w:val="6"/>
                <w:color w:val="auto"/>
              </w:rPr>
            </w:pPr>
          </w:p>
        </w:tc>
        <w:tc>
          <w:tcPr>
            <w:tcW w:w="5720" w:type="dxa"/>
            <w:vAlign w:val="bottom"/>
            <w:vMerge w:val="continue"/>
            <w:shd w:val="clear" w:color="auto" w:fill="CCEEFF"/>
          </w:tcPr>
          <w:p>
            <w:pPr>
              <w:spacing w:after="0"/>
              <w:rPr>
                <w:sz w:val="6"/>
                <w:szCs w:val="6"/>
                <w:color w:val="auto"/>
              </w:rPr>
            </w:pPr>
          </w:p>
        </w:tc>
        <w:tc>
          <w:tcPr>
            <w:tcW w:w="4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460" w:type="dxa"/>
            <w:vAlign w:val="bottom"/>
          </w:tcPr>
          <w:p>
            <w:pPr>
              <w:ind w:left="40"/>
              <w:spacing w:after="0"/>
              <w:rPr>
                <w:sz w:val="20"/>
                <w:szCs w:val="20"/>
                <w:color w:val="auto"/>
              </w:rPr>
            </w:pPr>
            <w:r>
              <w:rPr>
                <w:rFonts w:ascii="Arial" w:cs="Arial" w:eastAsia="Arial" w:hAnsi="Arial"/>
                <w:sz w:val="16"/>
                <w:szCs w:val="16"/>
                <w:color w:val="auto"/>
              </w:rPr>
              <w:t>Class B</w:t>
            </w:r>
          </w:p>
        </w:tc>
        <w:tc>
          <w:tcPr>
            <w:tcW w:w="5720" w:type="dxa"/>
            <w:vAlign w:val="bottom"/>
          </w:tcPr>
          <w:p>
            <w:pPr>
              <w:ind w:left="300"/>
              <w:spacing w:after="0"/>
              <w:rPr>
                <w:sz w:val="20"/>
                <w:szCs w:val="20"/>
                <w:color w:val="auto"/>
              </w:rPr>
            </w:pPr>
            <w:r>
              <w:rPr>
                <w:rFonts w:ascii="Arial" w:cs="Arial" w:eastAsia="Arial" w:hAnsi="Arial"/>
                <w:sz w:val="16"/>
                <w:szCs w:val="16"/>
                <w:color w:val="auto"/>
              </w:rPr>
              <w:t>Panel-type vans to which sleeping, kitchen, and/or toilet facilities are</w:t>
            </w:r>
          </w:p>
        </w:tc>
        <w:tc>
          <w:tcPr>
            <w:tcW w:w="4240" w:type="dxa"/>
            <w:vAlign w:val="bottom"/>
          </w:tcPr>
          <w:p>
            <w:pPr>
              <w:ind w:left="60"/>
              <w:spacing w:after="0"/>
              <w:rPr>
                <w:sz w:val="20"/>
                <w:szCs w:val="20"/>
                <w:color w:val="auto"/>
              </w:rPr>
            </w:pPr>
            <w:r>
              <w:rPr>
                <w:rFonts w:ascii="Arial" w:cs="Arial" w:eastAsia="Arial" w:hAnsi="Arial"/>
                <w:sz w:val="16"/>
                <w:szCs w:val="16"/>
                <w:color w:val="auto"/>
              </w:rPr>
              <w:t>Winnebago Touring Coach (Era, Paseo, Travato)</w:t>
            </w:r>
          </w:p>
        </w:tc>
        <w:tc>
          <w:tcPr>
            <w:tcW w:w="0" w:type="dxa"/>
            <w:vAlign w:val="bottom"/>
          </w:tcPr>
          <w:p>
            <w:pPr>
              <w:spacing w:after="0"/>
              <w:rPr>
                <w:sz w:val="1"/>
                <w:szCs w:val="1"/>
                <w:color w:val="auto"/>
              </w:rPr>
            </w:pPr>
          </w:p>
        </w:tc>
      </w:tr>
      <w:tr>
        <w:trPr>
          <w:trHeight w:val="189"/>
        </w:trPr>
        <w:tc>
          <w:tcPr>
            <w:tcW w:w="1460" w:type="dxa"/>
            <w:vAlign w:val="bottom"/>
          </w:tcPr>
          <w:p>
            <w:pPr>
              <w:ind w:left="40"/>
              <w:spacing w:after="0"/>
              <w:rPr>
                <w:sz w:val="20"/>
                <w:szCs w:val="20"/>
                <w:color w:val="auto"/>
              </w:rPr>
            </w:pPr>
            <w:r>
              <w:rPr>
                <w:rFonts w:ascii="Arial" w:cs="Arial" w:eastAsia="Arial" w:hAnsi="Arial"/>
                <w:sz w:val="16"/>
                <w:szCs w:val="16"/>
                <w:color w:val="auto"/>
              </w:rPr>
              <w:t>(gas and diesel)</w:t>
            </w:r>
          </w:p>
        </w:tc>
        <w:tc>
          <w:tcPr>
            <w:tcW w:w="5720" w:type="dxa"/>
            <w:vAlign w:val="bottom"/>
          </w:tcPr>
          <w:p>
            <w:pPr>
              <w:ind w:left="300"/>
              <w:spacing w:after="0"/>
              <w:rPr>
                <w:sz w:val="20"/>
                <w:szCs w:val="20"/>
                <w:color w:val="auto"/>
              </w:rPr>
            </w:pPr>
            <w:r>
              <w:rPr>
                <w:rFonts w:ascii="Arial" w:cs="Arial" w:eastAsia="Arial" w:hAnsi="Arial"/>
                <w:sz w:val="16"/>
                <w:szCs w:val="16"/>
                <w:color w:val="auto"/>
              </w:rPr>
              <w:t>added. These models may also have a top extension to provide more</w:t>
            </w:r>
          </w:p>
        </w:tc>
        <w:tc>
          <w:tcPr>
            <w:tcW w:w="4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460" w:type="dxa"/>
            <w:vAlign w:val="bottom"/>
          </w:tcPr>
          <w:p>
            <w:pPr>
              <w:spacing w:after="0"/>
              <w:rPr>
                <w:sz w:val="17"/>
                <w:szCs w:val="17"/>
                <w:color w:val="auto"/>
              </w:rPr>
            </w:pPr>
          </w:p>
        </w:tc>
        <w:tc>
          <w:tcPr>
            <w:tcW w:w="5720" w:type="dxa"/>
            <w:vAlign w:val="bottom"/>
          </w:tcPr>
          <w:p>
            <w:pPr>
              <w:ind w:left="300"/>
              <w:spacing w:after="0"/>
              <w:rPr>
                <w:sz w:val="20"/>
                <w:szCs w:val="20"/>
                <w:color w:val="auto"/>
              </w:rPr>
            </w:pPr>
            <w:r>
              <w:rPr>
                <w:rFonts w:ascii="Arial" w:cs="Arial" w:eastAsia="Arial" w:hAnsi="Arial"/>
                <w:sz w:val="16"/>
                <w:szCs w:val="16"/>
                <w:color w:val="auto"/>
              </w:rPr>
              <w:t>headroom.</w:t>
            </w: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Motorhomes built on van-type chassis onto which the motorhome</w:t>
            </w: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Aspect, Cambria, Fuse, Minnie Winnie, Navion, Spirit,</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(gas and diesel)</w:t>
            </w: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manufacturer constructs a living area with access to the driver's</w:t>
            </w:r>
          </w:p>
        </w:tc>
        <w:tc>
          <w:tcPr>
            <w:tcW w:w="4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Trend, View</w:t>
            </w:r>
          </w:p>
        </w:tc>
        <w:tc>
          <w:tcPr>
            <w:tcW w:w="0" w:type="dxa"/>
            <w:vAlign w:val="bottom"/>
          </w:tcPr>
          <w:p>
            <w:pPr>
              <w:spacing w:after="0"/>
              <w:rPr>
                <w:sz w:val="1"/>
                <w:szCs w:val="1"/>
                <w:color w:val="auto"/>
              </w:rPr>
            </w:pPr>
          </w:p>
        </w:tc>
      </w:tr>
      <w:tr>
        <w:trPr>
          <w:trHeight w:val="214"/>
        </w:trPr>
        <w:tc>
          <w:tcPr>
            <w:tcW w:w="1460" w:type="dxa"/>
            <w:vAlign w:val="bottom"/>
            <w:shd w:val="clear" w:color="auto" w:fill="CCEEFF"/>
          </w:tcPr>
          <w:p>
            <w:pPr>
              <w:spacing w:after="0"/>
              <w:rPr>
                <w:sz w:val="18"/>
                <w:szCs w:val="18"/>
                <w:color w:val="auto"/>
              </w:rPr>
            </w:pPr>
          </w:p>
        </w:tc>
        <w:tc>
          <w:tcPr>
            <w:tcW w:w="5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compartment.</w:t>
            </w:r>
          </w:p>
        </w:tc>
        <w:tc>
          <w:tcPr>
            <w:tcW w:w="4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Motorhomes generally provide living accommodations for up to seven people and include kitchen, dining, sleeping and bath areas, and in some models, a lounge. Optional equipment accessories include, among other items, generators, home theater systems,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64" w:right="239" w:bottom="1440" w:gutter="0" w:footer="0" w:header="0"/>
        </w:sectPr>
      </w:pPr>
    </w:p>
    <w:bookmarkStart w:id="6" w:name="page7"/>
    <w:bookmarkEnd w:id="6"/>
    <w:p>
      <w:pPr>
        <w:spacing w:after="0" w:line="219" w:lineRule="auto"/>
        <w:rPr>
          <w:sz w:val="20"/>
          <w:szCs w:val="20"/>
          <w:color w:val="auto"/>
        </w:rPr>
      </w:pPr>
      <w:r>
        <w:rPr>
          <w:rFonts w:ascii="Arial" w:cs="Arial" w:eastAsia="Arial" w:hAnsi="Arial"/>
          <w:sz w:val="16"/>
          <w:szCs w:val="16"/>
          <w:color w:val="auto"/>
        </w:rPr>
        <w:t>king-size beds, and UltraLeather</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upholstery and a wide selection of interior equipment. With the purchase of any new motorhome, we offer a comprehensive 12-month/15,000-mile warranty on the coach and, for Class A and C motorhomes, a 3-year/36,000-mile structural warranty on sidewalls and floors.</w:t>
      </w:r>
    </w:p>
    <w:p>
      <w:pPr>
        <w:spacing w:after="0" w:line="15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Our Class A, B and C motorhomes are sold by dealers in the retail market with manufacturer's suggested retail prices ranging from approximately $70,000 to $470,000, depending on size and model, plus optional equipment and delivery charges. Our motorhomes range in length from 21 to 44 feet.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Unit sales of our motorhomes for the last five fiscal years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94"/>
              </w:rPr>
              <w:t xml:space="preserve">Year Ended </w:t>
            </w:r>
            <w:r>
              <w:rPr>
                <w:rFonts w:ascii="Arial" w:cs="Arial" w:eastAsia="Arial" w:hAnsi="Arial"/>
                <w:sz w:val="21"/>
                <w:szCs w:val="21"/>
                <w:b w:val="1"/>
                <w:bCs w:val="1"/>
                <w:color w:val="auto"/>
                <w:w w:val="94"/>
                <w:vertAlign w:val="superscript"/>
              </w:rPr>
              <w:t>(1)(2)</w:t>
            </w:r>
          </w:p>
        </w:tc>
        <w:tc>
          <w:tcPr>
            <w:tcW w:w="9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57"/>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Units</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27, 2016</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29, 2015</w:t>
            </w: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August 30, 2014</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31, 2013</w:t>
            </w:r>
          </w:p>
        </w:tc>
        <w:tc>
          <w:tcPr>
            <w:tcW w:w="1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August 25, 2012</w:t>
            </w:r>
          </w:p>
        </w:tc>
      </w:tr>
      <w:tr>
        <w:trPr>
          <w:trHeight w:val="257"/>
        </w:trPr>
        <w:tc>
          <w:tcPr>
            <w:tcW w:w="2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9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2,925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3,442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4,466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3,761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2,579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r>
      <w:tr>
        <w:trPr>
          <w:trHeight w:val="260"/>
        </w:trPr>
        <w:tc>
          <w:tcPr>
            <w:tcW w:w="2240" w:type="dxa"/>
            <w:vAlign w:val="bottom"/>
          </w:tcPr>
          <w:p>
            <w:pPr>
              <w:ind w:left="40"/>
              <w:spacing w:after="0"/>
              <w:rPr>
                <w:sz w:val="20"/>
                <w:szCs w:val="20"/>
                <w:color w:val="auto"/>
              </w:rPr>
            </w:pPr>
            <w:r>
              <w:rPr>
                <w:rFonts w:ascii="Arial" w:cs="Arial" w:eastAsia="Arial" w:hAnsi="Arial"/>
                <w:sz w:val="16"/>
                <w:szCs w:val="16"/>
                <w:color w:val="auto"/>
              </w:rPr>
              <w:t>Class B</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1,239</w:t>
            </w:r>
          </w:p>
        </w:tc>
        <w:tc>
          <w:tcPr>
            <w:tcW w:w="76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991</w:t>
            </w:r>
          </w:p>
        </w:tc>
        <w:tc>
          <w:tcPr>
            <w:tcW w:w="76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751</w:t>
            </w:r>
          </w:p>
        </w:tc>
        <w:tc>
          <w:tcPr>
            <w:tcW w:w="76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2"/>
                <w:szCs w:val="22"/>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372</w:t>
            </w:r>
          </w:p>
        </w:tc>
        <w:tc>
          <w:tcPr>
            <w:tcW w:w="7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319</w:t>
            </w:r>
          </w:p>
        </w:tc>
        <w:tc>
          <w:tcPr>
            <w:tcW w:w="7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73"/>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5,143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4,664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3,538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2,688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1,744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r>
      <w:tr>
        <w:trPr>
          <w:trHeight w:val="237"/>
        </w:trPr>
        <w:tc>
          <w:tcPr>
            <w:tcW w:w="2240" w:type="dxa"/>
            <w:vAlign w:val="bottom"/>
          </w:tcPr>
          <w:p>
            <w:pPr>
              <w:ind w:left="40"/>
              <w:spacing w:after="0"/>
              <w:rPr>
                <w:sz w:val="20"/>
                <w:szCs w:val="20"/>
                <w:color w:val="auto"/>
              </w:rPr>
            </w:pPr>
            <w:r>
              <w:rPr>
                <w:rFonts w:ascii="Arial" w:cs="Arial" w:eastAsia="Arial" w:hAnsi="Arial"/>
                <w:sz w:val="16"/>
                <w:szCs w:val="16"/>
                <w:color w:val="auto"/>
              </w:rPr>
              <w:t>Total motorhomes</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9,307</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9,097</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8,755</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6,821</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4,642</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3810</wp:posOffset>
            </wp:positionV>
            <wp:extent cx="567690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6900" cy="26035"/>
                    </a:xfrm>
                    <a:prstGeom prst="rect">
                      <a:avLst/>
                    </a:prstGeom>
                    <a:noFill/>
                  </pic:spPr>
                </pic:pic>
              </a:graphicData>
            </a:graphic>
          </wp:anchor>
        </w:drawing>
      </w:r>
    </w:p>
    <w:p>
      <w:pPr>
        <w:ind w:left="260" w:hanging="238"/>
        <w:spacing w:after="0"/>
        <w:tabs>
          <w:tab w:leader="none" w:pos="2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contained 53 weeks; all other fiscal years contained 52 weeks.</w:t>
      </w:r>
    </w:p>
    <w:p>
      <w:pPr>
        <w:ind w:left="260" w:hanging="238"/>
        <w:spacing w:after="0" w:line="199" w:lineRule="auto"/>
        <w:tabs>
          <w:tab w:leader="none" w:pos="2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5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Motorhome parts and service activities represent revenues generated by service work we perform for retail customers at our Forest City, Iowa and Junction City, Oregon facilities as well as revenues from sales of RV parts. As of August 27, 2016, our parts inventory was approximately $3.5 million and is located in a 450,000-square foot warehouse with what we believe to be among the most sophisticated distribution and tracking systems in the industry. Our competitive strategy is to provide proprietary manufactured parts through our dealer network, which we believe increases customer satisfaction and the value of our motorhomes.</w:t>
      </w:r>
    </w:p>
    <w:p>
      <w:pPr>
        <w:spacing w:after="0" w:line="149"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As a result of our motorhome manufacturing capabilities, equipment and facilities, we have used our incremental capacity to manufacture other products for outside customers. These other manufactured products included our bus and aluminum extrusion operations which we exited in Fiscal 2015 and 2016, respectively, to better deploy labor in our Forest City, Iowa plant.</w:t>
      </w:r>
    </w:p>
    <w:p>
      <w:pPr>
        <w:spacing w:after="0" w:line="1"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also manufacture commercial vehicles which are motorhome shells, primarily custom designed for the buyer's special needs and requirements, such as law enforcement command centers, mobile medical clinics and mobile office space. These commercial vehicles are sold through our dealer network. In addition, we also provide commercial vehicles as bare shells to third-party upfitters for conversion at their facilities.</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color w:val="auto"/>
        </w:rPr>
        <w:t xml:space="preserve">Towable products and services. </w:t>
      </w:r>
      <w:r>
        <w:rPr>
          <w:rFonts w:ascii="Arial" w:cs="Arial" w:eastAsia="Arial" w:hAnsi="Arial"/>
          <w:sz w:val="16"/>
          <w:szCs w:val="16"/>
          <w:color w:val="auto"/>
        </w:rPr>
        <w:t>A towable is a non-motorized vehicle that is designed to be towed by passenger automobiles, pickup trucks, SUVs or vans</w:t>
      </w:r>
      <w:r>
        <w:rPr>
          <w:rFonts w:ascii="Arial" w:cs="Arial" w:eastAsia="Arial" w:hAnsi="Arial"/>
          <w:sz w:val="16"/>
          <w:szCs w:val="16"/>
          <w:b w:val="1"/>
          <w:bCs w:val="1"/>
          <w:color w:val="auto"/>
        </w:rPr>
        <w:t xml:space="preserve"> </w:t>
      </w:r>
      <w:r>
        <w:rPr>
          <w:rFonts w:ascii="Arial" w:cs="Arial" w:eastAsia="Arial" w:hAnsi="Arial"/>
          <w:sz w:val="16"/>
          <w:szCs w:val="16"/>
          <w:color w:val="auto"/>
        </w:rPr>
        <w:t>and is used as temporary living quarters for recreational travel. The RVIA classifies towables in four types: conventional travel trailers, fifth wheels, folding camper trailers and truck campers; we manufacture and sell conventional travel trailers and fifth wheels under the Winnebago brand name, which are defined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52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Description</w:t>
            </w:r>
          </w:p>
        </w:tc>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Winnebago product offerings</w:t>
            </w:r>
          </w:p>
        </w:tc>
      </w:tr>
      <w:tr>
        <w:trPr>
          <w:trHeight w:val="218"/>
        </w:trPr>
        <w:tc>
          <w:tcPr>
            <w:tcW w:w="1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5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Conventional travel trailers are towed by means of a hitch attached</w:t>
            </w:r>
          </w:p>
        </w:tc>
        <w:tc>
          <w:tcPr>
            <w:tcW w:w="4700" w:type="dxa"/>
            <w:vAlign w:val="bottom"/>
            <w:shd w:val="clear" w:color="auto" w:fill="CCEEFF"/>
          </w:tcPr>
          <w:p>
            <w:pPr>
              <w:ind w:left="60"/>
              <w:spacing w:after="0"/>
              <w:rPr>
                <w:sz w:val="20"/>
                <w:szCs w:val="20"/>
                <w:color w:val="auto"/>
              </w:rPr>
            </w:pPr>
            <w:r>
              <w:rPr>
                <w:rFonts w:ascii="Arial" w:cs="Arial" w:eastAsia="Arial" w:hAnsi="Arial"/>
                <w:sz w:val="16"/>
                <w:szCs w:val="16"/>
                <w:color w:val="auto"/>
              </w:rPr>
              <w:t>Winnie Drop, Micro Minnie, Minnie, Ultralite, Instinct, Spyder</w:t>
            </w:r>
          </w:p>
        </w:tc>
      </w:tr>
      <w:tr>
        <w:trPr>
          <w:trHeight w:val="214"/>
        </w:trPr>
        <w:tc>
          <w:tcPr>
            <w:tcW w:w="1220" w:type="dxa"/>
            <w:vAlign w:val="bottom"/>
            <w:shd w:val="clear" w:color="auto" w:fill="CCEEFF"/>
          </w:tcPr>
          <w:p>
            <w:pPr>
              <w:spacing w:after="0"/>
              <w:rPr>
                <w:sz w:val="18"/>
                <w:szCs w:val="18"/>
                <w:color w:val="auto"/>
              </w:rPr>
            </w:pPr>
          </w:p>
        </w:tc>
        <w:tc>
          <w:tcPr>
            <w:tcW w:w="5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 the frame of the vehicle.</w:t>
            </w:r>
          </w:p>
        </w:tc>
        <w:tc>
          <w:tcPr>
            <w:tcW w:w="470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(Toy Hauler)</w:t>
            </w:r>
          </w:p>
        </w:tc>
      </w:tr>
      <w:tr>
        <w:trPr>
          <w:trHeight w:val="218"/>
        </w:trPr>
        <w:tc>
          <w:tcPr>
            <w:tcW w:w="1220" w:type="dxa"/>
            <w:vAlign w:val="bottom"/>
          </w:tcPr>
          <w:p>
            <w:pPr>
              <w:ind w:left="40"/>
              <w:spacing w:after="0"/>
              <w:rPr>
                <w:sz w:val="20"/>
                <w:szCs w:val="20"/>
                <w:color w:val="auto"/>
              </w:rPr>
            </w:pPr>
            <w:r>
              <w:rPr>
                <w:rFonts w:ascii="Arial" w:cs="Arial" w:eastAsia="Arial" w:hAnsi="Arial"/>
                <w:sz w:val="16"/>
                <w:szCs w:val="16"/>
                <w:color w:val="auto"/>
              </w:rPr>
              <w:t>Fifth wheel</w:t>
            </w:r>
          </w:p>
        </w:tc>
        <w:tc>
          <w:tcPr>
            <w:tcW w:w="5220" w:type="dxa"/>
            <w:vAlign w:val="bottom"/>
          </w:tcPr>
          <w:p>
            <w:pPr>
              <w:ind w:left="280"/>
              <w:spacing w:after="0"/>
              <w:rPr>
                <w:sz w:val="20"/>
                <w:szCs w:val="20"/>
                <w:color w:val="auto"/>
              </w:rPr>
            </w:pPr>
            <w:r>
              <w:rPr>
                <w:rFonts w:ascii="Arial" w:cs="Arial" w:eastAsia="Arial" w:hAnsi="Arial"/>
                <w:sz w:val="16"/>
                <w:szCs w:val="16"/>
                <w:color w:val="auto"/>
              </w:rPr>
              <w:t>Fifth wheel trailers are constructed with a raised forward section that</w:t>
            </w:r>
          </w:p>
        </w:tc>
        <w:tc>
          <w:tcPr>
            <w:tcW w:w="4700" w:type="dxa"/>
            <w:vAlign w:val="bottom"/>
          </w:tcPr>
          <w:p>
            <w:pPr>
              <w:ind w:left="60"/>
              <w:spacing w:after="0"/>
              <w:rPr>
                <w:sz w:val="20"/>
                <w:szCs w:val="20"/>
                <w:color w:val="auto"/>
              </w:rPr>
            </w:pPr>
            <w:r>
              <w:rPr>
                <w:rFonts w:ascii="Arial" w:cs="Arial" w:eastAsia="Arial" w:hAnsi="Arial"/>
                <w:sz w:val="16"/>
                <w:szCs w:val="16"/>
                <w:color w:val="auto"/>
              </w:rPr>
              <w:t>Destination, Latitude, Voyage, Voyage XLT, Scorpion (Toy</w:t>
            </w:r>
          </w:p>
        </w:tc>
      </w:tr>
      <w:tr>
        <w:trPr>
          <w:trHeight w:val="195"/>
        </w:trPr>
        <w:tc>
          <w:tcPr>
            <w:tcW w:w="1220" w:type="dxa"/>
            <w:vAlign w:val="bottom"/>
          </w:tcPr>
          <w:p>
            <w:pPr>
              <w:spacing w:after="0"/>
              <w:rPr>
                <w:sz w:val="16"/>
                <w:szCs w:val="16"/>
                <w:color w:val="auto"/>
              </w:rPr>
            </w:pPr>
          </w:p>
        </w:tc>
        <w:tc>
          <w:tcPr>
            <w:tcW w:w="5220" w:type="dxa"/>
            <w:vAlign w:val="bottom"/>
          </w:tcPr>
          <w:p>
            <w:pPr>
              <w:ind w:left="280"/>
              <w:spacing w:after="0"/>
              <w:rPr>
                <w:sz w:val="20"/>
                <w:szCs w:val="20"/>
                <w:color w:val="auto"/>
              </w:rPr>
            </w:pPr>
            <w:r>
              <w:rPr>
                <w:rFonts w:ascii="Arial" w:cs="Arial" w:eastAsia="Arial" w:hAnsi="Arial"/>
                <w:sz w:val="16"/>
                <w:szCs w:val="16"/>
                <w:color w:val="auto"/>
              </w:rPr>
              <w:t>is connected to the vehicle with a special fifth wheel hitch.</w:t>
            </w:r>
          </w:p>
        </w:tc>
        <w:tc>
          <w:tcPr>
            <w:tcW w:w="4700" w:type="dxa"/>
            <w:vAlign w:val="bottom"/>
          </w:tcPr>
          <w:p>
            <w:pPr>
              <w:ind w:left="60"/>
              <w:spacing w:after="0"/>
              <w:rPr>
                <w:sz w:val="20"/>
                <w:szCs w:val="20"/>
                <w:color w:val="auto"/>
              </w:rPr>
            </w:pPr>
            <w:r>
              <w:rPr>
                <w:rFonts w:ascii="Arial" w:cs="Arial" w:eastAsia="Arial" w:hAnsi="Arial"/>
                <w:sz w:val="16"/>
                <w:szCs w:val="16"/>
                <w:color w:val="auto"/>
              </w:rPr>
              <w:t>Hauler)</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Unit sales of our towables for the last five fiscal years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09231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154"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21"/>
          <w:szCs w:val="21"/>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-3810</wp:posOffset>
            </wp:positionV>
            <wp:extent cx="568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8579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ind w:left="40"/>
              <w:spacing w:after="0"/>
              <w:rPr>
                <w:sz w:val="20"/>
                <w:szCs w:val="20"/>
                <w:color w:val="auto"/>
              </w:rPr>
            </w:pPr>
            <w:r>
              <w:rPr>
                <w:rFonts w:ascii="Arial" w:cs="Arial" w:eastAsia="Arial" w:hAnsi="Arial"/>
                <w:sz w:val="16"/>
                <w:szCs w:val="16"/>
                <w:b w:val="1"/>
                <w:bCs w:val="1"/>
                <w:color w:val="auto"/>
              </w:rPr>
              <w:t>Units</w:t>
            </w:r>
          </w:p>
        </w:tc>
        <w:tc>
          <w:tcPr>
            <w:tcW w:w="1820" w:type="dxa"/>
            <w:vAlign w:val="bottom"/>
            <w:gridSpan w:val="3"/>
          </w:tcPr>
          <w:p>
            <w:pPr>
              <w:ind w:left="260"/>
              <w:spacing w:after="0"/>
              <w:rPr>
                <w:sz w:val="20"/>
                <w:szCs w:val="20"/>
                <w:color w:val="auto"/>
              </w:rPr>
            </w:pPr>
            <w:r>
              <w:rPr>
                <w:rFonts w:ascii="Arial" w:cs="Arial" w:eastAsia="Arial" w:hAnsi="Arial"/>
                <w:sz w:val="16"/>
                <w:szCs w:val="16"/>
                <w:b w:val="1"/>
                <w:bCs w:val="1"/>
                <w:color w:val="auto"/>
              </w:rPr>
              <w:t>August 27, 2016</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29, 2015</w:t>
            </w:r>
          </w:p>
        </w:tc>
        <w:tc>
          <w:tcPr>
            <w:tcW w:w="182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30, 2014</w:t>
            </w:r>
          </w:p>
        </w:tc>
        <w:tc>
          <w:tcPr>
            <w:tcW w:w="180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31, 2013</w:t>
            </w:r>
          </w:p>
        </w:tc>
        <w:tc>
          <w:tcPr>
            <w:tcW w:w="1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August 25, 2012</w:t>
            </w:r>
          </w:p>
        </w:tc>
      </w:tr>
      <w:tr>
        <w:trPr>
          <w:trHeight w:val="256"/>
        </w:trPr>
        <w:tc>
          <w:tcPr>
            <w:tcW w:w="2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9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3,613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2,182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2,052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2,038</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1,372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w:t>
            </w:r>
          </w:p>
        </w:tc>
      </w:tr>
      <w:tr>
        <w:trPr>
          <w:trHeight w:val="264"/>
        </w:trPr>
        <w:tc>
          <w:tcPr>
            <w:tcW w:w="2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586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488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457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966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r>
      <w:tr>
        <w:trPr>
          <w:trHeight w:val="240"/>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4,199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2,670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2,509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2,535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2,338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8890</wp:posOffset>
            </wp:positionV>
            <wp:extent cx="568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85790" cy="8890"/>
                    </a:xfrm>
                    <a:prstGeom prst="rect">
                      <a:avLst/>
                    </a:prstGeom>
                    <a:noFill/>
                  </pic:spPr>
                </pic:pic>
              </a:graphicData>
            </a:graphic>
          </wp:anchor>
        </w:drawing>
      </w:r>
    </w:p>
    <w:p>
      <w:pPr>
        <w:ind w:left="260" w:hanging="238"/>
        <w:spacing w:after="0" w:line="224"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contained 53 weeks; all other fiscal years contained 52 weeks.</w:t>
      </w:r>
    </w:p>
    <w:p>
      <w:pPr>
        <w:ind w:left="260" w:hanging="238"/>
        <w:spacing w:after="0" w:line="199"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50" w:lineRule="exact"/>
        <w:rPr>
          <w:sz w:val="20"/>
          <w:szCs w:val="20"/>
          <w:color w:val="auto"/>
        </w:rPr>
      </w:pPr>
    </w:p>
    <w:p>
      <w:pPr>
        <w:ind w:right="620"/>
        <w:spacing w:after="0" w:line="246" w:lineRule="auto"/>
        <w:rPr>
          <w:sz w:val="20"/>
          <w:szCs w:val="20"/>
          <w:color w:val="auto"/>
        </w:rPr>
      </w:pPr>
      <w:r>
        <w:rPr>
          <w:rFonts w:ascii="Arial" w:cs="Arial" w:eastAsia="Arial" w:hAnsi="Arial"/>
          <w:sz w:val="16"/>
          <w:szCs w:val="16"/>
          <w:color w:val="auto"/>
        </w:rPr>
        <w:t>On October 2, 2016, we entered into a Securities Purchase Agreement pursuant to which we intend to acquire Grand Design, a fast-growing towables manufacturer in Middlebury, Indiana. Grand Design manufactures travel trailers and fifth wheel products.</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With this acquisition, we expect to have a broader and more balanced portfolio of motorized and towable products and intend to capitalize on the opportunities across the RV market and to drive improved profitability and long-term value for shareholders.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60"/>
          </w:cols>
          <w:pgMar w:left="240" w:top="379" w:right="29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Production</w:t>
      </w:r>
    </w:p>
    <w:p>
      <w:pPr>
        <w:spacing w:after="0" w:line="1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generally produce motorhomes and towables to order from dealers. We have some ability to increase our capacity by scheduling overtime and/or hiring additional production employees or to decrease our capacity through the use of shortened workweeks and/or reducing head count. We have long been known as an industry leader in innovation as each year we introduce new or redesigned products. These changes generally include new floor plans and sizes as well as design and decor modifications.</w:t>
      </w:r>
    </w:p>
    <w:p>
      <w:pPr>
        <w:spacing w:after="0" w:line="14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motorhomes are primarily produced in the state of Iowa at four different campuses. Our Forest City facilities are vertically integrated and provide mechanized assembly line manufacturing for Class A and C motorhomes. We assemble Class B motorhomes in our Lake Mills facilities. Hardwood cabinet, countertop and compartment door products are manufactured at our Charles City campus. Our Waverly facility is used for wire harness fabrication. Beginning in 2016, we also began assembling motorhomes in our Junction City, Oregon facility. Our motorhome bodies are made from various materials and structural components which are typically laminated into rigid, lightweight panels. Body designs are developed with computer aided design and manufacturing and subjected to a variety of tests and evaluations to meet our standards and requirements. We manufacture a number of components utilized in our motorhomes, with the principal exceptions being chassis, engines, generators and appliances that we purchase from reputable manufacturers.</w:t>
      </w:r>
    </w:p>
    <w:p>
      <w:pPr>
        <w:spacing w:after="0" w:line="15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Most of our raw materials such as steel, aluminum, fiberglass and wood products are obtainable from numerous sources. Certain parts, especially motorhome chassis, are available from a small group of suppliers. We are currently purchasing Class A and C chassis from Ford Motor Company, Mercedes-Benz USA (a Daimler company) and Mercedes-Benz Canada (a Daimler company) and Class A chassis from Freightliner Custom Chassis Corporation (a Daimler company). Class B chassis are purchased from Mercedes-Benz USA, Mercedes-Benz Canada, FCA US, LLC and FCA Canada, Inc.. Class C chassis are also purchased from FCA US, LLC and FCA Canada, Inc. In Fiscal 2016, only two vendors, Ford Motor Company and Mercedes-Benz (USA and Canada) individually accounted for more than 10% of our raw material purchases and approximating 35% in the aggregate.</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towables are produced at an assembly plant located in Middlebury, Indiana. The majority of components are comprised of frames, appliances and furniture and are purchased from suppliers.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8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strive to balance timely order fulfillment to customers with the lead times suppliers require to efficiently source materials and manage costs. Production facility constraints at peak periods also lead to fluctuations in backlogged orders which we manage closely. The approximate revenue of our motorhome backlog was $107.6 million and $156.4 million as of August 27, 2016 and August 29, 2015, respectively. The approximate revenue of our towable backlog was $8.4 million and $6.2 million as of August 27, 2016 and August 29, 2015, respectively. A more detailed description of our motorhome and towable order backlog is included in Item 7, "Management's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and Financing</w:t>
      </w:r>
    </w:p>
    <w:p>
      <w:pPr>
        <w:spacing w:after="0" w:line="187"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We market our RVs on a wholesale basis to a diversified independent dealer network located throughout the US and, to a limited extent, in Canada. Foreign sales, including Canada, were 8% or less of net revenues during each of the past three fiscal years. See Note 12 to our Financial Statements of this Current Report on Form 8-K.</w:t>
      </w:r>
    </w:p>
    <w:p>
      <w:pPr>
        <w:spacing w:after="0" w:line="14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As of August 27, 2016, our RV dealer network in the US and Canada included 295 motorized and 161 towable physical dealer locations, 74 of these locations carried both Winnebago motorized and towable product. One of our dealer organizations, FreedomRoads, LLC, accounted for 16.6% of our net revenue for Fiscal 2016, as this dealer sold our products in 78 of their dealership locations across 28 US states. A second dealer organization, La Mesa RV Center, Inc., accounted for 13.0% of our net revenue for Fiscal 2016, as this dealer sold our products in 11 dealership locations across 4 US states.</w:t>
      </w:r>
    </w:p>
    <w:p>
      <w:pPr>
        <w:spacing w:after="0" w:line="14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have sales and service agreements with dealers which are subject to annual review. Many of the dealers are also engaged in other areas of business, including the sale of automobiles, trailers or boats, and many dealers carry one or more competitive lines of RVs. We continue to place high emphasis on the capability of our dealers to provide complete service for our RVs. Dealers are obligated to provide full service for owners of our RVs or, in lieu thereof, to secure such service from other authorized providers.</w:t>
      </w:r>
    </w:p>
    <w:p>
      <w:pPr>
        <w:spacing w:after="0" w:line="14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advertise and promote our products through national RV magazines, the distribution of product brochures, the Go RVing national advertising campaign sponsored by RVIA, direct-mail advertising campaigns, various national promotional opportunities and on a local basis through trade shows, television, radio and newspapers, primarily in connection with area dealers.</w:t>
      </w:r>
    </w:p>
    <w:p>
      <w:pPr>
        <w:spacing w:after="0" w:line="14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RV sales to dealers are made on cash terms. Most dealers are financed on a "floorplan" basis under which a bank or finance company lends the dealer all, or substantially all, of the purchase price, collateralized by a security interest in the merchandise purchased. As is customary in the RV industry,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 unit is financed, in the event of default by the dealer on the agreement to pay the lending institution and repossession of the unit(s) by the lending institution, we will repurchase the financed merchandise from the lender at dealer invoice. Our maximum exposure for repurchases varies significantly from time to time,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64" w:right="239" w:bottom="1440" w:gutter="0" w:footer="0" w:header="0"/>
        </w:sectPr>
      </w:pPr>
    </w:p>
    <w:bookmarkStart w:id="8" w:name="page9"/>
    <w:bookmarkEnd w:id="8"/>
    <w:p>
      <w:pPr>
        <w:ind w:right="140"/>
        <w:spacing w:after="0" w:line="260" w:lineRule="auto"/>
        <w:rPr>
          <w:sz w:val="20"/>
          <w:szCs w:val="20"/>
          <w:color w:val="auto"/>
        </w:rPr>
      </w:pPr>
      <w:r>
        <w:rPr>
          <w:rFonts w:ascii="Arial" w:cs="Arial" w:eastAsia="Arial" w:hAnsi="Arial"/>
          <w:sz w:val="16"/>
          <w:szCs w:val="16"/>
          <w:color w:val="auto"/>
        </w:rPr>
        <w:t>depending upon general economic conditions, seasonal shipments, competition, demand for RVs, dealer organization, gasoline availability and access to and the cost of financing. See Note 9.</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7"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The RV market is highly competitive with many other manufacturers selling products which compete directly with our products. Some of our competitors are much larger than us, most notably in the towable RV market, which may provide these competitors additional purchasing power. The competition in the RV industry is based upon design, price, quality and service of the products. We believe our principal competitive advantages are our brand strength, product quality and our service after the sale. We also believe that our motorhome products have historically commanded a price premium as a result of these competitive advantages.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4"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The primary use of RVs for leisure travel and outdoor recreation has historically led to a peak retail selling season concentrated in the spring and summer months and lower sales during winter months. Our sales of RVs are generally influenced by this pattern in retail sales, but sales can also be affected by the level of dealer inventory. As a result, RV sales are historically lowest during our second fiscal quarter, which ends in February.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and Trademarks</w:t>
      </w:r>
    </w:p>
    <w:p>
      <w:pPr>
        <w:spacing w:after="0" w:line="18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are subject to a variety of federal, state and local laws and regulations, including the MVA, under which the National Highway Traffic Safety Administration may require manufacturers to recall RVs that contain safety-related defects, and numerous state consumer protection laws and regulations relating to the operation of motor vehicles, including so-called "Lemon Laws." We are also subject to regulations established by OSHA. Our facilities are periodically inspected by federal and state agencies, such as OSHA. We are a member of RVIA, a voluntary association of RV manufacturers which promulgates RV safety standards. We place an RVIA seal on each of our RVs to certify that the RVIA standards have been met. We believe that our products and facilities comply in all material respects with the applicable vehicle safety, consumer protection, RVIA and OSHA regulations and standards.</w:t>
      </w:r>
    </w:p>
    <w:p>
      <w:pPr>
        <w:spacing w:after="0" w:line="151"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Our operations are subject to a variety of federal and state environmental laws and regulations relating to the use, generation, storage, treatment, emission, labeling, and disposal of hazardous materials and wastes and noise pollution. We believe that we currently are in compliance with applicable environmental laws and regulations in all material aspects.</w:t>
      </w:r>
    </w:p>
    <w:p>
      <w:pPr>
        <w:spacing w:after="0" w:line="14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have several domestic and foreign trademark registrations associated with our motorhome and towable products which include: Winnebago, Aspect, Brave, Cambria, Chalet, Destination, Ellipse, Era, Forza, Fuse, Glide &amp; Dine, Inlounge, Instinct, Intable, Itasca, Journey, Meridian, Micro Minnie, Minnie, Minnie Winnie, Sightseer, Solei, Spirit, Spyder, Suncruiser, Sunova, Sunstar, Travato, Trend, Tribute, View, Vista, Viva!, Voyage, W, Flying W (logo), WIT Club, Winnebago Ind (logo), Winnebago Towables (logo) and Winnebago Touring Coach. We believe that our trademarks and trade names are significant to our business and we have in the past and will in the future vigorously protect them against infringement by third parties. We are not dependent upon any patents or technology licenses of others for the conduct of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8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Research and development expenditures are expensed as incurred. During Fiscal 2016, 2015 and 2014, we spent approximately $4.0 million, $3.9 million and $4.3 million, respectively on research and development activities.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Resources</w:t>
      </w:r>
    </w:p>
    <w:p>
      <w:pPr>
        <w:spacing w:after="0" w:line="18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At the end of Fiscal 2016, 2015 and 2014, we employed approximately 3,050, 2,900 and 2,850 persons, respectively. None of our employees are covered under a collective bargaining agreement. We believe our relations with our employees are good.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8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20"/>
                <w:szCs w:val="20"/>
                <w:color w:val="auto"/>
              </w:rPr>
            </w:pPr>
            <w:r>
              <w:rPr>
                <w:rFonts w:ascii="Arial" w:cs="Arial" w:eastAsia="Arial" w:hAnsi="Arial"/>
                <w:sz w:val="16"/>
                <w:szCs w:val="16"/>
                <w:b w:val="1"/>
                <w:bCs w:val="1"/>
                <w:color w:val="auto"/>
              </w:rPr>
              <w:t>Executive Officers of the Registrant</w:t>
            </w:r>
          </w:p>
        </w:tc>
        <w:tc>
          <w:tcPr>
            <w:tcW w:w="67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64"/>
        </w:trPr>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67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Office (Year First Elected an Officer)</w:t>
            </w:r>
          </w:p>
        </w:tc>
        <w:tc>
          <w:tcPr>
            <w:tcW w:w="1640" w:type="dxa"/>
            <w:vAlign w:val="bottom"/>
            <w:tcBorders>
              <w:bottom w:val="single" w:sz="8" w:color="auto"/>
            </w:tcBorders>
          </w:tcPr>
          <w:p>
            <w:pPr>
              <w:jc w:val="center"/>
              <w:ind w:left="759"/>
              <w:spacing w:after="0"/>
              <w:rPr>
                <w:sz w:val="20"/>
                <w:szCs w:val="20"/>
                <w:color w:val="auto"/>
              </w:rPr>
            </w:pPr>
            <w:r>
              <w:rPr>
                <w:rFonts w:ascii="Arial" w:cs="Arial" w:eastAsia="Arial" w:hAnsi="Arial"/>
                <w:sz w:val="16"/>
                <w:szCs w:val="16"/>
                <w:b w:val="1"/>
                <w:bCs w:val="1"/>
                <w:color w:val="auto"/>
              </w:rPr>
              <w:t>Age</w:t>
            </w:r>
          </w:p>
        </w:tc>
      </w:tr>
      <w:tr>
        <w:trPr>
          <w:trHeight w:val="24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Michael J. Happe</w:t>
            </w: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President and Chief Executive Officer (2016)</w:t>
            </w:r>
          </w:p>
        </w:tc>
        <w:tc>
          <w:tcPr>
            <w:tcW w:w="164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45</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Ashis N. Bhattacharya</w:t>
            </w:r>
          </w:p>
        </w:tc>
        <w:tc>
          <w:tcPr>
            <w:tcW w:w="6720" w:type="dxa"/>
            <w:vAlign w:val="bottom"/>
          </w:tcPr>
          <w:p>
            <w:pPr>
              <w:ind w:left="300"/>
              <w:spacing w:after="0"/>
              <w:rPr>
                <w:sz w:val="20"/>
                <w:szCs w:val="20"/>
                <w:color w:val="auto"/>
              </w:rPr>
            </w:pPr>
            <w:r>
              <w:rPr>
                <w:rFonts w:ascii="Arial" w:cs="Arial" w:eastAsia="Arial" w:hAnsi="Arial"/>
                <w:sz w:val="16"/>
                <w:szCs w:val="16"/>
                <w:color w:val="auto"/>
              </w:rPr>
              <w:t>Vice President, Strategic Planning and Development (2016)</w:t>
            </w:r>
          </w:p>
        </w:tc>
        <w:tc>
          <w:tcPr>
            <w:tcW w:w="1640" w:type="dxa"/>
            <w:vAlign w:val="bottom"/>
          </w:tcPr>
          <w:p>
            <w:pPr>
              <w:jc w:val="center"/>
              <w:ind w:left="779"/>
              <w:spacing w:after="0"/>
              <w:rPr>
                <w:sz w:val="20"/>
                <w:szCs w:val="20"/>
                <w:color w:val="auto"/>
              </w:rPr>
            </w:pPr>
            <w:r>
              <w:rPr>
                <w:rFonts w:ascii="Arial" w:cs="Arial" w:eastAsia="Arial" w:hAnsi="Arial"/>
                <w:sz w:val="16"/>
                <w:szCs w:val="16"/>
                <w:color w:val="auto"/>
              </w:rPr>
              <w:t>53</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and General Manager, Towables Business (2012)</w:t>
            </w:r>
          </w:p>
        </w:tc>
        <w:tc>
          <w:tcPr>
            <w:tcW w:w="164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51</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Steven R. Dummett</w:t>
            </w:r>
          </w:p>
        </w:tc>
        <w:tc>
          <w:tcPr>
            <w:tcW w:w="6720" w:type="dxa"/>
            <w:vAlign w:val="bottom"/>
          </w:tcPr>
          <w:p>
            <w:pPr>
              <w:ind w:left="300"/>
              <w:spacing w:after="0"/>
              <w:rPr>
                <w:sz w:val="20"/>
                <w:szCs w:val="20"/>
                <w:color w:val="auto"/>
              </w:rPr>
            </w:pPr>
            <w:r>
              <w:rPr>
                <w:rFonts w:ascii="Arial" w:cs="Arial" w:eastAsia="Arial" w:hAnsi="Arial"/>
                <w:sz w:val="16"/>
                <w:szCs w:val="16"/>
                <w:color w:val="auto"/>
              </w:rPr>
              <w:t>Vice President, Product Development (2015 - September 2016)</w:t>
            </w:r>
          </w:p>
        </w:tc>
        <w:tc>
          <w:tcPr>
            <w:tcW w:w="1640" w:type="dxa"/>
            <w:vAlign w:val="bottom"/>
          </w:tcPr>
          <w:p>
            <w:pPr>
              <w:jc w:val="center"/>
              <w:ind w:left="779"/>
              <w:spacing w:after="0"/>
              <w:rPr>
                <w:sz w:val="20"/>
                <w:szCs w:val="20"/>
                <w:color w:val="auto"/>
              </w:rPr>
            </w:pPr>
            <w:r>
              <w:rPr>
                <w:rFonts w:ascii="Arial" w:cs="Arial" w:eastAsia="Arial" w:hAnsi="Arial"/>
                <w:sz w:val="16"/>
                <w:szCs w:val="16"/>
                <w:color w:val="auto"/>
              </w:rPr>
              <w:t>61</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Scott C. Folkers</w:t>
            </w: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General Counsel &amp; Secretary (2012)</w:t>
            </w:r>
          </w:p>
        </w:tc>
        <w:tc>
          <w:tcPr>
            <w:tcW w:w="164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54</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Brian D. Hazelton</w:t>
            </w:r>
          </w:p>
        </w:tc>
        <w:tc>
          <w:tcPr>
            <w:tcW w:w="6720" w:type="dxa"/>
            <w:vAlign w:val="bottom"/>
          </w:tcPr>
          <w:p>
            <w:pPr>
              <w:ind w:left="300"/>
              <w:spacing w:after="0"/>
              <w:rPr>
                <w:sz w:val="20"/>
                <w:szCs w:val="20"/>
                <w:color w:val="auto"/>
              </w:rPr>
            </w:pPr>
            <w:r>
              <w:rPr>
                <w:rFonts w:ascii="Arial" w:cs="Arial" w:eastAsia="Arial" w:hAnsi="Arial"/>
                <w:sz w:val="16"/>
                <w:szCs w:val="16"/>
                <w:color w:val="auto"/>
              </w:rPr>
              <w:t>Vice President and General Manager, Motorhome Business (August 2016)</w:t>
            </w:r>
          </w:p>
        </w:tc>
        <w:tc>
          <w:tcPr>
            <w:tcW w:w="1640" w:type="dxa"/>
            <w:vAlign w:val="bottom"/>
          </w:tcPr>
          <w:p>
            <w:pPr>
              <w:jc w:val="center"/>
              <w:ind w:left="779"/>
              <w:spacing w:after="0"/>
              <w:rPr>
                <w:sz w:val="20"/>
                <w:szCs w:val="20"/>
                <w:color w:val="auto"/>
              </w:rPr>
            </w:pPr>
            <w:r>
              <w:rPr>
                <w:rFonts w:ascii="Arial" w:cs="Arial" w:eastAsia="Arial" w:hAnsi="Arial"/>
                <w:sz w:val="16"/>
                <w:szCs w:val="16"/>
                <w:color w:val="auto"/>
              </w:rPr>
              <w:t>51</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Daryl W. Krieger</w:t>
            </w: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Manufacturing (2010 - September 2016)</w:t>
            </w:r>
          </w:p>
        </w:tc>
        <w:tc>
          <w:tcPr>
            <w:tcW w:w="164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53</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6720" w:type="dxa"/>
            <w:vAlign w:val="bottom"/>
          </w:tcPr>
          <w:p>
            <w:pPr>
              <w:ind w:left="300"/>
              <w:spacing w:after="0"/>
              <w:rPr>
                <w:sz w:val="20"/>
                <w:szCs w:val="20"/>
                <w:color w:val="auto"/>
              </w:rPr>
            </w:pPr>
            <w:r>
              <w:rPr>
                <w:rFonts w:ascii="Arial" w:cs="Arial" w:eastAsia="Arial" w:hAnsi="Arial"/>
                <w:sz w:val="16"/>
                <w:szCs w:val="16"/>
                <w:color w:val="auto"/>
              </w:rPr>
              <w:t>Vice President, Chief Financial Officer (2005)</w:t>
            </w:r>
          </w:p>
        </w:tc>
        <w:tc>
          <w:tcPr>
            <w:tcW w:w="1640" w:type="dxa"/>
            <w:vAlign w:val="bottom"/>
          </w:tcPr>
          <w:p>
            <w:pPr>
              <w:jc w:val="center"/>
              <w:ind w:left="779"/>
              <w:spacing w:after="0"/>
              <w:rPr>
                <w:sz w:val="20"/>
                <w:szCs w:val="20"/>
                <w:color w:val="auto"/>
              </w:rPr>
            </w:pPr>
            <w:r>
              <w:rPr>
                <w:rFonts w:ascii="Arial" w:cs="Arial" w:eastAsia="Arial" w:hAnsi="Arial"/>
                <w:sz w:val="16"/>
                <w:szCs w:val="16"/>
                <w:color w:val="auto"/>
              </w:rPr>
              <w:t>43</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Christopher D. West</w:t>
            </w: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Operations (September 2016)</w:t>
            </w:r>
          </w:p>
        </w:tc>
        <w:tc>
          <w:tcPr>
            <w:tcW w:w="164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44</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Bret A. Woodson</w:t>
            </w:r>
          </w:p>
        </w:tc>
        <w:tc>
          <w:tcPr>
            <w:tcW w:w="6720" w:type="dxa"/>
            <w:vAlign w:val="bottom"/>
          </w:tcPr>
          <w:p>
            <w:pPr>
              <w:ind w:left="300"/>
              <w:spacing w:after="0"/>
              <w:rPr>
                <w:sz w:val="20"/>
                <w:szCs w:val="20"/>
                <w:color w:val="auto"/>
              </w:rPr>
            </w:pPr>
            <w:r>
              <w:rPr>
                <w:rFonts w:ascii="Arial" w:cs="Arial" w:eastAsia="Arial" w:hAnsi="Arial"/>
                <w:sz w:val="16"/>
                <w:szCs w:val="16"/>
                <w:color w:val="auto"/>
              </w:rPr>
              <w:t>Vice President, Administration (2015)</w:t>
            </w:r>
          </w:p>
        </w:tc>
        <w:tc>
          <w:tcPr>
            <w:tcW w:w="1640" w:type="dxa"/>
            <w:vAlign w:val="bottom"/>
          </w:tcPr>
          <w:p>
            <w:pPr>
              <w:jc w:val="center"/>
              <w:ind w:left="779"/>
              <w:spacing w:after="0"/>
              <w:rPr>
                <w:sz w:val="20"/>
                <w:szCs w:val="20"/>
                <w:color w:val="auto"/>
              </w:rPr>
            </w:pPr>
            <w:r>
              <w:rPr>
                <w:rFonts w:ascii="Arial" w:cs="Arial" w:eastAsia="Arial" w:hAnsi="Arial"/>
                <w:sz w:val="16"/>
                <w:szCs w:val="16"/>
                <w:color w:val="auto"/>
              </w:rPr>
              <w:t>46</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Donald L. Heidemann </w:t>
            </w:r>
            <w:r>
              <w:rPr>
                <w:rFonts w:ascii="Arial" w:cs="Arial" w:eastAsia="Arial" w:hAnsi="Arial"/>
                <w:sz w:val="21"/>
                <w:szCs w:val="21"/>
                <w:color w:val="auto"/>
                <w:vertAlign w:val="superscript"/>
              </w:rPr>
              <w:t>(1)</w:t>
            </w: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Treasurer and Director of Finance (2007)</w:t>
            </w:r>
          </w:p>
        </w:tc>
        <w:tc>
          <w:tcPr>
            <w:tcW w:w="164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44</w:t>
            </w:r>
          </w:p>
        </w:tc>
      </w:tr>
    </w:tbl>
    <w:p>
      <w:pPr>
        <w:spacing w:after="0" w:line="24" w:lineRule="exact"/>
        <w:rPr>
          <w:sz w:val="20"/>
          <w:szCs w:val="20"/>
          <w:color w:val="auto"/>
        </w:rPr>
      </w:pPr>
    </w:p>
    <w:p>
      <w:pPr>
        <w:ind w:left="260" w:hanging="238"/>
        <w:spacing w:after="0"/>
        <w:tabs>
          <w:tab w:leader="none" w:pos="2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Employment ended on November 4, 2016.</w:t>
      </w:r>
    </w:p>
    <w:p>
      <w:pPr>
        <w:spacing w:after="0" w:line="203"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Officers are elected annually by the Board of Directors. There are no family relationships between or among any of the Corporate Officers or Directors of the Company.</w:t>
      </w:r>
    </w:p>
    <w:p>
      <w:pPr>
        <w:spacing w:after="0" w:line="142" w:lineRule="exact"/>
        <w:rPr>
          <w:sz w:val="20"/>
          <w:szCs w:val="20"/>
          <w:color w:val="auto"/>
        </w:rPr>
      </w:pPr>
    </w:p>
    <w:p>
      <w:pPr>
        <w:jc w:val="both"/>
        <w:ind w:right="200"/>
        <w:spacing w:after="0" w:line="251" w:lineRule="auto"/>
        <w:rPr>
          <w:sz w:val="20"/>
          <w:szCs w:val="20"/>
          <w:color w:val="auto"/>
        </w:rPr>
      </w:pPr>
      <w:r>
        <w:rPr>
          <w:rFonts w:ascii="Arial" w:cs="Arial" w:eastAsia="Arial" w:hAnsi="Arial"/>
          <w:sz w:val="16"/>
          <w:szCs w:val="16"/>
          <w:color w:val="auto"/>
        </w:rPr>
        <w:t>Mr. Happe joined Winnebago Industries in January 2016 as President and Chief Executive Officer (CEO). Prior to joining Winnebago, he had been employed by Toro Company from 1997 to 2016. He served as Executive Officer and Group Vice President of Toro's Residential and Contractor businesses from March 2012 to December 2015. From August 2010 to March 2012 he served as Vice President, Residential and Landscape Contractor Businesses. Prior to that he held a series of senior leadership positions throughout his career across a variety of Toro's domestic and international divisions.</w:t>
      </w:r>
    </w:p>
    <w:p>
      <w:pPr>
        <w:spacing w:after="0" w:line="149"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Mr. Bhattacharya joined Winnebago Industries in May 2016 as Vice President of Strategic Planning and Development. Prior to joining Winnebago, Mr. Bhattacharya served at Honeywell as Vice President, Strategy, Alliances &amp; Internet of Things (IoT) for the Sensing and Productivity Solutions division from 2010 to 2016. Prior to that, he was employed with Moog, Motorola, and Bain &amp; Company in a variety of roles.</w:t>
      </w:r>
    </w:p>
    <w:p>
      <w:pPr>
        <w:spacing w:after="0" w:line="147"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Mr. Degnan joined Winnebago Industries in May 2012 as Vice President of Sales and Product Management. He moved into the role of Vice President and General Manager, Towables Business in July 2016. Prior to joining Winnebago, Mr. Degnan served as Vice President of Sales for Riverside, California's MVP RV from 2010 to 2012. He also previously served in management and sales positions with Coachmen RV from 2008 to 2010, with National RV from 2007 to 2008, and Fleetwood Enterprises from 1987 to 2007.</w:t>
      </w:r>
    </w:p>
    <w:p>
      <w:pPr>
        <w:spacing w:after="0" w:line="14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Mr. Dummett has over 30 years of experience with Winnebago Industries. He was elected to the position of Vice President, Product Development in January 2015. Prior to that time, he served as Design Engineering Manager from 2010 to 2015 and as Project Engineering Coordinator and Product Designer. Effective September 16, 2016 Mr. Dummett was named Managing Director of Engineering, reporting to Mr. Hazelton.</w:t>
      </w:r>
    </w:p>
    <w:p>
      <w:pPr>
        <w:spacing w:after="0" w:line="14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Mr. Folkers joined Winnebago Industries in August 2010 as assistant general counsel. He was elected to the position of Vice President, General Counsel and Secretary in June 2012. Prior to joining Winnebago, Mr. Folkers was employed as in-house counsel for John Morrell &amp; Co., in Sioux Falls, SD from 1998 to 2010. Mr. Folkers is a member of the Iowa Bar Association.</w:t>
      </w:r>
    </w:p>
    <w:p>
      <w:pPr>
        <w:spacing w:after="0" w:line="147"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Mr. Hazelton joined Winnebago Industries in August 2016 as Vice President and General Manager, Motorhome Business. He previously was CEO of Schwing America, Inc. from 2009 to 2016. Schwing declared Chapter 11 bankruptcy in 2009 emerging in 2010 with a reorganization plan. Prior to his employment with Schwing, he worked for Terex Corporation and Detroit Diesel Corporation in various executive roles.</w:t>
      </w:r>
    </w:p>
    <w:p>
      <w:pPr>
        <w:spacing w:after="0" w:line="147"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Mr. Krieger has over 30 years of experience with Winnebago Industries. He has been Vice President, Manufacturing since May 2010. Prior to that time, he served as Director of Manufacturing from November 2009 to May 2010 and General Manager - Fabrication from February 2002 to November 2009. Effective September 16, 2016 Mr. Krieger was named Managing Director of Iowa Operations, reporting to Mr. West.</w:t>
      </w:r>
    </w:p>
    <w:p>
      <w:pPr>
        <w:spacing w:after="0" w:line="147"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Ms. Nielsen has 11 years of experience with Winnebago Industries. She has been Vice President and Chief Financial Officer since November 2005. Ms. Nielsen joined Winnebago in August 2005 as Director of Special Projects and Training. Prior to that time, she was employed as a senior audit manager at Deloitte &amp; Touche LLP, where she worked from 1995 to 2005. Ms. Nielsen is a Certified Public Accountant.</w:t>
      </w:r>
    </w:p>
    <w:p>
      <w:pPr>
        <w:spacing w:after="0" w:line="93"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Mr. West joined Winnebago Industries in September 2016 as Vice President, Operations. He previously was Vice President of Global Supply Chain for Joy Global (a worldwide equipment manufacturer) from 2014 to 2016, and Operations Director from 2012 to 2014. Other positions Mr. West has held include Director of Manufacturing for AGCO Corporation (an agricultural equipment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64" w:right="239" w:bottom="1440" w:gutter="0" w:footer="0" w:header="0"/>
        </w:sectPr>
      </w:pPr>
    </w:p>
    <w:bookmarkStart w:id="10" w:name="page11"/>
    <w:bookmarkEnd w:id="10"/>
    <w:p>
      <w:pPr>
        <w:ind w:right="120"/>
        <w:spacing w:after="0" w:line="260" w:lineRule="auto"/>
        <w:rPr>
          <w:sz w:val="20"/>
          <w:szCs w:val="20"/>
          <w:color w:val="auto"/>
        </w:rPr>
      </w:pPr>
      <w:r>
        <w:rPr>
          <w:rFonts w:ascii="Arial" w:cs="Arial" w:eastAsia="Arial" w:hAnsi="Arial"/>
          <w:sz w:val="16"/>
          <w:szCs w:val="16"/>
          <w:color w:val="auto"/>
        </w:rPr>
        <w:t>manufacturer) from 2008 to 2012 and Director of Operations and other management positions for the Nordam Group (a manufacturer of aircraft interiors) from 1999 to 2009.</w:t>
      </w:r>
    </w:p>
    <w:p>
      <w:pPr>
        <w:spacing w:after="0" w:line="8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Mr. Woodson joined Winnebago Industries in January 2015 as Vice President, Administration. Prior to joining Winnebago, Mr. Woodson was Vice President of Human Resources at Corbion from 2007 to 2014 and Director, Human Resources at Sara Lee from 1999 to 2007 and has over 23 years of business and human resources experience.</w:t>
      </w:r>
    </w:p>
    <w:p>
      <w:pPr>
        <w:spacing w:after="0" w:line="9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Mr. Heidemann has nine years of experience with Winnebago Industries. He was elected to the position of Treasurer in August 2007 and added Director of Finance responsibilities in August 2011. Prior to joining the Company, Mr. Heidemann served in various treasury positions for Select Comfort Corporation from 2003 to July 2007 and served in various treasury positions for Rent-A-Center Incorporated from 1998 to 2003.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Our MD&amp;A is presented in eight sections:</w:t>
      </w:r>
    </w:p>
    <w:p>
      <w:pPr>
        <w:spacing w:after="0" w:line="17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Executive Overview</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7"/>
        </w:numPr>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Industry Outlook</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7"/>
        </w:numPr>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Company Outlook</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7"/>
        </w:numPr>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Results of Operations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7"/>
        </w:numPr>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Analysis of Financial Condition, Liquidity and Capital Resources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7"/>
        </w:numPr>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Contractual Obligations and Commercial Commitments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7"/>
        </w:numPr>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Critical Accounting Policies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7"/>
        </w:numPr>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New Accounting Pronouncements</w:t>
        </w:r>
      </w:hyperlink>
    </w:p>
    <w:p>
      <w:pPr>
        <w:spacing w:after="0" w:line="194" w:lineRule="exact"/>
        <w:rPr>
          <w:rFonts w:ascii="Arial" w:cs="Arial" w:eastAsia="Arial" w:hAnsi="Arial"/>
          <w:sz w:val="16"/>
          <w:szCs w:val="16"/>
          <w:color w:val="auto"/>
        </w:rPr>
      </w:pPr>
    </w:p>
    <w:p>
      <w:pPr>
        <w:spacing w:after="0" w:line="260" w:lineRule="auto"/>
        <w:rPr>
          <w:sz w:val="20"/>
          <w:szCs w:val="20"/>
          <w:color w:val="auto"/>
        </w:rPr>
      </w:pPr>
      <w:r>
        <w:rPr>
          <w:rFonts w:ascii="Arial" w:cs="Arial" w:eastAsia="Arial" w:hAnsi="Arial"/>
          <w:sz w:val="16"/>
          <w:szCs w:val="16"/>
          <w:color w:val="auto"/>
        </w:rPr>
        <w:t>Our MD&amp;A should be read in conjunction with the Financial Statements and related Notes included in Item 8, Financial Statements and Supplementary Data, of this Current Report on Form 8-K.</w:t>
      </w:r>
    </w:p>
    <w:p>
      <w:pPr>
        <w:spacing w:after="0" w:line="14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68" w:lineRule="exact"/>
        <w:rPr>
          <w:rFonts w:ascii="Arial" w:cs="Arial" w:eastAsia="Arial" w:hAnsi="Arial"/>
          <w:sz w:val="16"/>
          <w:szCs w:val="16"/>
          <w:color w:val="auto"/>
        </w:rPr>
      </w:pPr>
    </w:p>
    <w:p>
      <w:pPr>
        <w:ind w:right="20"/>
        <w:spacing w:after="0" w:line="251"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55 years. We currently produce a large majority of our motorhomes in vertically integrated manufacturing facilities in Iowa and we produce all of our travel trailer and fifth wheel trailers in Indiana. We are in the process of expanding some motorhome manufacturing to Junction City, Oregon. We distribute our products primarily through independent dealers throughout the US and Canada, who then retail the products to the end consumer.</w:t>
      </w:r>
    </w:p>
    <w:p>
      <w:pPr>
        <w:spacing w:after="0" w:line="176" w:lineRule="exact"/>
        <w:rPr>
          <w:rFonts w:ascii="Arial" w:cs="Arial" w:eastAsia="Arial" w:hAnsi="Arial"/>
          <w:sz w:val="16"/>
          <w:szCs w:val="16"/>
          <w:color w:val="auto"/>
        </w:rPr>
      </w:pPr>
    </w:p>
    <w:p>
      <w:pPr>
        <w:ind w:right="20"/>
        <w:spacing w:after="0" w:line="251" w:lineRule="auto"/>
        <w:rPr>
          <w:sz w:val="20"/>
          <w:szCs w:val="20"/>
          <w:color w:val="auto"/>
        </w:rPr>
      </w:pPr>
      <w:r>
        <w:rPr>
          <w:rFonts w:ascii="Arial" w:cs="Arial" w:eastAsia="Arial" w:hAnsi="Arial"/>
          <w:sz w:val="16"/>
          <w:szCs w:val="16"/>
          <w:color w:val="auto"/>
        </w:rPr>
        <w:t>We recently announced our entry into a Securities Purchase Agreement pursuant to which we intend to acquire Grand Design, a fast-growing towables manufacturer in Middlebury, Indiana for approximately $500 million. Grand Design manufactures travel trailers and fifth wheel products. With this acquisition, we expect to have a broader and more balanced portfolio of motorized and towable products and intend to capitalize on the opportunities across the RV market and to drive improved profitability and long-term value for shareholders.</w:t>
      </w:r>
    </w:p>
    <w:p>
      <w:pPr>
        <w:spacing w:after="0" w:line="176" w:lineRule="exact"/>
        <w:rPr>
          <w:rFonts w:ascii="Arial" w:cs="Arial" w:eastAsia="Arial" w:hAnsi="Arial"/>
          <w:sz w:val="16"/>
          <w:szCs w:val="16"/>
          <w:color w:val="auto"/>
        </w:rPr>
      </w:pPr>
    </w:p>
    <w:p>
      <w:pPr>
        <w:ind w:right="140"/>
        <w:spacing w:after="0" w:line="253" w:lineRule="auto"/>
        <w:rPr>
          <w:sz w:val="20"/>
          <w:szCs w:val="20"/>
          <w:color w:val="auto"/>
        </w:rPr>
      </w:pPr>
      <w:r>
        <w:rPr>
          <w:rFonts w:ascii="Arial" w:cs="Arial" w:eastAsia="Arial" w:hAnsi="Arial"/>
          <w:sz w:val="16"/>
          <w:szCs w:val="16"/>
          <w:color w:val="auto"/>
        </w:rPr>
        <w:t>We have two reporting segments: (1) Motorized products and services and (2) Towable products and services. The Towable segment includes all products which are not motorized and are generally towed by another vehicle. The Motorized segment includes all products that include a motorized chassis as well as other related manufactured products.</w:t>
      </w:r>
    </w:p>
    <w:p>
      <w:pPr>
        <w:spacing w:after="0" w:line="188" w:lineRule="exact"/>
        <w:rPr>
          <w:rFonts w:ascii="Arial" w:cs="Arial" w:eastAsia="Arial" w:hAnsi="Arial"/>
          <w:sz w:val="16"/>
          <w:szCs w:val="16"/>
          <w:color w:val="auto"/>
        </w:rPr>
      </w:pPr>
    </w:p>
    <w:p>
      <w:pPr>
        <w:ind w:right="640"/>
        <w:spacing w:after="0" w:line="295"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67"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3"/>
          </w:tcPr>
          <w:p>
            <w:pPr>
              <w:ind w:left="60"/>
              <w:spacing w:after="0"/>
              <w:rPr>
                <w:sz w:val="20"/>
                <w:szCs w:val="20"/>
                <w:color w:val="auto"/>
              </w:rPr>
            </w:pPr>
            <w:r>
              <w:rPr>
                <w:rFonts w:ascii="Arial" w:cs="Arial" w:eastAsia="Arial" w:hAnsi="Arial"/>
                <w:sz w:val="14"/>
                <w:szCs w:val="14"/>
                <w:b w:val="1"/>
                <w:bCs w:val="1"/>
                <w:color w:val="auto"/>
              </w:rPr>
              <w:t>Rolling 12 Months Through August</w:t>
            </w:r>
          </w:p>
        </w:tc>
        <w:tc>
          <w:tcPr>
            <w:tcW w:w="1300" w:type="dxa"/>
            <w:vAlign w:val="bottom"/>
          </w:tcPr>
          <w:p>
            <w:pPr>
              <w:spacing w:after="0"/>
              <w:rPr>
                <w:sz w:val="17"/>
                <w:szCs w:val="17"/>
                <w:color w:val="auto"/>
              </w:rPr>
            </w:pPr>
          </w:p>
        </w:tc>
        <w:tc>
          <w:tcPr>
            <w:tcW w:w="1540" w:type="dxa"/>
            <w:vAlign w:val="bottom"/>
          </w:tcPr>
          <w:p>
            <w:pPr>
              <w:jc w:val="right"/>
              <w:ind w:right="263"/>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Pr>
          <w:p>
            <w:pPr>
              <w:spacing w:after="0"/>
              <w:rPr>
                <w:sz w:val="17"/>
                <w:szCs w:val="17"/>
                <w:color w:val="auto"/>
              </w:rPr>
            </w:pPr>
          </w:p>
        </w:tc>
      </w:tr>
      <w:tr>
        <w:trPr>
          <w:trHeight w:val="250"/>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and Canada</w:t>
            </w:r>
          </w:p>
        </w:tc>
        <w:tc>
          <w:tcPr>
            <w:tcW w:w="10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08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2015</w:t>
            </w:r>
          </w:p>
        </w:tc>
        <w:tc>
          <w:tcPr>
            <w:tcW w:w="154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2014</w:t>
            </w:r>
          </w:p>
        </w:tc>
        <w:tc>
          <w:tcPr>
            <w:tcW w:w="11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2013</w:t>
            </w:r>
          </w:p>
        </w:tc>
      </w:tr>
      <w:tr>
        <w:trPr>
          <w:trHeight w:val="256"/>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Motorized A, B, C</w:t>
            </w:r>
          </w:p>
        </w:tc>
        <w:tc>
          <w:tcPr>
            <w:tcW w:w="138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18.6%</w:t>
            </w:r>
          </w:p>
        </w:tc>
        <w:tc>
          <w:tcPr>
            <w:tcW w:w="10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20.4%</w:t>
            </w:r>
          </w:p>
        </w:tc>
        <w:tc>
          <w:tcPr>
            <w:tcW w:w="154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20.7%</w:t>
            </w:r>
          </w:p>
        </w:tc>
        <w:tc>
          <w:tcPr>
            <w:tcW w:w="11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18.6%</w:t>
            </w:r>
          </w:p>
        </w:tc>
      </w:tr>
      <w:tr>
        <w:trPr>
          <w:trHeight w:val="270"/>
        </w:trPr>
        <w:tc>
          <w:tcPr>
            <w:tcW w:w="4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 and fifth wheels</w:t>
            </w:r>
          </w:p>
        </w:tc>
        <w:tc>
          <w:tcPr>
            <w:tcW w:w="138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1.1%</w:t>
            </w:r>
          </w:p>
        </w:tc>
        <w:tc>
          <w:tcPr>
            <w:tcW w:w="10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0.9%</w:t>
            </w:r>
          </w:p>
        </w:tc>
        <w:tc>
          <w:tcPr>
            <w:tcW w:w="154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0.8%</w:t>
            </w:r>
          </w:p>
        </w:tc>
        <w:tc>
          <w:tcPr>
            <w:tcW w:w="11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1.0%</w:t>
            </w:r>
          </w:p>
        </w:tc>
      </w:tr>
      <w:tr>
        <w:trPr>
          <w:trHeight w:val="440"/>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363"/>
              <w:spacing w:after="0"/>
              <w:rPr>
                <w:sz w:val="20"/>
                <w:szCs w:val="20"/>
                <w:color w:val="auto"/>
              </w:rPr>
            </w:pPr>
            <w:r>
              <w:rPr>
                <w:rFonts w:ascii="Arial" w:cs="Arial" w:eastAsia="Arial" w:hAnsi="Arial"/>
                <w:sz w:val="16"/>
                <w:szCs w:val="16"/>
                <w:color w:val="auto"/>
              </w:rPr>
              <w:t>8</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384"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Highlights of Fiscal 2016:</w:t>
      </w:r>
    </w:p>
    <w:p>
      <w:pPr>
        <w:spacing w:after="0" w:line="25"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Consolidated revenues, gross profit, and operating income were comparable for Fiscal 2016 as compared to Fiscal 2015. Quarterly results for the past two fiscal years are illustrated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4"/>
          </w:tcPr>
          <w:p>
            <w:pPr>
              <w:ind w:left="300"/>
              <w:spacing w:after="0"/>
              <w:rPr>
                <w:sz w:val="20"/>
                <w:szCs w:val="20"/>
                <w:color w:val="auto"/>
              </w:rPr>
            </w:pPr>
            <w:r>
              <w:rPr>
                <w:rFonts w:ascii="Arial" w:cs="Arial" w:eastAsia="Arial" w:hAnsi="Arial"/>
                <w:sz w:val="16"/>
                <w:szCs w:val="16"/>
                <w:b w:val="1"/>
                <w:bCs w:val="1"/>
                <w:color w:val="auto"/>
              </w:rPr>
              <w:t>Operating</w:t>
            </w:r>
          </w:p>
        </w:tc>
        <w:tc>
          <w:tcPr>
            <w:tcW w:w="20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Operating</w:t>
            </w:r>
          </w:p>
        </w:tc>
      </w:tr>
      <w:tr>
        <w:trPr>
          <w:trHeight w:val="228"/>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4"/>
          </w:tcPr>
          <w:p>
            <w:pPr>
              <w:ind w:left="460"/>
              <w:spacing w:after="0"/>
              <w:rPr>
                <w:sz w:val="20"/>
                <w:szCs w:val="20"/>
                <w:color w:val="auto"/>
              </w:rPr>
            </w:pPr>
            <w:r>
              <w:rPr>
                <w:rFonts w:ascii="Arial" w:cs="Arial" w:eastAsia="Arial" w:hAnsi="Arial"/>
                <w:sz w:val="16"/>
                <w:szCs w:val="16"/>
                <w:b w:val="1"/>
                <w:bCs w:val="1"/>
                <w:color w:val="auto"/>
              </w:rPr>
              <w:t>Revenues</w:t>
            </w:r>
          </w:p>
        </w:tc>
        <w:tc>
          <w:tcPr>
            <w:tcW w:w="220" w:type="dxa"/>
            <w:vAlign w:val="bottom"/>
          </w:tcPr>
          <w:p>
            <w:pPr>
              <w:spacing w:after="0"/>
              <w:rPr>
                <w:sz w:val="19"/>
                <w:szCs w:val="19"/>
                <w:color w:val="auto"/>
              </w:rPr>
            </w:pPr>
          </w:p>
        </w:tc>
        <w:tc>
          <w:tcPr>
            <w:tcW w:w="1860" w:type="dxa"/>
            <w:vAlign w:val="bottom"/>
            <w:gridSpan w:val="4"/>
          </w:tcPr>
          <w:p>
            <w:pPr>
              <w:ind w:left="320"/>
              <w:spacing w:after="0"/>
              <w:rPr>
                <w:sz w:val="20"/>
                <w:szCs w:val="20"/>
                <w:color w:val="auto"/>
              </w:rPr>
            </w:pPr>
            <w:r>
              <w:rPr>
                <w:rFonts w:ascii="Arial" w:cs="Arial" w:eastAsia="Arial" w:hAnsi="Arial"/>
                <w:sz w:val="16"/>
                <w:szCs w:val="16"/>
                <w:b w:val="1"/>
                <w:bCs w:val="1"/>
                <w:color w:val="auto"/>
              </w:rPr>
              <w:t>Gross Profit</w:t>
            </w:r>
          </w:p>
        </w:tc>
        <w:tc>
          <w:tcPr>
            <w:tcW w:w="2180" w:type="dxa"/>
            <w:vAlign w:val="bottom"/>
            <w:gridSpan w:val="3"/>
          </w:tcPr>
          <w:p>
            <w:pPr>
              <w:ind w:left="520"/>
              <w:spacing w:after="0"/>
              <w:rPr>
                <w:sz w:val="20"/>
                <w:szCs w:val="20"/>
                <w:color w:val="auto"/>
              </w:rPr>
            </w:pPr>
            <w:r>
              <w:rPr>
                <w:rFonts w:ascii="Arial" w:cs="Arial" w:eastAsia="Arial" w:hAnsi="Arial"/>
                <w:sz w:val="16"/>
                <w:szCs w:val="16"/>
                <w:b w:val="1"/>
                <w:bCs w:val="1"/>
                <w:color w:val="auto"/>
              </w:rPr>
              <w:t>Gross Margin</w:t>
            </w:r>
          </w:p>
        </w:tc>
        <w:tc>
          <w:tcPr>
            <w:tcW w:w="180" w:type="dxa"/>
            <w:vAlign w:val="bottom"/>
          </w:tcPr>
          <w:p>
            <w:pPr>
              <w:spacing w:after="0"/>
              <w:rPr>
                <w:sz w:val="19"/>
                <w:szCs w:val="19"/>
                <w:color w:val="auto"/>
              </w:rPr>
            </w:pPr>
          </w:p>
        </w:tc>
        <w:tc>
          <w:tcPr>
            <w:tcW w:w="1640" w:type="dxa"/>
            <w:vAlign w:val="bottom"/>
            <w:gridSpan w:val="4"/>
          </w:tcPr>
          <w:p>
            <w:pPr>
              <w:ind w:left="400"/>
              <w:spacing w:after="0"/>
              <w:rPr>
                <w:sz w:val="20"/>
                <w:szCs w:val="20"/>
                <w:color w:val="auto"/>
              </w:rPr>
            </w:pPr>
            <w:r>
              <w:rPr>
                <w:rFonts w:ascii="Arial" w:cs="Arial" w:eastAsia="Arial" w:hAnsi="Arial"/>
                <w:sz w:val="16"/>
                <w:szCs w:val="16"/>
                <w:b w:val="1"/>
                <w:bCs w:val="1"/>
                <w:color w:val="auto"/>
              </w:rPr>
              <w:t>Income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Margin</w:t>
            </w:r>
          </w:p>
        </w:tc>
        <w:tc>
          <w:tcPr>
            <w:tcW w:w="720" w:type="dxa"/>
            <w:vAlign w:val="bottom"/>
          </w:tcPr>
          <w:p>
            <w:pPr>
              <w:spacing w:after="0"/>
              <w:rPr>
                <w:sz w:val="19"/>
                <w:szCs w:val="19"/>
                <w:color w:val="auto"/>
              </w:rPr>
            </w:pPr>
          </w:p>
        </w:tc>
      </w:tr>
      <w:tr>
        <w:trPr>
          <w:trHeight w:val="251"/>
        </w:trPr>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9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7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r>
      <w:tr>
        <w:trPr>
          <w:trHeight w:val="256"/>
        </w:trPr>
        <w:tc>
          <w:tcPr>
            <w:tcW w:w="1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214,223</w:t>
            </w: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224,403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25,249</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24,386</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11.8%</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12,759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14,442</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6.0%</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w:t>
            </w:r>
          </w:p>
        </w:tc>
      </w:tr>
      <w:tr>
        <w:trPr>
          <w:trHeight w:val="260"/>
        </w:trPr>
        <w:tc>
          <w:tcPr>
            <w:tcW w:w="1060" w:type="dxa"/>
            <w:vAlign w:val="bottom"/>
          </w:tcPr>
          <w:p>
            <w:pPr>
              <w:ind w:left="40"/>
              <w:spacing w:after="0"/>
              <w:rPr>
                <w:sz w:val="20"/>
                <w:szCs w:val="20"/>
                <w:color w:val="auto"/>
              </w:rPr>
            </w:pPr>
            <w:r>
              <w:rPr>
                <w:rFonts w:ascii="Arial" w:cs="Arial" w:eastAsia="Arial" w:hAnsi="Arial"/>
                <w:sz w:val="16"/>
                <w:szCs w:val="16"/>
                <w:color w:val="auto"/>
              </w:rPr>
              <w:t>Q2</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225,672</w:t>
            </w:r>
          </w:p>
        </w:tc>
        <w:tc>
          <w:tcPr>
            <w:tcW w:w="2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234,543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25,276</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24,258</w:t>
            </w:r>
          </w:p>
        </w:tc>
        <w:tc>
          <w:tcPr>
            <w:tcW w:w="12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11.2%</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Arial" w:cs="Arial" w:eastAsia="Arial" w:hAnsi="Arial"/>
                <w:sz w:val="16"/>
                <w:szCs w:val="16"/>
                <w:color w:val="auto"/>
              </w:rPr>
              <w:t>13,503</w:t>
            </w:r>
          </w:p>
        </w:tc>
        <w:tc>
          <w:tcPr>
            <w:tcW w:w="22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6"/>
                <w:szCs w:val="16"/>
                <w:color w:val="auto"/>
              </w:rPr>
              <w:t>11,948</w:t>
            </w:r>
          </w:p>
        </w:tc>
        <w:tc>
          <w:tcPr>
            <w:tcW w:w="100" w:type="dxa"/>
            <w:vAlign w:val="bottom"/>
          </w:tcPr>
          <w:p>
            <w:pPr>
              <w:spacing w:after="0"/>
              <w:rPr>
                <w:sz w:val="22"/>
                <w:szCs w:val="22"/>
                <w:color w:val="auto"/>
              </w:rPr>
            </w:pP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6.0%</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5.1%</w:t>
            </w:r>
          </w:p>
        </w:tc>
      </w:tr>
      <w:tr>
        <w:trPr>
          <w:trHeight w:val="280"/>
        </w:trPr>
        <w:tc>
          <w:tcPr>
            <w:tcW w:w="1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272,077</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266,510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30,257</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28,183</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11.1%</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20,593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16,118</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7.6%</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r>
      <w:tr>
        <w:trPr>
          <w:trHeight w:val="264"/>
        </w:trPr>
        <w:tc>
          <w:tcPr>
            <w:tcW w:w="1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263,254</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251,049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31,867</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28,053</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12.1%</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18,886</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16,911</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7.2%</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w:t>
            </w:r>
          </w:p>
        </w:tc>
      </w:tr>
      <w:tr>
        <w:trPr>
          <w:trHeight w:val="24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975,226</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976,505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112,649</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104,880</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11.6%</w:t>
            </w: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65,741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59,419</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6.7%</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r>
      <w:tr>
        <w:trPr>
          <w:trHeight w:val="20"/>
        </w:trPr>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and financial performance</w:t>
      </w:r>
      <w:r>
        <w:rPr>
          <w:rFonts w:ascii="Arial" w:cs="Arial" w:eastAsia="Arial" w:hAnsi="Arial"/>
          <w:sz w:val="16"/>
          <w:szCs w:val="16"/>
          <w:color w:val="auto"/>
        </w:rPr>
        <w:t>:</w:t>
      </w:r>
    </w:p>
    <w:p>
      <w:pPr>
        <w:spacing w:after="0" w:line="25" w:lineRule="exact"/>
        <w:rPr>
          <w:sz w:val="20"/>
          <w:szCs w:val="20"/>
          <w:color w:val="auto"/>
        </w:rPr>
      </w:pPr>
    </w:p>
    <w:p>
      <w:pPr>
        <w:ind w:left="340" w:right="120" w:hanging="332"/>
        <w:spacing w:after="0" w:line="250"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Motorized net revenue declined 2.1% in 2016 due mainly to other manufactured products revenues which decreased by $21.1 million. This was primarily due to our exit of the aluminum extrusion and bus businesses. Both of these operations provided very low margins. Offsetting this reduction, in part, was modest growth in Motorized wholesale deliveries which increased by approximately 2.3% in Fiscal 2016 as compared to Fiscal 2015. Strong demand for our Class B and Class C products was partially offset by weaker demand in Class A products. We anticipate continued strong demand in the Class B and C categories.</w:t>
      </w:r>
    </w:p>
    <w:p>
      <w:pPr>
        <w:spacing w:after="0" w:line="162"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Towable net revenue experienced growth of approximately 25% which was enhanced in part by the increase in our dealer network.</w:t>
      </w:r>
    </w:p>
    <w:p>
      <w:pPr>
        <w:spacing w:after="0" w:line="180" w:lineRule="exact"/>
        <w:rPr>
          <w:rFonts w:ascii="Arial" w:cs="Arial" w:eastAsia="Arial" w:hAnsi="Arial"/>
          <w:sz w:val="16"/>
          <w:szCs w:val="16"/>
          <w:color w:val="auto"/>
        </w:rPr>
      </w:pPr>
    </w:p>
    <w:p>
      <w:pPr>
        <w:ind w:left="340" w:right="40" w:hanging="332"/>
        <w:spacing w:after="0" w:line="260"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continued strong financial performance of our business has allowed us to make substantial investments in Fiscal 2016 including the implementation of an ERP system and purchase of our Junction City, Oregon plant.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RVIA</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dealers, which is reported by Stat Surveys</w:t>
      </w:r>
    </w:p>
    <w:p>
      <w:pPr>
        <w:spacing w:after="0" w:line="20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 The rolling twelve months shipment and retail information for 2016 and 2015, as noted below, illustrates that the RV industry continues to grow at the wholesale and retail level. We believe retail demand is the key driver to continued growth in the industry.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6"/>
                <w:szCs w:val="16"/>
                <w:b w:val="1"/>
                <w:bCs w:val="1"/>
                <w:color w:val="auto"/>
              </w:rPr>
              <w:t>US and Canada Industry</w:t>
            </w:r>
          </w:p>
        </w:tc>
        <w:tc>
          <w:tcPr>
            <w:tcW w:w="1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58"/>
        </w:trPr>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560" w:type="dxa"/>
            <w:vAlign w:val="bottom"/>
            <w:gridSpan w:val="2"/>
          </w:tcPr>
          <w:p>
            <w:pPr>
              <w:jc w:val="right"/>
              <w:spacing w:after="0"/>
              <w:rPr>
                <w:sz w:val="20"/>
                <w:szCs w:val="20"/>
                <w:color w:val="auto"/>
              </w:rPr>
            </w:pPr>
            <w:r>
              <w:rPr>
                <w:rFonts w:ascii="Arial" w:cs="Arial" w:eastAsia="Arial" w:hAnsi="Arial"/>
                <w:sz w:val="14"/>
                <w:szCs w:val="14"/>
                <w:b w:val="1"/>
                <w:bCs w:val="1"/>
                <w:color w:val="auto"/>
              </w:rPr>
              <w:t>Wholesale Unit Shipments per RVIA</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8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Retail Unit Registrations per Stat Surveys</w:t>
            </w:r>
          </w:p>
        </w:tc>
      </w:tr>
      <w:tr>
        <w:trPr>
          <w:trHeight w:val="276"/>
        </w:trPr>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Rolling 12 Months through August</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Rolling 12 Months through August</w:t>
            </w:r>
          </w:p>
        </w:tc>
        <w:tc>
          <w:tcPr>
            <w:tcW w:w="1060" w:type="dxa"/>
            <w:vAlign w:val="bottom"/>
            <w:tcBorders>
              <w:bottom w:val="single" w:sz="8" w:color="auto"/>
            </w:tcBorders>
          </w:tcPr>
          <w:p>
            <w:pPr>
              <w:spacing w:after="0"/>
              <w:rPr>
                <w:sz w:val="24"/>
                <w:szCs w:val="24"/>
                <w:color w:val="auto"/>
              </w:rPr>
            </w:pPr>
          </w:p>
        </w:tc>
      </w:tr>
      <w:tr>
        <w:trPr>
          <w:trHeight w:val="250"/>
        </w:trPr>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1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2015</w:t>
            </w: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Increase</w:t>
            </w: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2016</w:t>
            </w:r>
          </w:p>
        </w:tc>
        <w:tc>
          <w:tcPr>
            <w:tcW w:w="11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2015</w:t>
            </w:r>
          </w:p>
        </w:tc>
        <w:tc>
          <w:tcPr>
            <w:tcW w:w="13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Increase</w:t>
            </w: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7"/>
        </w:trPr>
        <w:tc>
          <w:tcPr>
            <w:tcW w:w="2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Towable </w:t>
            </w:r>
            <w:r>
              <w:rPr>
                <w:rFonts w:ascii="Arial" w:cs="Arial" w:eastAsia="Arial" w:hAnsi="Arial"/>
                <w:sz w:val="17"/>
                <w:szCs w:val="17"/>
                <w:b w:val="1"/>
                <w:bCs w:val="1"/>
                <w:color w:val="auto"/>
                <w:vertAlign w:val="superscript"/>
              </w:rPr>
              <w:t>(1)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342,154</w:t>
            </w:r>
          </w:p>
        </w:tc>
        <w:tc>
          <w:tcPr>
            <w:tcW w:w="11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309,039</w:t>
            </w: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33,115</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336,604</w:t>
            </w: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306,987</w:t>
            </w:r>
          </w:p>
        </w:tc>
        <w:tc>
          <w:tcPr>
            <w:tcW w:w="13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29,617</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9.6%</w:t>
            </w:r>
          </w:p>
        </w:tc>
      </w:tr>
      <w:tr>
        <w:trPr>
          <w:trHeight w:val="270"/>
        </w:trPr>
        <w:tc>
          <w:tcPr>
            <w:tcW w:w="2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Motorized </w:t>
            </w:r>
            <w:r>
              <w:rPr>
                <w:rFonts w:ascii="Arial" w:cs="Arial" w:eastAsia="Arial" w:hAnsi="Arial"/>
                <w:sz w:val="17"/>
                <w:szCs w:val="17"/>
                <w:b w:val="1"/>
                <w:bCs w:val="1"/>
                <w:color w:val="auto"/>
                <w:vertAlign w:val="superscript"/>
              </w:rPr>
              <w:t>(2)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52,648</w:t>
            </w:r>
          </w:p>
        </w:tc>
        <w:tc>
          <w:tcPr>
            <w:tcW w:w="11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45,248</w:t>
            </w:r>
          </w:p>
        </w:tc>
        <w:tc>
          <w:tcPr>
            <w:tcW w:w="1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7,400</w:t>
            </w: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47,953</w:t>
            </w: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43,370</w:t>
            </w:r>
          </w:p>
        </w:tc>
        <w:tc>
          <w:tcPr>
            <w:tcW w:w="13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4,583</w:t>
            </w: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10.6%</w:t>
            </w:r>
          </w:p>
        </w:tc>
      </w:tr>
      <w:tr>
        <w:trPr>
          <w:trHeight w:val="234"/>
        </w:trPr>
        <w:tc>
          <w:tcPr>
            <w:tcW w:w="2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394,802</w:t>
            </w:r>
          </w:p>
        </w:tc>
        <w:tc>
          <w:tcPr>
            <w:tcW w:w="11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354,287</w:t>
            </w:r>
          </w:p>
        </w:tc>
        <w:tc>
          <w:tcPr>
            <w:tcW w:w="13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40,515</w:t>
            </w: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384,557</w:t>
            </w:r>
          </w:p>
        </w:tc>
        <w:tc>
          <w:tcPr>
            <w:tcW w:w="11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350,357</w:t>
            </w:r>
          </w:p>
        </w:tc>
        <w:tc>
          <w:tcPr>
            <w:tcW w:w="13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34,200</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9.8%</w:t>
            </w:r>
          </w:p>
        </w:tc>
      </w:tr>
      <w:tr>
        <w:trPr>
          <w:trHeight w:val="20"/>
        </w:trPr>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Towable: Fifth wheel and travel trailer products</w:t>
      </w:r>
    </w:p>
    <w:p>
      <w:pPr>
        <w:ind w:left="340" w:hanging="332"/>
        <w:spacing w:after="0" w:line="199" w:lineRule="auto"/>
        <w:tabs>
          <w:tab w:leader="none" w:pos="34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Motorized: Class A, B and C products</w:t>
      </w:r>
    </w:p>
    <w:p>
      <w:pPr>
        <w:spacing w:after="0" w:line="150"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The most recent towable and motorized RVIA wholesale shipment forecasts for calendar year 2016 and 2017 as noted in the table below illustrates continued projected growth of the industry. The outlook for future growth in RV sales is based on continued modest gains in job and disposable income prospects as well as low inflation, and takes into account the impact of slowly rising interest rates, a strong U.S. dollar and continued weakness in energy production and prices.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4"/>
                <w:szCs w:val="14"/>
                <w:b w:val="1"/>
                <w:bCs w:val="1"/>
                <w:color w:val="auto"/>
              </w:rPr>
              <w:t>Calendar Year</w:t>
            </w:r>
          </w:p>
        </w:tc>
        <w:tc>
          <w:tcPr>
            <w:tcW w:w="1300" w:type="dxa"/>
            <w:vAlign w:val="bottom"/>
            <w:tcBorders>
              <w:bottom w:val="single" w:sz="8" w:color="auto"/>
            </w:tcBorders>
          </w:tcPr>
          <w:p>
            <w:pPr>
              <w:spacing w:after="0"/>
              <w:rPr>
                <w:sz w:val="17"/>
                <w:szCs w:val="17"/>
                <w:color w:val="auto"/>
              </w:rPr>
            </w:pPr>
          </w:p>
        </w:tc>
      </w:tr>
      <w:tr>
        <w:trPr>
          <w:trHeight w:val="25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Wholesale Unit Shipment Forecast per RVIA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2017</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Unit Change</w:t>
            </w:r>
          </w:p>
        </w:tc>
        <w:tc>
          <w:tcPr>
            <w:tcW w:w="13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2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344,300</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340,600</w:t>
            </w:r>
          </w:p>
        </w:tc>
        <w:tc>
          <w:tcPr>
            <w:tcW w:w="12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3,700</w:t>
            </w:r>
          </w:p>
        </w:tc>
        <w:tc>
          <w:tcPr>
            <w:tcW w:w="13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1.1%</w:t>
            </w:r>
          </w:p>
        </w:tc>
      </w:tr>
      <w:tr>
        <w:trPr>
          <w:trHeight w:val="264"/>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Motorized</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53,900</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52,200</w:t>
            </w:r>
          </w:p>
        </w:tc>
        <w:tc>
          <w:tcPr>
            <w:tcW w:w="12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1,700</w:t>
            </w:r>
          </w:p>
        </w:tc>
        <w:tc>
          <w:tcPr>
            <w:tcW w:w="13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3.3%</w:t>
            </w:r>
          </w:p>
        </w:tc>
      </w:tr>
      <w:tr>
        <w:trPr>
          <w:trHeight w:val="257"/>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2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398,200</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392,800</w:t>
            </w:r>
          </w:p>
        </w:tc>
        <w:tc>
          <w:tcPr>
            <w:tcW w:w="12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5,400</w:t>
            </w:r>
          </w:p>
        </w:tc>
        <w:tc>
          <w:tcPr>
            <w:tcW w:w="13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1.4%</w:t>
            </w:r>
          </w:p>
        </w:tc>
      </w:tr>
    </w:tbl>
    <w:p>
      <w:pPr>
        <w:spacing w:after="0" w:line="59" w:lineRule="exact"/>
        <w:rPr>
          <w:sz w:val="20"/>
          <w:szCs w:val="20"/>
          <w:color w:val="auto"/>
        </w:rPr>
      </w:pPr>
    </w:p>
    <w:p>
      <w:pPr>
        <w:ind w:left="340" w:right="380" w:hanging="332"/>
        <w:spacing w:after="0" w:line="218" w:lineRule="auto"/>
        <w:tabs>
          <w:tab w:leader="none" w:pos="34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Prepared by Dr. Richard Curtin of the University of Michigan Consumer Survey Research Center for RVIA and reported in the Roadsigns RV Fall 2016 Industry Forecast Issue.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54"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Company Outlook</w:t>
      </w:r>
    </w:p>
    <w:p>
      <w:pPr>
        <w:spacing w:after="0" w:line="187"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Based on our profitable operating results in recent years, we believe that we have demonstrated our ability to maintain our liquidity, cover operations costs, recover fixed assets, and maintain physical capacity at present levels. Our entrance into the Towable market has been successful and we are seeing high growth rates in revenues and earnings in a market significantly larger than the Motorized market.</w:t>
      </w:r>
    </w:p>
    <w:p>
      <w:pPr>
        <w:spacing w:after="0" w:line="17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Our Motorized production facilities are located in largely rural areas of northern Iowa. In addition, the unemployment rate in these areas is currently low. To the extent that we have been able to increase the production rate, we have also incurred incremental operating expenses associated with overtime and workers compensation expense. To overcome these labor shortages we first expanded within the state of Iowa. In Fiscal 2014, we leased an additional manufacturing facility in Lake Mills, Iowa and in the third quarter of Fiscal 2015 we purchased a separate facility in Waverly, Iowa which is also in production. We also exited our bus and aluminum extrusion operation to better deploy our labor in Forest City, Iowa.</w:t>
      </w:r>
    </w:p>
    <w:p>
      <w:pPr>
        <w:spacing w:after="0" w:line="190"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the second quarter of 2016, we purchased a production facility in Junction City, Oregon from a former motorized RV producer. We are expanding some motorhome manufacturing to Junction City in order to diversify our geographical locations. The site also provides a west coast service option for our customers.</w:t>
      </w:r>
    </w:p>
    <w:p>
      <w:pPr>
        <w:spacing w:after="0" w:line="15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expect to continue investing and building for Winnebago’s future. We anticipate modest motorized deliveries growth, which is in line with RVIA’s projection of 3% growth for the industry. We’ve taken steps to improve motorized labor efficiency and expect to see continued improvement in Fiscal 2017. In our Towable segment, we anticipate continued double digit growth, with further penetration of our new products and further expansion of our distribution base. We believe our acquisition of Grand Design, will also help fuel this growth.</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ERP</w:t>
      </w:r>
    </w:p>
    <w:p>
      <w:pPr>
        <w:spacing w:after="0" w:line="25"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In the second quarter of Fiscal 2015, the Board of Directors approved the strategic initiative of implementing an ERP system to replace our legacy business applications. The new ERP platform will provide better support for our changing business needs and plans for future growth. Our initial cost estimates have grown for additional needs of the business such as the acquisition of the Junction City, Oregon plant and the opportunity to integrate the ERP system with additional manufacturing systems. The project includes software, external implementation assistance and increased internal staffing directly related to this initiative. We anticipate that approximately 40% of the cost will be immediately expensed over the life of the project and 60% will be capitalized. The following table illustrates the cumulative project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6"/>
                <w:szCs w:val="16"/>
                <w:b w:val="1"/>
                <w:bCs w:val="1"/>
                <w:color w:val="auto"/>
              </w:rPr>
              <w:t>Fiscal</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Fiscal 2016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Cumulative</w:t>
            </w:r>
          </w:p>
        </w:tc>
      </w:tr>
      <w:tr>
        <w:trPr>
          <w:trHeight w:val="250"/>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Q1</w:t>
            </w: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Q2</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Q3</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Q4</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Investment</w:t>
            </w:r>
          </w:p>
        </w:tc>
      </w:tr>
      <w:tr>
        <w:trPr>
          <w:trHeight w:val="25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Capitalized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11,089</w:t>
            </w: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Expensed</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1,742</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5,930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8,458</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5,819</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2,775</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3,230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3,640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4,083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13,728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19,547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hanging="332"/>
        <w:spacing w:after="0" w:line="196" w:lineRule="exact"/>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During Fiscal 2016, we placed in service $6.3 million of our cumulative investment. These capitalized investments are amortized over a 10</w:t>
      </w:r>
      <w:r>
        <w:rPr>
          <w:rFonts w:ascii="MS PGothic" w:cs="MS PGothic" w:eastAsia="MS PGothic" w:hAnsi="MS PGothic"/>
          <w:sz w:val="14"/>
          <w:szCs w:val="14"/>
          <w:color w:val="auto"/>
        </w:rPr>
        <w:t>‑</w:t>
      </w:r>
      <w:r>
        <w:rPr>
          <w:rFonts w:ascii="Arial" w:cs="Arial" w:eastAsia="Arial" w:hAnsi="Arial"/>
          <w:sz w:val="14"/>
          <w:szCs w:val="14"/>
          <w:color w:val="auto"/>
        </w:rPr>
        <w:t>year life.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2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Materials cost is the primary component in the cost of our products. Historically, the impact of inflation on our operations has not been significantly detrimental, as we have historically been able to adjust our prices to reflect the inflationary impact on the cost of manufacturing our products. While we have historically been able to pass on these increased costs, in the event we are unable to continue to do so due to market conditions, future increases in manufacturing costs could have a material adverse effect on our results of operations.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2016 Compared to Fiscal 2015</w:t>
      </w:r>
    </w:p>
    <w:p>
      <w:pPr>
        <w:spacing w:after="0" w:line="18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27, 2016 compared to the fiscal year ended August 29, 2015: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w:t>
            </w:r>
          </w:p>
        </w:tc>
        <w:tc>
          <w:tcPr>
            <w:tcW w:w="140" w:type="dxa"/>
            <w:vAlign w:val="bottom"/>
          </w:tcPr>
          <w:p>
            <w:pPr>
              <w:spacing w:after="0"/>
              <w:rPr>
                <w:sz w:val="17"/>
                <w:szCs w:val="17"/>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27,</w:t>
            </w: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7"/>
                <w:szCs w:val="17"/>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29,</w:t>
            </w: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7"/>
                <w:szCs w:val="17"/>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 share data)</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60" w:type="dxa"/>
            <w:vAlign w:val="bottom"/>
            <w:tcBorders>
              <w:bottom w:val="single" w:sz="8" w:color="auto"/>
            </w:tcBorders>
          </w:tcPr>
          <w:p>
            <w:pPr>
              <w:jc w:val="right"/>
              <w:ind w:right="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80" w:type="dxa"/>
            <w:vAlign w:val="bottom"/>
            <w:tcBorders>
              <w:bottom w:val="single" w:sz="8" w:color="auto"/>
            </w:tcBorders>
          </w:tcPr>
          <w:p>
            <w:pPr>
              <w:jc w:val="right"/>
              <w:ind w:right="11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975,226</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976,505</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(1,279)</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r>
      <w:tr>
        <w:trPr>
          <w:trHeight w:val="23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862,577</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88.4%</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871,625</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89.3%</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(9,048)</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112,649</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104,880</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7,769</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General and administrative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Impairment on fixed assets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income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Non-operating income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before income taxes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taxes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580" w:type="dxa"/>
            <w:vAlign w:val="bottom"/>
          </w:tcPr>
          <w:p>
            <w:pPr>
              <w:jc w:val="right"/>
              <w:ind w:right="399"/>
              <w:spacing w:after="0"/>
              <w:rPr>
                <w:sz w:val="20"/>
                <w:szCs w:val="20"/>
                <w:color w:val="auto"/>
              </w:rPr>
            </w:pPr>
            <w:r>
              <w:rPr>
                <w:rFonts w:ascii="Arial" w:cs="Arial" w:eastAsia="Arial" w:hAnsi="Arial"/>
                <w:sz w:val="16"/>
                <w:szCs w:val="16"/>
                <w:color w:val="auto"/>
              </w:rPr>
              <w:t>19,823</w:t>
            </w: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2.0%</w:t>
            </w:r>
          </w:p>
        </w:tc>
        <w:tc>
          <w:tcPr>
            <w:tcW w:w="1380" w:type="dxa"/>
            <w:vAlign w:val="bottom"/>
          </w:tcPr>
          <w:p>
            <w:pPr>
              <w:jc w:val="right"/>
              <w:ind w:right="419"/>
              <w:spacing w:after="0"/>
              <w:rPr>
                <w:sz w:val="20"/>
                <w:szCs w:val="20"/>
                <w:color w:val="auto"/>
              </w:rPr>
            </w:pPr>
            <w:r>
              <w:rPr>
                <w:rFonts w:ascii="Arial" w:cs="Arial" w:eastAsia="Arial" w:hAnsi="Arial"/>
                <w:sz w:val="16"/>
                <w:szCs w:val="16"/>
                <w:color w:val="auto"/>
              </w:rPr>
              <w:t>19,161</w:t>
            </w:r>
          </w:p>
        </w:tc>
        <w:tc>
          <w:tcPr>
            <w:tcW w:w="1300" w:type="dxa"/>
            <w:vAlign w:val="bottom"/>
          </w:tcPr>
          <w:p>
            <w:pPr>
              <w:jc w:val="right"/>
              <w:ind w:right="359"/>
              <w:spacing w:after="0"/>
              <w:rPr>
                <w:sz w:val="20"/>
                <w:szCs w:val="20"/>
                <w:color w:val="auto"/>
              </w:rPr>
            </w:pPr>
            <w:r>
              <w:rPr>
                <w:rFonts w:ascii="Arial" w:cs="Arial" w:eastAsia="Arial" w:hAnsi="Arial"/>
                <w:sz w:val="16"/>
                <w:szCs w:val="16"/>
                <w:color w:val="auto"/>
              </w:rPr>
              <w:t>2.0%</w:t>
            </w:r>
          </w:p>
        </w:tc>
        <w:tc>
          <w:tcPr>
            <w:tcW w:w="1240" w:type="dxa"/>
            <w:vAlign w:val="bottom"/>
          </w:tcPr>
          <w:p>
            <w:pPr>
              <w:jc w:val="right"/>
              <w:ind w:right="319"/>
              <w:spacing w:after="0"/>
              <w:rPr>
                <w:sz w:val="20"/>
                <w:szCs w:val="20"/>
                <w:color w:val="auto"/>
              </w:rPr>
            </w:pPr>
            <w:r>
              <w:rPr>
                <w:rFonts w:ascii="Arial" w:cs="Arial" w:eastAsia="Arial" w:hAnsi="Arial"/>
                <w:sz w:val="16"/>
                <w:szCs w:val="16"/>
                <w:color w:val="auto"/>
              </w:rPr>
              <w:t>662</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3.5 %</w:t>
            </w:r>
          </w:p>
        </w:tc>
      </w:tr>
      <w:tr>
        <w:trPr>
          <w:trHeight w:val="243"/>
        </w:trPr>
        <w:tc>
          <w:tcPr>
            <w:tcW w:w="1580" w:type="dxa"/>
            <w:vAlign w:val="bottom"/>
          </w:tcPr>
          <w:p>
            <w:pPr>
              <w:jc w:val="right"/>
              <w:ind w:right="399"/>
              <w:spacing w:after="0"/>
              <w:rPr>
                <w:sz w:val="20"/>
                <w:szCs w:val="20"/>
                <w:color w:val="auto"/>
              </w:rPr>
            </w:pPr>
            <w:r>
              <w:rPr>
                <w:rFonts w:ascii="Arial" w:cs="Arial" w:eastAsia="Arial" w:hAnsi="Arial"/>
                <w:sz w:val="16"/>
                <w:szCs w:val="16"/>
                <w:color w:val="auto"/>
              </w:rPr>
              <w:t>27,085</w:t>
            </w: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2.8%</w:t>
            </w:r>
          </w:p>
        </w:tc>
        <w:tc>
          <w:tcPr>
            <w:tcW w:w="1380" w:type="dxa"/>
            <w:vAlign w:val="bottom"/>
          </w:tcPr>
          <w:p>
            <w:pPr>
              <w:jc w:val="right"/>
              <w:ind w:right="419"/>
              <w:spacing w:after="0"/>
              <w:rPr>
                <w:sz w:val="20"/>
                <w:szCs w:val="20"/>
                <w:color w:val="auto"/>
              </w:rPr>
            </w:pPr>
            <w:r>
              <w:rPr>
                <w:rFonts w:ascii="Arial" w:cs="Arial" w:eastAsia="Arial" w:hAnsi="Arial"/>
                <w:sz w:val="16"/>
                <w:szCs w:val="16"/>
                <w:color w:val="auto"/>
              </w:rPr>
              <w:t>25,838</w:t>
            </w:r>
          </w:p>
        </w:tc>
        <w:tc>
          <w:tcPr>
            <w:tcW w:w="1300" w:type="dxa"/>
            <w:vAlign w:val="bottom"/>
          </w:tcPr>
          <w:p>
            <w:pPr>
              <w:jc w:val="right"/>
              <w:ind w:right="359"/>
              <w:spacing w:after="0"/>
              <w:rPr>
                <w:sz w:val="20"/>
                <w:szCs w:val="20"/>
                <w:color w:val="auto"/>
              </w:rPr>
            </w:pPr>
            <w:r>
              <w:rPr>
                <w:rFonts w:ascii="Arial" w:cs="Arial" w:eastAsia="Arial" w:hAnsi="Arial"/>
                <w:sz w:val="16"/>
                <w:szCs w:val="16"/>
                <w:color w:val="auto"/>
              </w:rPr>
              <w:t>2.6%</w:t>
            </w:r>
          </w:p>
        </w:tc>
        <w:tc>
          <w:tcPr>
            <w:tcW w:w="1240" w:type="dxa"/>
            <w:vAlign w:val="bottom"/>
          </w:tcPr>
          <w:p>
            <w:pPr>
              <w:jc w:val="right"/>
              <w:ind w:right="319"/>
              <w:spacing w:after="0"/>
              <w:rPr>
                <w:sz w:val="20"/>
                <w:szCs w:val="20"/>
                <w:color w:val="auto"/>
              </w:rPr>
            </w:pPr>
            <w:r>
              <w:rPr>
                <w:rFonts w:ascii="Arial" w:cs="Arial" w:eastAsia="Arial" w:hAnsi="Arial"/>
                <w:sz w:val="16"/>
                <w:szCs w:val="16"/>
                <w:color w:val="auto"/>
              </w:rPr>
              <w:t>1,247</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4.8 %</w:t>
            </w:r>
          </w:p>
        </w:tc>
      </w:tr>
      <w:tr>
        <w:trPr>
          <w:trHeight w:val="256"/>
        </w:trPr>
        <w:tc>
          <w:tcPr>
            <w:tcW w:w="1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462</w:t>
            </w:r>
          </w:p>
        </w:tc>
        <w:tc>
          <w:tcPr>
            <w:tcW w:w="13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(462)</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NMF</w:t>
            </w:r>
          </w:p>
        </w:tc>
      </w:tr>
      <w:tr>
        <w:trPr>
          <w:trHeight w:val="237"/>
        </w:trPr>
        <w:tc>
          <w:tcPr>
            <w:tcW w:w="1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46,908</w:t>
            </w: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4.8%</w:t>
            </w: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45,461</w:t>
            </w:r>
          </w:p>
        </w:tc>
        <w:tc>
          <w:tcPr>
            <w:tcW w:w="13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4.7%</w:t>
            </w:r>
          </w:p>
        </w:tc>
        <w:tc>
          <w:tcPr>
            <w:tcW w:w="12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1,447</w:t>
            </w: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3.2 %</w:t>
            </w:r>
          </w:p>
        </w:tc>
      </w:tr>
      <w:tr>
        <w:trPr>
          <w:trHeight w:val="507"/>
        </w:trPr>
        <w:tc>
          <w:tcPr>
            <w:tcW w:w="1580" w:type="dxa"/>
            <w:vAlign w:val="bottom"/>
          </w:tcPr>
          <w:p>
            <w:pPr>
              <w:jc w:val="right"/>
              <w:ind w:right="399"/>
              <w:spacing w:after="0"/>
              <w:rPr>
                <w:sz w:val="20"/>
                <w:szCs w:val="20"/>
                <w:color w:val="auto"/>
              </w:rPr>
            </w:pPr>
            <w:r>
              <w:rPr>
                <w:rFonts w:ascii="Arial" w:cs="Arial" w:eastAsia="Arial" w:hAnsi="Arial"/>
                <w:sz w:val="16"/>
                <w:szCs w:val="16"/>
                <w:color w:val="auto"/>
              </w:rPr>
              <w:t>65,741</w:t>
            </w: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6.7%</w:t>
            </w:r>
          </w:p>
        </w:tc>
        <w:tc>
          <w:tcPr>
            <w:tcW w:w="1380" w:type="dxa"/>
            <w:vAlign w:val="bottom"/>
          </w:tcPr>
          <w:p>
            <w:pPr>
              <w:jc w:val="right"/>
              <w:ind w:right="419"/>
              <w:spacing w:after="0"/>
              <w:rPr>
                <w:sz w:val="20"/>
                <w:szCs w:val="20"/>
                <w:color w:val="auto"/>
              </w:rPr>
            </w:pPr>
            <w:r>
              <w:rPr>
                <w:rFonts w:ascii="Arial" w:cs="Arial" w:eastAsia="Arial" w:hAnsi="Arial"/>
                <w:sz w:val="16"/>
                <w:szCs w:val="16"/>
                <w:color w:val="auto"/>
              </w:rPr>
              <w:t>59,419</w:t>
            </w:r>
          </w:p>
        </w:tc>
        <w:tc>
          <w:tcPr>
            <w:tcW w:w="1300" w:type="dxa"/>
            <w:vAlign w:val="bottom"/>
          </w:tcPr>
          <w:p>
            <w:pPr>
              <w:jc w:val="right"/>
              <w:ind w:right="359"/>
              <w:spacing w:after="0"/>
              <w:rPr>
                <w:sz w:val="20"/>
                <w:szCs w:val="20"/>
                <w:color w:val="auto"/>
              </w:rPr>
            </w:pPr>
            <w:r>
              <w:rPr>
                <w:rFonts w:ascii="Arial" w:cs="Arial" w:eastAsia="Arial" w:hAnsi="Arial"/>
                <w:sz w:val="16"/>
                <w:szCs w:val="16"/>
                <w:color w:val="auto"/>
              </w:rPr>
              <w:t>6.1%</w:t>
            </w:r>
          </w:p>
        </w:tc>
        <w:tc>
          <w:tcPr>
            <w:tcW w:w="1240" w:type="dxa"/>
            <w:vAlign w:val="bottom"/>
          </w:tcPr>
          <w:p>
            <w:pPr>
              <w:jc w:val="right"/>
              <w:ind w:right="319"/>
              <w:spacing w:after="0"/>
              <w:rPr>
                <w:sz w:val="20"/>
                <w:szCs w:val="20"/>
                <w:color w:val="auto"/>
              </w:rPr>
            </w:pPr>
            <w:r>
              <w:rPr>
                <w:rFonts w:ascii="Arial" w:cs="Arial" w:eastAsia="Arial" w:hAnsi="Arial"/>
                <w:sz w:val="16"/>
                <w:szCs w:val="16"/>
                <w:color w:val="auto"/>
              </w:rPr>
              <w:t>6,322</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10.6 %</w:t>
            </w:r>
          </w:p>
        </w:tc>
      </w:tr>
      <w:tr>
        <w:trPr>
          <w:trHeight w:val="256"/>
        </w:trPr>
        <w:tc>
          <w:tcPr>
            <w:tcW w:w="1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457</w:t>
            </w: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115</w:t>
            </w:r>
          </w:p>
        </w:tc>
        <w:tc>
          <w:tcPr>
            <w:tcW w:w="13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342</w:t>
            </w: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297.4 %</w:t>
            </w:r>
          </w:p>
        </w:tc>
      </w:tr>
      <w:tr>
        <w:trPr>
          <w:trHeight w:val="224"/>
        </w:trPr>
        <w:tc>
          <w:tcPr>
            <w:tcW w:w="1580" w:type="dxa"/>
            <w:vAlign w:val="bottom"/>
          </w:tcPr>
          <w:p>
            <w:pPr>
              <w:jc w:val="right"/>
              <w:ind w:right="399"/>
              <w:spacing w:after="0"/>
              <w:rPr>
                <w:sz w:val="20"/>
                <w:szCs w:val="20"/>
                <w:color w:val="auto"/>
              </w:rPr>
            </w:pPr>
            <w:r>
              <w:rPr>
                <w:rFonts w:ascii="Arial" w:cs="Arial" w:eastAsia="Arial" w:hAnsi="Arial"/>
                <w:sz w:val="16"/>
                <w:szCs w:val="16"/>
                <w:color w:val="auto"/>
              </w:rPr>
              <w:t>66,198</w:t>
            </w: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6.8%</w:t>
            </w:r>
          </w:p>
        </w:tc>
        <w:tc>
          <w:tcPr>
            <w:tcW w:w="1380" w:type="dxa"/>
            <w:vAlign w:val="bottom"/>
          </w:tcPr>
          <w:p>
            <w:pPr>
              <w:jc w:val="right"/>
              <w:ind w:right="419"/>
              <w:spacing w:after="0"/>
              <w:rPr>
                <w:sz w:val="20"/>
                <w:szCs w:val="20"/>
                <w:color w:val="auto"/>
              </w:rPr>
            </w:pPr>
            <w:r>
              <w:rPr>
                <w:rFonts w:ascii="Arial" w:cs="Arial" w:eastAsia="Arial" w:hAnsi="Arial"/>
                <w:sz w:val="16"/>
                <w:szCs w:val="16"/>
                <w:color w:val="auto"/>
              </w:rPr>
              <w:t>59,534</w:t>
            </w:r>
          </w:p>
        </w:tc>
        <w:tc>
          <w:tcPr>
            <w:tcW w:w="1300" w:type="dxa"/>
            <w:vAlign w:val="bottom"/>
          </w:tcPr>
          <w:p>
            <w:pPr>
              <w:jc w:val="right"/>
              <w:ind w:right="359"/>
              <w:spacing w:after="0"/>
              <w:rPr>
                <w:sz w:val="20"/>
                <w:szCs w:val="20"/>
                <w:color w:val="auto"/>
              </w:rPr>
            </w:pPr>
            <w:r>
              <w:rPr>
                <w:rFonts w:ascii="Arial" w:cs="Arial" w:eastAsia="Arial" w:hAnsi="Arial"/>
                <w:sz w:val="16"/>
                <w:szCs w:val="16"/>
                <w:color w:val="auto"/>
              </w:rPr>
              <w:t>6.1%</w:t>
            </w:r>
          </w:p>
        </w:tc>
        <w:tc>
          <w:tcPr>
            <w:tcW w:w="1240" w:type="dxa"/>
            <w:vAlign w:val="bottom"/>
          </w:tcPr>
          <w:p>
            <w:pPr>
              <w:jc w:val="right"/>
              <w:ind w:right="319"/>
              <w:spacing w:after="0"/>
              <w:rPr>
                <w:sz w:val="20"/>
                <w:szCs w:val="20"/>
                <w:color w:val="auto"/>
              </w:rPr>
            </w:pPr>
            <w:r>
              <w:rPr>
                <w:rFonts w:ascii="Arial" w:cs="Arial" w:eastAsia="Arial" w:hAnsi="Arial"/>
                <w:sz w:val="16"/>
                <w:szCs w:val="16"/>
                <w:color w:val="auto"/>
              </w:rPr>
              <w:t>6,664</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11.2 %</w:t>
            </w:r>
          </w:p>
        </w:tc>
      </w:tr>
      <w:tr>
        <w:trPr>
          <w:trHeight w:val="243"/>
        </w:trPr>
        <w:tc>
          <w:tcPr>
            <w:tcW w:w="1580" w:type="dxa"/>
            <w:vAlign w:val="bottom"/>
          </w:tcPr>
          <w:p>
            <w:pPr>
              <w:jc w:val="right"/>
              <w:ind w:right="399"/>
              <w:spacing w:after="0"/>
              <w:rPr>
                <w:sz w:val="20"/>
                <w:szCs w:val="20"/>
                <w:color w:val="auto"/>
              </w:rPr>
            </w:pPr>
            <w:r>
              <w:rPr>
                <w:rFonts w:ascii="Arial" w:cs="Arial" w:eastAsia="Arial" w:hAnsi="Arial"/>
                <w:sz w:val="16"/>
                <w:szCs w:val="16"/>
                <w:color w:val="auto"/>
              </w:rPr>
              <w:t>20,702</w:t>
            </w: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2.1%</w:t>
            </w:r>
          </w:p>
        </w:tc>
        <w:tc>
          <w:tcPr>
            <w:tcW w:w="1380" w:type="dxa"/>
            <w:vAlign w:val="bottom"/>
          </w:tcPr>
          <w:p>
            <w:pPr>
              <w:jc w:val="right"/>
              <w:ind w:right="419"/>
              <w:spacing w:after="0"/>
              <w:rPr>
                <w:sz w:val="20"/>
                <w:szCs w:val="20"/>
                <w:color w:val="auto"/>
              </w:rPr>
            </w:pPr>
            <w:r>
              <w:rPr>
                <w:rFonts w:ascii="Arial" w:cs="Arial" w:eastAsia="Arial" w:hAnsi="Arial"/>
                <w:sz w:val="16"/>
                <w:szCs w:val="16"/>
                <w:color w:val="auto"/>
              </w:rPr>
              <w:t>18,324</w:t>
            </w:r>
          </w:p>
        </w:tc>
        <w:tc>
          <w:tcPr>
            <w:tcW w:w="1300" w:type="dxa"/>
            <w:vAlign w:val="bottom"/>
          </w:tcPr>
          <w:p>
            <w:pPr>
              <w:jc w:val="right"/>
              <w:ind w:right="359"/>
              <w:spacing w:after="0"/>
              <w:rPr>
                <w:sz w:val="20"/>
                <w:szCs w:val="20"/>
                <w:color w:val="auto"/>
              </w:rPr>
            </w:pPr>
            <w:r>
              <w:rPr>
                <w:rFonts w:ascii="Arial" w:cs="Arial" w:eastAsia="Arial" w:hAnsi="Arial"/>
                <w:sz w:val="16"/>
                <w:szCs w:val="16"/>
                <w:color w:val="auto"/>
              </w:rPr>
              <w:t>1.9%</w:t>
            </w:r>
          </w:p>
        </w:tc>
        <w:tc>
          <w:tcPr>
            <w:tcW w:w="1240" w:type="dxa"/>
            <w:vAlign w:val="bottom"/>
          </w:tcPr>
          <w:p>
            <w:pPr>
              <w:jc w:val="right"/>
              <w:ind w:right="319"/>
              <w:spacing w:after="0"/>
              <w:rPr>
                <w:sz w:val="20"/>
                <w:szCs w:val="20"/>
                <w:color w:val="auto"/>
              </w:rPr>
            </w:pPr>
            <w:r>
              <w:rPr>
                <w:rFonts w:ascii="Arial" w:cs="Arial" w:eastAsia="Arial" w:hAnsi="Arial"/>
                <w:sz w:val="16"/>
                <w:szCs w:val="16"/>
                <w:color w:val="auto"/>
              </w:rPr>
              <w:t>2,378</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-1118870</wp:posOffset>
            </wp:positionV>
            <wp:extent cx="72466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-801370</wp:posOffset>
            </wp:positionV>
            <wp:extent cx="72466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-458470</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-141605</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2820" w:space="720"/>
            <w:col w:w="7880"/>
          </w:cols>
          <w:pgMar w:left="240" w:top="364" w:right="239" w:bottom="1440" w:gutter="0" w:footer="0" w:header="0"/>
          <w:type w:val="continuous"/>
        </w:sectPr>
      </w:pPr>
    </w:p>
    <w:tbl>
      <w:tblPr>
        <w:tblLayout w:type="fixed"/>
        <w:tblInd w:w="0" w:type="dxa"/>
        <w:tblCellMar>
          <w:top w:w="0" w:type="dxa"/>
          <w:left w:w="0" w:type="dxa"/>
          <w:bottom w:w="0" w:type="dxa"/>
          <w:right w:w="0" w:type="dxa"/>
        </w:tblCellMar>
      </w:tblPr>
      <w:tr>
        <w:trPr>
          <w:trHeight w:val="251"/>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45,496</w:t>
            </w:r>
          </w:p>
        </w:tc>
        <w:tc>
          <w:tcPr>
            <w:tcW w:w="17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4.7%   $</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41,210</w:t>
            </w:r>
          </w:p>
        </w:tc>
        <w:tc>
          <w:tcPr>
            <w:tcW w:w="1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4.2%   $</w:t>
            </w: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4,286</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10.4 %</w:t>
            </w: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0.16</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10.5 %</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1"/>
        </w:trPr>
        <w:tc>
          <w:tcPr>
            <w:tcW w:w="3540" w:type="dxa"/>
            <w:vAlign w:val="bottom"/>
          </w:tcPr>
          <w:p>
            <w:pPr>
              <w:ind w:left="40"/>
              <w:spacing w:after="0"/>
              <w:rPr>
                <w:sz w:val="20"/>
                <w:szCs w:val="20"/>
                <w:color w:val="auto"/>
              </w:rPr>
            </w:pPr>
            <w:r>
              <w:rPr>
                <w:rFonts w:ascii="Arial" w:cs="Arial" w:eastAsia="Arial" w:hAnsi="Arial"/>
                <w:sz w:val="16"/>
                <w:szCs w:val="16"/>
                <w:color w:val="auto"/>
              </w:rPr>
              <w:t>Diluted average shares outstanding</w:t>
            </w:r>
          </w:p>
        </w:tc>
        <w:tc>
          <w:tcPr>
            <w:tcW w:w="3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27,033</w:t>
            </w: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27,051</w:t>
            </w: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3810</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20955</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3810</wp:posOffset>
            </wp:positionV>
            <wp:extent cx="771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20955</wp:posOffset>
            </wp:positionV>
            <wp:extent cx="771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left="160" w:hanging="152"/>
        <w:spacing w:after="0" w:line="205"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Percentages and dollars may not add due to rounding differences.</w:t>
      </w:r>
    </w:p>
    <w:p>
      <w:pPr>
        <w:spacing w:after="0" w:line="177"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Consolidated net revenues decreased $1.3 million or 0.1% in Fiscal 2016 over Fiscal 2015. This is driven by the $21.1 million decrease in Motorized other manufactured products due to our exit of the aluminum extrusion and bus operations. Both of these operations provided very low margins while consuming production labor in Forest City, Iowa. Labor has been redirected to higher margin motorhome production. This decrease is offset by modest increases in motorhome net revenues and a $17.7 million increase in Towable revenues due to unit deliveries increasing in Fiscal 2016 over Fiscal 2015 by 57.3%.</w:t>
      </w:r>
    </w:p>
    <w:p>
      <w:pPr>
        <w:spacing w:after="0" w:line="176"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Cost of goods sold was $862.6 million, or 88.4% of net revenues for Fiscal 2016 compared to $871.6 million, or 89.3% of net revenues for Fiscal 2015 due to the following:</w:t>
      </w:r>
    </w:p>
    <w:p>
      <w:pPr>
        <w:spacing w:after="0" w:line="1" w:lineRule="exact"/>
        <w:rPr>
          <w:sz w:val="20"/>
          <w:szCs w:val="20"/>
          <w:color w:val="auto"/>
        </w:rPr>
      </w:pPr>
    </w:p>
    <w:p>
      <w:pPr>
        <w:ind w:left="340" w:right="30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to 83.2% from 84.0% primarily due to improved material sourcing, product shift to a more favorable mix, and cessation of bus and virtually all aluminum extrusion operations which were less profitable than the remainder of our RV products.</w:t>
      </w:r>
    </w:p>
    <w:p>
      <w:pPr>
        <w:spacing w:after="0" w:line="1"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were comparable at 5.2% of net revenues compared to 5.2% in the prior year.</w:t>
      </w: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10.7% to 11.6% of net revenues.</w:t>
      </w:r>
    </w:p>
    <w:p>
      <w:pPr>
        <w:spacing w:after="0" w:line="16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Selling expenses were 2.0% of net revenues in both Fiscal 2016 and Fiscal 2015, respectively. Selling expenses are largely variable and remained proportional to revenues in Fiscal 2016.</w:t>
      </w:r>
    </w:p>
    <w:p>
      <w:pPr>
        <w:spacing w:after="0" w:line="14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General and administrative expenses were 2.8% and 2.6% of net revenues in Fiscal 2016 and Fiscal 2015, respectively. General and administrative expenses increased $1.2 million, or 4.8%, in Fiscal 2016. This increase was due primarily to an increase in ERP related expenses of $3.4 million, bonuses earned of $2.8 million, and $700,000 in compensation, benefits and recruiting costs associated with strengthening the management team, and $355,000 in transaction related costs pertaining to the pending acquisition of Grand Design. These increases were partially offset by favorable legal settlements of $3.4 million in Fiscal 2016, a reduction in professional fees of $1.6 million incurred in Fiscal 2015 related to the strategic sourcing program, and a reduction of $1.0 million in costs associated with the former CEO retirement agreement in Fiscal 2015.</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2015, we also recorded an asset impairment on our corporate plane of $462,000.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Non-operating income increased $342,000, in Fiscal 2016, primarily due to higher proceeds from COLI policies than we received in Fiscal 2015.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4" w:right="239" w:bottom="1440" w:gutter="0" w:footer="0" w:header="0"/>
          <w:type w:val="continuous"/>
        </w:sectPr>
      </w:pPr>
    </w:p>
    <w:bookmarkStart w:id="14" w:name="page15"/>
    <w:bookmarkEnd w:id="14"/>
    <w:p>
      <w:pPr>
        <w:jc w:val="both"/>
        <w:ind w:right="20"/>
        <w:spacing w:after="0" w:line="253" w:lineRule="auto"/>
        <w:rPr>
          <w:sz w:val="20"/>
          <w:szCs w:val="20"/>
          <w:color w:val="auto"/>
        </w:rPr>
      </w:pPr>
      <w:r>
        <w:rPr>
          <w:rFonts w:ascii="Arial" w:cs="Arial" w:eastAsia="Arial" w:hAnsi="Arial"/>
          <w:sz w:val="16"/>
          <w:szCs w:val="16"/>
          <w:color w:val="auto"/>
        </w:rPr>
        <w:t>The effective tax rate for Fiscal 2016 was 31.3% compared to 30.8% in Fiscal 2015. The increase in the effective tax rate is due to a reduction in the amount of the Domestic Production Activities Deduction applicable in Fiscal 2016 as compared to Fiscal 2015. The reduction in this deduction was partially offset by other tax credits. See Note 10.</w:t>
      </w:r>
    </w:p>
    <w:p>
      <w:pPr>
        <w:spacing w:after="0" w:line="174"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Net income and diluted income per share were $45.5 million and $1.68 per share, respectively, for Fiscal 2016. In Fiscal 2015, net income was $41.2 million and diluted income per share was $1.52.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5" w:lineRule="exact"/>
        <w:rPr>
          <w:sz w:val="20"/>
          <w:szCs w:val="20"/>
          <w:color w:val="auto"/>
        </w:rPr>
      </w:pPr>
    </w:p>
    <w:p>
      <w:pPr>
        <w:ind w:left="340" w:right="20" w:hanging="332"/>
        <w:spacing w:after="0" w:line="251"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provided the following non-GAAP financial measures, which are not calculated or presented in accordance with GAAP,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below may differ from similar measures used by other companies.</w:t>
      </w:r>
    </w:p>
    <w:p>
      <w:pPr>
        <w:spacing w:after="0" w:line="176"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6"/>
          <w:szCs w:val="16"/>
          <w:color w:val="auto"/>
        </w:rPr>
        <w:t>The following table reconciles net income to consolidated Adjusted EBITDA.</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6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Year Ended</w:t>
            </w:r>
          </w:p>
        </w:tc>
        <w:tc>
          <w:tcPr>
            <w:tcW w:w="1580" w:type="dxa"/>
            <w:vAlign w:val="bottom"/>
            <w:tcBorders>
              <w:bottom w:val="single" w:sz="8" w:color="auto"/>
            </w:tcBorders>
          </w:tcPr>
          <w:p>
            <w:pPr>
              <w:spacing w:after="0"/>
              <w:rPr>
                <w:sz w:val="19"/>
                <w:szCs w:val="19"/>
                <w:color w:val="auto"/>
              </w:rPr>
            </w:pPr>
          </w:p>
        </w:tc>
      </w:tr>
      <w:tr>
        <w:trPr>
          <w:trHeight w:val="198"/>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gridSpan w:val="2"/>
          </w:tcPr>
          <w:p>
            <w:pPr>
              <w:ind w:left="260"/>
              <w:spacing w:after="0"/>
              <w:rPr>
                <w:sz w:val="20"/>
                <w:szCs w:val="20"/>
                <w:color w:val="auto"/>
              </w:rPr>
            </w:pPr>
            <w:r>
              <w:rPr>
                <w:rFonts w:ascii="Arial" w:cs="Arial" w:eastAsia="Arial" w:hAnsi="Arial"/>
                <w:sz w:val="16"/>
                <w:szCs w:val="16"/>
                <w:b w:val="1"/>
                <w:bCs w:val="1"/>
                <w:color w:val="auto"/>
              </w:rPr>
              <w:t>August 27,</w:t>
            </w:r>
          </w:p>
        </w:tc>
        <w:tc>
          <w:tcPr>
            <w:tcW w:w="520" w:type="dxa"/>
            <w:vAlign w:val="bottom"/>
          </w:tcPr>
          <w:p>
            <w:pPr>
              <w:spacing w:after="0"/>
              <w:rPr>
                <w:sz w:val="17"/>
                <w:szCs w:val="17"/>
                <w:color w:val="auto"/>
              </w:rPr>
            </w:pPr>
          </w:p>
        </w:tc>
        <w:tc>
          <w:tcPr>
            <w:tcW w:w="1580" w:type="dxa"/>
            <w:vAlign w:val="bottom"/>
          </w:tcPr>
          <w:p>
            <w:pPr>
              <w:jc w:val="right"/>
              <w:ind w:right="579"/>
              <w:spacing w:after="0"/>
              <w:rPr>
                <w:sz w:val="20"/>
                <w:szCs w:val="20"/>
                <w:color w:val="auto"/>
              </w:rPr>
            </w:pPr>
            <w:r>
              <w:rPr>
                <w:rFonts w:ascii="Arial" w:cs="Arial" w:eastAsia="Arial" w:hAnsi="Arial"/>
                <w:sz w:val="16"/>
                <w:szCs w:val="16"/>
                <w:b w:val="1"/>
                <w:bCs w:val="1"/>
                <w:color w:val="auto"/>
              </w:rPr>
              <w:t>August 29,</w:t>
            </w:r>
          </w:p>
        </w:tc>
      </w:tr>
      <w:tr>
        <w:trPr>
          <w:trHeight w:val="228"/>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2015</w:t>
            </w:r>
          </w:p>
        </w:tc>
      </w:tr>
      <w:tr>
        <w:trPr>
          <w:trHeight w:val="257"/>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45,496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41,210</w:t>
            </w:r>
          </w:p>
        </w:tc>
      </w:tr>
      <w:tr>
        <w:trPr>
          <w:trHeight w:val="260"/>
        </w:trPr>
        <w:tc>
          <w:tcPr>
            <w:tcW w:w="6780" w:type="dxa"/>
            <w:vAlign w:val="bottom"/>
            <w:gridSpan w:val="2"/>
          </w:tcPr>
          <w:p>
            <w:pPr>
              <w:ind w:left="16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2"/>
                <w:szCs w:val="22"/>
                <w:color w:val="auto"/>
              </w:rPr>
            </w:pPr>
          </w:p>
        </w:tc>
        <w:tc>
          <w:tcPr>
            <w:tcW w:w="1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1580" w:type="dxa"/>
            <w:vAlign w:val="bottom"/>
          </w:tcPr>
          <w:p>
            <w:pPr>
              <w:jc w:val="right"/>
              <w:ind w:right="239"/>
              <w:spacing w:after="0"/>
              <w:rPr>
                <w:sz w:val="20"/>
                <w:szCs w:val="20"/>
                <w:color w:val="auto"/>
              </w:rPr>
            </w:pPr>
            <w:r>
              <w:rPr>
                <w:rFonts w:ascii="Arial" w:cs="Arial" w:eastAsia="Arial" w:hAnsi="Arial"/>
                <w:sz w:val="16"/>
                <w:szCs w:val="16"/>
                <w:color w:val="auto"/>
              </w:rPr>
              <w:t>10</w:t>
            </w:r>
          </w:p>
        </w:tc>
      </w:tr>
      <w:tr>
        <w:trPr>
          <w:trHeight w:val="280"/>
        </w:trPr>
        <w:tc>
          <w:tcPr>
            <w:tcW w:w="6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Provision for income taxes</w:t>
            </w:r>
          </w:p>
        </w:tc>
        <w:tc>
          <w:tcPr>
            <w:tcW w:w="3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20,702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18,324</w:t>
            </w:r>
          </w:p>
        </w:tc>
      </w:tr>
      <w:tr>
        <w:trPr>
          <w:trHeight w:val="264"/>
        </w:trPr>
        <w:tc>
          <w:tcPr>
            <w:tcW w:w="6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Depreciation</w:t>
            </w: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5,745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4,513</w:t>
            </w:r>
          </w:p>
        </w:tc>
      </w:tr>
      <w:tr>
        <w:trPr>
          <w:trHeight w:val="257"/>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36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71,943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64,057</w:t>
            </w:r>
          </w:p>
        </w:tc>
      </w:tr>
      <w:tr>
        <w:trPr>
          <w:trHeight w:val="260"/>
        </w:trPr>
        <w:tc>
          <w:tcPr>
            <w:tcW w:w="6780" w:type="dxa"/>
            <w:vAlign w:val="bottom"/>
            <w:gridSpan w:val="2"/>
          </w:tcPr>
          <w:p>
            <w:pPr>
              <w:ind w:left="160"/>
              <w:spacing w:after="0"/>
              <w:rPr>
                <w:sz w:val="20"/>
                <w:szCs w:val="20"/>
                <w:color w:val="auto"/>
              </w:rPr>
            </w:pPr>
            <w:r>
              <w:rPr>
                <w:rFonts w:ascii="Arial" w:cs="Arial" w:eastAsia="Arial" w:hAnsi="Arial"/>
                <w:sz w:val="16"/>
                <w:szCs w:val="16"/>
                <w:color w:val="auto"/>
              </w:rPr>
              <w:t>Postretirement health care benefit income</w:t>
            </w:r>
          </w:p>
        </w:tc>
        <w:tc>
          <w:tcPr>
            <w:tcW w:w="360" w:type="dxa"/>
            <w:vAlign w:val="bottom"/>
          </w:tcPr>
          <w:p>
            <w:pPr>
              <w:spacing w:after="0"/>
              <w:rPr>
                <w:sz w:val="22"/>
                <w:szCs w:val="22"/>
                <w:color w:val="auto"/>
              </w:rPr>
            </w:pPr>
          </w:p>
        </w:tc>
        <w:tc>
          <w:tcPr>
            <w:tcW w:w="1740" w:type="dxa"/>
            <w:vAlign w:val="bottom"/>
          </w:tcPr>
          <w:p>
            <w:pPr>
              <w:jc w:val="right"/>
              <w:ind w:right="199"/>
              <w:spacing w:after="0"/>
              <w:rPr>
                <w:sz w:val="20"/>
                <w:szCs w:val="20"/>
                <w:color w:val="auto"/>
              </w:rPr>
            </w:pPr>
            <w:r>
              <w:rPr>
                <w:rFonts w:ascii="Arial" w:cs="Arial" w:eastAsia="Arial" w:hAnsi="Arial"/>
                <w:sz w:val="16"/>
                <w:szCs w:val="16"/>
                <w:color w:val="auto"/>
              </w:rPr>
              <w:t>(6,124)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(4,073)</w:t>
            </w:r>
          </w:p>
        </w:tc>
      </w:tr>
      <w:tr>
        <w:trPr>
          <w:trHeight w:val="280"/>
        </w:trPr>
        <w:tc>
          <w:tcPr>
            <w:tcW w:w="6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Legal settlement</w:t>
            </w:r>
          </w:p>
        </w:tc>
        <w:tc>
          <w:tcPr>
            <w:tcW w:w="3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(3,400)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6780" w:type="dxa"/>
            <w:vAlign w:val="bottom"/>
            <w:gridSpan w:val="2"/>
          </w:tcPr>
          <w:p>
            <w:pPr>
              <w:ind w:left="160"/>
              <w:spacing w:after="0"/>
              <w:rPr>
                <w:sz w:val="20"/>
                <w:szCs w:val="20"/>
                <w:color w:val="auto"/>
              </w:rPr>
            </w:pPr>
            <w:r>
              <w:rPr>
                <w:rFonts w:ascii="Arial" w:cs="Arial" w:eastAsia="Arial" w:hAnsi="Arial"/>
                <w:sz w:val="16"/>
                <w:szCs w:val="16"/>
                <w:color w:val="auto"/>
              </w:rPr>
              <w:t>Transaction costs</w:t>
            </w:r>
          </w:p>
        </w:tc>
        <w:tc>
          <w:tcPr>
            <w:tcW w:w="360" w:type="dxa"/>
            <w:vAlign w:val="bottom"/>
          </w:tcPr>
          <w:p>
            <w:pPr>
              <w:spacing w:after="0"/>
              <w:rPr>
                <w:sz w:val="22"/>
                <w:szCs w:val="22"/>
                <w:color w:val="auto"/>
              </w:rPr>
            </w:pPr>
          </w:p>
        </w:tc>
        <w:tc>
          <w:tcPr>
            <w:tcW w:w="1740" w:type="dxa"/>
            <w:vAlign w:val="bottom"/>
          </w:tcPr>
          <w:p>
            <w:pPr>
              <w:jc w:val="right"/>
              <w:ind w:right="239"/>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8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6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Non-operating income</w:t>
            </w:r>
          </w:p>
        </w:tc>
        <w:tc>
          <w:tcPr>
            <w:tcW w:w="3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(115)</w:t>
            </w:r>
          </w:p>
        </w:tc>
      </w:tr>
      <w:tr>
        <w:trPr>
          <w:trHeight w:val="240"/>
        </w:trPr>
        <w:tc>
          <w:tcPr>
            <w:tcW w:w="67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62,317</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59,869</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the effect of non-recurring transactions occurring during the year and improve comparability of our results from period to period. EBITDA is defined as net income before interest expense, provision for income taxes, and depreciation and amortization expense. We believe EBITDA and Adjusted EBITDA provide meaningful supplemental information about our operating performance because each measure excludes amounts that we do not consider part of our core operating results when assessing our performance. Examples of items excluded from Adjusted EBITDA include the postretirement health care benefit resulting from plan amendments over the past several years, favorable legal settlements including our Fiscal 2016 Australia trademark settlement, and transaction costs related to our pending acquisition of Grand Design RV.</w:t>
      </w:r>
    </w:p>
    <w:p>
      <w:pPr>
        <w:spacing w:after="0" w:line="18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and, (d) to evaluate potential acquisitions.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84"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Segment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Motorized business unit.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40" w:type="dxa"/>
            <w:vAlign w:val="bottom"/>
          </w:tcPr>
          <w:p>
            <w:pPr>
              <w:ind w:left="40"/>
              <w:spacing w:after="0"/>
              <w:rPr>
                <w:sz w:val="20"/>
                <w:szCs w:val="20"/>
                <w:color w:val="auto"/>
              </w:rPr>
            </w:pPr>
            <w:r>
              <w:rPr>
                <w:rFonts w:ascii="Arial" w:cs="Arial" w:eastAsia="Arial" w:hAnsi="Arial"/>
                <w:sz w:val="18"/>
                <w:szCs w:val="18"/>
                <w:b w:val="1"/>
                <w:bCs w:val="1"/>
                <w:color w:val="auto"/>
              </w:rPr>
              <w:t>Motorized</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Year Ended</w:t>
            </w:r>
          </w:p>
        </w:tc>
        <w:tc>
          <w:tcPr>
            <w:tcW w:w="1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198"/>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rPr>
              <w:t>Aug 27,</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b w:val="1"/>
                <w:bCs w:val="1"/>
                <w:color w:val="auto"/>
              </w:rPr>
              <w:t>Aug 29,</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2016</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885,814</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904,821</w:t>
            </w: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(19,007)</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r>
      <w:tr>
        <w:trPr>
          <w:trHeight w:val="251"/>
        </w:trPr>
        <w:tc>
          <w:tcPr>
            <w:tcW w:w="31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57,365</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57,102</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263</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0.5 %</w:t>
            </w:r>
          </w:p>
        </w:tc>
      </w:tr>
      <w:tr>
        <w:trPr>
          <w:trHeight w:val="290"/>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1"/>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rPr>
              <w:t>Aug 27,</w:t>
            </w:r>
          </w:p>
        </w:tc>
        <w:tc>
          <w:tcPr>
            <w:tcW w:w="17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Product</w:t>
            </w:r>
          </w:p>
        </w:tc>
        <w:tc>
          <w:tcPr>
            <w:tcW w:w="1040" w:type="dxa"/>
            <w:vAlign w:val="bottom"/>
          </w:tcPr>
          <w:p>
            <w:pPr>
              <w:jc w:val="center"/>
              <w:ind w:right="259"/>
              <w:spacing w:after="0"/>
              <w:rPr>
                <w:sz w:val="20"/>
                <w:szCs w:val="20"/>
                <w:color w:val="auto"/>
              </w:rPr>
            </w:pPr>
            <w:r>
              <w:rPr>
                <w:rFonts w:ascii="Arial" w:cs="Arial" w:eastAsia="Arial" w:hAnsi="Arial"/>
                <w:sz w:val="16"/>
                <w:szCs w:val="16"/>
                <w:b w:val="1"/>
                <w:bCs w:val="1"/>
                <w:color w:val="auto"/>
              </w:rPr>
              <w:t>Aug 29,</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Product</w:t>
            </w:r>
          </w:p>
        </w:tc>
        <w:tc>
          <w:tcPr>
            <w:tcW w:w="160" w:type="dxa"/>
            <w:vAlign w:val="bottom"/>
          </w:tcPr>
          <w:p>
            <w:pPr>
              <w:spacing w:after="0"/>
              <w:rPr>
                <w:sz w:val="16"/>
                <w:szCs w:val="16"/>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40" w:type="dxa"/>
            <w:vAlign w:val="bottom"/>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rPr>
              <w:t>2016</w:t>
            </w:r>
          </w:p>
        </w:tc>
        <w:tc>
          <w:tcPr>
            <w:tcW w:w="1720" w:type="dxa"/>
            <w:vAlign w:val="bottom"/>
            <w:gridSpan w:val="3"/>
          </w:tcPr>
          <w:p>
            <w:pPr>
              <w:jc w:val="center"/>
              <w:ind w:right="28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40" w:type="dxa"/>
            <w:vAlign w:val="bottom"/>
          </w:tcPr>
          <w:p>
            <w:pPr>
              <w:jc w:val="center"/>
              <w:ind w:right="199"/>
              <w:spacing w:after="0"/>
              <w:rPr>
                <w:sz w:val="20"/>
                <w:szCs w:val="20"/>
                <w:color w:val="auto"/>
              </w:rPr>
            </w:pPr>
            <w:r>
              <w:rPr>
                <w:rFonts w:ascii="Arial" w:cs="Arial" w:eastAsia="Arial" w:hAnsi="Arial"/>
                <w:sz w:val="16"/>
                <w:szCs w:val="16"/>
                <w:b w:val="1"/>
                <w:bCs w:val="1"/>
                <w:color w:val="auto"/>
              </w:rPr>
              <w:t>2015</w:t>
            </w:r>
          </w:p>
        </w:tc>
        <w:tc>
          <w:tcPr>
            <w:tcW w:w="1560" w:type="dxa"/>
            <w:vAlign w:val="bottom"/>
            <w:gridSpan w:val="2"/>
          </w:tcPr>
          <w:p>
            <w:pPr>
              <w:jc w:val="center"/>
              <w:ind w:right="12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60" w:type="dxa"/>
            <w:vAlign w:val="bottom"/>
          </w:tcPr>
          <w:p>
            <w:pPr>
              <w:spacing w:after="0"/>
              <w:rPr>
                <w:sz w:val="20"/>
                <w:szCs w:val="20"/>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2,925</w:t>
            </w:r>
          </w:p>
        </w:tc>
        <w:tc>
          <w:tcPr>
            <w:tcW w:w="14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3,442</w:t>
            </w:r>
          </w:p>
        </w:tc>
        <w:tc>
          <w:tcPr>
            <w:tcW w:w="14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37.8%</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(517)</w:t>
            </w:r>
          </w:p>
        </w:tc>
        <w:tc>
          <w:tcPr>
            <w:tcW w:w="1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(15.0)%</w:t>
            </w:r>
          </w:p>
        </w:tc>
      </w:tr>
      <w:tr>
        <w:trPr>
          <w:trHeight w:val="260"/>
        </w:trPr>
        <w:tc>
          <w:tcPr>
            <w:tcW w:w="3140" w:type="dxa"/>
            <w:vAlign w:val="bottom"/>
          </w:tcPr>
          <w:p>
            <w:pPr>
              <w:ind w:left="40"/>
              <w:spacing w:after="0"/>
              <w:rPr>
                <w:sz w:val="20"/>
                <w:szCs w:val="20"/>
                <w:color w:val="auto"/>
              </w:rPr>
            </w:pPr>
            <w:r>
              <w:rPr>
                <w:rFonts w:ascii="Arial" w:cs="Arial" w:eastAsia="Arial" w:hAnsi="Arial"/>
                <w:sz w:val="16"/>
                <w:szCs w:val="16"/>
                <w:color w:val="auto"/>
              </w:rPr>
              <w:t>Class B</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1,239</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991</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248</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25.0 %</w:t>
            </w:r>
          </w:p>
        </w:tc>
      </w:tr>
      <w:tr>
        <w:trPr>
          <w:trHeight w:val="273"/>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5,143</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4,664</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479</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10.3 %</w:t>
            </w:r>
          </w:p>
        </w:tc>
      </w:tr>
      <w:tr>
        <w:trPr>
          <w:trHeight w:val="240"/>
        </w:trPr>
        <w:tc>
          <w:tcPr>
            <w:tcW w:w="3140" w:type="dxa"/>
            <w:vAlign w:val="bottom"/>
          </w:tcPr>
          <w:p>
            <w:pPr>
              <w:ind w:left="280"/>
              <w:spacing w:after="0"/>
              <w:rPr>
                <w:sz w:val="20"/>
                <w:szCs w:val="20"/>
                <w:color w:val="auto"/>
              </w:rPr>
            </w:pPr>
            <w:r>
              <w:rPr>
                <w:rFonts w:ascii="Arial" w:cs="Arial" w:eastAsia="Arial" w:hAnsi="Arial"/>
                <w:sz w:val="16"/>
                <w:szCs w:val="16"/>
                <w:color w:val="auto"/>
              </w:rPr>
              <w:t>Total motorhomes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9,307</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9,097</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210</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2.3 %</w:t>
            </w: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4"/>
        </w:trPr>
        <w:tc>
          <w:tcPr>
            <w:tcW w:w="3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 ASP</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93,116</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94,841</w:t>
            </w: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(1,725)</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r>
      <w:tr>
        <w:trPr>
          <w:trHeight w:val="264"/>
        </w:trPr>
        <w:tc>
          <w:tcPr>
            <w:tcW w:w="3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As Of</w:t>
            </w:r>
          </w:p>
        </w:tc>
        <w:tc>
          <w:tcPr>
            <w:tcW w:w="1040" w:type="dxa"/>
            <w:vAlign w:val="bottom"/>
            <w:tcBorders>
              <w:bottom w:val="single" w:sz="8" w:color="auto"/>
            </w:tcBorders>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198"/>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rPr>
              <w:t>Aug 27,</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259"/>
              <w:spacing w:after="0"/>
              <w:rPr>
                <w:sz w:val="20"/>
                <w:szCs w:val="20"/>
                <w:color w:val="auto"/>
              </w:rPr>
            </w:pPr>
            <w:r>
              <w:rPr>
                <w:rFonts w:ascii="Arial" w:cs="Arial" w:eastAsia="Arial" w:hAnsi="Arial"/>
                <w:sz w:val="16"/>
                <w:szCs w:val="16"/>
                <w:b w:val="1"/>
                <w:bCs w:val="1"/>
                <w:color w:val="auto"/>
              </w:rPr>
              <w:t>Aug 29,</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40" w:type="dxa"/>
            <w:vAlign w:val="bottom"/>
            <w:tcBorders>
              <w:bottom w:val="single" w:sz="8" w:color="auto"/>
            </w:tcBorders>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2016</w:t>
            </w:r>
          </w:p>
        </w:tc>
        <w:tc>
          <w:tcPr>
            <w:tcW w:w="14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2015</w:t>
            </w:r>
          </w:p>
        </w:tc>
        <w:tc>
          <w:tcPr>
            <w:tcW w:w="14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1,139</w:t>
            </w: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1,754</w:t>
            </w: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(615)</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(35.1)%</w:t>
            </w:r>
          </w:p>
        </w:tc>
      </w:tr>
      <w:tr>
        <w:trPr>
          <w:trHeight w:val="251"/>
        </w:trPr>
        <w:tc>
          <w:tcPr>
            <w:tcW w:w="3140" w:type="dxa"/>
            <w:vAlign w:val="bottom"/>
          </w:tcPr>
          <w:p>
            <w:pPr>
              <w:ind w:left="40"/>
              <w:spacing w:after="0"/>
              <w:rPr>
                <w:sz w:val="20"/>
                <w:szCs w:val="20"/>
                <w:color w:val="auto"/>
              </w:rPr>
            </w:pPr>
            <w:r>
              <w:rPr>
                <w:rFonts w:ascii="Arial" w:cs="Arial" w:eastAsia="Arial" w:hAnsi="Arial"/>
                <w:sz w:val="16"/>
                <w:szCs w:val="16"/>
                <w:color w:val="auto"/>
              </w:rPr>
              <w:t>Dollars</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107,621</w:t>
            </w:r>
          </w:p>
        </w:tc>
        <w:tc>
          <w:tcPr>
            <w:tcW w:w="17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156,353</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(48,732)</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(31.2)%</w:t>
            </w:r>
          </w:p>
        </w:tc>
      </w:tr>
      <w:tr>
        <w:trPr>
          <w:trHeight w:val="553"/>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Dealer Inventory</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r>
      <w:tr>
        <w:trPr>
          <w:trHeight w:val="257"/>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4,345</w:t>
            </w: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4,072</w:t>
            </w: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273</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6.7 %</w:t>
            </w:r>
          </w:p>
        </w:tc>
      </w:tr>
    </w:tbl>
    <w:p>
      <w:pPr>
        <w:spacing w:after="0" w:line="47"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360" w:firstLine="8"/>
        <w:spacing w:after="0" w:line="242" w:lineRule="auto"/>
        <w:tabs>
          <w:tab w:leader="none" w:pos="145" w:val="left"/>
        </w:tabs>
        <w:numPr>
          <w:ilvl w:val="0"/>
          <w:numId w:val="17"/>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220"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Motorized net revenues decreased $19.0 million or 2.1% in Fiscal 2016 as compared to Fiscal 2015. This was primarily due to other manufactured products that decreased by $21.1 million due to our exit of the aluminum extrusion and bus operations. Offsetting this reduction was modest growth in motorhome revenues primarily attributed to a 2.3% increase in unit deliveries in Fiscal 2016.</w:t>
      </w:r>
    </w:p>
    <w:p>
      <w:pPr>
        <w:spacing w:after="0" w:line="1" w:lineRule="exact"/>
        <w:rPr>
          <w:sz w:val="20"/>
          <w:szCs w:val="20"/>
          <w:color w:val="auto"/>
        </w:rPr>
      </w:pPr>
    </w:p>
    <w:p>
      <w:pPr>
        <w:ind w:left="340" w:right="58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Unit growth was 25.0% for Class B and and 10.3% for Class C products which was partially offset by a decline in demand for higher priced Class A products.</w:t>
      </w:r>
    </w:p>
    <w:p>
      <w:pPr>
        <w:ind w:left="340" w:right="240" w:hanging="332"/>
        <w:spacing w:after="0" w:line="253"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Total motorhome ASP decreased 1.8% in Fiscal 2016 compared to Fiscal 2015 because Fiscal 2016 saw more deliveries of lower priced Class B and C unit sales. ASPs did increase in every motorhome product category during Fiscal 2016, however, this did not offset the decline due to the lower mix of Class A products in Fiscal 2016.</w:t>
      </w:r>
    </w:p>
    <w:p>
      <w:pPr>
        <w:spacing w:after="0" w:line="17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A key metric used to evaluate motorized dealer inventory levels is the retail turn rate (12 month retail volume/current dealer inventory). At the end of Fiscal 2016 the retail turn rate was over 2.0 turns for Motorized product. Historically, turn rates above 2.0 have been an indication of a balanced dealer inventory and thus we believe motorized dealer inventory levels are in alignment with retail demand.</w:t>
      </w:r>
    </w:p>
    <w:p>
      <w:pPr>
        <w:spacing w:after="0" w:line="174"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Motorized segment Adjusted EBITDA increased $0.3 million or 0.5%. The increase is due to higher gross margin in Fiscal 2016 due to exit of the aluminum extrusion and bus operations. Both of these operations provided very low margins while consuming production labor in Forest City, Iowa. Labor has been redirected to higher margin motorhome production. The margin improvement was offset by an increase in general and administrative expenses of $0.7 million including several offsetting effects. Cost increases due to ERP related expenses of $3.1 million, bonuses earned of $2.6 million, $0.7 million in compensation, and benefits and recruiting costs associated with strengthening the management team were partially offset by a reduction in professional fees of $1.6 million related to strategic sourcing program initiated in Fiscal 2015, and a reduction of $1.0 million in costs associated with the former CEO retirement agreement in Fiscal 2015.</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following is an analysis of key changes in our Towable business unit.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Towable</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Year Ended</w:t>
            </w:r>
          </w:p>
        </w:tc>
        <w:tc>
          <w:tcPr>
            <w:tcW w:w="1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198"/>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rPr>
              <w:t>Aug 27,</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279"/>
              <w:spacing w:after="0"/>
              <w:rPr>
                <w:sz w:val="20"/>
                <w:szCs w:val="20"/>
                <w:color w:val="auto"/>
              </w:rPr>
            </w:pPr>
            <w:r>
              <w:rPr>
                <w:rFonts w:ascii="Arial" w:cs="Arial" w:eastAsia="Arial" w:hAnsi="Arial"/>
                <w:sz w:val="16"/>
                <w:szCs w:val="16"/>
                <w:b w:val="1"/>
                <w:bCs w:val="1"/>
                <w:color w:val="auto"/>
              </w:rPr>
              <w:t>Aug 29,</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Increase</w:t>
            </w: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89,412</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71,684</w:t>
            </w: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17,728</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24.7 %</w:t>
            </w:r>
          </w:p>
        </w:tc>
      </w:tr>
      <w:tr>
        <w:trPr>
          <w:trHeight w:val="251"/>
        </w:trPr>
        <w:tc>
          <w:tcPr>
            <w:tcW w:w="30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4,952</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2,767</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79"/>
              <w:spacing w:after="0"/>
              <w:rPr>
                <w:sz w:val="20"/>
                <w:szCs w:val="20"/>
                <w:color w:val="auto"/>
              </w:rPr>
            </w:pPr>
            <w:r>
              <w:rPr>
                <w:rFonts w:ascii="Arial" w:cs="Arial" w:eastAsia="Arial" w:hAnsi="Arial"/>
                <w:sz w:val="16"/>
                <w:szCs w:val="16"/>
                <w:color w:val="auto"/>
              </w:rPr>
              <w:t>2,185</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79.0 %</w:t>
            </w:r>
          </w:p>
        </w:tc>
      </w:tr>
      <w:tr>
        <w:trPr>
          <w:trHeight w:val="488"/>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rPr>
              <w:t>Aug 27,</w:t>
            </w:r>
          </w:p>
        </w:tc>
        <w:tc>
          <w:tcPr>
            <w:tcW w:w="17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9"/>
              </w:rPr>
              <w:t>Product</w:t>
            </w:r>
          </w:p>
        </w:tc>
        <w:tc>
          <w:tcPr>
            <w:tcW w:w="1020" w:type="dxa"/>
            <w:vAlign w:val="bottom"/>
          </w:tcPr>
          <w:p>
            <w:pPr>
              <w:jc w:val="center"/>
              <w:ind w:right="279"/>
              <w:spacing w:after="0"/>
              <w:rPr>
                <w:sz w:val="20"/>
                <w:szCs w:val="20"/>
                <w:color w:val="auto"/>
              </w:rPr>
            </w:pPr>
            <w:r>
              <w:rPr>
                <w:rFonts w:ascii="Arial" w:cs="Arial" w:eastAsia="Arial" w:hAnsi="Arial"/>
                <w:sz w:val="16"/>
                <w:szCs w:val="16"/>
                <w:b w:val="1"/>
                <w:bCs w:val="1"/>
                <w:color w:val="auto"/>
              </w:rPr>
              <w:t>Aug 29,</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Product</w:t>
            </w:r>
          </w:p>
        </w:tc>
        <w:tc>
          <w:tcPr>
            <w:tcW w:w="180" w:type="dxa"/>
            <w:vAlign w:val="bottom"/>
          </w:tcPr>
          <w:p>
            <w:pPr>
              <w:spacing w:after="0"/>
              <w:rPr>
                <w:sz w:val="24"/>
                <w:szCs w:val="24"/>
                <w:color w:val="auto"/>
              </w:rPr>
            </w:pPr>
          </w:p>
        </w:tc>
        <w:tc>
          <w:tcPr>
            <w:tcW w:w="1280" w:type="dxa"/>
            <w:vAlign w:val="bottom"/>
          </w:tcPr>
          <w:p>
            <w:pPr>
              <w:jc w:val="center"/>
              <w:ind w:right="259"/>
              <w:spacing w:after="0"/>
              <w:rPr>
                <w:sz w:val="20"/>
                <w:szCs w:val="20"/>
                <w:color w:val="auto"/>
              </w:rPr>
            </w:pPr>
            <w:r>
              <w:rPr>
                <w:rFonts w:ascii="Arial" w:cs="Arial" w:eastAsia="Arial" w:hAnsi="Arial"/>
                <w:sz w:val="16"/>
                <w:szCs w:val="16"/>
                <w:b w:val="1"/>
                <w:bCs w:val="1"/>
                <w:color w:val="auto"/>
              </w:rPr>
              <w:t>Increase</w:t>
            </w: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1720" w:type="dxa"/>
            <w:vAlign w:val="bottom"/>
            <w:tcBorders>
              <w:bottom w:val="single" w:sz="8" w:color="auto"/>
            </w:tcBorders>
            <w:gridSpan w:val="3"/>
          </w:tcPr>
          <w:p>
            <w:pPr>
              <w:jc w:val="center"/>
              <w:ind w:right="28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2015</w:t>
            </w:r>
          </w:p>
        </w:tc>
        <w:tc>
          <w:tcPr>
            <w:tcW w:w="1560" w:type="dxa"/>
            <w:vAlign w:val="bottom"/>
            <w:tcBorders>
              <w:bottom w:val="single" w:sz="8" w:color="auto"/>
            </w:tcBorders>
            <w:gridSpan w:val="2"/>
          </w:tcPr>
          <w:p>
            <w:pPr>
              <w:jc w:val="center"/>
              <w:ind w:right="12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(Decrease)</w:t>
            </w: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3,613</w:t>
            </w: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2,182</w:t>
            </w: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1,431</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65.6 %</w:t>
            </w:r>
          </w:p>
        </w:tc>
      </w:tr>
      <w:tr>
        <w:trPr>
          <w:trHeight w:val="264"/>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586</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488</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98</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20.1 %</w:t>
            </w:r>
          </w:p>
        </w:tc>
      </w:tr>
      <w:tr>
        <w:trPr>
          <w:trHeight w:val="240"/>
        </w:trPr>
        <w:tc>
          <w:tcPr>
            <w:tcW w:w="3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4,199</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2,670</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1,529</w:t>
            </w: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57.3 %</w:t>
            </w: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4"/>
        </w:trPr>
        <w:tc>
          <w:tcPr>
            <w:tcW w:w="3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 ASP</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21,321</w:t>
            </w: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27,012</w:t>
            </w: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(5,691)</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(21.1)%</w:t>
            </w:r>
          </w:p>
        </w:tc>
      </w:tr>
      <w:tr>
        <w:trPr>
          <w:trHeight w:val="534"/>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6"/>
                <w:szCs w:val="16"/>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8"/>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rPr>
              <w:t>Aug 27,</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239"/>
              <w:spacing w:after="0"/>
              <w:rPr>
                <w:sz w:val="20"/>
                <w:szCs w:val="20"/>
                <w:color w:val="auto"/>
              </w:rPr>
            </w:pPr>
            <w:r>
              <w:rPr>
                <w:rFonts w:ascii="Arial" w:cs="Arial" w:eastAsia="Arial" w:hAnsi="Arial"/>
                <w:sz w:val="16"/>
                <w:szCs w:val="16"/>
                <w:b w:val="1"/>
                <w:bCs w:val="1"/>
                <w:color w:val="auto"/>
              </w:rPr>
              <w:t>Aug 29,</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040" w:type="dxa"/>
            <w:vAlign w:val="bottom"/>
            <w:tcBorders>
              <w:bottom w:val="single" w:sz="8" w:color="auto"/>
            </w:tcBorders>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14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4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Increase</w:t>
            </w: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492</w:t>
            </w: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w:t>
            </w: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244</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98.4 %</w:t>
            </w:r>
          </w:p>
        </w:tc>
      </w:tr>
      <w:tr>
        <w:trPr>
          <w:trHeight w:val="251"/>
        </w:trPr>
        <w:tc>
          <w:tcPr>
            <w:tcW w:w="3040" w:type="dxa"/>
            <w:vAlign w:val="bottom"/>
          </w:tcPr>
          <w:p>
            <w:pPr>
              <w:ind w:left="40"/>
              <w:spacing w:after="0"/>
              <w:rPr>
                <w:sz w:val="20"/>
                <w:szCs w:val="20"/>
                <w:color w:val="auto"/>
              </w:rPr>
            </w:pPr>
            <w:r>
              <w:rPr>
                <w:rFonts w:ascii="Arial" w:cs="Arial" w:eastAsia="Arial" w:hAnsi="Arial"/>
                <w:sz w:val="16"/>
                <w:szCs w:val="16"/>
                <w:color w:val="auto"/>
              </w:rPr>
              <w:t>Dollars</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8,420</w:t>
            </w:r>
          </w:p>
        </w:tc>
        <w:tc>
          <w:tcPr>
            <w:tcW w:w="17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6,171</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79"/>
              <w:spacing w:after="0"/>
              <w:rPr>
                <w:sz w:val="20"/>
                <w:szCs w:val="20"/>
                <w:color w:val="auto"/>
              </w:rPr>
            </w:pPr>
            <w:r>
              <w:rPr>
                <w:rFonts w:ascii="Arial" w:cs="Arial" w:eastAsia="Arial" w:hAnsi="Arial"/>
                <w:sz w:val="16"/>
                <w:szCs w:val="16"/>
                <w:color w:val="auto"/>
              </w:rPr>
              <w:t>2,249</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36.4 %</w:t>
            </w:r>
          </w:p>
        </w:tc>
      </w:tr>
      <w:tr>
        <w:trPr>
          <w:trHeight w:val="553"/>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Dealer Inventory</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r>
      <w:tr>
        <w:trPr>
          <w:trHeight w:val="257"/>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2,156</w:t>
            </w: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1,663</w:t>
            </w: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493</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29.6 %</w:t>
            </w:r>
          </w:p>
        </w:tc>
      </w:tr>
    </w:tbl>
    <w:p>
      <w:pPr>
        <w:spacing w:after="0" w:line="232" w:lineRule="auto"/>
        <w:rPr>
          <w:sz w:val="20"/>
          <w:szCs w:val="20"/>
          <w:color w:val="auto"/>
        </w:rPr>
      </w:pPr>
      <w:r>
        <w:rPr>
          <w:rFonts w:ascii="Arial" w:cs="Arial" w:eastAsia="Arial" w:hAnsi="Arial"/>
          <w:sz w:val="14"/>
          <w:szCs w:val="14"/>
          <w:color w:val="auto"/>
        </w:rPr>
        <w:t>.</w:t>
      </w:r>
    </w:p>
    <w:p>
      <w:pPr>
        <w:ind w:left="160" w:hanging="152"/>
        <w:spacing w:after="0"/>
        <w:tabs>
          <w:tab w:leader="none" w:pos="160" w:val="left"/>
        </w:tabs>
        <w:numPr>
          <w:ilvl w:val="0"/>
          <w:numId w:val="19"/>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360" w:firstLine="8"/>
        <w:spacing w:after="0" w:line="242" w:lineRule="auto"/>
        <w:tabs>
          <w:tab w:leader="none" w:pos="145" w:val="left"/>
        </w:tabs>
        <w:numPr>
          <w:ilvl w:val="0"/>
          <w:numId w:val="19"/>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16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Towable net revenues increased $17.7 million or 24.7% in Fiscal 2016 as compared to Fiscal 2015. This was primarily due to the increase in unit deliveries by 57.3% offset by ASP decreases of 21.1% due to the mix of new products.</w:t>
      </w:r>
    </w:p>
    <w:p>
      <w:pPr>
        <w:spacing w:after="0" w:line="169"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Towable segment Adjusted EBITDA increased $2.2 million or 79.0%. This increase is due to organic revenue growth and higher gross profit on new products. This is partially offset by increases in general and administrative expenses of $0.5 million, including incremental ERP related expenses of $0.2 million and bonuses earned of $0.2 million.</w:t>
      </w:r>
    </w:p>
    <w:p>
      <w:pPr>
        <w:spacing w:after="0" w:line="174"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In order to generate sales growth, we have expanded our towables distribution base and thus dealer inventory was higher throughout the year than in previous years. On a year over year basis, towables dealer inventory increased by 29.6% which is reasonable in anticipation of continued sales growth which increased 57.3% in the last year on a unit basis.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74"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Fiscal 2015 Compared to Fiscal 2014</w:t>
      </w:r>
    </w:p>
    <w:p>
      <w:pPr>
        <w:spacing w:after="0" w:line="228"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29, 2015 compared to the fiscal year ended August 30, 2014: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2"/>
          </w:tcPr>
          <w:p>
            <w:pPr>
              <w:jc w:val="right"/>
              <w:ind w:right="899"/>
              <w:spacing w:after="0"/>
              <w:rPr>
                <w:sz w:val="20"/>
                <w:szCs w:val="20"/>
                <w:color w:val="auto"/>
              </w:rPr>
            </w:pPr>
            <w:r>
              <w:rPr>
                <w:rFonts w:ascii="Arial" w:cs="Arial" w:eastAsia="Arial" w:hAnsi="Arial"/>
                <w:sz w:val="16"/>
                <w:szCs w:val="16"/>
                <w:b w:val="1"/>
                <w:bCs w:val="1"/>
                <w:color w:val="auto"/>
              </w:rPr>
              <w:t>Year Ended</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8"/>
        </w:trPr>
        <w:tc>
          <w:tcPr>
            <w:tcW w:w="352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 per share</w:t>
            </w:r>
          </w:p>
        </w:tc>
        <w:tc>
          <w:tcPr>
            <w:tcW w:w="140" w:type="dxa"/>
            <w:vAlign w:val="bottom"/>
          </w:tcPr>
          <w:p>
            <w:pPr>
              <w:spacing w:after="0"/>
              <w:rPr>
                <w:sz w:val="17"/>
                <w:szCs w:val="17"/>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29,</w:t>
            </w:r>
          </w:p>
        </w:tc>
        <w:tc>
          <w:tcPr>
            <w:tcW w:w="1400" w:type="dxa"/>
            <w:vAlign w:val="bottom"/>
          </w:tcPr>
          <w:p>
            <w:pPr>
              <w:jc w:val="right"/>
              <w:ind w:right="459"/>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30,</w:t>
            </w:r>
          </w:p>
        </w:tc>
        <w:tc>
          <w:tcPr>
            <w:tcW w:w="1460" w:type="dxa"/>
            <w:vAlign w:val="bottom"/>
          </w:tcPr>
          <w:p>
            <w:pPr>
              <w:jc w:val="right"/>
              <w:ind w:right="479"/>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data)</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40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46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37"/>
        </w:trPr>
        <w:tc>
          <w:tcPr>
            <w:tcW w:w="3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976,505</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945,163</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31,342</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3.3 %</w:t>
            </w:r>
          </w:p>
        </w:tc>
      </w:tr>
      <w:tr>
        <w:trPr>
          <w:trHeight w:val="237"/>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871,625</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89.3%</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841,166</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89.0 %</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30,459</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3.6 %</w:t>
            </w:r>
          </w:p>
        </w:tc>
      </w:tr>
      <w:tr>
        <w:trPr>
          <w:trHeight w:val="237"/>
        </w:trPr>
        <w:tc>
          <w:tcPr>
            <w:tcW w:w="3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104,880</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103,997</w:t>
            </w: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11.0 %</w:t>
            </w: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883</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0.8 %</w:t>
            </w:r>
          </w:p>
        </w:tc>
      </w:tr>
      <w:tr>
        <w:trPr>
          <w:trHeight w:val="284"/>
        </w:trPr>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3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19,161</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18,293</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1.9 %</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868</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4.7 %</w:t>
            </w:r>
          </w:p>
        </w:tc>
      </w:tr>
      <w:tr>
        <w:trPr>
          <w:trHeight w:val="233"/>
        </w:trPr>
        <w:tc>
          <w:tcPr>
            <w:tcW w:w="35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25,838</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22,424</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2.4 %</w:t>
            </w:r>
          </w:p>
        </w:tc>
        <w:tc>
          <w:tcPr>
            <w:tcW w:w="140" w:type="dxa"/>
            <w:vAlign w:val="bottom"/>
          </w:tcPr>
          <w:p>
            <w:pPr>
              <w:spacing w:after="0"/>
              <w:rPr>
                <w:sz w:val="20"/>
                <w:szCs w:val="20"/>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3,414</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15.2 %</w:t>
            </w:r>
          </w:p>
        </w:tc>
      </w:tr>
      <w:tr>
        <w:trPr>
          <w:trHeight w:val="246"/>
        </w:trPr>
        <w:tc>
          <w:tcPr>
            <w:tcW w:w="3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loss on real estate</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462</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(629)</w:t>
            </w: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1,091</w:t>
            </w:r>
          </w:p>
        </w:tc>
        <w:tc>
          <w:tcPr>
            <w:tcW w:w="11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NMF</w:t>
            </w:r>
          </w:p>
        </w:tc>
      </w:tr>
      <w:tr>
        <w:trPr>
          <w:trHeight w:val="237"/>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45,461</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40,088</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4.2 %</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5,373</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13.4 %</w:t>
            </w:r>
          </w:p>
        </w:tc>
      </w:tr>
      <w:tr>
        <w:trPr>
          <w:trHeight w:val="284"/>
        </w:trPr>
        <w:tc>
          <w:tcPr>
            <w:tcW w:w="3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3"/>
        </w:trPr>
        <w:tc>
          <w:tcPr>
            <w:tcW w:w="352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59,419</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63,909</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6.8 %</w:t>
            </w:r>
          </w:p>
        </w:tc>
        <w:tc>
          <w:tcPr>
            <w:tcW w:w="1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(4,490)</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(7.0)%</w:t>
            </w:r>
          </w:p>
        </w:tc>
      </w:tr>
      <w:tr>
        <w:trPr>
          <w:trHeight w:val="246"/>
        </w:trPr>
        <w:tc>
          <w:tcPr>
            <w:tcW w:w="3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768</w:t>
            </w: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(653)</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(85.0)%</w:t>
            </w:r>
          </w:p>
        </w:tc>
      </w:tr>
      <w:tr>
        <w:trPr>
          <w:trHeight w:val="233"/>
        </w:trPr>
        <w:tc>
          <w:tcPr>
            <w:tcW w:w="35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59,534</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64,677</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6.8 %</w:t>
            </w:r>
          </w:p>
        </w:tc>
        <w:tc>
          <w:tcPr>
            <w:tcW w:w="14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(5,143)</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(8.0)%</w:t>
            </w:r>
          </w:p>
        </w:tc>
      </w:tr>
      <w:tr>
        <w:trPr>
          <w:trHeight w:val="246"/>
        </w:trPr>
        <w:tc>
          <w:tcPr>
            <w:tcW w:w="3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18,324</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19,624</w:t>
            </w: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2.1 %</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(1,300)</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r>
      <w:tr>
        <w:trPr>
          <w:trHeight w:val="280"/>
        </w:trPr>
        <w:tc>
          <w:tcPr>
            <w:tcW w:w="3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41,210</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45,053</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(3,843)</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w:t>
            </w:r>
          </w:p>
        </w:tc>
      </w:tr>
      <w:tr>
        <w:trPr>
          <w:trHeight w:val="237"/>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14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1.64</w:t>
            </w:r>
          </w:p>
        </w:tc>
        <w:tc>
          <w:tcPr>
            <w:tcW w:w="14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(0.12)</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(7.3)%</w:t>
            </w:r>
          </w:p>
        </w:tc>
      </w:tr>
      <w:tr>
        <w:trPr>
          <w:trHeight w:val="20"/>
        </w:trPr>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4"/>
        </w:trPr>
        <w:tc>
          <w:tcPr>
            <w:tcW w:w="3520" w:type="dxa"/>
            <w:vAlign w:val="bottom"/>
          </w:tcPr>
          <w:p>
            <w:pPr>
              <w:ind w:left="40"/>
              <w:spacing w:after="0"/>
              <w:rPr>
                <w:sz w:val="20"/>
                <w:szCs w:val="20"/>
                <w:color w:val="auto"/>
              </w:rPr>
            </w:pPr>
            <w:r>
              <w:rPr>
                <w:rFonts w:ascii="Arial" w:cs="Arial" w:eastAsia="Arial" w:hAnsi="Arial"/>
                <w:sz w:val="16"/>
                <w:szCs w:val="16"/>
                <w:color w:val="auto"/>
              </w:rPr>
              <w:t>Diluted average shares outstanding</w:t>
            </w: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27,051</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27,545</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3810</wp:posOffset>
            </wp:positionV>
            <wp:extent cx="8235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20955</wp:posOffset>
            </wp:positionV>
            <wp:extent cx="8235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3810</wp:posOffset>
            </wp:positionV>
            <wp:extent cx="7715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20955</wp:posOffset>
            </wp:positionV>
            <wp:extent cx="7715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260" w:hanging="238"/>
        <w:spacing w:after="0"/>
        <w:tabs>
          <w:tab w:leader="none" w:pos="2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49"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Consolidated net revenues increased $31.3 million or 3.3% in Fiscal 2015 over Fiscal 2014. The increase is due to increases in Motorized net revenues of $17.8 million due to increases in unit deliveries and increases in Towable revenues of $13.6 million due to increases in ASP and unit deliveries.</w:t>
      </w:r>
    </w:p>
    <w:p>
      <w:pPr>
        <w:spacing w:after="0" w:line="169"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Cost of goods sold was $871.6 million, or 89.3% of net revenues for Fiscal 2015 compared to $841.2 million, or 89.0% of net revenues for Fiscal 2014 due to the following:</w:t>
      </w:r>
    </w:p>
    <w:p>
      <w:pPr>
        <w:spacing w:after="0" w:line="1" w:lineRule="exact"/>
        <w:rPr>
          <w:sz w:val="20"/>
          <w:szCs w:val="20"/>
          <w:color w:val="auto"/>
        </w:rPr>
      </w:pPr>
    </w:p>
    <w:p>
      <w:pPr>
        <w:ind w:left="340" w:right="36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increased to 84.0% from 83.7% primarily due to increased warranty expense and related warranty recall reserve and higher workers compensation expense.</w:t>
      </w:r>
    </w:p>
    <w:p>
      <w:pPr>
        <w:ind w:left="340" w:right="50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5.2% of net revenues compared to 5.3%.</w:t>
      </w: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factors considered, gross profit decreased from 11.0% to 10.7% of net revenues.</w:t>
      </w:r>
    </w:p>
    <w:p>
      <w:pPr>
        <w:spacing w:after="0" w:line="167"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Selling expenses increased to 2.0% from 1.9% of net revenues in Fiscal 2015 and Fiscal 2014, respectively. The increase was due primarily to increased advertising and compensation expenses in Fiscal 2015.</w:t>
      </w:r>
    </w:p>
    <w:p>
      <w:pPr>
        <w:spacing w:after="0" w:line="142"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General and administrative expenses were 2.6% and 2.4% of net revenues in Fiscal 2015 and Fiscal 2014, respectively. General and administrative expenses increased $3.4 million, or 15.2%, in Fiscal 2015. This increase was due primarily to expenses of $3.9 million in ERP and strategic sourcing projects, $1.6 million in increased legal and product liability expenses, $1.0 million in costs associated with the former CEO retirement agreement and was partially offset by $3.3 million in reduced management compensation expenses.</w:t>
      </w:r>
    </w:p>
    <w:p>
      <w:pPr>
        <w:spacing w:after="0" w:line="149"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During Fiscal 2015, we recorded an asset impairment on our corporate plane of $462,000. In Fiscal 2014, we sold a warehouse facility in Forest City, Iowa, resulting in a gain of $629,000.</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Non-operating income decreased $653,000 or 85.0%, in Fiscal 2015, primarily due to lower proceeds from COLI policies than we received in Fiscal 2014.</w:t>
      </w:r>
    </w:p>
    <w:p>
      <w:pPr>
        <w:spacing w:after="0" w:line="19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effective tax rate for Fiscal 2015 was 30.8% compared to 30.3% in Fiscal 2014. With a lower level of pre-tax book income being recorded in Fiscal 2015 compared to Fiscal 2014 the effective tax rate from operations was lower. However, this was offset by the lower level of tax planning initiatives recorded in Fiscal 2015 compared to Fiscal 2014 causing a slight increase in the effective tax rate year over year. Legislation for various applicable tax credits expired on December 31, 2014; therefore, similar to our Fiscal 2014, our projected benefits for these tax credits are limited to four months of our fiscal year.</w:t>
      </w:r>
    </w:p>
    <w:p>
      <w:pPr>
        <w:spacing w:after="0" w:line="176"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Net income and diluted income per share were $41.2 million and $1.52 per share, respectively, for Fiscal 2015. In Fiscal 2014, net income was $45.1 million and diluted income per share was $1.64.</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65"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Non-GAAP Reconciliation</w:t>
      </w:r>
    </w:p>
    <w:p>
      <w:pPr>
        <w:spacing w:after="0" w:line="25" w:lineRule="exact"/>
        <w:rPr>
          <w:sz w:val="20"/>
          <w:szCs w:val="20"/>
          <w:color w:val="auto"/>
        </w:rPr>
      </w:pPr>
    </w:p>
    <w:p>
      <w:pPr>
        <w:ind w:left="340" w:right="20" w:hanging="332"/>
        <w:spacing w:after="0" w:line="251"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have provided the following non-GAAP financial measures, which are not calculated or presented in accordance with GAAP,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below may differ from similar measures used by other companies.</w:t>
      </w:r>
    </w:p>
    <w:p>
      <w:pPr>
        <w:spacing w:after="0" w:line="176"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6"/>
          <w:szCs w:val="16"/>
          <w:color w:val="auto"/>
        </w:rPr>
        <w:t>The following table reconciles net income to consolidated Adjusted EBITDA.</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6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Year Ended</w:t>
            </w:r>
          </w:p>
        </w:tc>
        <w:tc>
          <w:tcPr>
            <w:tcW w:w="1580" w:type="dxa"/>
            <w:vAlign w:val="bottom"/>
            <w:tcBorders>
              <w:bottom w:val="single" w:sz="8" w:color="auto"/>
            </w:tcBorders>
          </w:tcPr>
          <w:p>
            <w:pPr>
              <w:spacing w:after="0"/>
              <w:rPr>
                <w:sz w:val="19"/>
                <w:szCs w:val="19"/>
                <w:color w:val="auto"/>
              </w:rPr>
            </w:pPr>
          </w:p>
        </w:tc>
      </w:tr>
      <w:tr>
        <w:trPr>
          <w:trHeight w:val="198"/>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gridSpan w:val="2"/>
          </w:tcPr>
          <w:p>
            <w:pPr>
              <w:ind w:left="260"/>
              <w:spacing w:after="0"/>
              <w:rPr>
                <w:sz w:val="20"/>
                <w:szCs w:val="20"/>
                <w:color w:val="auto"/>
              </w:rPr>
            </w:pPr>
            <w:r>
              <w:rPr>
                <w:rFonts w:ascii="Arial" w:cs="Arial" w:eastAsia="Arial" w:hAnsi="Arial"/>
                <w:sz w:val="16"/>
                <w:szCs w:val="16"/>
                <w:b w:val="1"/>
                <w:bCs w:val="1"/>
                <w:color w:val="auto"/>
              </w:rPr>
              <w:t>August 29,</w:t>
            </w:r>
          </w:p>
        </w:tc>
        <w:tc>
          <w:tcPr>
            <w:tcW w:w="520" w:type="dxa"/>
            <w:vAlign w:val="bottom"/>
          </w:tcPr>
          <w:p>
            <w:pPr>
              <w:spacing w:after="0"/>
              <w:rPr>
                <w:sz w:val="17"/>
                <w:szCs w:val="17"/>
                <w:color w:val="auto"/>
              </w:rPr>
            </w:pPr>
          </w:p>
        </w:tc>
        <w:tc>
          <w:tcPr>
            <w:tcW w:w="1580" w:type="dxa"/>
            <w:vAlign w:val="bottom"/>
          </w:tcPr>
          <w:p>
            <w:pPr>
              <w:jc w:val="right"/>
              <w:ind w:right="579"/>
              <w:spacing w:after="0"/>
              <w:rPr>
                <w:sz w:val="20"/>
                <w:szCs w:val="20"/>
                <w:color w:val="auto"/>
              </w:rPr>
            </w:pPr>
            <w:r>
              <w:rPr>
                <w:rFonts w:ascii="Arial" w:cs="Arial" w:eastAsia="Arial" w:hAnsi="Arial"/>
                <w:sz w:val="16"/>
                <w:szCs w:val="16"/>
                <w:b w:val="1"/>
                <w:bCs w:val="1"/>
                <w:color w:val="auto"/>
              </w:rPr>
              <w:t>August 30,</w:t>
            </w:r>
          </w:p>
        </w:tc>
      </w:tr>
      <w:tr>
        <w:trPr>
          <w:trHeight w:val="228"/>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2014</w:t>
            </w:r>
          </w:p>
        </w:tc>
      </w:tr>
      <w:tr>
        <w:trPr>
          <w:trHeight w:val="257"/>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41,210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45,053</w:t>
            </w:r>
          </w:p>
        </w:tc>
      </w:tr>
      <w:tr>
        <w:trPr>
          <w:trHeight w:val="260"/>
        </w:trPr>
        <w:tc>
          <w:tcPr>
            <w:tcW w:w="6780" w:type="dxa"/>
            <w:vAlign w:val="bottom"/>
            <w:gridSpan w:val="2"/>
          </w:tcPr>
          <w:p>
            <w:pPr>
              <w:ind w:left="16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2"/>
                <w:szCs w:val="22"/>
                <w:color w:val="auto"/>
              </w:rPr>
            </w:pPr>
          </w:p>
        </w:tc>
        <w:tc>
          <w:tcPr>
            <w:tcW w:w="1740" w:type="dxa"/>
            <w:vAlign w:val="bottom"/>
          </w:tcPr>
          <w:p>
            <w:pPr>
              <w:jc w:val="right"/>
              <w:ind w:right="2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8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6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Provision for income taxes</w:t>
            </w:r>
          </w:p>
        </w:tc>
        <w:tc>
          <w:tcPr>
            <w:tcW w:w="3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18,324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19,624</w:t>
            </w:r>
          </w:p>
        </w:tc>
      </w:tr>
      <w:tr>
        <w:trPr>
          <w:trHeight w:val="264"/>
        </w:trPr>
        <w:tc>
          <w:tcPr>
            <w:tcW w:w="6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Depreciation</w:t>
            </w: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4,513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3,997</w:t>
            </w:r>
          </w:p>
        </w:tc>
      </w:tr>
      <w:tr>
        <w:trPr>
          <w:trHeight w:val="257"/>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36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64,057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68,674</w:t>
            </w:r>
          </w:p>
        </w:tc>
      </w:tr>
      <w:tr>
        <w:trPr>
          <w:trHeight w:val="260"/>
        </w:trPr>
        <w:tc>
          <w:tcPr>
            <w:tcW w:w="6780" w:type="dxa"/>
            <w:vAlign w:val="bottom"/>
            <w:gridSpan w:val="2"/>
          </w:tcPr>
          <w:p>
            <w:pPr>
              <w:ind w:left="160"/>
              <w:spacing w:after="0"/>
              <w:rPr>
                <w:sz w:val="20"/>
                <w:szCs w:val="20"/>
                <w:color w:val="auto"/>
              </w:rPr>
            </w:pPr>
            <w:r>
              <w:rPr>
                <w:rFonts w:ascii="Arial" w:cs="Arial" w:eastAsia="Arial" w:hAnsi="Arial"/>
                <w:sz w:val="16"/>
                <w:szCs w:val="16"/>
                <w:color w:val="auto"/>
              </w:rPr>
              <w:t>Postretirement health care benefit income</w:t>
            </w:r>
          </w:p>
        </w:tc>
        <w:tc>
          <w:tcPr>
            <w:tcW w:w="360" w:type="dxa"/>
            <w:vAlign w:val="bottom"/>
          </w:tcPr>
          <w:p>
            <w:pPr>
              <w:spacing w:after="0"/>
              <w:rPr>
                <w:sz w:val="22"/>
                <w:szCs w:val="22"/>
                <w:color w:val="auto"/>
              </w:rPr>
            </w:pPr>
          </w:p>
        </w:tc>
        <w:tc>
          <w:tcPr>
            <w:tcW w:w="1740" w:type="dxa"/>
            <w:vAlign w:val="bottom"/>
          </w:tcPr>
          <w:p>
            <w:pPr>
              <w:jc w:val="right"/>
              <w:ind w:right="199"/>
              <w:spacing w:after="0"/>
              <w:rPr>
                <w:sz w:val="20"/>
                <w:szCs w:val="20"/>
                <w:color w:val="auto"/>
              </w:rPr>
            </w:pPr>
            <w:r>
              <w:rPr>
                <w:rFonts w:ascii="Arial" w:cs="Arial" w:eastAsia="Arial" w:hAnsi="Arial"/>
                <w:sz w:val="16"/>
                <w:szCs w:val="16"/>
                <w:color w:val="auto"/>
              </w:rPr>
              <w:t>(4,073)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(4,573)</w:t>
            </w:r>
          </w:p>
        </w:tc>
      </w:tr>
      <w:tr>
        <w:trPr>
          <w:trHeight w:val="273"/>
        </w:trPr>
        <w:tc>
          <w:tcPr>
            <w:tcW w:w="6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Non-operating income</w:t>
            </w:r>
          </w:p>
        </w:tc>
        <w:tc>
          <w:tcPr>
            <w:tcW w:w="3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(768)</w:t>
            </w:r>
          </w:p>
        </w:tc>
      </w:tr>
      <w:tr>
        <w:trPr>
          <w:trHeight w:val="240"/>
        </w:trPr>
        <w:tc>
          <w:tcPr>
            <w:tcW w:w="67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59,869</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63,333</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the effect of non-recurring transactions occurring during the year and improve comparability of our results from period to period. EBITDA is defined as net income before interest expense, provision for income taxes, and depreciation and amortization expense. We believe EBITDA and Adjusted EBITDA provide meaningful supplemental information about our operating performance because each measure excludes amounts that we do not consider part of our core operating results when assessing our performance. An example of an item excluded from Adjusted EBITDA is the postretirement health care benefit income resulting from plan amendments over the past several years.</w:t>
      </w:r>
    </w:p>
    <w:p>
      <w:pPr>
        <w:spacing w:after="0" w:line="17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and, (d) to evaluate potential acquisitions.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554"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Segment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Motorized business unit.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40" w:type="dxa"/>
            <w:vAlign w:val="bottom"/>
          </w:tcPr>
          <w:p>
            <w:pPr>
              <w:ind w:left="40"/>
              <w:spacing w:after="0"/>
              <w:rPr>
                <w:sz w:val="20"/>
                <w:szCs w:val="20"/>
                <w:color w:val="auto"/>
              </w:rPr>
            </w:pPr>
            <w:r>
              <w:rPr>
                <w:rFonts w:ascii="Arial" w:cs="Arial" w:eastAsia="Arial" w:hAnsi="Arial"/>
                <w:sz w:val="18"/>
                <w:szCs w:val="18"/>
                <w:b w:val="1"/>
                <w:bCs w:val="1"/>
                <w:color w:val="auto"/>
              </w:rPr>
              <w:t>Motorized</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Year Ended</w:t>
            </w:r>
          </w:p>
        </w:tc>
        <w:tc>
          <w:tcPr>
            <w:tcW w:w="1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198"/>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rPr>
              <w:t>Aug 29,</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b w:val="1"/>
                <w:bCs w:val="1"/>
                <w:color w:val="auto"/>
              </w:rPr>
              <w:t>Aug 30,</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904,821</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887,040</w:t>
            </w: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17,781</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2.0 %</w:t>
            </w:r>
          </w:p>
        </w:tc>
      </w:tr>
      <w:tr>
        <w:trPr>
          <w:trHeight w:val="251"/>
        </w:trPr>
        <w:tc>
          <w:tcPr>
            <w:tcW w:w="31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57,102</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61,974</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(4,872)</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(7.9)%</w:t>
            </w:r>
          </w:p>
        </w:tc>
      </w:tr>
      <w:tr>
        <w:trPr>
          <w:trHeight w:val="290"/>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1"/>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rPr>
              <w:t>Aug 29,</w:t>
            </w:r>
          </w:p>
        </w:tc>
        <w:tc>
          <w:tcPr>
            <w:tcW w:w="17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Product</w:t>
            </w:r>
          </w:p>
        </w:tc>
        <w:tc>
          <w:tcPr>
            <w:tcW w:w="1040" w:type="dxa"/>
            <w:vAlign w:val="bottom"/>
          </w:tcPr>
          <w:p>
            <w:pPr>
              <w:jc w:val="center"/>
              <w:ind w:right="259"/>
              <w:spacing w:after="0"/>
              <w:rPr>
                <w:sz w:val="20"/>
                <w:szCs w:val="20"/>
                <w:color w:val="auto"/>
              </w:rPr>
            </w:pPr>
            <w:r>
              <w:rPr>
                <w:rFonts w:ascii="Arial" w:cs="Arial" w:eastAsia="Arial" w:hAnsi="Arial"/>
                <w:sz w:val="16"/>
                <w:szCs w:val="16"/>
                <w:b w:val="1"/>
                <w:bCs w:val="1"/>
                <w:color w:val="auto"/>
              </w:rPr>
              <w:t>Aug 30,</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Product</w:t>
            </w:r>
          </w:p>
        </w:tc>
        <w:tc>
          <w:tcPr>
            <w:tcW w:w="160" w:type="dxa"/>
            <w:vAlign w:val="bottom"/>
          </w:tcPr>
          <w:p>
            <w:pPr>
              <w:spacing w:after="0"/>
              <w:rPr>
                <w:sz w:val="16"/>
                <w:szCs w:val="16"/>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40" w:type="dxa"/>
            <w:vAlign w:val="bottom"/>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1720" w:type="dxa"/>
            <w:vAlign w:val="bottom"/>
            <w:gridSpan w:val="3"/>
          </w:tcPr>
          <w:p>
            <w:pPr>
              <w:jc w:val="center"/>
              <w:ind w:right="28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40" w:type="dxa"/>
            <w:vAlign w:val="bottom"/>
          </w:tcPr>
          <w:p>
            <w:pPr>
              <w:jc w:val="center"/>
              <w:ind w:right="199"/>
              <w:spacing w:after="0"/>
              <w:rPr>
                <w:sz w:val="20"/>
                <w:szCs w:val="20"/>
                <w:color w:val="auto"/>
              </w:rPr>
            </w:pPr>
            <w:r>
              <w:rPr>
                <w:rFonts w:ascii="Arial" w:cs="Arial" w:eastAsia="Arial" w:hAnsi="Arial"/>
                <w:sz w:val="16"/>
                <w:szCs w:val="16"/>
                <w:b w:val="1"/>
                <w:bCs w:val="1"/>
                <w:color w:val="auto"/>
              </w:rPr>
              <w:t>2014</w:t>
            </w:r>
          </w:p>
        </w:tc>
        <w:tc>
          <w:tcPr>
            <w:tcW w:w="1560" w:type="dxa"/>
            <w:vAlign w:val="bottom"/>
            <w:gridSpan w:val="2"/>
          </w:tcPr>
          <w:p>
            <w:pPr>
              <w:jc w:val="center"/>
              <w:ind w:right="12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60" w:type="dxa"/>
            <w:vAlign w:val="bottom"/>
          </w:tcPr>
          <w:p>
            <w:pPr>
              <w:spacing w:after="0"/>
              <w:rPr>
                <w:sz w:val="20"/>
                <w:szCs w:val="20"/>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3,442</w:t>
            </w:r>
          </w:p>
        </w:tc>
        <w:tc>
          <w:tcPr>
            <w:tcW w:w="14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37.8%</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4,466</w:t>
            </w:r>
          </w:p>
        </w:tc>
        <w:tc>
          <w:tcPr>
            <w:tcW w:w="14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51.0%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(1,024)</w:t>
            </w:r>
          </w:p>
        </w:tc>
        <w:tc>
          <w:tcPr>
            <w:tcW w:w="1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(22.9)%</w:t>
            </w:r>
          </w:p>
        </w:tc>
      </w:tr>
      <w:tr>
        <w:trPr>
          <w:trHeight w:val="260"/>
        </w:trPr>
        <w:tc>
          <w:tcPr>
            <w:tcW w:w="3140" w:type="dxa"/>
            <w:vAlign w:val="bottom"/>
          </w:tcPr>
          <w:p>
            <w:pPr>
              <w:ind w:left="40"/>
              <w:spacing w:after="0"/>
              <w:rPr>
                <w:sz w:val="20"/>
                <w:szCs w:val="20"/>
                <w:color w:val="auto"/>
              </w:rPr>
            </w:pPr>
            <w:r>
              <w:rPr>
                <w:rFonts w:ascii="Arial" w:cs="Arial" w:eastAsia="Arial" w:hAnsi="Arial"/>
                <w:sz w:val="16"/>
                <w:szCs w:val="16"/>
                <w:color w:val="auto"/>
              </w:rPr>
              <w:t>Class B</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991</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751</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240</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32.0 %</w:t>
            </w:r>
          </w:p>
        </w:tc>
      </w:tr>
      <w:tr>
        <w:trPr>
          <w:trHeight w:val="273"/>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4,664</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3,538</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1,126</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31.8 %</w:t>
            </w:r>
          </w:p>
        </w:tc>
      </w:tr>
      <w:tr>
        <w:trPr>
          <w:trHeight w:val="240"/>
        </w:trPr>
        <w:tc>
          <w:tcPr>
            <w:tcW w:w="3140" w:type="dxa"/>
            <w:vAlign w:val="bottom"/>
          </w:tcPr>
          <w:p>
            <w:pPr>
              <w:ind w:left="280"/>
              <w:spacing w:after="0"/>
              <w:rPr>
                <w:sz w:val="20"/>
                <w:szCs w:val="20"/>
                <w:color w:val="auto"/>
              </w:rPr>
            </w:pPr>
            <w:r>
              <w:rPr>
                <w:rFonts w:ascii="Arial" w:cs="Arial" w:eastAsia="Arial" w:hAnsi="Arial"/>
                <w:sz w:val="16"/>
                <w:szCs w:val="16"/>
                <w:color w:val="auto"/>
              </w:rPr>
              <w:t>Total motorhomes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9,097</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8,755</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342</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3.9 %</w:t>
            </w: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04"/>
        </w:trPr>
        <w:tc>
          <w:tcPr>
            <w:tcW w:w="3140" w:type="dxa"/>
            <w:vAlign w:val="bottom"/>
          </w:tcPr>
          <w:p>
            <w:pPr>
              <w:ind w:left="40"/>
              <w:spacing w:after="0"/>
              <w:rPr>
                <w:sz w:val="20"/>
                <w:szCs w:val="20"/>
                <w:color w:val="auto"/>
              </w:rPr>
            </w:pPr>
            <w:r>
              <w:rPr>
                <w:rFonts w:ascii="Arial" w:cs="Arial" w:eastAsia="Arial" w:hAnsi="Arial"/>
                <w:sz w:val="16"/>
                <w:szCs w:val="16"/>
                <w:color w:val="auto"/>
              </w:rPr>
              <w:t>Motorhome ASP</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94,841</w:t>
            </w:r>
          </w:p>
        </w:tc>
        <w:tc>
          <w:tcPr>
            <w:tcW w:w="17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96,437</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(1,596)</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(1.7)%</w:t>
            </w:r>
          </w:p>
        </w:tc>
      </w:tr>
      <w:tr>
        <w:trPr>
          <w:trHeight w:val="283"/>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As Of</w:t>
            </w:r>
          </w:p>
        </w:tc>
        <w:tc>
          <w:tcPr>
            <w:tcW w:w="104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8"/>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rPr>
              <w:t>Aug 29,</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259"/>
              <w:spacing w:after="0"/>
              <w:rPr>
                <w:sz w:val="20"/>
                <w:szCs w:val="20"/>
                <w:color w:val="auto"/>
              </w:rPr>
            </w:pPr>
            <w:r>
              <w:rPr>
                <w:rFonts w:ascii="Arial" w:cs="Arial" w:eastAsia="Arial" w:hAnsi="Arial"/>
                <w:sz w:val="16"/>
                <w:szCs w:val="16"/>
                <w:b w:val="1"/>
                <w:bCs w:val="1"/>
                <w:color w:val="auto"/>
              </w:rPr>
              <w:t>Aug 30,</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40" w:type="dxa"/>
            <w:vAlign w:val="bottom"/>
            <w:tcBorders>
              <w:bottom w:val="single" w:sz="8" w:color="auto"/>
            </w:tcBorders>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14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2014</w:t>
            </w:r>
          </w:p>
        </w:tc>
        <w:tc>
          <w:tcPr>
            <w:tcW w:w="14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1,754</w:t>
            </w: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1,899</w:t>
            </w: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(145)</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w:t>
            </w:r>
          </w:p>
        </w:tc>
      </w:tr>
      <w:tr>
        <w:trPr>
          <w:trHeight w:val="251"/>
        </w:trPr>
        <w:tc>
          <w:tcPr>
            <w:tcW w:w="3140" w:type="dxa"/>
            <w:vAlign w:val="bottom"/>
          </w:tcPr>
          <w:p>
            <w:pPr>
              <w:ind w:left="40"/>
              <w:spacing w:after="0"/>
              <w:rPr>
                <w:sz w:val="20"/>
                <w:szCs w:val="20"/>
                <w:color w:val="auto"/>
              </w:rPr>
            </w:pPr>
            <w:r>
              <w:rPr>
                <w:rFonts w:ascii="Arial" w:cs="Arial" w:eastAsia="Arial" w:hAnsi="Arial"/>
                <w:sz w:val="16"/>
                <w:szCs w:val="16"/>
                <w:color w:val="auto"/>
              </w:rPr>
              <w:t>Dollars</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156,353</w:t>
            </w:r>
          </w:p>
        </w:tc>
        <w:tc>
          <w:tcPr>
            <w:tcW w:w="17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172,575</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(16,222)</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(9.4)%</w:t>
            </w:r>
          </w:p>
        </w:tc>
      </w:tr>
      <w:tr>
        <w:trPr>
          <w:trHeight w:val="553"/>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Dealer Inventory</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r>
      <w:tr>
        <w:trPr>
          <w:trHeight w:val="257"/>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4,072</w:t>
            </w: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3,979</w:t>
            </w: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93</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2.3 %</w:t>
            </w:r>
          </w:p>
        </w:tc>
      </w:tr>
    </w:tbl>
    <w:p>
      <w:pPr>
        <w:spacing w:after="0" w:line="47"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360" w:firstLine="8"/>
        <w:spacing w:after="0" w:line="242" w:lineRule="auto"/>
        <w:tabs>
          <w:tab w:leader="none" w:pos="145" w:val="left"/>
        </w:tabs>
        <w:numPr>
          <w:ilvl w:val="0"/>
          <w:numId w:val="23"/>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193" w:lineRule="exact"/>
        <w:rPr>
          <w:sz w:val="20"/>
          <w:szCs w:val="20"/>
          <w:color w:val="auto"/>
        </w:rPr>
      </w:pPr>
    </w:p>
    <w:p>
      <w:pPr>
        <w:ind w:right="360"/>
        <w:spacing w:after="0" w:line="246" w:lineRule="auto"/>
        <w:rPr>
          <w:sz w:val="20"/>
          <w:szCs w:val="20"/>
          <w:color w:val="auto"/>
        </w:rPr>
      </w:pPr>
      <w:r>
        <w:rPr>
          <w:rFonts w:ascii="Arial" w:cs="Arial" w:eastAsia="Arial" w:hAnsi="Arial"/>
          <w:sz w:val="16"/>
          <w:szCs w:val="16"/>
          <w:color w:val="auto"/>
        </w:rPr>
        <w:t>Motorized net revenues increased $17.8 million or 2.0% in Fiscal 2015 as compared to Fiscal 2014. This was primarily attributed to a 3.9% increase in unit deliveries in Fiscal 2015.</w:t>
      </w:r>
    </w:p>
    <w:p>
      <w:pPr>
        <w:spacing w:after="0" w:line="1" w:lineRule="exact"/>
        <w:rPr>
          <w:sz w:val="20"/>
          <w:szCs w:val="20"/>
          <w:color w:val="auto"/>
        </w:rPr>
      </w:pPr>
    </w:p>
    <w:p>
      <w:pPr>
        <w:ind w:left="340" w:right="18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increase in incremental revenues was due to the change in our sales agreement with Apollo, a US RV rental company. During Fiscal 2015 we delivered 535 rental units to Apollo. During Fiscal 2014 we delivered 520 rental units to Apollo, of which only 177 were reported as motorhome sales; the remaining 343 were recorded as operating leases due to a repurchase obligation in Fiscal 2014.</w:t>
      </w:r>
    </w:p>
    <w:p>
      <w:pPr>
        <w:spacing w:after="0" w:line="1" w:lineRule="exact"/>
        <w:rPr>
          <w:rFonts w:ascii="Arial" w:cs="Arial" w:eastAsia="Arial" w:hAnsi="Arial"/>
          <w:sz w:val="16"/>
          <w:szCs w:val="16"/>
          <w:color w:val="auto"/>
        </w:rPr>
      </w:pPr>
    </w:p>
    <w:p>
      <w:pPr>
        <w:ind w:left="340" w:right="320" w:hanging="332"/>
        <w:spacing w:after="0" w:line="260"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 motorhome ASP decreased 1.7% in Fiscal 2015 compared to Fiscal 2014 due to a mix shift from higher priced Class A products in Fiscal 2014 to lower priced Class B and C unit sales in Fiscal 2015. ASPs increased in every product category during Fiscal 2015.</w:t>
      </w:r>
    </w:p>
    <w:p>
      <w:pPr>
        <w:spacing w:after="0" w:line="16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A key metric used to evaluate motorized dealer inventory levels is the retail turn rate (12 month retail volume/current dealer inventory). At the end of Fiscal 2015 the retail turn rate was over 2.2 turns for Motorized product. Historically, turn rates above 2.0 have been an indication of a balanced dealer inventory and thus we believe motorized dealer inventory levels are in alignment with retail demand.</w:t>
      </w:r>
    </w:p>
    <w:p>
      <w:pPr>
        <w:spacing w:after="0" w:line="174"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Motorized segment Adjusted EBITDA decreased $4.9 million or 7.9%. This decrease is due to decreased gross profit and an increase in general and administrative expenses. Gross profit was reduced due to increased warranty expense and related warranty recall reserve and higher workers compensation expense. General and administrative expenses includes incremental ERP and strategic sourcing projects of $3.9 million, increased legal and product liability expenses of $1.6 million, costs associated with the former CEO retirement agreement of $1.0 million and was partially offset by $3.3 million in reduced management compensation expenses.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The following is an analysis of key changes in our Towable business unit.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Towable</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Year Ended</w:t>
            </w:r>
          </w:p>
        </w:tc>
        <w:tc>
          <w:tcPr>
            <w:tcW w:w="1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198"/>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39"/>
              <w:spacing w:after="0"/>
              <w:rPr>
                <w:sz w:val="20"/>
                <w:szCs w:val="20"/>
                <w:color w:val="auto"/>
              </w:rPr>
            </w:pPr>
            <w:r>
              <w:rPr>
                <w:rFonts w:ascii="Arial" w:cs="Arial" w:eastAsia="Arial" w:hAnsi="Arial"/>
                <w:sz w:val="16"/>
                <w:szCs w:val="16"/>
                <w:b w:val="1"/>
                <w:bCs w:val="1"/>
                <w:color w:val="auto"/>
              </w:rPr>
              <w:t>Aug 29,</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279"/>
              <w:spacing w:after="0"/>
              <w:rPr>
                <w:sz w:val="20"/>
                <w:szCs w:val="20"/>
                <w:color w:val="auto"/>
              </w:rPr>
            </w:pPr>
            <w:r>
              <w:rPr>
                <w:rFonts w:ascii="Arial" w:cs="Arial" w:eastAsia="Arial" w:hAnsi="Arial"/>
                <w:sz w:val="16"/>
                <w:szCs w:val="16"/>
                <w:b w:val="1"/>
                <w:bCs w:val="1"/>
                <w:color w:val="auto"/>
              </w:rPr>
              <w:t>Aug 30,</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2014</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Change</w:t>
            </w:r>
          </w:p>
        </w:tc>
      </w:tr>
      <w:tr>
        <w:trPr>
          <w:trHeight w:val="27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71,684</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58,123</w:t>
            </w: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13,561</w:t>
            </w: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23.3 %</w:t>
            </w:r>
          </w:p>
        </w:tc>
      </w:tr>
      <w:tr>
        <w:trPr>
          <w:trHeight w:val="251"/>
        </w:trPr>
        <w:tc>
          <w:tcPr>
            <w:tcW w:w="30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2,767</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1,359</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color w:val="auto"/>
              </w:rPr>
              <w:t>1,408</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103.6 %</w:t>
            </w:r>
          </w:p>
        </w:tc>
      </w:tr>
      <w:tr>
        <w:trPr>
          <w:trHeight w:val="488"/>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center"/>
              <w:ind w:right="139"/>
              <w:spacing w:after="0"/>
              <w:rPr>
                <w:sz w:val="20"/>
                <w:szCs w:val="20"/>
                <w:color w:val="auto"/>
              </w:rPr>
            </w:pPr>
            <w:r>
              <w:rPr>
                <w:rFonts w:ascii="Arial" w:cs="Arial" w:eastAsia="Arial" w:hAnsi="Arial"/>
                <w:sz w:val="16"/>
                <w:szCs w:val="16"/>
                <w:b w:val="1"/>
                <w:bCs w:val="1"/>
                <w:color w:val="auto"/>
              </w:rPr>
              <w:t>Aug 29,</w:t>
            </w:r>
          </w:p>
        </w:tc>
        <w:tc>
          <w:tcPr>
            <w:tcW w:w="17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Product</w:t>
            </w:r>
          </w:p>
        </w:tc>
        <w:tc>
          <w:tcPr>
            <w:tcW w:w="1020" w:type="dxa"/>
            <w:vAlign w:val="bottom"/>
          </w:tcPr>
          <w:p>
            <w:pPr>
              <w:jc w:val="center"/>
              <w:ind w:right="279"/>
              <w:spacing w:after="0"/>
              <w:rPr>
                <w:sz w:val="20"/>
                <w:szCs w:val="20"/>
                <w:color w:val="auto"/>
              </w:rPr>
            </w:pPr>
            <w:r>
              <w:rPr>
                <w:rFonts w:ascii="Arial" w:cs="Arial" w:eastAsia="Arial" w:hAnsi="Arial"/>
                <w:sz w:val="16"/>
                <w:szCs w:val="16"/>
                <w:b w:val="1"/>
                <w:bCs w:val="1"/>
                <w:color w:val="auto"/>
              </w:rPr>
              <w:t>Aug 30,</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Product</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1740" w:type="dxa"/>
            <w:vAlign w:val="bottom"/>
            <w:tcBorders>
              <w:bottom w:val="single" w:sz="8" w:color="auto"/>
            </w:tcBorders>
            <w:gridSpan w:val="3"/>
          </w:tcPr>
          <w:p>
            <w:pPr>
              <w:jc w:val="center"/>
              <w:ind w:right="26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2014</w:t>
            </w:r>
          </w:p>
        </w:tc>
        <w:tc>
          <w:tcPr>
            <w:tcW w:w="1560" w:type="dxa"/>
            <w:vAlign w:val="bottom"/>
            <w:tcBorders>
              <w:bottom w:val="single" w:sz="8" w:color="auto"/>
            </w:tcBorders>
            <w:gridSpan w:val="2"/>
          </w:tcPr>
          <w:p>
            <w:pPr>
              <w:jc w:val="center"/>
              <w:ind w:right="12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Change</w:t>
            </w:r>
          </w:p>
        </w:tc>
      </w:tr>
      <w:tr>
        <w:trPr>
          <w:trHeight w:val="264"/>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2,182</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2,052</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81.8%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130</w:t>
            </w: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6.3 %</w:t>
            </w:r>
          </w:p>
        </w:tc>
      </w:tr>
      <w:tr>
        <w:trPr>
          <w:trHeight w:val="264"/>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488</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457</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31</w:t>
            </w: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6.8 %</w:t>
            </w:r>
          </w:p>
        </w:tc>
      </w:tr>
      <w:tr>
        <w:trPr>
          <w:trHeight w:val="240"/>
        </w:trPr>
        <w:tc>
          <w:tcPr>
            <w:tcW w:w="3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2,670</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2,509</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161</w:t>
            </w: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6.4 %</w:t>
            </w: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4"/>
        </w:trPr>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 ASP</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27,012</w:t>
            </w: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23,312</w:t>
            </w: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3,700</w:t>
            </w: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15.9 %</w:t>
            </w:r>
          </w:p>
        </w:tc>
      </w:tr>
      <w:tr>
        <w:trPr>
          <w:trHeight w:val="534"/>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6"/>
                <w:szCs w:val="16"/>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8"/>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39"/>
              <w:spacing w:after="0"/>
              <w:rPr>
                <w:sz w:val="20"/>
                <w:szCs w:val="20"/>
                <w:color w:val="auto"/>
              </w:rPr>
            </w:pPr>
            <w:r>
              <w:rPr>
                <w:rFonts w:ascii="Arial" w:cs="Arial" w:eastAsia="Arial" w:hAnsi="Arial"/>
                <w:sz w:val="16"/>
                <w:szCs w:val="16"/>
                <w:b w:val="1"/>
                <w:bCs w:val="1"/>
                <w:color w:val="auto"/>
              </w:rPr>
              <w:t>Aug 29,</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239"/>
              <w:spacing w:after="0"/>
              <w:rPr>
                <w:sz w:val="20"/>
                <w:szCs w:val="20"/>
                <w:color w:val="auto"/>
              </w:rPr>
            </w:pPr>
            <w:r>
              <w:rPr>
                <w:rFonts w:ascii="Arial" w:cs="Arial" w:eastAsia="Arial" w:hAnsi="Arial"/>
                <w:sz w:val="16"/>
                <w:szCs w:val="16"/>
                <w:b w:val="1"/>
                <w:bCs w:val="1"/>
                <w:color w:val="auto"/>
              </w:rPr>
              <w:t>Aug 30,</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040" w:type="dxa"/>
            <w:vAlign w:val="bottom"/>
            <w:tcBorders>
              <w:bottom w:val="single" w:sz="8" w:color="auto"/>
            </w:tcBorders>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14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4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85</w:t>
            </w: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52.1 %</w:t>
            </w:r>
          </w:p>
        </w:tc>
      </w:tr>
      <w:tr>
        <w:trPr>
          <w:trHeight w:val="251"/>
        </w:trPr>
        <w:tc>
          <w:tcPr>
            <w:tcW w:w="3040" w:type="dxa"/>
            <w:vAlign w:val="bottom"/>
          </w:tcPr>
          <w:p>
            <w:pPr>
              <w:ind w:left="40"/>
              <w:spacing w:after="0"/>
              <w:rPr>
                <w:sz w:val="20"/>
                <w:szCs w:val="20"/>
                <w:color w:val="auto"/>
              </w:rPr>
            </w:pPr>
            <w:r>
              <w:rPr>
                <w:rFonts w:ascii="Arial" w:cs="Arial" w:eastAsia="Arial" w:hAnsi="Arial"/>
                <w:sz w:val="16"/>
                <w:szCs w:val="16"/>
                <w:color w:val="auto"/>
              </w:rPr>
              <w:t>Dollars</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6,171</w:t>
            </w:r>
          </w:p>
        </w:tc>
        <w:tc>
          <w:tcPr>
            <w:tcW w:w="17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3,750</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79"/>
              <w:spacing w:after="0"/>
              <w:rPr>
                <w:sz w:val="20"/>
                <w:szCs w:val="20"/>
                <w:color w:val="auto"/>
              </w:rPr>
            </w:pPr>
            <w:r>
              <w:rPr>
                <w:rFonts w:ascii="Arial" w:cs="Arial" w:eastAsia="Arial" w:hAnsi="Arial"/>
                <w:sz w:val="16"/>
                <w:szCs w:val="16"/>
                <w:color w:val="auto"/>
              </w:rPr>
              <w:t>2,421</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64.6 %</w:t>
            </w:r>
          </w:p>
        </w:tc>
      </w:tr>
      <w:tr>
        <w:trPr>
          <w:trHeight w:val="553"/>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Dealer Inventory</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r>
      <w:tr>
        <w:trPr>
          <w:trHeight w:val="257"/>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1,663</w:t>
            </w: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1,721</w:t>
            </w: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(58)</w:t>
            </w: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w:t>
            </w:r>
          </w:p>
        </w:tc>
      </w:tr>
    </w:tbl>
    <w:p>
      <w:pPr>
        <w:spacing w:after="0" w:line="155"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360" w:firstLine="8"/>
        <w:spacing w:after="0" w:line="242" w:lineRule="auto"/>
        <w:tabs>
          <w:tab w:leader="none" w:pos="145" w:val="left"/>
        </w:tabs>
        <w:numPr>
          <w:ilvl w:val="0"/>
          <w:numId w:val="25"/>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193"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Towable net revenues increased $13.6 million or 23.3% in Fiscal 2015 compared to Fiscal 2014. This was primarily due to an increase in ASP of 15.9% and unit deliveries of 6.4%.</w:t>
      </w:r>
    </w:p>
    <w:p>
      <w:pPr>
        <w:spacing w:after="0" w:line="169"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Towable segment Adjusted EBITDA increased $1.4 million or 103.6%. This increase is due to organic revenue growth. We achieved strong results in our towables operations as a result of greater penetration of our new products and further expansion of our distribution base.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420"/>
        <w:spacing w:after="0" w:line="246" w:lineRule="auto"/>
        <w:rPr>
          <w:sz w:val="20"/>
          <w:szCs w:val="20"/>
          <w:color w:val="auto"/>
        </w:rPr>
      </w:pPr>
      <w:r>
        <w:rPr>
          <w:rFonts w:ascii="Arial" w:cs="Arial" w:eastAsia="Arial" w:hAnsi="Arial"/>
          <w:sz w:val="16"/>
          <w:szCs w:val="16"/>
          <w:color w:val="auto"/>
        </w:rPr>
        <w:t>Cash and cash equivalents increased $15.3 million during Fiscal 2016 and totaled $85.6 million as of August 27, 2016. The significant liquidity events that occurred during Fiscal 2016 were:</w:t>
      </w:r>
    </w:p>
    <w:p>
      <w:pPr>
        <w:spacing w:after="0" w:line="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Generated net income of $45.5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Capital expenditures of $24.6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Dividend payments of $10.9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Stock repurchases of $3.1 million</w:t>
      </w:r>
    </w:p>
    <w:p>
      <w:pPr>
        <w:spacing w:after="0" w:line="19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As described in Note 6, through our Amended Credit Agreement with Wells Fargo Capital Finance, we have the ability to borrow $35.0 million through a revolving credit facility based on our eligible inventory and certain receivables. In addition, the Amended Credit Agreement also includes a framework to expand the size of the facility up to $50.0 million, based on mutually agreeable terms at the time of the expansion. The Credit Agreement's term is through May 28, 2019. We are in compliance with all material terms in the Amended Credit Agreement and have no outstanding borrowings as of the date of this report.</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April 25, 2016. Subject to market conditions, we have the ability to offer and sell up to $35.0 million of our common stock in one or more offerings pursuant to the Registration Statement. The Registration Statement will be available for use for three years from its effective date. We currently have no plans to offer and sell the common stock registered under this Registration Statement; however, it does provide another potential source of liquidity to raise capital if we need it, in addition to the alternatives already in place.</w:t>
      </w:r>
    </w:p>
    <w:p>
      <w:pPr>
        <w:spacing w:after="0" w:line="230"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Working capital at August 27, 2016 and August 29, 2015 was $187.6 million and $184.6 million, respectively, an increase of $3.0 million. We currently expect cash on hand, funds generated from operations and the availability under a credit facility to be sufficient to cover both short-term and long-term operating requirements. We anticipate capital expenditures in Fiscal 2017 of approximately $17 - $20 million. In addition to the normal $8 - $10 million of maintenance spend for our current facilities, we will continue to invest in our ERP system and finalize incremental capacity expansion investments in Oregon.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74" w:right="239" w:bottom="1440" w:gutter="0" w:footer="0" w:header="0"/>
        </w:sectPr>
      </w:pPr>
    </w:p>
    <w:bookmarkStart w:id="21" w:name="page22"/>
    <w:bookmarkEnd w:id="21"/>
    <w:p>
      <w:pPr>
        <w:ind w:right="220"/>
        <w:spacing w:after="0" w:line="253" w:lineRule="auto"/>
        <w:rPr>
          <w:sz w:val="20"/>
          <w:szCs w:val="20"/>
          <w:color w:val="auto"/>
        </w:rPr>
      </w:pPr>
      <w:r>
        <w:rPr>
          <w:rFonts w:ascii="Arial" w:cs="Arial" w:eastAsia="Arial" w:hAnsi="Arial"/>
          <w:sz w:val="16"/>
          <w:szCs w:val="16"/>
          <w:color w:val="auto"/>
        </w:rPr>
        <w:t>On October 12, 2016, the Board of Directors approved a quarterly cash dividend of $0.10 per share of common stock, payable on November 23, 2016 to shareholders of record at the close of business on November 9, 2016. We expect this cash outflow to be approximately $2.7 million for each quarter that this dividend is paid.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Cash provided by operating activities was $52.7 million for the fiscal year ended August 27, 2016 compared to $45.2 million for the fiscal year ended August 29, 2015, and $23.2 million for the fiscal year ended August 30, 2014. The combination of net income of $45.5 million in Fiscal 2016 and changes in non-cash charges (e.g., depreciation, LIFO, stock-based compensation, deferred income taxes) provided $52.7 million of operating cash compared to $49.0 million in Fiscal 2015 and $50.6 million in Fiscal 2014. In Fiscal 2016, Fiscal 2015, and Fiscal 2014, changes in assets and liabilities (primarily a decrease in receivables in Fiscal 2016, an increase in receivables in Fiscal 2015 and inventory increases in Fiscal 2014) used $0.1 million, $3.8 million, and $27.4 million, respectively, of operating cash.</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Cash used in investing activities of $23.4 million in Fiscal 2016 was due primarily to capital spending of $24.6 million. In Fiscal 2015, cash used in investing activities of $16.5 million was primarily due to capital spending of $16.6 million. During Fiscal 2014, cash used in investing activities of $5.4 million was primarily due to capital spending of $10.5 million partially offset by proceeds from the sale of property of $2.4 million and ARS redemptions of $2.4 million.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Cash used in financing activities of $14.0 million in Fiscal 2016 was primarily due to $10.9 million for the payments of dividends and $3.1 million in repurchases of our stock. Cash used in financing for the fiscal year ended August 29, 2015 was primarily due to $9.8 million for the payments of dividends and $6.5 million in repurchases of our stock. In addition, in Fiscal 2015 we borrowed and repaid $22.0 million in our line of credit. Cash used in financing for the fiscal year ended August 30, 2014 was $24.3 million primarily for repurchases of our stock.</w:t>
      </w:r>
    </w:p>
    <w:p>
      <w:pPr>
        <w:spacing w:after="0" w:line="17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connection with our agreement to acquire Grand Design we executed a customary debt commitment letter with JPMorgan Chase Bank, N.A. (“JPMorgan”) pursuant to which, subject to customary exceptions and conditions, JPMorgan has committed to provide a seven-year $300 million secured term loan B facility, and a five-year $125 million asset-based revolving credit facility (collectively the “Credit Facilities”). We intend to use the proceeds from the term loan and a portion of the revolving credit facility together with $60 million in cash and $105 million of common stock to complete the acquisition of Grand Design. The remainder of the revolving credit facility will be used to fund our working capital needs. The Credit Facilities are expected to be secured by all or substantially all of our assets, and will replace our current credit facility with Wells Fargo Bank, N.A.</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principal contractual obligations and commercial commitments as of August 27, 2016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5"/>
          </w:tcPr>
          <w:p>
            <w:pPr>
              <w:jc w:val="center"/>
              <w:ind w:right="99"/>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2018-2019</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2020-2021</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Postretirement health care obligations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6,346</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4,322</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obligations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18,392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2,740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5,322</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4,752</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5,578</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Executive share option obligations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3,341</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Supplemental executive retirement plan benefit obligations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347</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603</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566</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1,165</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5720" w:type="dxa"/>
            <w:vAlign w:val="bottom"/>
          </w:tcPr>
          <w:p>
            <w:pPr>
              <w:ind w:left="40"/>
              <w:spacing w:after="0"/>
              <w:rPr>
                <w:sz w:val="20"/>
                <w:szCs w:val="20"/>
                <w:color w:val="auto"/>
              </w:rPr>
            </w:pPr>
            <w:r>
              <w:rPr>
                <w:rFonts w:ascii="Arial" w:cs="Arial" w:eastAsia="Arial" w:hAnsi="Arial"/>
                <w:sz w:val="16"/>
                <w:szCs w:val="16"/>
                <w:color w:val="auto"/>
              </w:rPr>
              <w:t>Contracted services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Unrecognized tax benefits </w:t>
            </w:r>
            <w:r>
              <w:rPr>
                <w:rFonts w:ascii="Arial" w:cs="Arial" w:eastAsia="Arial" w:hAnsi="Arial"/>
                <w:sz w:val="21"/>
                <w:szCs w:val="21"/>
                <w:color w:val="auto"/>
                <w:vertAlign w:val="superscript"/>
              </w:rPr>
              <w:t>(3)</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2,461</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5720" w:type="dxa"/>
            <w:vAlign w:val="bottom"/>
          </w:tcPr>
          <w:p>
            <w:pPr>
              <w:ind w:left="40"/>
              <w:spacing w:after="0"/>
              <w:rPr>
                <w:sz w:val="20"/>
                <w:szCs w:val="20"/>
                <w:color w:val="auto"/>
              </w:rPr>
            </w:pPr>
            <w:r>
              <w:rPr>
                <w:rFonts w:ascii="Arial" w:cs="Arial" w:eastAsia="Arial" w:hAnsi="Arial"/>
                <w:sz w:val="16"/>
                <w:szCs w:val="16"/>
                <w:color w:val="auto"/>
              </w:rPr>
              <w:t>Total contractual cash obligations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33,653</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11,065</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5"/>
          </w:tcPr>
          <w:p>
            <w:pPr>
              <w:jc w:val="center"/>
              <w:ind w:right="299"/>
              <w:spacing w:after="0"/>
              <w:rPr>
                <w:sz w:val="20"/>
                <w:szCs w:val="20"/>
                <w:color w:val="auto"/>
              </w:rPr>
            </w:pPr>
            <w:r>
              <w:rPr>
                <w:rFonts w:ascii="Arial" w:cs="Arial" w:eastAsia="Arial" w:hAnsi="Arial"/>
                <w:sz w:val="16"/>
                <w:szCs w:val="16"/>
                <w:b w:val="1"/>
                <w:bCs w:val="1"/>
                <w:color w:val="auto"/>
              </w:rPr>
              <w:t>Expiration By Period</w:t>
            </w:r>
          </w:p>
        </w:tc>
        <w:tc>
          <w:tcPr>
            <w:tcW w:w="98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1140" w:type="dxa"/>
            <w:vAlign w:val="bottom"/>
          </w:tcPr>
          <w:p>
            <w:pPr>
              <w:jc w:val="center"/>
              <w:ind w:right="239"/>
              <w:spacing w:after="0"/>
              <w:rPr>
                <w:sz w:val="20"/>
                <w:szCs w:val="20"/>
                <w:color w:val="auto"/>
              </w:rPr>
            </w:pPr>
            <w:r>
              <w:rPr>
                <w:rFonts w:ascii="Arial" w:cs="Arial" w:eastAsia="Arial" w:hAnsi="Arial"/>
                <w:sz w:val="16"/>
                <w:szCs w:val="16"/>
                <w:b w:val="1"/>
                <w:bCs w:val="1"/>
                <w:color w:val="auto"/>
              </w:rPr>
              <w:t>Fiscal</w:t>
            </w: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2018-2019</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2020-2021</w:t>
            </w: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Contingent repurchase obligations </w:t>
            </w:r>
            <w:r>
              <w:rPr>
                <w:rFonts w:ascii="Arial" w:cs="Arial" w:eastAsia="Arial" w:hAnsi="Arial"/>
                <w:sz w:val="21"/>
                <w:szCs w:val="21"/>
                <w:color w:val="auto"/>
                <w:vertAlign w:val="superscript"/>
              </w:rPr>
              <w:t>(2)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409,258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197,222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212,036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ind w:left="720"/>
              <w:spacing w:after="0"/>
              <w:rPr>
                <w:sz w:val="20"/>
                <w:szCs w:val="20"/>
                <w:color w:val="auto"/>
              </w:rPr>
            </w:pPr>
            <w:r>
              <w:rPr>
                <w:rFonts w:ascii="Arial" w:cs="Arial" w:eastAsia="Arial" w:hAnsi="Arial"/>
                <w:sz w:val="16"/>
                <w:szCs w:val="16"/>
                <w:color w:val="auto"/>
              </w:rPr>
              <w:t>—  $</w:t>
            </w:r>
          </w:p>
        </w:tc>
        <w:tc>
          <w:tcPr>
            <w:tcW w:w="980" w:type="dxa"/>
            <w:vAlign w:val="bottom"/>
          </w:tcPr>
          <w:p>
            <w:pPr>
              <w:ind w:left="7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240" w:hanging="232"/>
        <w:spacing w:after="0" w:line="187" w:lineRule="auto"/>
        <w:tabs>
          <w:tab w:leader="none" w:pos="24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See Note 8.</w:t>
      </w:r>
    </w:p>
    <w:p>
      <w:pPr>
        <w:ind w:left="240" w:hanging="232"/>
        <w:spacing w:after="0" w:line="193" w:lineRule="auto"/>
        <w:tabs>
          <w:tab w:leader="none" w:pos="24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See Note 9.</w:t>
      </w:r>
    </w:p>
    <w:p>
      <w:pPr>
        <w:ind w:left="240" w:hanging="232"/>
        <w:spacing w:after="0" w:line="199" w:lineRule="auto"/>
        <w:tabs>
          <w:tab w:leader="none" w:pos="24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We are not able to reasonably estimate in which future periods these amounts will ultimately be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66"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8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5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significant accounting policies are discussed in Note 1. 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Generally, revenues for our RVs are recorded and title passes when the following conditions are met:</w:t>
      </w:r>
    </w:p>
    <w:p>
      <w:pPr>
        <w:spacing w:after="0" w:line="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order for a product has been received from a dealer</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written or verbal approval for payment has been received from the dealer's floorplan financing institution (if applicable)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independent transportation company has accepted responsibility for the product as agent for the dealer;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product is removed from the Company's property for delivery to the dealer.</w:t>
      </w:r>
    </w:p>
    <w:p>
      <w:pPr>
        <w:spacing w:after="0" w:line="194"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Our shipping terms are FOB shipping point. Products are not sold on consignment, dealers do not have the right to return products, and dealers are typically responsible for interest costs to floor plan lenders.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Commitments</w:t>
      </w:r>
    </w:p>
    <w:p>
      <w:pPr>
        <w:spacing w:after="0" w:line="2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It is customary practice for manufacturers in the RV industry to enter into repurchase agreements with financing 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w:t>
      </w:r>
    </w:p>
    <w:p>
      <w:pPr>
        <w:spacing w:after="0" w:line="17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in the consolidated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These key assumptions are affected by a number of factors, such as macro-market conditions, current retail demand for our product, age of product in dealer inventory, physical condition of the product, location of the dealer, and the financing source. To the extent that dealers are increasing or decreasing their inventories, our overall exposure under repurchase agreements is likewise impacted. The percentage of dealer inventory we estimate we will repurchase and the associated estimated loss is based on historical information, current trends and an analysis of dealer inventory aging for all dealers with inventory subject to this obligation. In periods where there is increasing retail demand for our product at our dealerships, the lower end of our estimated range of assumptions will be more appropriate and in periods of decreasing retail demand, the opposite will be true.</w:t>
      </w:r>
    </w:p>
    <w:p>
      <w:pPr>
        <w:spacing w:after="0" w:line="186"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Repurchase risk is affected by the credit worthiness of our dealer network and if we are obligated to repurchase a substantially larger number of RVs in the future, this would increase our costs and could have a material adverse effect on our results of operations, financial condition, and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Warranty</w:t>
      </w:r>
    </w:p>
    <w:p>
      <w:pPr>
        <w:spacing w:after="0" w:line="21"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warranty on Class A and C sidewalls and floors. We provide a comprehensive 12-month warranty on all towable products. Estimated costs related to product warranty are accrued at the time of sale and are based upon past warranty claims and unit sales history. Accruals are adjusted as needed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7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364" w:right="259" w:bottom="1440" w:gutter="0" w:footer="0" w:header="0"/>
        </w:sectPr>
      </w:pPr>
    </w:p>
    <w:bookmarkStart w:id="23" w:name="page24"/>
    <w:bookmarkEnd w:id="23"/>
    <w:p>
      <w:pPr>
        <w:ind w:right="120"/>
        <w:spacing w:after="0" w:line="260" w:lineRule="auto"/>
        <w:rPr>
          <w:sz w:val="20"/>
          <w:szCs w:val="20"/>
          <w:color w:val="auto"/>
        </w:rPr>
      </w:pPr>
      <w:r>
        <w:rPr>
          <w:rFonts w:ascii="Arial" w:cs="Arial" w:eastAsia="Arial" w:hAnsi="Arial"/>
          <w:sz w:val="16"/>
          <w:szCs w:val="16"/>
          <w:color w:val="auto"/>
        </w:rPr>
        <w:t>actions. Although we estimate and reserve for the cost of these service actions, there can be no assurance that expense levels will remain at current levels or such reserves will continue to be adequate.</w:t>
      </w:r>
    </w:p>
    <w:p>
      <w:pPr>
        <w:spacing w:after="0" w:line="142"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A significant increase in dealership labor rates, the cost of parts or the frequency of claims could have a material adverse impact on our operating results for the period or periods in which such claims or additional costs materialize. A hypothetical change of a 10% increase or decrease in our significant warranty commitment assumptions as of August 27, 2016 would have affected net income by approximately $624,000. Further discussion of our warranty costs and associated accruals is included in Note 7.</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In preparing our financial statements, we are required to estimate our income taxes in each of the jurisdictions in which we operate. Significant judgment is required in determining our provision for income taxes, our deferred tax assets and liabilities and any valuation allowance recorded against our deferred tax assets. We will continue to assess the likelihood that our deferred tax assets will be realizable at each reporting period and will be adjusted accordingly, which could materially impact our financial position and results of operations. As of August 27, 2016, we have determined that our deferred tax assets are realizable, and therefore, no valuation allowance has been recorded.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220" w:type="dxa"/>
            <w:vAlign w:val="bottom"/>
            <w:gridSpan w:val="8"/>
          </w:tcPr>
          <w:p>
            <w:pPr>
              <w:spacing w:after="0"/>
              <w:rPr>
                <w:sz w:val="20"/>
                <w:szCs w:val="20"/>
                <w:color w:val="auto"/>
              </w:rPr>
            </w:pPr>
            <w:r>
              <w:rPr>
                <w:rFonts w:ascii="Arial" w:cs="Arial" w:eastAsia="Arial" w:hAnsi="Arial"/>
                <w:sz w:val="16"/>
                <w:szCs w:val="16"/>
                <w:b w:val="1"/>
                <w:bCs w:val="1"/>
                <w:color w:val="auto"/>
              </w:rPr>
              <w:t>New Accounting Pronouncements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8"/>
        </w:trPr>
        <w:tc>
          <w:tcPr>
            <w:tcW w:w="10220" w:type="dxa"/>
            <w:vAlign w:val="bottom"/>
            <w:gridSpan w:val="8"/>
          </w:tcPr>
          <w:p>
            <w:pPr>
              <w:spacing w:after="0"/>
              <w:rPr>
                <w:sz w:val="20"/>
                <w:szCs w:val="20"/>
                <w:color w:val="auto"/>
              </w:rPr>
            </w:pPr>
            <w:r>
              <w:rPr>
                <w:rFonts w:ascii="Arial" w:cs="Arial" w:eastAsia="Arial" w:hAnsi="Arial"/>
                <w:sz w:val="16"/>
                <w:szCs w:val="16"/>
                <w:color w:val="auto"/>
              </w:rPr>
              <w:t>See Note 1 for a summary of new accounting pronouncements which are incorporated by reference herein.</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10220" w:type="dxa"/>
            <w:vAlign w:val="bottom"/>
            <w:gridSpan w:val="8"/>
          </w:tcPr>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color w:val="auto"/>
              </w:rPr>
              <w:t>Financial Statements and Supplementary Data</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7"/>
        </w:trPr>
        <w:tc>
          <w:tcPr>
            <w:tcW w:w="60" w:type="dxa"/>
            <w:vAlign w:val="bottom"/>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6"/>
                <w:szCs w:val="16"/>
                <w:b w:val="1"/>
                <w:bCs w:val="1"/>
                <w:color w:val="auto"/>
              </w:rPr>
              <w:t>Index to Financial Statements</w:t>
            </w:r>
          </w:p>
        </w:tc>
        <w:tc>
          <w:tcPr>
            <w:tcW w:w="1180" w:type="dxa"/>
            <w:vAlign w:val="bottom"/>
            <w:gridSpan w:val="3"/>
          </w:tcPr>
          <w:p>
            <w:pPr>
              <w:jc w:val="right"/>
              <w:ind w:right="120"/>
              <w:spacing w:after="0"/>
              <w:rPr>
                <w:sz w:val="20"/>
                <w:szCs w:val="20"/>
                <w:color w:val="auto"/>
              </w:rPr>
            </w:pPr>
            <w:r>
              <w:rPr>
                <w:rFonts w:ascii="Arial" w:cs="Arial" w:eastAsia="Arial" w:hAnsi="Arial"/>
                <w:sz w:val="16"/>
                <w:szCs w:val="16"/>
                <w:color w:val="auto"/>
              </w:rPr>
              <w:t>Page</w:t>
            </w:r>
          </w:p>
        </w:tc>
      </w:tr>
      <w:tr>
        <w:trPr>
          <w:trHeight w:val="20"/>
        </w:trPr>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07"/>
        </w:trPr>
        <w:tc>
          <w:tcPr>
            <w:tcW w:w="60" w:type="dxa"/>
            <w:vAlign w:val="bottom"/>
          </w:tcPr>
          <w:p>
            <w:pPr>
              <w:spacing w:after="0"/>
              <w:rPr>
                <w:sz w:val="24"/>
                <w:szCs w:val="24"/>
                <w:color w:val="auto"/>
              </w:rPr>
            </w:pPr>
          </w:p>
        </w:tc>
        <w:tc>
          <w:tcPr>
            <w:tcW w:w="4780" w:type="dxa"/>
            <w:vAlign w:val="bottom"/>
            <w:gridSpan w:val="3"/>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Management's Report on Internal Control Over Financial Reporting</w:t>
              </w:r>
            </w:hyperlink>
          </w:p>
        </w:tc>
        <w:tc>
          <w:tcPr>
            <w:tcW w:w="538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gridSpan w:val="2"/>
          </w:tcPr>
          <w:p>
            <w:pPr>
              <w:jc w:val="right"/>
              <w:spacing w:after="0"/>
              <w:rPr>
                <w:rFonts w:ascii="Arial" w:cs="Arial" w:eastAsia="Arial" w:hAnsi="Arial"/>
                <w:sz w:val="16"/>
                <w:szCs w:val="16"/>
                <w:color w:val="0000EE"/>
              </w:rPr>
            </w:pPr>
            <w:hyperlink w:anchor="page25">
              <w:r>
                <w:rPr>
                  <w:rFonts w:ascii="Arial" w:cs="Arial" w:eastAsia="Arial" w:hAnsi="Arial"/>
                  <w:sz w:val="16"/>
                  <w:szCs w:val="16"/>
                  <w:color w:val="0000EE"/>
                </w:rPr>
                <w:t>22</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200" w:type="dxa"/>
            <w:vAlign w:val="bottom"/>
            <w:gridSpan w:val="2"/>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Reports of Independent Registered Public Accounting Firm</w:t>
              </w:r>
            </w:hyperlink>
          </w:p>
        </w:tc>
        <w:tc>
          <w:tcPr>
            <w:tcW w:w="580" w:type="dxa"/>
            <w:vAlign w:val="bottom"/>
          </w:tcPr>
          <w:p>
            <w:pPr>
              <w:spacing w:after="0"/>
              <w:rPr>
                <w:sz w:val="19"/>
                <w:szCs w:val="19"/>
                <w:color w:val="auto"/>
              </w:rPr>
            </w:pPr>
          </w:p>
        </w:tc>
        <w:tc>
          <w:tcPr>
            <w:tcW w:w="5380" w:type="dxa"/>
            <w:vAlign w:val="bottom"/>
            <w:gridSpan w:val="4"/>
          </w:tcPr>
          <w:p>
            <w:pPr>
              <w:spacing w:after="0"/>
              <w:rPr>
                <w:sz w:val="19"/>
                <w:szCs w:val="19"/>
                <w:color w:val="auto"/>
              </w:rPr>
            </w:pPr>
          </w:p>
        </w:tc>
        <w:tc>
          <w:tcPr>
            <w:tcW w:w="1180" w:type="dxa"/>
            <w:vAlign w:val="bottom"/>
            <w:gridSpan w:val="3"/>
          </w:tcPr>
          <w:p>
            <w:pPr>
              <w:jc w:val="right"/>
              <w:spacing w:after="0"/>
              <w:rPr>
                <w:rFonts w:ascii="Arial" w:cs="Arial" w:eastAsia="Arial" w:hAnsi="Arial"/>
                <w:sz w:val="16"/>
                <w:szCs w:val="16"/>
                <w:color w:val="0000EE"/>
              </w:rPr>
            </w:pPr>
            <w:hyperlink w:anchor="page26">
              <w:r>
                <w:rPr>
                  <w:rFonts w:ascii="Arial" w:cs="Arial" w:eastAsia="Arial" w:hAnsi="Arial"/>
                  <w:sz w:val="16"/>
                  <w:szCs w:val="16"/>
                  <w:color w:val="0000EE"/>
                </w:rPr>
                <w:t>23</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0160" w:type="dxa"/>
            <w:vAlign w:val="bottom"/>
            <w:gridSpan w:val="7"/>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Consolidated Statements of Income and Comprehensive Income for the Years Ended August 27, 2016, August 29, 2015, and August 30, 2014</w:t>
              </w:r>
            </w:hyperlink>
          </w:p>
        </w:tc>
        <w:tc>
          <w:tcPr>
            <w:tcW w:w="1180" w:type="dxa"/>
            <w:vAlign w:val="bottom"/>
            <w:gridSpan w:val="3"/>
          </w:tcPr>
          <w:p>
            <w:pPr>
              <w:jc w:val="right"/>
              <w:spacing w:after="0"/>
              <w:rPr>
                <w:rFonts w:ascii="Arial" w:cs="Arial" w:eastAsia="Arial" w:hAnsi="Arial"/>
                <w:sz w:val="16"/>
                <w:szCs w:val="16"/>
                <w:color w:val="0000EE"/>
              </w:rPr>
            </w:pPr>
            <w:hyperlink w:anchor="page28">
              <w:r>
                <w:rPr>
                  <w:rFonts w:ascii="Arial" w:cs="Arial" w:eastAsia="Arial" w:hAnsi="Arial"/>
                  <w:sz w:val="16"/>
                  <w:szCs w:val="16"/>
                  <w:color w:val="0000EE"/>
                </w:rPr>
                <w:t>25</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0160" w:type="dxa"/>
            <w:vAlign w:val="bottom"/>
            <w:gridSpan w:val="7"/>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Consolidated Balance Sheets as of August 27, 2016 and August 29, 2015</w:t>
              </w:r>
            </w:hyperlink>
          </w:p>
        </w:tc>
        <w:tc>
          <w:tcPr>
            <w:tcW w:w="1180" w:type="dxa"/>
            <w:vAlign w:val="bottom"/>
            <w:gridSpan w:val="3"/>
          </w:tcPr>
          <w:p>
            <w:pPr>
              <w:jc w:val="right"/>
              <w:spacing w:after="0"/>
              <w:rPr>
                <w:rFonts w:ascii="Arial" w:cs="Arial" w:eastAsia="Arial" w:hAnsi="Arial"/>
                <w:sz w:val="16"/>
                <w:szCs w:val="16"/>
                <w:color w:val="0000EE"/>
              </w:rPr>
            </w:pPr>
            <w:hyperlink w:anchor="page29">
              <w:r>
                <w:rPr>
                  <w:rFonts w:ascii="Arial" w:cs="Arial" w:eastAsia="Arial" w:hAnsi="Arial"/>
                  <w:sz w:val="16"/>
                  <w:szCs w:val="16"/>
                  <w:color w:val="0000EE"/>
                </w:rPr>
                <w:t>26</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9900" w:type="dxa"/>
            <w:vAlign w:val="bottom"/>
            <w:gridSpan w:val="6"/>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Consolidated Statements of Changes in Stockholders' Equity for the Years Ended August 27, 2016, August 29, 2015, and August 30, 2014</w:t>
              </w:r>
            </w:hyperlink>
          </w:p>
        </w:tc>
        <w:tc>
          <w:tcPr>
            <w:tcW w:w="260" w:type="dxa"/>
            <w:vAlign w:val="bottom"/>
          </w:tcPr>
          <w:p>
            <w:pPr>
              <w:spacing w:after="0"/>
              <w:rPr>
                <w:sz w:val="19"/>
                <w:szCs w:val="19"/>
                <w:color w:val="auto"/>
              </w:rPr>
            </w:pPr>
          </w:p>
        </w:tc>
        <w:tc>
          <w:tcPr>
            <w:tcW w:w="1180" w:type="dxa"/>
            <w:vAlign w:val="bottom"/>
            <w:gridSpan w:val="3"/>
          </w:tcPr>
          <w:p>
            <w:pPr>
              <w:jc w:val="right"/>
              <w:spacing w:after="0"/>
              <w:rPr>
                <w:rFonts w:ascii="Arial" w:cs="Arial" w:eastAsia="Arial" w:hAnsi="Arial"/>
                <w:sz w:val="16"/>
                <w:szCs w:val="16"/>
                <w:color w:val="0000EE"/>
              </w:rPr>
            </w:pPr>
            <w:hyperlink w:anchor="page30">
              <w:r>
                <w:rPr>
                  <w:rFonts w:ascii="Arial" w:cs="Arial" w:eastAsia="Arial" w:hAnsi="Arial"/>
                  <w:sz w:val="16"/>
                  <w:szCs w:val="16"/>
                  <w:color w:val="0000EE"/>
                </w:rPr>
                <w:t>27</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5240" w:type="dxa"/>
            <w:vAlign w:val="bottom"/>
            <w:gridSpan w:val="4"/>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9900" w:type="dxa"/>
            <w:vAlign w:val="bottom"/>
            <w:gridSpan w:val="6"/>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Consolidated Statements of Cash Flows for the Years Ended August 27, 2016, August 29, 2015,and August 30, 2014</w:t>
              </w:r>
            </w:hyperlink>
          </w:p>
        </w:tc>
        <w:tc>
          <w:tcPr>
            <w:tcW w:w="260" w:type="dxa"/>
            <w:vAlign w:val="bottom"/>
          </w:tcPr>
          <w:p>
            <w:pPr>
              <w:spacing w:after="0"/>
              <w:rPr>
                <w:sz w:val="19"/>
                <w:szCs w:val="19"/>
                <w:color w:val="auto"/>
              </w:rPr>
            </w:pPr>
          </w:p>
        </w:tc>
        <w:tc>
          <w:tcPr>
            <w:tcW w:w="1180" w:type="dxa"/>
            <w:vAlign w:val="bottom"/>
            <w:gridSpan w:val="3"/>
          </w:tcPr>
          <w:p>
            <w:pPr>
              <w:jc w:val="right"/>
              <w:spacing w:after="0"/>
              <w:rPr>
                <w:rFonts w:ascii="Arial" w:cs="Arial" w:eastAsia="Arial" w:hAnsi="Arial"/>
                <w:sz w:val="16"/>
                <w:szCs w:val="16"/>
                <w:color w:val="0000EE"/>
              </w:rPr>
            </w:pPr>
            <w:hyperlink w:anchor="page31">
              <w:r>
                <w:rPr>
                  <w:rFonts w:ascii="Arial" w:cs="Arial" w:eastAsia="Arial" w:hAnsi="Arial"/>
                  <w:sz w:val="16"/>
                  <w:szCs w:val="16"/>
                  <w:color w:val="0000EE"/>
                </w:rPr>
                <w:t>28</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5240" w:type="dxa"/>
            <w:vAlign w:val="bottom"/>
            <w:gridSpan w:val="4"/>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360" w:type="dxa"/>
            <w:vAlign w:val="bottom"/>
            <w:gridSpan w:val="5"/>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Notes to Consolidated Financial Statements</w:t>
              </w:r>
            </w:hyperlink>
          </w:p>
        </w:tc>
        <w:tc>
          <w:tcPr>
            <w:tcW w:w="1800" w:type="dxa"/>
            <w:vAlign w:val="bottom"/>
            <w:gridSpan w:val="2"/>
          </w:tcPr>
          <w:p>
            <w:pPr>
              <w:spacing w:after="0"/>
              <w:rPr>
                <w:sz w:val="19"/>
                <w:szCs w:val="19"/>
                <w:color w:val="auto"/>
              </w:rPr>
            </w:pPr>
          </w:p>
        </w:tc>
        <w:tc>
          <w:tcPr>
            <w:tcW w:w="1180" w:type="dxa"/>
            <w:vAlign w:val="bottom"/>
            <w:gridSpan w:val="3"/>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29</w:t>
              </w:r>
            </w:hyperlink>
          </w:p>
        </w:tc>
      </w:tr>
      <w:tr>
        <w:trPr>
          <w:trHeight w:val="636"/>
        </w:trPr>
        <w:tc>
          <w:tcPr>
            <w:tcW w:w="60" w:type="dxa"/>
            <w:vAlign w:val="bottom"/>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5240" w:type="dxa"/>
            <w:vAlign w:val="bottom"/>
            <w:gridSpan w:val="4"/>
          </w:tcPr>
          <w:p>
            <w:pPr>
              <w:jc w:val="right"/>
              <w:ind w:right="2620"/>
              <w:spacing w:after="0"/>
              <w:rPr>
                <w:sz w:val="20"/>
                <w:szCs w:val="20"/>
                <w:color w:val="auto"/>
              </w:rPr>
            </w:pPr>
            <w:r>
              <w:rPr>
                <w:rFonts w:ascii="Arial" w:cs="Arial" w:eastAsia="Arial" w:hAnsi="Arial"/>
                <w:sz w:val="16"/>
                <w:szCs w:val="16"/>
                <w:color w:val="auto"/>
              </w:rPr>
              <w:t>21</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384"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8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the management of Winnebago Industries, Inc. (the "Company") are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financial statements for external purposes in accordance with generally accepted accounting principles.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internal control over financial reporting is supported by written policies and procedures that:</w:t>
      </w:r>
    </w:p>
    <w:p>
      <w:pPr>
        <w:spacing w:after="0" w:line="16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167" w:lineRule="exact"/>
        <w:rPr>
          <w:rFonts w:ascii="Arial" w:cs="Arial" w:eastAsia="Arial" w:hAnsi="Arial"/>
          <w:sz w:val="16"/>
          <w:szCs w:val="16"/>
          <w:color w:val="auto"/>
        </w:rPr>
      </w:pPr>
    </w:p>
    <w:p>
      <w:pPr>
        <w:ind w:left="340" w:right="440" w:hanging="332"/>
        <w:spacing w:after="0" w:line="253"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147"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4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addition, the Audit Committee of the Board of Directors, consisting solely of independent directors, meets periodically with Management, the internal auditors and the independent registered public accounting firm to review internal accounting controls, audit results and accounting principles and practices and annually selects the independent registered public accounting firm.</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Based on this assessment, management has concluded that the Company's internal control over financial reporting was effective as of August 27, 2016.</w:t>
      </w:r>
    </w:p>
    <w:p>
      <w:pPr>
        <w:spacing w:after="0" w:line="16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Michael J. Happe</w:t>
            </w:r>
          </w:p>
        </w:tc>
        <w:tc>
          <w:tcPr>
            <w:tcW w:w="1480" w:type="dxa"/>
            <w:vAlign w:val="bottom"/>
          </w:tcPr>
          <w:p>
            <w:pPr>
              <w:spacing w:after="0"/>
              <w:rPr>
                <w:sz w:val="19"/>
                <w:szCs w:val="19"/>
                <w:color w:val="auto"/>
              </w:rPr>
            </w:pP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Sarah N. Nielsen</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Michael J. Happe</w:t>
            </w:r>
          </w:p>
        </w:tc>
        <w:tc>
          <w:tcPr>
            <w:tcW w:w="14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Sarah N. Nielsen</w:t>
            </w:r>
          </w:p>
        </w:tc>
      </w:tr>
      <w:tr>
        <w:trPr>
          <w:trHeight w:val="243"/>
        </w:trPr>
        <w:tc>
          <w:tcPr>
            <w:tcW w:w="4920" w:type="dxa"/>
            <w:vAlign w:val="bottom"/>
          </w:tcPr>
          <w:p>
            <w:pPr>
              <w:ind w:left="40"/>
              <w:spacing w:after="0"/>
              <w:rPr>
                <w:sz w:val="20"/>
                <w:szCs w:val="20"/>
                <w:color w:val="auto"/>
              </w:rPr>
            </w:pPr>
            <w:r>
              <w:rPr>
                <w:rFonts w:ascii="Arial" w:cs="Arial" w:eastAsia="Arial" w:hAnsi="Arial"/>
                <w:sz w:val="16"/>
                <w:szCs w:val="16"/>
                <w:color w:val="auto"/>
              </w:rPr>
              <w:t>President, Chief Executive Officer</w:t>
            </w:r>
          </w:p>
        </w:tc>
        <w:tc>
          <w:tcPr>
            <w:tcW w:w="148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Vice President, Chief Financial Officer</w:t>
            </w:r>
          </w:p>
        </w:tc>
      </w:tr>
      <w:tr>
        <w:trPr>
          <w:trHeight w:val="567"/>
        </w:trPr>
        <w:tc>
          <w:tcPr>
            <w:tcW w:w="4920" w:type="dxa"/>
            <w:vAlign w:val="bottom"/>
          </w:tcPr>
          <w:p>
            <w:pPr>
              <w:ind w:left="40"/>
              <w:spacing w:after="0"/>
              <w:rPr>
                <w:sz w:val="20"/>
                <w:szCs w:val="20"/>
                <w:color w:val="auto"/>
              </w:rPr>
            </w:pPr>
            <w:r>
              <w:rPr>
                <w:rFonts w:ascii="Arial" w:cs="Arial" w:eastAsia="Arial" w:hAnsi="Arial"/>
                <w:sz w:val="16"/>
                <w:szCs w:val="16"/>
                <w:color w:val="auto"/>
              </w:rPr>
              <w:t>October 18, 2016</w:t>
            </w:r>
          </w:p>
        </w:tc>
        <w:tc>
          <w:tcPr>
            <w:tcW w:w="14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October 18, 2016</w:t>
            </w:r>
          </w:p>
        </w:tc>
      </w:tr>
      <w:tr>
        <w:trPr>
          <w:trHeight w:val="648"/>
        </w:trPr>
        <w:tc>
          <w:tcPr>
            <w:tcW w:w="4920" w:type="dxa"/>
            <w:vAlign w:val="bottom"/>
          </w:tcPr>
          <w:p>
            <w:pPr>
              <w:spacing w:after="0"/>
              <w:rPr>
                <w:sz w:val="24"/>
                <w:szCs w:val="24"/>
                <w:color w:val="auto"/>
              </w:rPr>
            </w:pPr>
          </w:p>
        </w:tc>
        <w:tc>
          <w:tcPr>
            <w:tcW w:w="1480" w:type="dxa"/>
            <w:vAlign w:val="bottom"/>
          </w:tcPr>
          <w:p>
            <w:pPr>
              <w:jc w:val="right"/>
              <w:ind w:right="519"/>
              <w:spacing w:after="0"/>
              <w:rPr>
                <w:sz w:val="20"/>
                <w:szCs w:val="20"/>
                <w:color w:val="auto"/>
              </w:rPr>
            </w:pPr>
            <w:r>
              <w:rPr>
                <w:rFonts w:ascii="Arial" w:cs="Arial" w:eastAsia="Arial" w:hAnsi="Arial"/>
                <w:sz w:val="16"/>
                <w:szCs w:val="16"/>
                <w:color w:val="auto"/>
              </w:rPr>
              <w:t>22</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w:t>
      </w:r>
    </w:p>
    <w:p>
      <w:pPr>
        <w:spacing w:after="0" w:line="18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 xml:space="preserve">We have audited the internal control over financial reporting of Winnebago Industries, Inc. and subsidiaries (the "Company") as of August 27, 2016,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6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August 27, 2016,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55" w:lineRule="exact"/>
        <w:rPr>
          <w:sz w:val="20"/>
          <w:szCs w:val="20"/>
          <w:color w:val="auto"/>
        </w:rPr>
      </w:pPr>
    </w:p>
    <w:p>
      <w:pPr>
        <w:ind w:right="480"/>
        <w:spacing w:after="0" w:line="251"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as of and for the year ended August 27, 2016 of the Company and our report dated October 18, 2016 (January 20, 2017 for the effects of the adjustments made as a result of the reporting segment change described in Note 12 to the consolidated financial statements), expressed an unqualified opinion on those consolidated financial statements.</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18,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364" w:right="25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w:t>
      </w:r>
    </w:p>
    <w:p>
      <w:pPr>
        <w:spacing w:after="0" w:line="181" w:lineRule="exact"/>
        <w:rPr>
          <w:sz w:val="20"/>
          <w:szCs w:val="20"/>
          <w:color w:val="auto"/>
        </w:rPr>
      </w:pPr>
    </w:p>
    <w:p>
      <w:pPr>
        <w:jc w:val="both"/>
        <w:ind w:right="140"/>
        <w:spacing w:after="0" w:line="251" w:lineRule="auto"/>
        <w:rPr>
          <w:sz w:val="20"/>
          <w:szCs w:val="20"/>
          <w:color w:val="auto"/>
        </w:rPr>
      </w:pPr>
      <w:r>
        <w:rPr>
          <w:rFonts w:ascii="Arial" w:cs="Arial" w:eastAsia="Arial" w:hAnsi="Arial"/>
          <w:sz w:val="16"/>
          <w:szCs w:val="16"/>
          <w:color w:val="auto"/>
        </w:rPr>
        <w:t>We have audited the accompanying consolidated balance sheets of Winnebago Industries, Inc. and subsidiaries (the "Company") as of August 27, 2016 and August 29, 2015, and the related consolidated statements of income and comprehensive income, changes in stockholders' equity, and cash flows for each of the three years in the period ended August 27, 2016. These financial statements are the responsibility of the Company's management. Our responsibility is to express an opinion on the financial statements based on our audits.</w:t>
      </w:r>
    </w:p>
    <w:p>
      <w:pPr>
        <w:spacing w:after="0" w:line="162"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Winnebago Industries, Inc. and subsidiaries at August 27, 2016 and August 29, 2015, and the results of their operations and their cash flows for each of the three years in the period ended August 27, 2016, in conformity with accounting principles generally accepted in the United States of America.</w:t>
      </w:r>
    </w:p>
    <w:p>
      <w:pPr>
        <w:spacing w:after="0" w:line="161" w:lineRule="exact"/>
        <w:rPr>
          <w:sz w:val="20"/>
          <w:szCs w:val="20"/>
          <w:color w:val="auto"/>
        </w:rPr>
      </w:pPr>
    </w:p>
    <w:p>
      <w:pPr>
        <w:jc w:val="both"/>
        <w:ind w:right="240"/>
        <w:spacing w:after="0" w:line="251"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Company's internal control over financial reporting as of August 27, 2016, based on the criteria established in Internal Control-Integrated Framework (2013) issued by the Committee of Sponsoring Organizations of the Treadway Commission and our report dated October 18, 2016 expressed an unqualified opinion on the Company's internal control over financial reporting.</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October 18, 2016, except for the effects of the adjustments made as a result of the reporting segment change described in Note 12 to the consolidated financial statements, as to which the date is January 20, 2017.</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 and Comprehensive Income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264"/>
        </w:trPr>
        <w:tc>
          <w:tcPr>
            <w:tcW w:w="512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2"/>
                <w:szCs w:val="22"/>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27, 2016</w:t>
            </w:r>
          </w:p>
        </w:tc>
        <w:tc>
          <w:tcPr>
            <w:tcW w:w="260" w:type="dxa"/>
            <w:vAlign w:val="bottom"/>
          </w:tcPr>
          <w:p>
            <w:pPr>
              <w:spacing w:after="0"/>
              <w:rPr>
                <w:sz w:val="22"/>
                <w:szCs w:val="22"/>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August 29, 2015</w:t>
            </w:r>
          </w:p>
        </w:tc>
        <w:tc>
          <w:tcPr>
            <w:tcW w:w="260" w:type="dxa"/>
            <w:vAlign w:val="bottom"/>
          </w:tcPr>
          <w:p>
            <w:pPr>
              <w:spacing w:after="0"/>
              <w:rPr>
                <w:sz w:val="22"/>
                <w:szCs w:val="22"/>
                <w:color w:val="auto"/>
              </w:rPr>
            </w:pPr>
          </w:p>
        </w:tc>
        <w:tc>
          <w:tcPr>
            <w:tcW w:w="17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30, 2014</w:t>
            </w:r>
          </w:p>
        </w:tc>
      </w:tr>
      <w:tr>
        <w:trPr>
          <w:trHeight w:val="257"/>
        </w:trPr>
        <w:tc>
          <w:tcPr>
            <w:tcW w:w="5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975,226</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976,505</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945,163</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862,577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871,625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841,166</w:t>
            </w:r>
          </w:p>
        </w:tc>
      </w:tr>
      <w:tr>
        <w:trPr>
          <w:trHeight w:val="25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112,649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104,880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103,997</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0"/>
        </w:trPr>
        <w:tc>
          <w:tcPr>
            <w:tcW w:w="5120" w:type="dxa"/>
            <w:vAlign w:val="bottom"/>
          </w:tcPr>
          <w:p>
            <w:pPr>
              <w:ind w:left="300"/>
              <w:spacing w:after="0"/>
              <w:rPr>
                <w:sz w:val="20"/>
                <w:szCs w:val="20"/>
                <w:color w:val="auto"/>
              </w:rPr>
            </w:pPr>
            <w:r>
              <w:rPr>
                <w:rFonts w:ascii="Arial" w:cs="Arial" w:eastAsia="Arial" w:hAnsi="Arial"/>
                <w:sz w:val="16"/>
                <w:szCs w:val="16"/>
                <w:color w:val="auto"/>
              </w:rPr>
              <w:t>Selling</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19,823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19,161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18,293</w:t>
            </w:r>
          </w:p>
        </w:tc>
      </w:tr>
      <w:tr>
        <w:trPr>
          <w:trHeight w:val="280"/>
        </w:trPr>
        <w:tc>
          <w:tcPr>
            <w:tcW w:w="5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27,085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25,838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22,424</w:t>
            </w:r>
          </w:p>
        </w:tc>
      </w:tr>
      <w:tr>
        <w:trPr>
          <w:trHeight w:val="264"/>
        </w:trPr>
        <w:tc>
          <w:tcPr>
            <w:tcW w:w="5120" w:type="dxa"/>
            <w:vAlign w:val="bottom"/>
          </w:tcPr>
          <w:p>
            <w:pPr>
              <w:ind w:left="300"/>
              <w:spacing w:after="0"/>
              <w:rPr>
                <w:sz w:val="20"/>
                <w:szCs w:val="20"/>
                <w:color w:val="auto"/>
              </w:rPr>
            </w:pPr>
            <w:r>
              <w:rPr>
                <w:rFonts w:ascii="Arial" w:cs="Arial" w:eastAsia="Arial" w:hAnsi="Arial"/>
                <w:sz w:val="16"/>
                <w:szCs w:val="16"/>
                <w:color w:val="auto"/>
              </w:rPr>
              <w:t>Impairment (gain on sale) of fixed assets</w:t>
            </w:r>
          </w:p>
        </w:tc>
        <w:tc>
          <w:tcPr>
            <w:tcW w:w="260" w:type="dxa"/>
            <w:vAlign w:val="bottom"/>
          </w:tcPr>
          <w:p>
            <w:pPr>
              <w:spacing w:after="0"/>
              <w:rPr>
                <w:sz w:val="22"/>
                <w:szCs w:val="22"/>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(629)</w:t>
            </w:r>
          </w:p>
        </w:tc>
      </w:tr>
      <w:tr>
        <w:trPr>
          <w:trHeight w:val="250"/>
        </w:trPr>
        <w:tc>
          <w:tcPr>
            <w:tcW w:w="51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46,908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45,461</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40,088</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65,741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59,419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63,909</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6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768</w:t>
            </w:r>
          </w:p>
        </w:tc>
      </w:tr>
      <w:tr>
        <w:trPr>
          <w:trHeight w:val="247"/>
        </w:trPr>
        <w:tc>
          <w:tcPr>
            <w:tcW w:w="51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Pr>
          <w:p>
            <w:pPr>
              <w:spacing w:after="0"/>
              <w:rPr>
                <w:sz w:val="21"/>
                <w:szCs w:val="21"/>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66,198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59,534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64,677</w:t>
            </w:r>
          </w:p>
        </w:tc>
      </w:tr>
      <w:tr>
        <w:trPr>
          <w:trHeight w:val="293"/>
        </w:trPr>
        <w:tc>
          <w:tcPr>
            <w:tcW w:w="5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20,702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18,324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19,624</w:t>
            </w:r>
          </w:p>
        </w:tc>
      </w:tr>
      <w:tr>
        <w:trPr>
          <w:trHeight w:val="24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45,496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41,210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45,053</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7"/>
        </w:trPr>
        <w:tc>
          <w:tcPr>
            <w:tcW w:w="5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94"/>
        </w:trPr>
        <w:tc>
          <w:tcPr>
            <w:tcW w:w="51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1.64</w:t>
            </w:r>
          </w:p>
        </w:tc>
      </w:tr>
      <w:tr>
        <w:trPr>
          <w:trHeight w:val="224"/>
        </w:trPr>
        <w:tc>
          <w:tcPr>
            <w:tcW w:w="5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1.64</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7"/>
        </w:trPr>
        <w:tc>
          <w:tcPr>
            <w:tcW w:w="5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0"/>
        </w:trPr>
        <w:tc>
          <w:tcPr>
            <w:tcW w:w="5120" w:type="dxa"/>
            <w:vAlign w:val="bottom"/>
          </w:tcPr>
          <w:p>
            <w:pPr>
              <w:ind w:left="30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26,925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26,941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27,430</w:t>
            </w:r>
          </w:p>
        </w:tc>
      </w:tr>
      <w:tr>
        <w:trPr>
          <w:trHeight w:val="280"/>
        </w:trPr>
        <w:tc>
          <w:tcPr>
            <w:tcW w:w="5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27,033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27,051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27,545</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per common share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45,496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41,210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45,053</w:t>
            </w:r>
          </w:p>
        </w:tc>
      </w:tr>
      <w:tr>
        <w:trPr>
          <w:trHeight w:val="260"/>
        </w:trPr>
        <w:tc>
          <w:tcPr>
            <w:tcW w:w="512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28"/>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4"/>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of tax of $2,947, $2,110, and $2,068)</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(4,788)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(3,428)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(3,582)</w:t>
            </w:r>
          </w:p>
        </w:tc>
      </w:tr>
      <w:tr>
        <w:trPr>
          <w:trHeight w:val="218"/>
        </w:trPr>
        <w:tc>
          <w:tcPr>
            <w:tcW w:w="5120" w:type="dxa"/>
            <w:vAlign w:val="bottom"/>
          </w:tcPr>
          <w:p>
            <w:pPr>
              <w:ind w:left="28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4"/>
        </w:trPr>
        <w:tc>
          <w:tcPr>
            <w:tcW w:w="5120" w:type="dxa"/>
            <w:vAlign w:val="bottom"/>
          </w:tcPr>
          <w:p>
            <w:pPr>
              <w:ind w:left="280"/>
              <w:spacing w:after="0"/>
              <w:rPr>
                <w:sz w:val="20"/>
                <w:szCs w:val="20"/>
                <w:color w:val="auto"/>
              </w:rPr>
            </w:pPr>
            <w:r>
              <w:rPr>
                <w:rFonts w:ascii="Arial" w:cs="Arial" w:eastAsia="Arial" w:hAnsi="Arial"/>
                <w:sz w:val="16"/>
                <w:szCs w:val="16"/>
                <w:color w:val="auto"/>
              </w:rPr>
              <w:t>(net of tax of $621, $565, and $337)</w:t>
            </w:r>
          </w:p>
        </w:tc>
        <w:tc>
          <w:tcPr>
            <w:tcW w:w="260" w:type="dxa"/>
            <w:vAlign w:val="bottom"/>
          </w:tcPr>
          <w:p>
            <w:pPr>
              <w:spacing w:after="0"/>
              <w:rPr>
                <w:sz w:val="17"/>
                <w:szCs w:val="17"/>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918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749</w:t>
            </w:r>
          </w:p>
        </w:tc>
      </w:tr>
      <w:tr>
        <w:trPr>
          <w:trHeight w:val="228"/>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in actuarial loss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4"/>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of tax of $415, $250, and $1,348)</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(2,191)</w:t>
            </w:r>
          </w:p>
        </w:tc>
      </w:tr>
      <w:tr>
        <w:trPr>
          <w:trHeight w:val="218"/>
        </w:trPr>
        <w:tc>
          <w:tcPr>
            <w:tcW w:w="5120" w:type="dxa"/>
            <w:vAlign w:val="bottom"/>
          </w:tcPr>
          <w:p>
            <w:pPr>
              <w:ind w:left="280"/>
              <w:spacing w:after="0"/>
              <w:rPr>
                <w:sz w:val="20"/>
                <w:szCs w:val="20"/>
                <w:color w:val="auto"/>
              </w:rPr>
            </w:pPr>
            <w:r>
              <w:rPr>
                <w:rFonts w:ascii="Arial" w:cs="Arial" w:eastAsia="Arial" w:hAnsi="Arial"/>
                <w:sz w:val="16"/>
                <w:szCs w:val="16"/>
                <w:color w:val="auto"/>
              </w:rPr>
              <w:t>Plan amendment</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4"/>
        </w:trPr>
        <w:tc>
          <w:tcPr>
            <w:tcW w:w="5120" w:type="dxa"/>
            <w:vAlign w:val="bottom"/>
          </w:tcPr>
          <w:p>
            <w:pPr>
              <w:ind w:left="280"/>
              <w:spacing w:after="0"/>
              <w:rPr>
                <w:sz w:val="20"/>
                <w:szCs w:val="20"/>
                <w:color w:val="auto"/>
              </w:rPr>
            </w:pPr>
            <w:r>
              <w:rPr>
                <w:rFonts w:ascii="Arial" w:cs="Arial" w:eastAsia="Arial" w:hAnsi="Arial"/>
                <w:sz w:val="16"/>
                <w:szCs w:val="16"/>
                <w:color w:val="auto"/>
              </w:rPr>
              <w:t>(net of tax of $10,895, $1,509, and $1,364)</w:t>
            </w:r>
          </w:p>
        </w:tc>
        <w:tc>
          <w:tcPr>
            <w:tcW w:w="260" w:type="dxa"/>
            <w:vAlign w:val="bottom"/>
          </w:tcPr>
          <w:p>
            <w:pPr>
              <w:spacing w:after="0"/>
              <w:rPr>
                <w:sz w:val="17"/>
                <w:szCs w:val="17"/>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17,701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2,451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2,216</w:t>
            </w:r>
          </w:p>
        </w:tc>
      </w:tr>
      <w:tr>
        <w:trPr>
          <w:trHeight w:val="228"/>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appreciation of investments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8"/>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of tax of $0, $0, and $91)</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151</w:t>
            </w:r>
          </w:p>
        </w:tc>
      </w:tr>
      <w:tr>
        <w:trPr>
          <w:trHeight w:val="250"/>
        </w:trPr>
        <w:tc>
          <w:tcPr>
            <w:tcW w:w="5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other comprehensive income (loss)</w:t>
            </w:r>
          </w:p>
        </w:tc>
        <w:tc>
          <w:tcPr>
            <w:tcW w:w="26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13,249</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(2,657)</w:t>
            </w:r>
          </w:p>
        </w:tc>
      </w:tr>
      <w:tr>
        <w:trPr>
          <w:trHeight w:val="24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58,745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40,744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42,396</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64"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27, 2016</w:t>
            </w:r>
          </w:p>
        </w:tc>
        <w:tc>
          <w:tcPr>
            <w:tcW w:w="280" w:type="dxa"/>
            <w:vAlign w:val="bottom"/>
          </w:tcPr>
          <w:p>
            <w:pPr>
              <w:spacing w:after="0"/>
              <w:rPr>
                <w:sz w:val="19"/>
                <w:szCs w:val="19"/>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29, 2015</w:t>
            </w:r>
          </w:p>
        </w:tc>
      </w:tr>
      <w:tr>
        <w:trPr>
          <w:trHeight w:val="270"/>
        </w:trPr>
        <w:tc>
          <w:tcPr>
            <w:tcW w:w="7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800" w:type="dxa"/>
            <w:vAlign w:val="bottom"/>
            <w:tcBorders>
              <w:top w:val="single" w:sz="8" w:color="auto"/>
            </w:tcBorders>
            <w:shd w:val="clear" w:color="auto" w:fill="CCEEFF"/>
          </w:tcPr>
          <w:p>
            <w:pPr>
              <w:spacing w:after="0"/>
              <w:rPr>
                <w:sz w:val="23"/>
                <w:szCs w:val="23"/>
                <w:color w:val="auto"/>
              </w:rPr>
            </w:pP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85,583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70,239</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Receivables, less allowance for doubtful accounts ($278 and $120, respectively)</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66,184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66,936</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122,522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112,165</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6,300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6,882</w:t>
            </w:r>
          </w:p>
        </w:tc>
      </w:tr>
      <w:tr>
        <w:trPr>
          <w:trHeight w:val="273"/>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9,995</w:t>
            </w:r>
          </w:p>
        </w:tc>
      </w:tr>
      <w:tr>
        <w:trPr>
          <w:trHeight w:val="250"/>
        </w:trPr>
        <w:tc>
          <w:tcPr>
            <w:tcW w:w="72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280,589</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266,217</w:t>
            </w:r>
          </w:p>
        </w:tc>
      </w:tr>
      <w:tr>
        <w:trPr>
          <w:trHeight w:val="257"/>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55,931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37,250</w:t>
            </w: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Investment in life insurance</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26,492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26,172</w:t>
            </w: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18,753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21,994</w:t>
            </w: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1,228</w:t>
            </w:r>
          </w:p>
        </w:tc>
      </w:tr>
      <w:tr>
        <w:trPr>
          <w:trHeight w:val="273"/>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7,725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9,313</w:t>
            </w:r>
          </w:p>
        </w:tc>
      </w:tr>
      <w:tr>
        <w:trPr>
          <w:trHeight w:val="280"/>
        </w:trPr>
        <w:tc>
          <w:tcPr>
            <w:tcW w:w="72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390,718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362,174</w:t>
            </w:r>
          </w:p>
        </w:tc>
      </w:tr>
      <w:tr>
        <w:trPr>
          <w:trHeight w:val="267"/>
        </w:trPr>
        <w:tc>
          <w:tcPr>
            <w:tcW w:w="7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44,134</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33,158</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2,314</w:t>
            </w: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compensation</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19,699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18,346</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Product warranties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12,412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11,254</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Self-insurance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5,812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6,242</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Accrued loss on repurchases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1,329</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Promotional</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4,756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3,149</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5,236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5,818</w:t>
            </w:r>
          </w:p>
        </w:tc>
      </w:tr>
      <w:tr>
        <w:trPr>
          <w:trHeight w:val="257"/>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92,949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81,610</w:t>
            </w:r>
          </w:p>
        </w:tc>
      </w:tr>
      <w:tr>
        <w:trPr>
          <w:trHeight w:val="254"/>
        </w:trPr>
        <w:tc>
          <w:tcPr>
            <w:tcW w:w="7280" w:type="dxa"/>
            <w:vAlign w:val="bottom"/>
          </w:tcPr>
          <w:p>
            <w:pPr>
              <w:ind w:left="40"/>
              <w:spacing w:after="0"/>
              <w:rPr>
                <w:sz w:val="20"/>
                <w:szCs w:val="20"/>
                <w:color w:val="auto"/>
              </w:rPr>
            </w:pPr>
            <w:r>
              <w:rPr>
                <w:rFonts w:ascii="Arial" w:cs="Arial" w:eastAsia="Arial" w:hAnsi="Arial"/>
                <w:sz w:val="16"/>
                <w:szCs w:val="16"/>
                <w:color w:val="auto"/>
              </w:rPr>
              <w:t>Total long-term liabilities: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2,511</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health care and deferred compensations benefits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26,949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57,090</w:t>
            </w:r>
          </w:p>
        </w:tc>
      </w:tr>
      <w:tr>
        <w:trPr>
          <w:trHeight w:val="257"/>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long-term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29,410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59,601</w:t>
            </w:r>
          </w:p>
        </w:tc>
      </w:tr>
      <w:tr>
        <w:trPr>
          <w:trHeight w:val="240"/>
        </w:trPr>
        <w:tc>
          <w:tcPr>
            <w:tcW w:w="7280" w:type="dxa"/>
            <w:vAlign w:val="bottom"/>
          </w:tcPr>
          <w:p>
            <w:pPr>
              <w:ind w:left="40"/>
              <w:spacing w:after="0"/>
              <w:rPr>
                <w:sz w:val="20"/>
                <w:szCs w:val="20"/>
                <w:color w:val="auto"/>
              </w:rPr>
            </w:pPr>
            <w:r>
              <w:rPr>
                <w:rFonts w:ascii="Arial" w:cs="Arial" w:eastAsia="Arial" w:hAnsi="Arial"/>
                <w:sz w:val="16"/>
                <w:szCs w:val="16"/>
                <w:color w:val="auto"/>
              </w:rPr>
              <w:t>Contingent liabilities and commitments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18"/>
        </w:trPr>
        <w:tc>
          <w:tcPr>
            <w:tcW w:w="7280" w:type="dxa"/>
            <w:vAlign w:val="bottom"/>
          </w:tcPr>
          <w:p>
            <w:pPr>
              <w:ind w:left="280"/>
              <w:spacing w:after="0"/>
              <w:rPr>
                <w:sz w:val="20"/>
                <w:szCs w:val="20"/>
                <w:color w:val="auto"/>
              </w:rPr>
            </w:pPr>
            <w:r>
              <w:rPr>
                <w:rFonts w:ascii="Arial" w:cs="Arial" w:eastAsia="Arial" w:hAnsi="Arial"/>
                <w:sz w:val="16"/>
                <w:szCs w:val="16"/>
                <w:color w:val="auto"/>
              </w:rPr>
              <w:t>Capital stock common, par value $0.50;</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4"/>
        </w:trPr>
        <w:tc>
          <w:tcPr>
            <w:tcW w:w="7280" w:type="dxa"/>
            <w:vAlign w:val="bottom"/>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240" w:type="dxa"/>
            <w:vAlign w:val="bottom"/>
          </w:tcPr>
          <w:p>
            <w:pPr>
              <w:spacing w:after="0"/>
              <w:rPr>
                <w:sz w:val="17"/>
                <w:szCs w:val="17"/>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25,888</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32,717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32,018</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620,546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585,941</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10,975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(2,274)</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Treasury stock, at cost (24,875 and 24,825 shares, respectively)</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(421,767)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(420,610)</w:t>
            </w:r>
          </w:p>
        </w:tc>
      </w:tr>
      <w:tr>
        <w:trPr>
          <w:trHeight w:val="250"/>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268,359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220,963</w:t>
            </w:r>
          </w:p>
        </w:tc>
      </w:tr>
      <w:tr>
        <w:trPr>
          <w:trHeight w:val="240"/>
        </w:trPr>
        <w:tc>
          <w:tcPr>
            <w:tcW w:w="728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390,718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362,174</w:t>
            </w:r>
          </w:p>
        </w:tc>
      </w:tr>
      <w:tr>
        <w:trPr>
          <w:trHeight w:val="20"/>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Accum-</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ulated</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78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Common Shares</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Other</w:t>
            </w:r>
          </w:p>
        </w:tc>
        <w:tc>
          <w:tcPr>
            <w:tcW w:w="2020" w:type="dxa"/>
            <w:vAlign w:val="bottom"/>
            <w:gridSpan w:val="3"/>
            <w:vMerge w:val="restart"/>
          </w:tcPr>
          <w:p>
            <w:pPr>
              <w:jc w:val="right"/>
              <w:ind w:right="408"/>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50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8"/>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Compre-</w:t>
            </w:r>
          </w:p>
        </w:tc>
        <w:tc>
          <w:tcPr>
            <w:tcW w:w="202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
              <w:spacing w:after="0" w:line="143"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2"/>
                <w:szCs w:val="12"/>
                <w:color w:val="auto"/>
              </w:rPr>
            </w:pPr>
          </w:p>
        </w:tc>
        <w:tc>
          <w:tcPr>
            <w:tcW w:w="840" w:type="dxa"/>
            <w:vAlign w:val="bottom"/>
          </w:tcPr>
          <w:p>
            <w:pPr>
              <w:jc w:val="right"/>
              <w:ind w:right="108"/>
              <w:spacing w:after="0" w:line="143"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92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rPr>
              <w:t>hensive</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holders'</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(APIC)</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Income</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August 31, 2013</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29,334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509,443</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849</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(23,917)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(394,785)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170,729</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Stock option exercises</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771</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78</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1,286</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2,057</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Creation/(utilization) of APIC pool due to stock award</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441</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(779)</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137</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2,279</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net of forfeitures</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1,905</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1,965</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(1,028)</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(26,340)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(26,340)</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cost and actuarial loss, net of $3,079 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(5,024)</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(5,024)</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Plan amendment, net of $1,364 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2,216</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2,216</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appreciation of investments, net of $91 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151</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45,053</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45,053</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August 30, 2014</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31,672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554,496</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(1,808)</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(24,727)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(417,500)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192,748</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Creation/(utilization) of APIC pool due to stock award</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124</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Stock-based compensation, net of forfeitures</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2,172</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2,221</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(6,519)</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(6,519)</w:t>
            </w:r>
          </w:p>
        </w:tc>
        <w:tc>
          <w:tcPr>
            <w:tcW w:w="0" w:type="dxa"/>
            <w:vAlign w:val="bottom"/>
          </w:tcPr>
          <w:p>
            <w:pPr>
              <w:spacing w:after="0"/>
              <w:rPr>
                <w:sz w:val="1"/>
                <w:szCs w:val="1"/>
                <w:color w:val="auto"/>
              </w:rPr>
            </w:pPr>
          </w:p>
        </w:tc>
      </w:tr>
      <w:tr>
        <w:trPr>
          <w:trHeight w:val="194"/>
        </w:trPr>
        <w:tc>
          <w:tcPr>
            <w:tcW w:w="3500" w:type="dxa"/>
            <w:vAlign w:val="bottom"/>
          </w:tcPr>
          <w:p>
            <w:pPr>
              <w:ind w:left="40"/>
              <w:spacing w:after="0"/>
              <w:rPr>
                <w:sz w:val="20"/>
                <w:szCs w:val="20"/>
                <w:color w:val="auto"/>
              </w:rPr>
            </w:pPr>
            <w:r>
              <w:rPr>
                <w:rFonts w:ascii="Arial" w:cs="Arial" w:eastAsia="Arial" w:hAnsi="Arial"/>
                <w:sz w:val="14"/>
                <w:szCs w:val="14"/>
                <w:color w:val="auto"/>
              </w:rPr>
              <w:t>Cash dividends paid and accrued on common</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00" w:type="dxa"/>
            <w:vAlign w:val="bottom"/>
          </w:tcPr>
          <w:p>
            <w:pPr>
              <w:ind w:left="40"/>
              <w:spacing w:after="0"/>
              <w:rPr>
                <w:sz w:val="20"/>
                <w:szCs w:val="20"/>
                <w:color w:val="auto"/>
              </w:rPr>
            </w:pPr>
            <w:r>
              <w:rPr>
                <w:rFonts w:ascii="Arial" w:cs="Arial" w:eastAsia="Arial" w:hAnsi="Arial"/>
                <w:sz w:val="14"/>
                <w:szCs w:val="14"/>
                <w:color w:val="auto"/>
              </w:rPr>
              <w:t>stock-$0.36 per share</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(9,765)</w:t>
            </w:r>
          </w:p>
        </w:tc>
        <w:tc>
          <w:tcPr>
            <w:tcW w:w="200" w:type="dxa"/>
            <w:vAlign w:val="bottom"/>
          </w:tcPr>
          <w:p>
            <w:pPr>
              <w:spacing w:after="0"/>
              <w:rPr>
                <w:sz w:val="15"/>
                <w:szCs w:val="15"/>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(9,765)</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cost and actuarial loss, net of $1,795 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(2,917)</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Plan amendment, net of $1,509 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2,451</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2,451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41,210</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41,210</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August 29, 2015</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32,018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585,941</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(2,274)</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(420,610)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220,963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Creation/(utilization) of APIC pool due to stock award</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Issuance of restricted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(1,309)</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1,826</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net of forfeitures</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1,975</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2,058</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(3,066)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(3,066)</w:t>
            </w: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paid and accrued on common</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stock-$0.40 per share</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(10,891)</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(10,891)</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Prior service cost and actuarial loss, net of $2,741 tax</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(4,452)</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(4,452)</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 amendment, net of $10,895 tax</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17,701</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17,701</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45,496</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45,496</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August 27, 2016</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32,717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620,546</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10,975</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(421,767)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268,359</w:t>
            </w:r>
          </w:p>
        </w:tc>
        <w:tc>
          <w:tcPr>
            <w:tcW w:w="0" w:type="dxa"/>
            <w:vAlign w:val="bottom"/>
          </w:tcPr>
          <w:p>
            <w:pPr>
              <w:spacing w:after="0"/>
              <w:rPr>
                <w:sz w:val="1"/>
                <w:szCs w:val="1"/>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9"/>
              </w:rPr>
              <w:t>Year Ended</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64"/>
        </w:trPr>
        <w:tc>
          <w:tcPr>
            <w:tcW w:w="65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27, 2016</w:t>
            </w:r>
          </w:p>
        </w:tc>
        <w:tc>
          <w:tcPr>
            <w:tcW w:w="14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August 29, 2015</w:t>
            </w: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b w:val="1"/>
                <w:bCs w:val="1"/>
                <w:color w:val="auto"/>
              </w:rPr>
              <w:t>August 30, 2014</w:t>
            </w:r>
          </w:p>
        </w:tc>
      </w:tr>
      <w:tr>
        <w:trPr>
          <w:trHeight w:val="270"/>
        </w:trPr>
        <w:tc>
          <w:tcPr>
            <w:tcW w:w="6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4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45,496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41,210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45,053</w:t>
            </w: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5,745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4,513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3,997</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1,456</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Asset impairment</w:t>
            </w:r>
          </w:p>
        </w:tc>
        <w:tc>
          <w:tcPr>
            <w:tcW w:w="140" w:type="dxa"/>
            <w:vAlign w:val="bottom"/>
          </w:tcPr>
          <w:p>
            <w:pPr>
              <w:spacing w:after="0"/>
              <w:rPr>
                <w:sz w:val="22"/>
                <w:szCs w:val="22"/>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3,386</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(48)</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(979)</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Provision (benefit) for doubtful accounts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(19)</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(gain) on disposal of property</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(691)</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Gain on life insurance</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(726)</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(805)</w:t>
            </w: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Change in assets and liabilities:</w:t>
            </w: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(11,510)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(1,763)</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Receivables, prepaid and other assets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1,217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2,458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(38,233)</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 in operating leases, net of repurchase obligations</w:t>
            </w: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72</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5,625</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10,919</w:t>
            </w:r>
          </w:p>
        </w:tc>
      </w:tr>
      <w:tr>
        <w:trPr>
          <w:trHeight w:val="264"/>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(3,992)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(4,159)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(4,008)</w:t>
            </w:r>
          </w:p>
        </w:tc>
      </w:tr>
      <w:tr>
        <w:trPr>
          <w:trHeight w:val="25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52,746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45,183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23,236</w:t>
            </w:r>
          </w:p>
        </w:tc>
      </w:tr>
      <w:tr>
        <w:trPr>
          <w:trHeight w:val="270"/>
        </w:trPr>
        <w:tc>
          <w:tcPr>
            <w:tcW w:w="6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Proceeds from the sale of investments</w:t>
            </w:r>
          </w:p>
        </w:tc>
        <w:tc>
          <w:tcPr>
            <w:tcW w:w="140" w:type="dxa"/>
            <w:vAlign w:val="bottom"/>
          </w:tcPr>
          <w:p>
            <w:pPr>
              <w:spacing w:after="0"/>
              <w:rPr>
                <w:sz w:val="22"/>
                <w:szCs w:val="22"/>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2,350</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life insurance</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1,737</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(24,551)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(16,573)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(10,476)</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sale of property</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2,423</w:t>
            </w:r>
          </w:p>
        </w:tc>
      </w:tr>
      <w:tr>
        <w:trPr>
          <w:trHeight w:val="264"/>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(1,402)</w:t>
            </w:r>
          </w:p>
        </w:tc>
      </w:tr>
      <w:tr>
        <w:trPr>
          <w:trHeight w:val="25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(23,392)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(16,517)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(5,368)</w:t>
            </w:r>
          </w:p>
        </w:tc>
      </w:tr>
      <w:tr>
        <w:trPr>
          <w:trHeight w:val="270"/>
        </w:trPr>
        <w:tc>
          <w:tcPr>
            <w:tcW w:w="6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(3,066)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(6,519)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(26,340)</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cash dividends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(10,891)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40" w:type="dxa"/>
            <w:vAlign w:val="bottom"/>
          </w:tcPr>
          <w:p>
            <w:pPr>
              <w:spacing w:after="0"/>
              <w:rPr>
                <w:sz w:val="22"/>
                <w:szCs w:val="22"/>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2,080</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Borrowings on loans</w:t>
            </w: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22,000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Repayments on loans</w:t>
            </w:r>
          </w:p>
        </w:tc>
        <w:tc>
          <w:tcPr>
            <w:tcW w:w="140" w:type="dxa"/>
            <w:vAlign w:val="bottom"/>
          </w:tcPr>
          <w:p>
            <w:pPr>
              <w:spacing w:after="0"/>
              <w:rPr>
                <w:sz w:val="22"/>
                <w:szCs w:val="22"/>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(22,000)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3"/>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w:t>
            </w:r>
          </w:p>
        </w:tc>
      </w:tr>
      <w:tr>
        <w:trPr>
          <w:trHeight w:val="25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(14,010)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(16,231)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(24,341)</w:t>
            </w:r>
          </w:p>
        </w:tc>
      </w:tr>
      <w:tr>
        <w:trPr>
          <w:trHeight w:val="270"/>
        </w:trPr>
        <w:tc>
          <w:tcPr>
            <w:tcW w:w="6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15,344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12,435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(6,473)</w:t>
            </w:r>
          </w:p>
        </w:tc>
      </w:tr>
      <w:tr>
        <w:trPr>
          <w:trHeight w:val="273"/>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70,239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57,804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64,277</w:t>
            </w:r>
          </w:p>
        </w:tc>
      </w:tr>
      <w:tr>
        <w:trPr>
          <w:trHeight w:val="28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85,583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70,239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57,804</w:t>
            </w:r>
          </w:p>
        </w:tc>
      </w:tr>
      <w:tr>
        <w:trPr>
          <w:trHeight w:val="254"/>
        </w:trPr>
        <w:tc>
          <w:tcPr>
            <w:tcW w:w="6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Supplement cash flow disclosure:</w:t>
            </w: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paid,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18,449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17,658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14,061</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51"/>
        </w:trPr>
        <w:tc>
          <w:tcPr>
            <w:tcW w:w="6500" w:type="dxa"/>
            <w:vAlign w:val="bottom"/>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bl>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364" w:right="239" w:bottom="944"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64" w:right="239" w:bottom="944"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Summary of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Nature of Operations</w:t>
      </w:r>
    </w:p>
    <w:p>
      <w:pPr>
        <w:spacing w:after="0" w:line="25" w:lineRule="exact"/>
        <w:rPr>
          <w:sz w:val="20"/>
          <w:szCs w:val="20"/>
          <w:color w:val="auto"/>
        </w:rPr>
      </w:pPr>
    </w:p>
    <w:p>
      <w:pPr>
        <w:ind w:right="660"/>
        <w:spacing w:after="0" w:line="253" w:lineRule="auto"/>
        <w:rPr>
          <w:sz w:val="20"/>
          <w:szCs w:val="20"/>
          <w:color w:val="auto"/>
        </w:rPr>
      </w:pPr>
      <w:r>
        <w:rPr>
          <w:rFonts w:ascii="Arial" w:cs="Arial" w:eastAsia="Arial" w:hAnsi="Arial"/>
          <w:sz w:val="16"/>
          <w:szCs w:val="16"/>
          <w:color w:val="auto"/>
        </w:rPr>
        <w:t>Winnebago Industries, Inc., founded in 1958 and headquartered in Forest City, Iowa, is one of the leading manufacturers of RVs which we sell through independent dealers, primarily throughout the United States and Canada. Other products manufactured by us consist primarily of original equipment manufacturing parts for other manufacturers and commercial vehicles.</w:t>
      </w:r>
    </w:p>
    <w:p>
      <w:pPr>
        <w:spacing w:after="0" w:line="14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the first quarter of Fiscal 2017, we revised our reporting segments. Previously we had one reporting segment which included all recreational vehicle products and services. With the acquisition of Grand Design in the first quarter of Fiscal 2017, we expanded the number of reporting segments to two: (1) Motorized products and services and (2) Towable products and services. The Towable segment includes all products which are not motorized and are generally towed by another vehicle. The Motorized segment includes all products that include a motorized chassis as well as other related manufactured products. All prior period amounts related to the segment change have been retrospectively reclassified throughout these Notes to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5" w:lineRule="exact"/>
        <w:rPr>
          <w:sz w:val="20"/>
          <w:szCs w:val="20"/>
          <w:color w:val="auto"/>
        </w:rPr>
      </w:pPr>
    </w:p>
    <w:p>
      <w:pPr>
        <w:ind w:right="840"/>
        <w:spacing w:after="0" w:line="260" w:lineRule="auto"/>
        <w:rPr>
          <w:sz w:val="20"/>
          <w:szCs w:val="20"/>
          <w:color w:val="auto"/>
        </w:rPr>
      </w:pPr>
      <w:r>
        <w:rPr>
          <w:rFonts w:ascii="Arial" w:cs="Arial" w:eastAsia="Arial" w:hAnsi="Arial"/>
          <w:sz w:val="16"/>
          <w:szCs w:val="16"/>
          <w:color w:val="auto"/>
        </w:rPr>
        <w:t>The consolidated financial statements for Fiscal 2016 include the parent company and our wholly-owned subsidiary, Winnebago of Indiana, LLC. All intercompany balances and transactions with our subsidiary have been eliminated.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The financial statements presented are all 52-week fiscal periods.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Cash and cash equivalents consist primarily of highly liquid investments with an original maturity of three months or less. The carrying amount approximates fair value due to the short maturity of the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Disclosures of Financial Instruments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All financial instruments are carried at amounts believed to approximate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and Hedging Activities</w:t>
      </w:r>
    </w:p>
    <w:p>
      <w:pPr>
        <w:spacing w:after="0" w:line="2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All contracts that contain provisions meeting the definition of a derivative also meet the requirements of, and have been designated as, normal purchases or sales. Our policy is to not enter into contracts with terms that cannot be designated as normal purchases or sales.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Doubtful Accounts</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allowance for doubtful accounts is based on historical loss experience and any specific customer collection issues identified. Additional amounts are provided through charges to income as we believe necessary after evaluation of receivables and current economic conditions. Amounts which are considered to be uncollectible are written off and recoveries of amounts previously written off are credited to the allowance upon recovery.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5"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Substantially, all inventories are stated at the lower of cost or market, determined on the LIFO basis. Manufacturing cost includes materials, labor and manufacturing overhead. Unallocated overhead and abnormal costs are expensed as incurred.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25" w:lineRule="exact"/>
        <w:rPr>
          <w:sz w:val="20"/>
          <w:szCs w:val="20"/>
          <w:color w:val="auto"/>
        </w:rPr>
      </w:pPr>
    </w:p>
    <w:p>
      <w:pPr>
        <w:ind w:right="780"/>
        <w:spacing w:after="0" w:line="192" w:lineRule="exact"/>
        <w:rPr>
          <w:sz w:val="20"/>
          <w:szCs w:val="20"/>
          <w:color w:val="auto"/>
        </w:rPr>
      </w:pPr>
      <w:r>
        <w:rPr>
          <w:rFonts w:ascii="Arial" w:cs="Arial" w:eastAsia="Arial" w:hAnsi="Arial"/>
          <w:sz w:val="16"/>
          <w:szCs w:val="16"/>
          <w:color w:val="auto"/>
        </w:rPr>
        <w:t>Depreciation of property and equipment is computed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on the cost of the assets, less allowance for salvage value where appropriate, at rates based upon their estimated service lives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Asset Class</w:t>
            </w:r>
          </w:p>
        </w:tc>
        <w:tc>
          <w:tcPr>
            <w:tcW w:w="5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Asset Life</w:t>
            </w: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Buildings</w:t>
            </w:r>
          </w:p>
        </w:tc>
        <w:tc>
          <w:tcPr>
            <w:tcW w:w="5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10-30 years</w:t>
            </w:r>
          </w:p>
        </w:tc>
      </w:tr>
      <w:tr>
        <w:trPr>
          <w:trHeight w:val="233"/>
        </w:trPr>
        <w:tc>
          <w:tcPr>
            <w:tcW w:w="6060" w:type="dxa"/>
            <w:vAlign w:val="bottom"/>
          </w:tcPr>
          <w:p>
            <w:pPr>
              <w:ind w:left="40"/>
              <w:spacing w:after="0"/>
              <w:rPr>
                <w:sz w:val="20"/>
                <w:szCs w:val="20"/>
                <w:color w:val="auto"/>
              </w:rPr>
            </w:pPr>
            <w:r>
              <w:rPr>
                <w:rFonts w:ascii="Arial" w:cs="Arial" w:eastAsia="Arial" w:hAnsi="Arial"/>
                <w:sz w:val="16"/>
                <w:szCs w:val="16"/>
                <w:color w:val="auto"/>
              </w:rPr>
              <w:t>Machinery and equipment</w:t>
            </w:r>
          </w:p>
        </w:tc>
        <w:tc>
          <w:tcPr>
            <w:tcW w:w="5360" w:type="dxa"/>
            <w:vAlign w:val="bottom"/>
          </w:tcPr>
          <w:p>
            <w:pPr>
              <w:jc w:val="right"/>
              <w:ind w:right="199"/>
              <w:spacing w:after="0"/>
              <w:rPr>
                <w:sz w:val="20"/>
                <w:szCs w:val="20"/>
                <w:color w:val="auto"/>
              </w:rPr>
            </w:pPr>
            <w:r>
              <w:rPr>
                <w:rFonts w:ascii="Arial" w:cs="Arial" w:eastAsia="Arial" w:hAnsi="Arial"/>
                <w:sz w:val="16"/>
                <w:szCs w:val="16"/>
                <w:color w:val="auto"/>
              </w:rPr>
              <w:t>3-15 years</w:t>
            </w:r>
          </w:p>
        </w:tc>
      </w:tr>
      <w:tr>
        <w:trPr>
          <w:trHeight w:val="25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Software</w:t>
            </w:r>
          </w:p>
        </w:tc>
        <w:tc>
          <w:tcPr>
            <w:tcW w:w="5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3-10 years</w:t>
            </w: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Transportation equipment</w:t>
            </w:r>
          </w:p>
        </w:tc>
        <w:tc>
          <w:tcPr>
            <w:tcW w:w="5360" w:type="dxa"/>
            <w:vAlign w:val="bottom"/>
          </w:tcPr>
          <w:p>
            <w:pPr>
              <w:jc w:val="right"/>
              <w:ind w:right="199"/>
              <w:spacing w:after="0"/>
              <w:rPr>
                <w:sz w:val="20"/>
                <w:szCs w:val="20"/>
                <w:color w:val="auto"/>
              </w:rPr>
            </w:pPr>
            <w:r>
              <w:rPr>
                <w:rFonts w:ascii="Arial" w:cs="Arial" w:eastAsia="Arial" w:hAnsi="Arial"/>
                <w:sz w:val="16"/>
                <w:szCs w:val="16"/>
                <w:color w:val="auto"/>
              </w:rPr>
              <w:t>4-6 years</w:t>
            </w:r>
          </w:p>
        </w:tc>
      </w:tr>
    </w:tbl>
    <w:p>
      <w:pPr>
        <w:spacing w:after="0" w:line="183"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We review our long-lived depreciable assets for impairment annually or whenever events or changes in circumstances indicate that the carrying value of an asset may not be recoverable from future cash flows. If the carrying value of a long-lived asset is impaired,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64" w:right="239" w:bottom="1440" w:gutter="0" w:footer="0" w:header="0"/>
        </w:sectPr>
      </w:pPr>
    </w:p>
    <w:bookmarkStart w:id="32" w:name="page33"/>
    <w:bookmarkEnd w:id="32"/>
    <w:p>
      <w:pPr>
        <w:spacing w:after="0" w:line="253" w:lineRule="auto"/>
        <w:rPr>
          <w:sz w:val="20"/>
          <w:szCs w:val="20"/>
          <w:color w:val="auto"/>
        </w:rPr>
      </w:pPr>
      <w:r>
        <w:rPr>
          <w:rFonts w:ascii="Arial" w:cs="Arial" w:eastAsia="Arial" w:hAnsi="Arial"/>
          <w:sz w:val="16"/>
          <w:szCs w:val="16"/>
          <w:color w:val="auto"/>
        </w:rPr>
        <w:t xml:space="preserve">an impairment charge is recorded for the amount by which the carrying value of the long-lived asset exceeds its fair value. We assess the potential impairment of long-lived assets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We also reviewed all other long-lived depreciable assets for impairment, noting no impairment.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Amortizable Intangible Assets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Goodwill represents costs in excess of the fair value of net tangible and identifiable net intangible assets acquired in a business combination. Goodwill assets were reviewed for impairment as of August 27, 2016 by applying a fair-value based test on an annual basis, or more frequently if circumstances indicate a potential impairment. Amortizable intangible assets consisted of dealer network, trademarks and non-compete agreements and are fully amortized.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Self-Insurance</w:t>
      </w:r>
    </w:p>
    <w:p>
      <w:pPr>
        <w:spacing w:after="0" w:line="2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Generally, we self-insure for a portion of product liability claims and workers' compensation. Under these plans, liabilities are recognized for claims incurred, including those incurred but not reported. We determined the liability for product liability and workers' compensation claims with the assistance of a third party administrator and actuary using various state statutes and historical claims experience. We have a $35.0 million insurance policy that includes an SIR for product liability of $2.5 million per occurrence and $6.0 million in aggregate per policy year. We maintain excess liability insurance with outside insurance carriers to minimize our risks related to catastrophic claims in excess of our self-insured positions for product liability and personal injury matters. Any material change in the aforementioned factors could have an adverse impact on our operating results. Our product liability and workers' compensation accrual is included within accrued self-insurance on our balance sheet.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preparing our financial statements, we are required to estimate our income taxes in each of the jurisdictions in which we operate. This process involves estimating our current tax exposure together with assessing temporary differences resulting from differing treatment of items for tax and accounting purposes. These temporary differences result in deferred tax assets and liabilities, which are included within our balance sheet. We then assess the likelihood that our deferred tax assets will be realized based on future taxable income and, to the extent we believe that recovery is not likely, we establish a valuation allowance. To the extent we establish a valuation allowance or change this allowance in a period, we include an expense or a benefit within the tax provision in our Statements of Income.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accounting policy regarding litigation expense is to accrue for probable exposure including estimated defense costs if we are able to estimate the financial impact.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Generally, revenues for our RVs are recorded when the following conditions are met:</w:t>
      </w:r>
    </w:p>
    <w:p>
      <w:pPr>
        <w:spacing w:after="0" w:line="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order for a product has been received from a dealer</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written or verbal approval for payment has been received from the dealer's floorplan financing institution (if applicable)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independent transportation company has accepted responsibility for the product as agent for the dealer;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product is removed from the Company's property for delivery to the dealer.</w:t>
      </w:r>
    </w:p>
    <w:p>
      <w:pPr>
        <w:spacing w:after="0" w:line="19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Our shipping terms are FOB shipping point. Products are not sold on consignment, dealers do not have the right to return products, and dealers are typically responsible for interest costs to floor plan lenders.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Delivery Revenues and Expenses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Delivery revenues for products delivered are included within net sales, while delivery expenses are included within cost of goods sold.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One of our dealer organizations accounted for 16.6%, 17.9%, and 19.7% of our consolidated net revenue in Fiscal 2016, 2015 and 2014, respectively. A second dealer organization accounted for 13.0%, 15.0% and 12.5% of our net revenue for Fiscal 2016, Fiscal 2015, and Fiscal 2014, respectively. The loss of either or both of these dealer organizations could have a significant adverse effect on our business. In addition, deterioration in the liquidity or creditworthiness of either or both of these dealers could negatively impact our sales and could trigger repurchase obligations under our repurchase agreements.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Promotions and Incentives</w:t>
      </w:r>
    </w:p>
    <w:p>
      <w:pPr>
        <w:spacing w:after="0" w:line="2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then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It is customary practice for manufacturers in the RV industry to enter into repurchase agreements with financing institutions that provide financing to their dealers. Our repurchase agreements generally provide that, in the event of a default by a dealer in its</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40"/>
          </w:cols>
          <w:pgMar w:left="240" w:top="384" w:right="319" w:bottom="1440" w:gutter="0" w:footer="0" w:header="0"/>
        </w:sectPr>
      </w:pPr>
    </w:p>
    <w:bookmarkStart w:id="33" w:name="page34"/>
    <w:bookmarkEnd w:id="33"/>
    <w:p>
      <w:pPr>
        <w:ind w:right="80"/>
        <w:spacing w:after="0" w:line="251" w:lineRule="auto"/>
        <w:rPr>
          <w:sz w:val="20"/>
          <w:szCs w:val="20"/>
          <w:color w:val="auto"/>
        </w:rPr>
      </w:pPr>
      <w:r>
        <w:rPr>
          <w:rFonts w:ascii="Arial" w:cs="Arial" w:eastAsia="Arial" w:hAnsi="Arial"/>
          <w:sz w:val="16"/>
          <w:szCs w:val="16"/>
          <w:color w:val="auto"/>
        </w:rPr>
        <w:t>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w:t>
      </w:r>
    </w:p>
    <w:p>
      <w:pPr>
        <w:spacing w:after="0" w:line="176"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as "Accrued loss on repurchases" in the consolidated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See Note 9.</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Reporting Segment</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have two reportable segments: (1) Motorized products and services and (2) Towable products and services. The Towable segment includes all products which are not motorized and are generally towed by another vehicle. The Motorized segment includes all products that include a motorized chassis as well as other related manufactured products.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Research and development expenditures are included within cost of goods sold and are expensed as incurred. A portion of these expenditures qualify for state and federal tax benefits. Development activities generally relate to creating new products and improving or creating variations of existing products to meet new applications. During Fiscal 2016, 2015 and 2014, we spent approximately $4.0 million, $3.9 million and $4.3 million, respectively, on research and development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25"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Advertising costs, which consist primarily of literature and trade shows, were $4.9 million, $5.5 million, and $5.1 million in Fiscal 2016, 2015 and 2014, respectively. Advertising costs are included in selling expense and are expensed as incurred with the exception of trade shows which are expensed in the period in which the show occurs.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Common Share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Basic income per common share is computed by dividing net income by the weighted average common shares outstanding during the period.</w:t>
      </w:r>
    </w:p>
    <w:p>
      <w:pPr>
        <w:spacing w:after="0" w:line="16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Diluted income per common share is computed by dividing net income by the weighted average common shares outstanding plus the incremental shares that would have been outstanding upon the assumed exercise of dilutive stock awards and options. See Note 13.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25"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We evaluated events occurring between the end of our most recent fiscal year and the date the financial statements were issued. There were no material subsequent events, except those described in Note 11 and Note 16.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specifies how and when to recognize revenue as well as providing informative, relevant disclosures. In August 2015, the FASB deferred the effective date of this standard by one year, which would become effective for fiscal years beginning after December 15, 2017 (our Fiscal 2019). We are currently evaluating the impact on our consolidated financial statements.</w:t>
      </w:r>
    </w:p>
    <w:p>
      <w:pPr>
        <w:spacing w:after="0" w:line="15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w:t>
      </w:r>
      <w:r>
        <w:rPr>
          <w:rFonts w:ascii="Arial" w:cs="Arial" w:eastAsia="Arial" w:hAnsi="Arial"/>
          <w:sz w:val="16"/>
          <w:szCs w:val="16"/>
          <w:color w:val="auto"/>
        </w:rPr>
        <w:t>, which requires inventory measured using any method other than last-in, first-out (“LIFO”) or the retail inventory method to be subsequently measured at the lower of cost or net realizable value, rather than at the lower of cost or market. Under this ASU, subsequent measurement of inventory using the LIFO and retail inventory method is unchanged. ASU 2015-11 will become effective prospectively for fiscal years beginning after December 15, 2016 (our Fiscal 2018). We are currently evaluating the impact on our consolidated financial statements.</w:t>
      </w:r>
    </w:p>
    <w:p>
      <w:pPr>
        <w:spacing w:after="0" w:line="15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 xml:space="preserve">In September 2015, the FASB issued ASU 2015-16,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to simplify the accounting for measurement-period adjustments in a business combination. Under the new standard, an acquirer must recognize adjustments to provisional amounts in a business combination in the reporting period in which the adjustment amounts are determined, rather than retrospectively adjusting the provisional amounts recognized at the acquisition date with a corresponding adjustment to goodwill as under current guidance. ASU 2015-16 is effective for fiscal years, and the interim periods within those years, beginning after December 15, 2015 (our Fiscal 2017). This new standard will be applied prospectively to adjustments to provisional amounts that occur after the effective date with earlier application permitted for financial statements that have not been issued. We are currently evaluating the impact of this ASU on our consolidated financial statements, which will be dependent on future acquisitions.</w:t>
      </w:r>
    </w:p>
    <w:p>
      <w:pPr>
        <w:spacing w:after="0" w:line="160"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Income Taxes (Topic 740)</w:t>
      </w:r>
      <w:r>
        <w:rPr>
          <w:rFonts w:ascii="Arial" w:cs="Arial" w:eastAsia="Arial" w:hAnsi="Arial"/>
          <w:sz w:val="16"/>
          <w:szCs w:val="16"/>
          <w:color w:val="auto"/>
        </w:rPr>
        <w:t>, to simplify the presentation of deferred income taxes. Under the new standard, both deferred tax liabilities and assets are required to be classified as noncurrent in a classified balance sheet. During the first quarter of Fiscal 2016, we elected to prospectively adopt ASU 2015-17, thus reclassifying current deferred tax assets to noncurrent on the accompanying consolidated balance sheet. The prior reporting period was not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84"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retrospectively adjusted. The adoption of this guidance had no impact on our consolidated statements of income and comprehensive income.</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which simplifies several aspects of the accounting for employee share-based payment transactions, including the accounting for the related income taxes, forfeitures, statutory tax withholding requirements and classification in the statement of cash flows. ASU 2016-09 is effective for annual reporting periods beginning after December 15, 2016 (our Fiscal 2018), including interim periods within those annual reporting periods. Early adoption is permitted. We are currently evaluating the impact of this ASU on our consolidated financial statements.</w:t>
      </w:r>
    </w:p>
    <w:p>
      <w:pPr>
        <w:spacing w:after="0" w:line="157"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Classification of Certain Cash Receipts and Cash Payments (Topic 230)</w:t>
      </w:r>
      <w:r>
        <w:rPr>
          <w:rFonts w:ascii="Arial" w:cs="Arial" w:eastAsia="Arial" w:hAnsi="Arial"/>
          <w:sz w:val="16"/>
          <w:szCs w:val="16"/>
          <w:color w:val="auto"/>
        </w:rPr>
        <w:t>, which provides guidance for eight specific cash flow issues with the objective of reducing the existing diversity in practice. ASU 2016-15 is effective retrospectively for annual reporting periods beginning after December 15, 2017 (our Fiscal 2019), including interim periods within those annual reporting periods. Early adoption is permitted. We are currently evaluating the impact of this ASU on our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Investments and Fair Value Measurements</w:t>
      </w:r>
    </w:p>
    <w:p>
      <w:pPr>
        <w:spacing w:after="0" w:line="26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1 - </w:t>
      </w:r>
      <w:r>
        <w:rPr>
          <w:rFonts w:ascii="Arial" w:cs="Arial" w:eastAsia="Arial" w:hAnsi="Arial"/>
          <w:sz w:val="16"/>
          <w:szCs w:val="16"/>
          <w:color w:val="auto"/>
        </w:rPr>
        <w:t>Unadjusted quoted prices that are available in active markets for the identical assets or liabilities at the measurement date.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Other observable inputs available at the measurement date, other than quoted prices included in Level 1, either directly or indirectly, including:</w:t>
      </w:r>
    </w:p>
    <w:p>
      <w:pPr>
        <w:spacing w:after="0" w:line="2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6"/>
          <w:szCs w:val="16"/>
          <w:i w:val="1"/>
          <w:iCs w:val="1"/>
          <w:color w:val="auto"/>
        </w:rPr>
      </w:pPr>
      <w:r>
        <w:rPr>
          <w:rFonts w:ascii="Arial" w:cs="Arial" w:eastAsia="Arial" w:hAnsi="Arial"/>
          <w:sz w:val="16"/>
          <w:szCs w:val="16"/>
          <w:color w:val="auto"/>
        </w:rPr>
        <w:t>Quoted prices for similar assets or liabilities in active markets;</w:t>
      </w:r>
    </w:p>
    <w:p>
      <w:pPr>
        <w:spacing w:after="0" w:line="5" w:lineRule="exact"/>
        <w:rPr>
          <w:rFonts w:ascii="Arial" w:cs="Arial" w:eastAsia="Arial" w:hAnsi="Arial"/>
          <w:sz w:val="16"/>
          <w:szCs w:val="16"/>
          <w:i w:val="1"/>
          <w:iCs w:val="1"/>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Quoted prices for identical or similar assets in nonactive markets;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other observable market data.</w:t>
      </w:r>
    </w:p>
    <w:p>
      <w:pPr>
        <w:spacing w:after="0" w:line="70"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cannot be corroborated by observable market data and reflect the use of significant management judgment. These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determined using pricing models for which the assumptions utilize management’s estimates of market participant assumptions.</w:t>
      </w:r>
    </w:p>
    <w:p>
      <w:pPr>
        <w:spacing w:after="0" w:line="109"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 xml:space="preserve">Assets and Liabilities that are Measured at Fair Value on a Recurring Basis. </w:t>
      </w:r>
      <w:r>
        <w:rPr>
          <w:rFonts w:ascii="Arial" w:cs="Arial" w:eastAsia="Arial" w:hAnsi="Arial"/>
          <w:sz w:val="16"/>
          <w:szCs w:val="16"/>
          <w:color w:val="auto"/>
        </w:rPr>
        <w:t>We account for fair value measurements in accordance with ASC 820,</w:t>
      </w:r>
      <w:r>
        <w:rPr>
          <w:rFonts w:ascii="Arial" w:cs="Arial" w:eastAsia="Arial" w:hAnsi="Arial"/>
          <w:sz w:val="16"/>
          <w:szCs w:val="16"/>
          <w:i w:val="1"/>
          <w:iCs w:val="1"/>
          <w:color w:val="auto"/>
        </w:rPr>
        <w:t xml:space="preserve"> Fair Value Measurements and Disclosures, </w:t>
      </w:r>
      <w:r>
        <w:rPr>
          <w:rFonts w:ascii="Arial" w:cs="Arial" w:eastAsia="Arial" w:hAnsi="Arial"/>
          <w:sz w:val="16"/>
          <w:szCs w:val="16"/>
          <w:color w:val="auto"/>
        </w:rPr>
        <w:t>which defines fair value, establishes a framework for measurement and expands disclosure about fair value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9"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 August 27, 2016 and August 29, 2015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gridSpan w:val="6"/>
          </w:tcPr>
          <w:p>
            <w:pPr>
              <w:jc w:val="center"/>
              <w:ind w:left="779"/>
              <w:spacing w:after="0"/>
              <w:rPr>
                <w:sz w:val="20"/>
                <w:szCs w:val="20"/>
                <w:color w:val="auto"/>
              </w:rPr>
            </w:pPr>
            <w:r>
              <w:rPr>
                <w:rFonts w:ascii="Arial" w:cs="Arial" w:eastAsia="Arial" w:hAnsi="Arial"/>
                <w:sz w:val="16"/>
                <w:szCs w:val="16"/>
                <w:b w:val="1"/>
                <w:bCs w:val="1"/>
                <w:color w:val="auto"/>
              </w:rPr>
              <w:t>Fair Value Measurements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19"/>
                <w:szCs w:val="19"/>
                <w:color w:val="auto"/>
              </w:rPr>
            </w:pPr>
          </w:p>
        </w:tc>
        <w:tc>
          <w:tcPr>
            <w:tcW w:w="18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Fair Value at August</w:t>
            </w:r>
          </w:p>
        </w:tc>
        <w:tc>
          <w:tcPr>
            <w:tcW w:w="3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center"/>
              <w:ind w:left="779"/>
              <w:spacing w:after="0"/>
              <w:rPr>
                <w:sz w:val="20"/>
                <w:szCs w:val="20"/>
                <w:color w:val="auto"/>
              </w:rPr>
            </w:pPr>
            <w:r>
              <w:rPr>
                <w:rFonts w:ascii="Arial" w:cs="Arial" w:eastAsia="Arial" w:hAnsi="Arial"/>
                <w:sz w:val="16"/>
                <w:szCs w:val="16"/>
                <w:b w:val="1"/>
                <w:bCs w:val="1"/>
                <w:color w:val="auto"/>
              </w:rPr>
              <w:t>Using Inputs Considered As</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27, 2016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Cash equivalents </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77,234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77,234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920" w:type="dxa"/>
            <w:vAlign w:val="bottom"/>
          </w:tcPr>
          <w:p>
            <w:pPr>
              <w:ind w:left="40"/>
              <w:spacing w:after="0"/>
              <w:rPr>
                <w:sz w:val="20"/>
                <w:szCs w:val="20"/>
                <w:color w:val="auto"/>
              </w:rPr>
            </w:pPr>
            <w:r>
              <w:rPr>
                <w:rFonts w:ascii="Arial" w:cs="Arial" w:eastAsia="Arial" w:hAnsi="Arial"/>
                <w:sz w:val="16"/>
                <w:szCs w:val="16"/>
                <w:color w:val="auto"/>
              </w:rPr>
              <w:t>Assets that fund deferred compensation:</w:t>
            </w: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Domestic equity funds</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3,587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International equity funds</w:t>
            </w:r>
          </w:p>
        </w:tc>
        <w:tc>
          <w:tcPr>
            <w:tcW w:w="34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Fixed income funds</w:t>
            </w:r>
          </w:p>
        </w:tc>
        <w:tc>
          <w:tcPr>
            <w:tcW w:w="3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20" w:type="dxa"/>
            <w:vAlign w:val="bottom"/>
          </w:tcPr>
          <w:p>
            <w:pPr>
              <w:ind w:left="40"/>
              <w:spacing w:after="0"/>
              <w:rPr>
                <w:sz w:val="20"/>
                <w:szCs w:val="20"/>
                <w:color w:val="auto"/>
              </w:rPr>
            </w:pPr>
            <w:r>
              <w:rPr>
                <w:rFonts w:ascii="Arial" w:cs="Arial" w:eastAsia="Arial" w:hAnsi="Arial"/>
                <w:sz w:val="16"/>
                <w:szCs w:val="16"/>
                <w:color w:val="auto"/>
              </w:rPr>
              <w:t>Total assets at fair value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81,344</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81,180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340" w:right="120" w:hanging="332"/>
        <w:spacing w:after="0" w:line="218" w:lineRule="auto"/>
        <w:tabs>
          <w:tab w:leader="none" w:pos="34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Cash equivalent balances valued using Level 1 inputs include only those accounts that may fluctuate in value. Cash in disbursing accounts and on-demand accounts are not included above.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85"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gridSpan w:val="6"/>
          </w:tcPr>
          <w:p>
            <w:pPr>
              <w:jc w:val="center"/>
              <w:ind w:left="779"/>
              <w:spacing w:after="0"/>
              <w:rPr>
                <w:sz w:val="20"/>
                <w:szCs w:val="20"/>
                <w:color w:val="auto"/>
              </w:rPr>
            </w:pPr>
            <w:r>
              <w:rPr>
                <w:rFonts w:ascii="Arial" w:cs="Arial" w:eastAsia="Arial" w:hAnsi="Arial"/>
                <w:sz w:val="16"/>
                <w:szCs w:val="16"/>
                <w:b w:val="1"/>
                <w:bCs w:val="1"/>
                <w:color w:val="auto"/>
              </w:rPr>
              <w:t>Fair Value Measurements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19"/>
                <w:szCs w:val="19"/>
                <w:color w:val="auto"/>
              </w:rPr>
            </w:pPr>
          </w:p>
        </w:tc>
        <w:tc>
          <w:tcPr>
            <w:tcW w:w="18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Fair Value at August</w:t>
            </w:r>
          </w:p>
        </w:tc>
        <w:tc>
          <w:tcPr>
            <w:tcW w:w="3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center"/>
              <w:ind w:left="779"/>
              <w:spacing w:after="0"/>
              <w:rPr>
                <w:sz w:val="20"/>
                <w:szCs w:val="20"/>
                <w:color w:val="auto"/>
              </w:rPr>
            </w:pPr>
            <w:r>
              <w:rPr>
                <w:rFonts w:ascii="Arial" w:cs="Arial" w:eastAsia="Arial" w:hAnsi="Arial"/>
                <w:sz w:val="16"/>
                <w:szCs w:val="16"/>
                <w:b w:val="1"/>
                <w:bCs w:val="1"/>
                <w:color w:val="auto"/>
              </w:rPr>
              <w:t>Using Inputs Considered As</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29, 2015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Cash equivalents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63,107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63,107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920" w:type="dxa"/>
            <w:vAlign w:val="bottom"/>
          </w:tcPr>
          <w:p>
            <w:pPr>
              <w:ind w:left="40"/>
              <w:spacing w:after="0"/>
              <w:rPr>
                <w:sz w:val="20"/>
                <w:szCs w:val="20"/>
                <w:color w:val="auto"/>
              </w:rPr>
            </w:pPr>
            <w:r>
              <w:rPr>
                <w:rFonts w:ascii="Arial" w:cs="Arial" w:eastAsia="Arial" w:hAnsi="Arial"/>
                <w:sz w:val="16"/>
                <w:szCs w:val="16"/>
                <w:color w:val="auto"/>
              </w:rPr>
              <w:t>Assets that fund deferred compensation:</w:t>
            </w: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Domestic equity funds</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International equity funds</w:t>
            </w:r>
          </w:p>
        </w:tc>
        <w:tc>
          <w:tcPr>
            <w:tcW w:w="34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Fixed income funds</w:t>
            </w:r>
          </w:p>
        </w:tc>
        <w:tc>
          <w:tcPr>
            <w:tcW w:w="3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20" w:type="dxa"/>
            <w:vAlign w:val="bottom"/>
          </w:tcPr>
          <w:p>
            <w:pPr>
              <w:ind w:left="40"/>
              <w:spacing w:after="0"/>
              <w:rPr>
                <w:sz w:val="20"/>
                <w:szCs w:val="20"/>
                <w:color w:val="auto"/>
              </w:rPr>
            </w:pPr>
            <w:r>
              <w:rPr>
                <w:rFonts w:ascii="Arial" w:cs="Arial" w:eastAsia="Arial" w:hAnsi="Arial"/>
                <w:sz w:val="16"/>
                <w:szCs w:val="16"/>
                <w:color w:val="auto"/>
              </w:rPr>
              <w:t>Total assets at fair value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68,821</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68,729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340" w:right="120" w:hanging="332"/>
        <w:spacing w:after="0" w:line="218" w:lineRule="auto"/>
        <w:tabs>
          <w:tab w:leader="none" w:pos="34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Cash equivalent balances valued using Level 1 inputs include only those accounts that may fluctuate in value. Cash in disbursing accounts and on-demand accounts are not included above.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51"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i w:val="1"/>
          <w:iCs w:val="1"/>
          <w:color w:val="auto"/>
        </w:rPr>
        <w:t xml:space="preserve">Cash Equivalents. </w:t>
      </w:r>
      <w:r>
        <w:rPr>
          <w:rFonts w:ascii="Arial" w:cs="Arial" w:eastAsia="Arial" w:hAnsi="Arial"/>
          <w:sz w:val="16"/>
          <w:szCs w:val="16"/>
          <w:color w:val="auto"/>
        </w:rPr>
        <w:t>The carrying value of cash equivalents approximates fair value as original maturities are less than three months. Our cash equivalents are</w:t>
      </w:r>
      <w:r>
        <w:rPr>
          <w:rFonts w:ascii="Arial" w:cs="Arial" w:eastAsia="Arial" w:hAnsi="Arial"/>
          <w:sz w:val="16"/>
          <w:szCs w:val="16"/>
          <w:i w:val="1"/>
          <w:iCs w:val="1"/>
          <w:color w:val="auto"/>
        </w:rPr>
        <w:t xml:space="preserve"> </w:t>
      </w:r>
      <w:r>
        <w:rPr>
          <w:rFonts w:ascii="Arial" w:cs="Arial" w:eastAsia="Arial" w:hAnsi="Arial"/>
          <w:sz w:val="16"/>
          <w:szCs w:val="16"/>
          <w:color w:val="auto"/>
        </w:rPr>
        <w:t>comprised of money market funds traded in an active market with no restrictions and are included in cash and cash equivalents on the accompanying consolidated balance sheets.</w:t>
      </w:r>
    </w:p>
    <w:p>
      <w:pPr>
        <w:spacing w:after="0" w:line="14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i w:val="1"/>
          <w:iCs w:val="1"/>
          <w:color w:val="auto"/>
        </w:rPr>
        <w:t>Assets that fund deferred compensation</w:t>
      </w:r>
      <w:r>
        <w:rPr>
          <w:rFonts w:ascii="Arial" w:cs="Arial" w:eastAsia="Arial" w:hAnsi="Arial"/>
          <w:sz w:val="16"/>
          <w:szCs w:val="16"/>
          <w:color w:val="auto"/>
        </w:rPr>
        <w:t>. Our assets that fund deferred compensation are marketable equity securities measured at fair value using quoted</w:t>
      </w:r>
      <w:r>
        <w:rPr>
          <w:rFonts w:ascii="Arial" w:cs="Arial" w:eastAsia="Arial" w:hAnsi="Arial"/>
          <w:sz w:val="16"/>
          <w:szCs w:val="16"/>
          <w:i w:val="1"/>
          <w:iCs w:val="1"/>
          <w:color w:val="auto"/>
        </w:rPr>
        <w:t xml:space="preserve"> </w:t>
      </w:r>
      <w:r>
        <w:rPr>
          <w:rFonts w:ascii="Arial" w:cs="Arial" w:eastAsia="Arial" w:hAnsi="Arial"/>
          <w:sz w:val="16"/>
          <w:szCs w:val="16"/>
          <w:color w:val="auto"/>
        </w:rPr>
        <w:t>market prices and primarily consist of equity-based mutual funds. The majority of which are classified as Level 1 as they are traded in an active market for which closing stock prices are readily available. These securities fund the Executive Share Option Plan and the Executive Deferred Compensation Plan (2007) (see Note 8) deferred compensation programs. The Executive Plan assets related to those options that will expire within a year are included in prepaid expenses and other assets in the accompanying balance sheets. The remaining assets are included in other assets.</w:t>
      </w:r>
    </w:p>
    <w:p>
      <w:pPr>
        <w:spacing w:after="0" w:line="157"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i w:val="1"/>
          <w:iCs w:val="1"/>
          <w:color w:val="auto"/>
        </w:rPr>
        <w:t xml:space="preserve">Assets and Liabilities that are measured at Fair Value on a Nonrecurring Basis. </w:t>
      </w:r>
      <w:r>
        <w:rPr>
          <w:rFonts w:ascii="Arial" w:cs="Arial" w:eastAsia="Arial" w:hAnsi="Arial"/>
          <w:sz w:val="16"/>
          <w:szCs w:val="16"/>
          <w:color w:val="auto"/>
        </w:rPr>
        <w:t>Our non-financial assets, which include goodwill and property and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Using Level 2 inputs, we recorded an impairment of $462,000 for our corporate plane during the fiscal year ended August 29, 2015. See Note 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20"/>
                <w:szCs w:val="20"/>
                <w:color w:val="auto"/>
              </w:rPr>
            </w:pPr>
            <w:r>
              <w:rPr>
                <w:rFonts w:ascii="Arial" w:cs="Arial" w:eastAsia="Arial" w:hAnsi="Arial"/>
                <w:sz w:val="16"/>
                <w:szCs w:val="16"/>
                <w:b w:val="1"/>
                <w:bCs w:val="1"/>
                <w:color w:val="auto"/>
              </w:rPr>
              <w:t>Note 3: Inventories</w:t>
            </w:r>
          </w:p>
        </w:tc>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51"/>
        </w:trPr>
        <w:tc>
          <w:tcPr>
            <w:tcW w:w="636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91"/>
        </w:trPr>
        <w:tc>
          <w:tcPr>
            <w:tcW w:w="63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4"/>
                <w:szCs w:val="24"/>
                <w:color w:val="auto"/>
              </w:rPr>
            </w:pPr>
          </w:p>
        </w:tc>
        <w:tc>
          <w:tcPr>
            <w:tcW w:w="2200" w:type="dxa"/>
            <w:vAlign w:val="bottom"/>
            <w:gridSpan w:val="2"/>
          </w:tcPr>
          <w:p>
            <w:pPr>
              <w:ind w:left="240"/>
              <w:spacing w:after="0"/>
              <w:rPr>
                <w:sz w:val="20"/>
                <w:szCs w:val="20"/>
                <w:color w:val="auto"/>
              </w:rPr>
            </w:pPr>
            <w:r>
              <w:rPr>
                <w:rFonts w:ascii="Arial" w:cs="Arial" w:eastAsia="Arial" w:hAnsi="Arial"/>
                <w:sz w:val="16"/>
                <w:szCs w:val="16"/>
                <w:b w:val="1"/>
                <w:bCs w:val="1"/>
                <w:color w:val="auto"/>
              </w:rPr>
              <w:t>August 27, 2016</w:t>
            </w:r>
          </w:p>
        </w:tc>
        <w:tc>
          <w:tcPr>
            <w:tcW w:w="380" w:type="dxa"/>
            <w:vAlign w:val="bottom"/>
          </w:tcPr>
          <w:p>
            <w:pPr>
              <w:spacing w:after="0"/>
              <w:rPr>
                <w:sz w:val="24"/>
                <w:szCs w:val="24"/>
                <w:color w:val="auto"/>
              </w:rPr>
            </w:pPr>
          </w:p>
        </w:tc>
        <w:tc>
          <w:tcPr>
            <w:tcW w:w="210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29, 2015</w:t>
            </w:r>
          </w:p>
        </w:tc>
      </w:tr>
      <w:tr>
        <w:trPr>
          <w:trHeight w:val="257"/>
        </w:trPr>
        <w:tc>
          <w:tcPr>
            <w:tcW w:w="6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19,129</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12,179</w:t>
            </w:r>
          </w:p>
        </w:tc>
      </w:tr>
      <w:tr>
        <w:trPr>
          <w:trHeight w:val="260"/>
        </w:trPr>
        <w:tc>
          <w:tcPr>
            <w:tcW w:w="636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76,350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66,602</w:t>
            </w:r>
          </w:p>
        </w:tc>
      </w:tr>
      <w:tr>
        <w:trPr>
          <w:trHeight w:val="27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60,740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65,928</w:t>
            </w:r>
          </w:p>
        </w:tc>
      </w:tr>
      <w:tr>
        <w:trPr>
          <w:trHeight w:val="247"/>
        </w:trPr>
        <w:tc>
          <w:tcPr>
            <w:tcW w:w="6360" w:type="dxa"/>
            <w:vAlign w:val="bottom"/>
          </w:tcPr>
          <w:p>
            <w:pPr>
              <w:ind w:left="40"/>
              <w:spacing w:after="0"/>
              <w:rPr>
                <w:sz w:val="20"/>
                <w:szCs w:val="20"/>
                <w:color w:val="auto"/>
              </w:rPr>
            </w:pPr>
            <w:r>
              <w:rPr>
                <w:rFonts w:ascii="Arial" w:cs="Arial" w:eastAsia="Arial" w:hAnsi="Arial"/>
                <w:sz w:val="16"/>
                <w:szCs w:val="16"/>
                <w:color w:val="auto"/>
              </w:rPr>
              <w:t>Total</w:t>
            </w: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156,219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144,709</w:t>
            </w:r>
          </w:p>
        </w:tc>
      </w:tr>
      <w:tr>
        <w:trPr>
          <w:trHeight w:val="27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(33,697)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(32,544)</w:t>
            </w:r>
          </w:p>
        </w:tc>
      </w:tr>
      <w:tr>
        <w:trPr>
          <w:trHeight w:val="240"/>
        </w:trPr>
        <w:tc>
          <w:tcPr>
            <w:tcW w:w="6360" w:type="dxa"/>
            <w:vAlign w:val="bottom"/>
          </w:tcPr>
          <w:p>
            <w:pPr>
              <w:ind w:left="40"/>
              <w:spacing w:after="0"/>
              <w:rPr>
                <w:sz w:val="20"/>
                <w:szCs w:val="20"/>
                <w:color w:val="auto"/>
              </w:rPr>
            </w:pPr>
            <w:r>
              <w:rPr>
                <w:rFonts w:ascii="Arial" w:cs="Arial" w:eastAsia="Arial" w:hAnsi="Arial"/>
                <w:sz w:val="16"/>
                <w:szCs w:val="16"/>
                <w:color w:val="auto"/>
              </w:rPr>
              <w:t>Total inventories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122,522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112,165</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Of the $156.2 million and $144.7 million inventory at August 27, 2016 and August 29, 2015, respectively, $149.4 million and $135.3 million is valued on a LIFO basis. The remaining inventories of $6.8 million and $8.4 million at August 27, 2016 and August 29, 2015, respectively, are valued on a FIFO basis.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27"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20"/>
                <w:szCs w:val="20"/>
                <w:color w:val="auto"/>
              </w:rPr>
            </w:pPr>
            <w:r>
              <w:rPr>
                <w:rFonts w:ascii="Arial" w:cs="Arial" w:eastAsia="Arial" w:hAnsi="Arial"/>
                <w:sz w:val="16"/>
                <w:szCs w:val="16"/>
                <w:b w:val="1"/>
                <w:bCs w:val="1"/>
                <w:color w:val="auto"/>
              </w:rPr>
              <w:t>Note 4: Property, Plant and Equipment and Assets Held for Sale</w:t>
            </w:r>
          </w:p>
        </w:tc>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51"/>
        </w:trPr>
        <w:tc>
          <w:tcPr>
            <w:tcW w:w="8940" w:type="dxa"/>
            <w:vAlign w:val="bottom"/>
            <w:gridSpan w:val="4"/>
          </w:tcPr>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91"/>
        </w:trPr>
        <w:tc>
          <w:tcPr>
            <w:tcW w:w="63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4"/>
                <w:szCs w:val="24"/>
                <w:color w:val="auto"/>
              </w:rPr>
            </w:pPr>
          </w:p>
        </w:tc>
        <w:tc>
          <w:tcPr>
            <w:tcW w:w="2200" w:type="dxa"/>
            <w:vAlign w:val="bottom"/>
            <w:gridSpan w:val="2"/>
          </w:tcPr>
          <w:p>
            <w:pPr>
              <w:ind w:left="240"/>
              <w:spacing w:after="0"/>
              <w:rPr>
                <w:sz w:val="20"/>
                <w:szCs w:val="20"/>
                <w:color w:val="auto"/>
              </w:rPr>
            </w:pPr>
            <w:r>
              <w:rPr>
                <w:rFonts w:ascii="Arial" w:cs="Arial" w:eastAsia="Arial" w:hAnsi="Arial"/>
                <w:sz w:val="16"/>
                <w:szCs w:val="16"/>
                <w:b w:val="1"/>
                <w:bCs w:val="1"/>
                <w:color w:val="auto"/>
              </w:rPr>
              <w:t>August 27, 2016</w:t>
            </w:r>
          </w:p>
        </w:tc>
        <w:tc>
          <w:tcPr>
            <w:tcW w:w="380" w:type="dxa"/>
            <w:vAlign w:val="bottom"/>
          </w:tcPr>
          <w:p>
            <w:pPr>
              <w:spacing w:after="0"/>
              <w:rPr>
                <w:sz w:val="24"/>
                <w:szCs w:val="24"/>
                <w:color w:val="auto"/>
              </w:rPr>
            </w:pPr>
          </w:p>
        </w:tc>
        <w:tc>
          <w:tcPr>
            <w:tcW w:w="210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29, 2015</w:t>
            </w:r>
          </w:p>
        </w:tc>
      </w:tr>
      <w:tr>
        <w:trPr>
          <w:trHeight w:val="270"/>
        </w:trPr>
        <w:tc>
          <w:tcPr>
            <w:tcW w:w="6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3,864</w:t>
            </w: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1,874</w:t>
            </w:r>
          </w:p>
        </w:tc>
      </w:tr>
      <w:tr>
        <w:trPr>
          <w:trHeight w:val="260"/>
        </w:trPr>
        <w:tc>
          <w:tcPr>
            <w:tcW w:w="6360" w:type="dxa"/>
            <w:vAlign w:val="bottom"/>
          </w:tcPr>
          <w:p>
            <w:pPr>
              <w:ind w:left="40"/>
              <w:spacing w:after="0"/>
              <w:rPr>
                <w:sz w:val="20"/>
                <w:szCs w:val="20"/>
                <w:color w:val="auto"/>
              </w:rPr>
            </w:pPr>
            <w:r>
              <w:rPr>
                <w:rFonts w:ascii="Arial" w:cs="Arial" w:eastAsia="Arial" w:hAnsi="Arial"/>
                <w:sz w:val="16"/>
                <w:szCs w:val="16"/>
                <w:color w:val="auto"/>
              </w:rPr>
              <w:t>Buildings and building improvements</w:t>
            </w: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62,073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53,388</w:t>
            </w:r>
          </w:p>
        </w:tc>
      </w:tr>
      <w:tr>
        <w:trPr>
          <w:trHeight w:val="280"/>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80" w:type="dxa"/>
            <w:vAlign w:val="bottom"/>
            <w:shd w:val="clear" w:color="auto" w:fill="CCEEFF"/>
          </w:tcPr>
          <w:p>
            <w:pPr>
              <w:spacing w:after="0"/>
              <w:rPr>
                <w:sz w:val="24"/>
                <w:szCs w:val="24"/>
                <w:color w:val="auto"/>
              </w:rPr>
            </w:pPr>
          </w:p>
        </w:tc>
        <w:tc>
          <w:tcPr>
            <w:tcW w:w="21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95,087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1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94,034</w:t>
            </w:r>
          </w:p>
        </w:tc>
      </w:tr>
      <w:tr>
        <w:trPr>
          <w:trHeight w:val="260"/>
        </w:trPr>
        <w:tc>
          <w:tcPr>
            <w:tcW w:w="6360" w:type="dxa"/>
            <w:vAlign w:val="bottom"/>
          </w:tcPr>
          <w:p>
            <w:pPr>
              <w:ind w:left="40"/>
              <w:spacing w:after="0"/>
              <w:rPr>
                <w:sz w:val="20"/>
                <w:szCs w:val="20"/>
                <w:color w:val="auto"/>
              </w:rPr>
            </w:pPr>
            <w:r>
              <w:rPr>
                <w:rFonts w:ascii="Arial" w:cs="Arial" w:eastAsia="Arial" w:hAnsi="Arial"/>
                <w:sz w:val="16"/>
                <w:szCs w:val="16"/>
                <w:color w:val="auto"/>
              </w:rPr>
              <w:t>Software</w:t>
            </w: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15,878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8,033</w:t>
            </w:r>
          </w:p>
        </w:tc>
      </w:tr>
      <w:tr>
        <w:trPr>
          <w:trHeight w:val="27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8,956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8,913</w:t>
            </w:r>
          </w:p>
        </w:tc>
      </w:tr>
      <w:tr>
        <w:trPr>
          <w:trHeight w:val="247"/>
        </w:trPr>
        <w:tc>
          <w:tcPr>
            <w:tcW w:w="6360" w:type="dxa"/>
            <w:vAlign w:val="bottom"/>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185,858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166,242</w:t>
            </w:r>
          </w:p>
        </w:tc>
      </w:tr>
      <w:tr>
        <w:trPr>
          <w:trHeight w:val="27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(129,927)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(128,992)</w:t>
            </w:r>
          </w:p>
        </w:tc>
      </w:tr>
      <w:tr>
        <w:trPr>
          <w:trHeight w:val="240"/>
        </w:trPr>
        <w:tc>
          <w:tcPr>
            <w:tcW w:w="6360" w:type="dxa"/>
            <w:vAlign w:val="bottom"/>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55,931</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37,250</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On April 17, 2015 we purchased the Towables assembly facilities in Middlebury, Indiana for $5.4 million and on May 5, 2015 we purchased a facility in Waverly, Iowa for $850,000 for expansion of our subassembly operations.</w:t>
      </w:r>
    </w:p>
    <w:p>
      <w:pPr>
        <w:spacing w:after="0" w:line="16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On November 30, 2015 we purchased land and buildings from Country Coach in Junction City, Oregon for approximately $5.7 million. On January 6, 2016 we purchased adjacent property in Junction City for approximately $4.0 million. These properties are currently being used for expansion of West Coast motorhome manufacturing and service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Held for Sale</w:t>
      </w:r>
    </w:p>
    <w:p>
      <w:pPr>
        <w:spacing w:after="0" w:line="25"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At August 29, 2015 and August 27, 2016, we had no assets held for sale. In the third quarter of Fiscal 2015 we placed our corporate plane for sale, recorded an impairment of $462,000 and reclassified the net book value to current other assets in the consolidated balance sheets. In the fourth quarter of Fiscal 2015 we took our plane off the market and reclassified the net book value to property, plant and equipment in the consolidated balance sheets.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Goodwill</w:t>
      </w:r>
    </w:p>
    <w:p>
      <w:pPr>
        <w:spacing w:after="0" w:line="21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Goodwill is the result of the acquisition of SunnyBrook during Fiscal 2011 within the Towable segment. Goodwill of $1.2 million is not subject to amortization for financial statement purposes, but is amortizable for tax return purposes. Goodwill is reviewed for impairment by applying a fair-value based test on an annual basis, or more frequently if circumstances indicate a potential impairment. No impairment of goodwill has been identified.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Credit Facilities</w:t>
      </w:r>
    </w:p>
    <w:p>
      <w:pPr>
        <w:spacing w:after="0" w:line="18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On October 31, 2012, we entered into a Credit Agreement with GECC. The Credit Agreement provides for an initial $35.0 million revolving credit facility, based on our eligible inventory and was to expire on October 31, 2015 before the amendment described below. There is no termination fee associated with the agreement.</w:t>
      </w:r>
    </w:p>
    <w:p>
      <w:pPr>
        <w:spacing w:after="0" w:line="14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In addition the Credit Agreement also includes a framework to expand the size of the facility up to $50.0 million, based on mutually agreeable terms at the time of the expansion. The initial unused line fee associated with the Credit Agreement is 0.5% per annum and has the ability to be lowered based upon facility usage.</w:t>
      </w:r>
    </w:p>
    <w:p>
      <w:pPr>
        <w:spacing w:after="0" w:line="149"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The Credit Agreement contains typical affirmative representations and covenants for a credit agreement of this size and nature. Additionally, the Credit Agreement contains negative covenants limiting our ability, among other things, to incur debt, grant liens, make acquisitions, make certain investments, pay certain dividends and distributions, engage in mergers, consolidations or acquisitions and sell certain assets. Obligations under the Credit Agreement are secured by a security interest in all of our 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17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On May 28, 2014, we amended this Credit Agreement (the "Amended Credit Agreement"). The Amended Credit Agreement extends the term of the credit facility from October 31, 2015 to May 28, 2019. In addition, interest on loans made under the Amended Credit Facility will be based on LIBOR plus a margin of 2.0%. The amendment also revised and added definitions of several terms including an expanded Restricted Payment Basket that now permits up to $15.0 million purchases of company stock or cash dividends to be excluded from the Fixed Charge ratio. In addition, the definition of Eligible Accounts was expanded to permit certain receivables to be included in the Borrowing Base. The Amended Credit Agreement also permits us to engage in certain sale lease buyback transactions in the ordinary course of business subject to certain restrictions and increases our ability to incur capital lease obligations. In Fiscal 2016, Wells Fargo Capital Finance acquired GECC's corporate finance business.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64" w:right="239" w:bottom="1440" w:gutter="0" w:footer="0" w:header="0"/>
        </w:sectPr>
      </w:pPr>
    </w:p>
    <w:bookmarkStart w:id="37" w:name="page38"/>
    <w:bookmarkEnd w:id="37"/>
    <w:p>
      <w:pPr>
        <w:ind w:right="380"/>
        <w:spacing w:after="0" w:line="260" w:lineRule="auto"/>
        <w:rPr>
          <w:sz w:val="20"/>
          <w:szCs w:val="20"/>
          <w:color w:val="auto"/>
        </w:rPr>
      </w:pPr>
      <w:r>
        <w:rPr>
          <w:rFonts w:ascii="Arial" w:cs="Arial" w:eastAsia="Arial" w:hAnsi="Arial"/>
          <w:sz w:val="16"/>
          <w:szCs w:val="16"/>
          <w:color w:val="auto"/>
        </w:rPr>
        <w:t>During the second quarter of Fiscal 2015 we utilized the credit facility to meet working capital needs. As of August 27, 2016, we are in compliance with the financial covenants of the Amended Credit Agreement, and no borrowings are outstanding.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Warranty</w:t>
      </w:r>
    </w:p>
    <w:p>
      <w:pPr>
        <w:spacing w:after="0" w:line="21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From time to time, we voluntarily incur costs for certain warranty-type expenses occurring after the normal warranty period to help protect the reputation of our products and the goodwill of our customers. Estimated costs related to product warranty are accrued at the time of sale and are based upon past warranty claims and unit sales history. Accruals are adjusted as needed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82"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Changes in our product warranty liability during Fiscal 2016, Fiscal 2015, and Fiscal 2014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9"/>
                <w:szCs w:val="19"/>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27, 2016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3"/>
          </w:tcPr>
          <w:p>
            <w:pPr>
              <w:ind w:left="60"/>
              <w:spacing w:after="0"/>
              <w:rPr>
                <w:sz w:val="20"/>
                <w:szCs w:val="20"/>
                <w:color w:val="auto"/>
              </w:rPr>
            </w:pPr>
            <w:r>
              <w:rPr>
                <w:rFonts w:ascii="Arial" w:cs="Arial" w:eastAsia="Arial" w:hAnsi="Arial"/>
                <w:sz w:val="16"/>
                <w:szCs w:val="16"/>
                <w:b w:val="1"/>
                <w:bCs w:val="1"/>
                <w:color w:val="auto"/>
              </w:rPr>
              <w:t>August 29, 2015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30, 2014</w:t>
            </w:r>
          </w:p>
        </w:tc>
        <w:tc>
          <w:tcPr>
            <w:tcW w:w="0" w:type="dxa"/>
            <w:vAlign w:val="bottom"/>
          </w:tcPr>
          <w:p>
            <w:pPr>
              <w:spacing w:after="0"/>
              <w:rPr>
                <w:sz w:val="1"/>
                <w:szCs w:val="1"/>
                <w:color w:val="auto"/>
              </w:rPr>
            </w:pPr>
          </w:p>
        </w:tc>
      </w:tr>
      <w:tr>
        <w:trPr>
          <w:trHeight w:val="257"/>
        </w:trPr>
        <w:tc>
          <w:tcPr>
            <w:tcW w:w="5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11,254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9,501</w:t>
            </w: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8,443</w:t>
            </w:r>
          </w:p>
        </w:tc>
        <w:tc>
          <w:tcPr>
            <w:tcW w:w="0" w:type="dxa"/>
            <w:vAlign w:val="bottom"/>
          </w:tcPr>
          <w:p>
            <w:pPr>
              <w:spacing w:after="0"/>
              <w:rPr>
                <w:sz w:val="1"/>
                <w:szCs w:val="1"/>
                <w:color w:val="auto"/>
              </w:rPr>
            </w:pPr>
          </w:p>
        </w:tc>
      </w:tr>
      <w:tr>
        <w:trPr>
          <w:trHeight w:val="260"/>
        </w:trPr>
        <w:tc>
          <w:tcPr>
            <w:tcW w:w="5140" w:type="dxa"/>
            <w:vAlign w:val="bottom"/>
          </w:tcPr>
          <w:p>
            <w:pPr>
              <w:ind w:left="40"/>
              <w:spacing w:after="0"/>
              <w:rPr>
                <w:sz w:val="20"/>
                <w:szCs w:val="20"/>
                <w:color w:val="auto"/>
              </w:rPr>
            </w:pPr>
            <w:r>
              <w:rPr>
                <w:rFonts w:ascii="Arial" w:cs="Arial" w:eastAsia="Arial" w:hAnsi="Arial"/>
                <w:sz w:val="16"/>
                <w:szCs w:val="16"/>
                <w:color w:val="auto"/>
              </w:rPr>
              <w:t>Provision</w:t>
            </w:r>
          </w:p>
        </w:tc>
        <w:tc>
          <w:tcPr>
            <w:tcW w:w="360" w:type="dxa"/>
            <w:vAlign w:val="bottom"/>
          </w:tcPr>
          <w:p>
            <w:pPr>
              <w:spacing w:after="0"/>
              <w:rPr>
                <w:sz w:val="22"/>
                <w:szCs w:val="22"/>
                <w:color w:val="auto"/>
              </w:rPr>
            </w:pPr>
          </w:p>
        </w:tc>
        <w:tc>
          <w:tcPr>
            <w:tcW w:w="1660" w:type="dxa"/>
            <w:vAlign w:val="bottom"/>
          </w:tcPr>
          <w:p>
            <w:pPr>
              <w:jc w:val="right"/>
              <w:ind w:right="339"/>
              <w:spacing w:after="0"/>
              <w:rPr>
                <w:sz w:val="20"/>
                <w:szCs w:val="20"/>
                <w:color w:val="auto"/>
              </w:rPr>
            </w:pPr>
            <w:r>
              <w:rPr>
                <w:rFonts w:ascii="Arial" w:cs="Arial" w:eastAsia="Arial" w:hAnsi="Arial"/>
                <w:sz w:val="16"/>
                <w:szCs w:val="16"/>
                <w:color w:val="auto"/>
              </w:rPr>
              <w:t>16,503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12,892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10,947</w:t>
            </w:r>
          </w:p>
        </w:tc>
        <w:tc>
          <w:tcPr>
            <w:tcW w:w="0" w:type="dxa"/>
            <w:vAlign w:val="bottom"/>
          </w:tcPr>
          <w:p>
            <w:pPr>
              <w:spacing w:after="0"/>
              <w:rPr>
                <w:sz w:val="1"/>
                <w:szCs w:val="1"/>
                <w:color w:val="auto"/>
              </w:rPr>
            </w:pPr>
          </w:p>
        </w:tc>
      </w:tr>
      <w:tr>
        <w:trPr>
          <w:trHeight w:val="273"/>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36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(15,345)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(11,139)</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(9,889)</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12,412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11,254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9,501</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6"/>
                <w:szCs w:val="16"/>
                <w:b w:val="1"/>
                <w:bCs w:val="1"/>
                <w:color w:val="auto"/>
              </w:rPr>
              <w:t>Note 8: Employee and Retiree Benefits</w:t>
            </w: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280" w:type="dxa"/>
            <w:vAlign w:val="bottom"/>
            <w:gridSpan w:val="4"/>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August 27, 2016</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29, 2015</w:t>
            </w: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3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6,346</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34,535</w:t>
            </w:r>
          </w:p>
        </w:tc>
        <w:tc>
          <w:tcPr>
            <w:tcW w:w="0" w:type="dxa"/>
            <w:vAlign w:val="bottom"/>
          </w:tcPr>
          <w:p>
            <w:pPr>
              <w:spacing w:after="0"/>
              <w:rPr>
                <w:sz w:val="1"/>
                <w:szCs w:val="1"/>
                <w:color w:val="auto"/>
              </w:rPr>
            </w:pPr>
          </w:p>
        </w:tc>
      </w:tr>
      <w:tr>
        <w:trPr>
          <w:trHeight w:val="260"/>
        </w:trPr>
        <w:tc>
          <w:tcPr>
            <w:tcW w:w="5140" w:type="dxa"/>
            <w:vAlign w:val="bottom"/>
          </w:tcPr>
          <w:p>
            <w:pPr>
              <w:ind w:left="40"/>
              <w:spacing w:after="0"/>
              <w:rPr>
                <w:sz w:val="20"/>
                <w:szCs w:val="20"/>
                <w:color w:val="auto"/>
              </w:rPr>
            </w:pPr>
            <w:r>
              <w:rPr>
                <w:rFonts w:ascii="Arial" w:cs="Arial" w:eastAsia="Arial" w:hAnsi="Arial"/>
                <w:sz w:val="16"/>
                <w:szCs w:val="16"/>
                <w:color w:val="auto"/>
              </w:rPr>
              <w:t>Non-qualified deferred compensation</w:t>
            </w:r>
          </w:p>
        </w:tc>
        <w:tc>
          <w:tcPr>
            <w:tcW w:w="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18,003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19,508</w:t>
            </w:r>
          </w:p>
        </w:tc>
        <w:tc>
          <w:tcPr>
            <w:tcW w:w="0" w:type="dxa"/>
            <w:vAlign w:val="bottom"/>
          </w:tcPr>
          <w:p>
            <w:pPr>
              <w:spacing w:after="0"/>
              <w:rPr>
                <w:sz w:val="1"/>
                <w:szCs w:val="1"/>
                <w:color w:val="auto"/>
              </w:rPr>
            </w:pPr>
          </w:p>
        </w:tc>
      </w:tr>
      <w:tr>
        <w:trPr>
          <w:trHeight w:val="280"/>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3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3,341</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4,788</w:t>
            </w:r>
          </w:p>
        </w:tc>
        <w:tc>
          <w:tcPr>
            <w:tcW w:w="0" w:type="dxa"/>
            <w:vAlign w:val="bottom"/>
          </w:tcPr>
          <w:p>
            <w:pPr>
              <w:spacing w:after="0"/>
              <w:rPr>
                <w:sz w:val="1"/>
                <w:szCs w:val="1"/>
                <w:color w:val="auto"/>
              </w:rPr>
            </w:pPr>
          </w:p>
        </w:tc>
      </w:tr>
      <w:tr>
        <w:trPr>
          <w:trHeight w:val="260"/>
        </w:trPr>
        <w:tc>
          <w:tcPr>
            <w:tcW w:w="5140" w:type="dxa"/>
            <w:vAlign w:val="bottom"/>
          </w:tcPr>
          <w:p>
            <w:pPr>
              <w:ind w:left="40"/>
              <w:spacing w:after="0"/>
              <w:rPr>
                <w:sz w:val="20"/>
                <w:szCs w:val="20"/>
                <w:color w:val="auto"/>
              </w:rPr>
            </w:pPr>
            <w:r>
              <w:rPr>
                <w:rFonts w:ascii="Arial" w:cs="Arial" w:eastAsia="Arial" w:hAnsi="Arial"/>
                <w:sz w:val="16"/>
                <w:szCs w:val="16"/>
                <w:color w:val="auto"/>
              </w:rPr>
              <w:t>SERP benefit liability</w:t>
            </w:r>
          </w:p>
        </w:tc>
        <w:tc>
          <w:tcPr>
            <w:tcW w:w="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2,681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2,649</w:t>
            </w:r>
          </w:p>
        </w:tc>
        <w:tc>
          <w:tcPr>
            <w:tcW w:w="0" w:type="dxa"/>
            <w:vAlign w:val="bottom"/>
          </w:tcPr>
          <w:p>
            <w:pPr>
              <w:spacing w:after="0"/>
              <w:rPr>
                <w:sz w:val="1"/>
                <w:szCs w:val="1"/>
                <w:color w:val="auto"/>
              </w:rPr>
            </w:pPr>
          </w:p>
        </w:tc>
      </w:tr>
      <w:tr>
        <w:trPr>
          <w:trHeight w:val="280"/>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3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389</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Officer stock-based compensation</w:t>
            </w:r>
          </w:p>
        </w:tc>
        <w:tc>
          <w:tcPr>
            <w:tcW w:w="360" w:type="dxa"/>
            <w:vAlign w:val="bottom"/>
            <w:tcBorders>
              <w:bottom w:val="single" w:sz="8" w:color="CCEEFF"/>
            </w:tcBorders>
          </w:tcPr>
          <w:p>
            <w:pPr>
              <w:spacing w:after="0"/>
              <w:rPr>
                <w:sz w:val="22"/>
                <w:szCs w:val="22"/>
                <w:color w:val="auto"/>
              </w:rPr>
            </w:pPr>
          </w:p>
        </w:tc>
        <w:tc>
          <w:tcPr>
            <w:tcW w:w="1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763</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3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31,523</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62,021</w:t>
            </w:r>
          </w:p>
        </w:tc>
        <w:tc>
          <w:tcPr>
            <w:tcW w:w="0" w:type="dxa"/>
            <w:vAlign w:val="bottom"/>
          </w:tcPr>
          <w:p>
            <w:pPr>
              <w:spacing w:after="0"/>
              <w:rPr>
                <w:sz w:val="1"/>
                <w:szCs w:val="1"/>
                <w:color w:val="auto"/>
              </w:rPr>
            </w:pPr>
          </w:p>
        </w:tc>
      </w:tr>
      <w:tr>
        <w:trPr>
          <w:trHeight w:val="270"/>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360" w:type="dxa"/>
            <w:vAlign w:val="bottom"/>
            <w:tcBorders>
              <w:bottom w:val="single" w:sz="8" w:color="CCEEFF"/>
            </w:tcBorders>
          </w:tcPr>
          <w:p>
            <w:pPr>
              <w:spacing w:after="0"/>
              <w:rPr>
                <w:sz w:val="23"/>
                <w:szCs w:val="23"/>
                <w:color w:val="auto"/>
              </w:rPr>
            </w:pPr>
          </w:p>
        </w:tc>
        <w:tc>
          <w:tcPr>
            <w:tcW w:w="16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(4,574)</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(4,931)</w:t>
            </w:r>
          </w:p>
        </w:tc>
        <w:tc>
          <w:tcPr>
            <w:tcW w:w="0" w:type="dxa"/>
            <w:vAlign w:val="bottom"/>
          </w:tcPr>
          <w:p>
            <w:pPr>
              <w:spacing w:after="0"/>
              <w:rPr>
                <w:sz w:val="1"/>
                <w:szCs w:val="1"/>
                <w:color w:val="auto"/>
              </w:rPr>
            </w:pPr>
          </w:p>
        </w:tc>
      </w:tr>
      <w:tr>
        <w:trPr>
          <w:trHeight w:val="237"/>
        </w:trPr>
        <w:tc>
          <w:tcPr>
            <w:tcW w:w="5500" w:type="dxa"/>
            <w:vAlign w:val="bottom"/>
            <w:gridSpan w:val="2"/>
            <w:shd w:val="clear" w:color="auto" w:fill="CCEEFF"/>
          </w:tcPr>
          <w:p>
            <w:pPr>
              <w:ind w:left="40"/>
              <w:spacing w:after="0" w:line="237" w:lineRule="exact"/>
              <w:rPr>
                <w:sz w:val="20"/>
                <w:szCs w:val="20"/>
                <w:color w:val="auto"/>
              </w:rPr>
            </w:pPr>
            <w:r>
              <w:rPr>
                <w:rFonts w:ascii="Arial" w:cs="Arial" w:eastAsia="Arial" w:hAnsi="Arial"/>
                <w:sz w:val="16"/>
                <w:szCs w:val="16"/>
                <w:color w:val="auto"/>
              </w:rPr>
              <w:t>Long-term postretirement health care and deferred compensation benefits</w:t>
            </w:r>
            <w:r>
              <w:rPr>
                <w:rFonts w:ascii="Arial" w:cs="Arial" w:eastAsia="Arial" w:hAnsi="Arial"/>
                <w:sz w:val="21"/>
                <w:szCs w:val="21"/>
                <w:color w:val="auto"/>
                <w:vertAlign w:val="superscript"/>
              </w:rPr>
              <w:t>(2)</w:t>
            </w: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26,949</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57,090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Included in current liabilities in the Consolidated Balance Sheets</w:t>
      </w:r>
    </w:p>
    <w:p>
      <w:pPr>
        <w:ind w:left="180" w:hanging="172"/>
        <w:spacing w:after="0" w:line="199" w:lineRule="auto"/>
        <w:tabs>
          <w:tab w:leader="none" w:pos="18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Included in long-term liabilities in the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w:t>
      </w:r>
    </w:p>
    <w:p>
      <w:pPr>
        <w:spacing w:after="0" w:line="16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Fiscal 2005, through a plan amendment,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 Each year from 2012 to 2015, the employer established dollar caps were reduced by 10% through plan amendments. On January 1, 2016, postretirement health care benefits were discontinued for retirees age 65 and over. The plan amendment also included a 10% reduction in employer paid premiums for retirees under age 65. As a result of these amendments, our liability for postretirement health care was reduced as presented in the following table.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385"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9"/>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Liability</w:t>
            </w:r>
          </w:p>
        </w:tc>
        <w:tc>
          <w:tcPr>
            <w:tcW w:w="1480" w:type="dxa"/>
            <w:vAlign w:val="bottom"/>
          </w:tcPr>
          <w:p>
            <w:pPr>
              <w:spacing w:after="0"/>
              <w:rPr>
                <w:sz w:val="16"/>
                <w:szCs w:val="16"/>
                <w:color w:val="auto"/>
              </w:rPr>
            </w:pPr>
          </w:p>
        </w:tc>
      </w:tr>
      <w:tr>
        <w:trPr>
          <w:trHeight w:val="189"/>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Reduction (in</w:t>
            </w:r>
          </w:p>
        </w:tc>
        <w:tc>
          <w:tcPr>
            <w:tcW w:w="1480" w:type="dxa"/>
            <w:vAlign w:val="bottom"/>
          </w:tcPr>
          <w:p>
            <w:pPr>
              <w:jc w:val="right"/>
              <w:ind w:right="159"/>
              <w:spacing w:after="0"/>
              <w:rPr>
                <w:sz w:val="20"/>
                <w:szCs w:val="20"/>
                <w:color w:val="auto"/>
              </w:rPr>
            </w:pPr>
            <w:r>
              <w:rPr>
                <w:rFonts w:ascii="Arial" w:cs="Arial" w:eastAsia="Arial" w:hAnsi="Arial"/>
                <w:sz w:val="16"/>
                <w:szCs w:val="16"/>
                <w:b w:val="1"/>
                <w:bCs w:val="1"/>
                <w:color w:val="auto"/>
              </w:rPr>
              <w:t>Amortization</w:t>
            </w:r>
          </w:p>
        </w:tc>
      </w:tr>
      <w:tr>
        <w:trPr>
          <w:trHeight w:val="234"/>
        </w:trPr>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Date</w:t>
            </w:r>
          </w:p>
        </w:tc>
        <w:tc>
          <w:tcPr>
            <w:tcW w:w="120" w:type="dxa"/>
            <w:vAlign w:val="bottom"/>
            <w:tcBorders>
              <w:bottom w:val="single" w:sz="8" w:color="CCEEFF"/>
            </w:tcBorders>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Plan Amendment</w:t>
            </w:r>
          </w:p>
        </w:tc>
        <w:tc>
          <w:tcPr>
            <w:tcW w:w="1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Dollar Cap Reduction</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thousands)</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Period </w:t>
            </w:r>
            <w:r>
              <w:rPr>
                <w:rFonts w:ascii="Arial" w:cs="Arial" w:eastAsia="Arial" w:hAnsi="Arial"/>
                <w:sz w:val="21"/>
                <w:szCs w:val="21"/>
                <w:b w:val="1"/>
                <w:bCs w:val="1"/>
                <w:color w:val="auto"/>
                <w:vertAlign w:val="superscript"/>
              </w:rPr>
              <w:t>(1)</w:t>
            </w:r>
          </w:p>
        </w:tc>
      </w:tr>
      <w:tr>
        <w:trPr>
          <w:trHeight w:val="264"/>
        </w:trPr>
        <w:tc>
          <w:tcPr>
            <w:tcW w:w="1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Fiscal 2005</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Established employer dollar cap</w:t>
            </w:r>
          </w:p>
        </w:tc>
        <w:tc>
          <w:tcPr>
            <w:tcW w:w="20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40,414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11.5 years</w:t>
            </w:r>
          </w:p>
        </w:tc>
      </w:tr>
      <w:tr>
        <w:trPr>
          <w:trHeight w:val="260"/>
        </w:trPr>
        <w:tc>
          <w:tcPr>
            <w:tcW w:w="1540" w:type="dxa"/>
            <w:vAlign w:val="bottom"/>
            <w:gridSpan w:val="2"/>
          </w:tcPr>
          <w:p>
            <w:pPr>
              <w:ind w:left="40"/>
              <w:spacing w:after="0"/>
              <w:rPr>
                <w:sz w:val="20"/>
                <w:szCs w:val="20"/>
                <w:color w:val="auto"/>
              </w:rPr>
            </w:pPr>
            <w:r>
              <w:rPr>
                <w:rFonts w:ascii="Arial" w:cs="Arial" w:eastAsia="Arial" w:hAnsi="Arial"/>
                <w:sz w:val="16"/>
                <w:szCs w:val="16"/>
                <w:color w:val="auto"/>
              </w:rPr>
              <w:t>January 2012</w:t>
            </w: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Reduced employer dollar cap</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4,598</w:t>
            </w:r>
          </w:p>
        </w:tc>
        <w:tc>
          <w:tcPr>
            <w:tcW w:w="100" w:type="dxa"/>
            <w:vAlign w:val="bottom"/>
          </w:tcPr>
          <w:p>
            <w:pPr>
              <w:spacing w:after="0"/>
              <w:rPr>
                <w:sz w:val="22"/>
                <w:szCs w:val="22"/>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7.8 years</w:t>
            </w:r>
          </w:p>
        </w:tc>
      </w:tr>
      <w:tr>
        <w:trPr>
          <w:trHeight w:val="280"/>
        </w:trPr>
        <w:tc>
          <w:tcPr>
            <w:tcW w:w="1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January 2013</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Reduced employer dollar cap</w:t>
            </w: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7.5 years</w:t>
            </w:r>
          </w:p>
        </w:tc>
      </w:tr>
      <w:tr>
        <w:trPr>
          <w:trHeight w:val="260"/>
        </w:trPr>
        <w:tc>
          <w:tcPr>
            <w:tcW w:w="1540" w:type="dxa"/>
            <w:vAlign w:val="bottom"/>
            <w:gridSpan w:val="2"/>
          </w:tcPr>
          <w:p>
            <w:pPr>
              <w:ind w:left="40"/>
              <w:spacing w:after="0"/>
              <w:rPr>
                <w:sz w:val="20"/>
                <w:szCs w:val="20"/>
                <w:color w:val="auto"/>
              </w:rPr>
            </w:pPr>
            <w:r>
              <w:rPr>
                <w:rFonts w:ascii="Arial" w:cs="Arial" w:eastAsia="Arial" w:hAnsi="Arial"/>
                <w:sz w:val="16"/>
                <w:szCs w:val="16"/>
                <w:color w:val="auto"/>
              </w:rPr>
              <w:t>January 2014</w:t>
            </w: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Reduced employer dollar cap</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3,580</w:t>
            </w:r>
          </w:p>
        </w:tc>
        <w:tc>
          <w:tcPr>
            <w:tcW w:w="100" w:type="dxa"/>
            <w:vAlign w:val="bottom"/>
          </w:tcPr>
          <w:p>
            <w:pPr>
              <w:spacing w:after="0"/>
              <w:rPr>
                <w:sz w:val="22"/>
                <w:szCs w:val="22"/>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7.3 years</w:t>
            </w:r>
          </w:p>
        </w:tc>
      </w:tr>
      <w:tr>
        <w:trPr>
          <w:trHeight w:val="280"/>
        </w:trPr>
        <w:tc>
          <w:tcPr>
            <w:tcW w:w="1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January 2015</w:t>
            </w: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Reduced employer dollar cap</w:t>
            </w: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7.1 years</w:t>
            </w:r>
          </w:p>
        </w:tc>
      </w:tr>
      <w:tr>
        <w:trPr>
          <w:trHeight w:val="218"/>
        </w:trPr>
        <w:tc>
          <w:tcPr>
            <w:tcW w:w="1540" w:type="dxa"/>
            <w:vAlign w:val="bottom"/>
            <w:gridSpan w:val="2"/>
          </w:tcPr>
          <w:p>
            <w:pPr>
              <w:ind w:left="40"/>
              <w:spacing w:after="0"/>
              <w:rPr>
                <w:sz w:val="20"/>
                <w:szCs w:val="20"/>
                <w:color w:val="auto"/>
              </w:rPr>
            </w:pPr>
            <w:r>
              <w:rPr>
                <w:rFonts w:ascii="Arial" w:cs="Arial" w:eastAsia="Arial" w:hAnsi="Arial"/>
                <w:sz w:val="16"/>
                <w:szCs w:val="16"/>
                <w:color w:val="auto"/>
              </w:rPr>
              <w:t>January 2016</w:t>
            </w: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Reduced employer dollar cap for retirees under age 65;</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5"/>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discontinued retiree benefits for retirees age 65 and over</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28,596</w:t>
            </w:r>
          </w:p>
        </w:tc>
        <w:tc>
          <w:tcPr>
            <w:tcW w:w="100" w:type="dxa"/>
            <w:vAlign w:val="bottom"/>
          </w:tcPr>
          <w:p>
            <w:pPr>
              <w:spacing w:after="0"/>
              <w:rPr>
                <w:sz w:val="16"/>
                <w:szCs w:val="16"/>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6.9 years</w:t>
            </w:r>
          </w:p>
        </w:tc>
      </w:tr>
    </w:tbl>
    <w:p>
      <w:pPr>
        <w:ind w:left="220" w:hanging="212"/>
        <w:spacing w:after="0" w:line="212" w:lineRule="auto"/>
        <w:tabs>
          <w:tab w:leader="none" w:pos="22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Plan amendments are amortized on a straight-line basis over the expected remaining service period of active plan participants.</w:t>
      </w:r>
    </w:p>
    <w:p>
      <w:pPr>
        <w:spacing w:after="0" w:line="20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Based on actuarial evaluations, the discount rate used in determining the accumulated postretirement benefit obligation was 2.73% at August 27, 2016 and 4.15% at August 29, 2015, which increased the benefit obligation by $850,000 and $684,000 at August 27, 2016 and August 29, 2015, respectively. Assumed health care cost trend rates do not have a significant effect in determining the accumulated postretirement benefit obligation due to employer caps established.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Pr>
          <w:p>
            <w:pPr>
              <w:spacing w:after="0"/>
              <w:rPr>
                <w:sz w:val="20"/>
                <w:szCs w:val="20"/>
                <w:color w:val="auto"/>
              </w:rPr>
            </w:pPr>
            <w:r>
              <w:rPr>
                <w:rFonts w:ascii="Arial" w:cs="Arial" w:eastAsia="Arial" w:hAnsi="Arial"/>
                <w:sz w:val="16"/>
                <w:szCs w:val="16"/>
                <w:color w:val="auto"/>
              </w:rPr>
              <w:t>Changes in our postretirement health care liability are as follows:</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91"/>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27, 2016</w:t>
            </w:r>
          </w:p>
        </w:tc>
        <w:tc>
          <w:tcPr>
            <w:tcW w:w="240" w:type="dxa"/>
            <w:vAlign w:val="bottom"/>
          </w:tcPr>
          <w:p>
            <w:pPr>
              <w:spacing w:after="0"/>
              <w:rPr>
                <w:sz w:val="24"/>
                <w:szCs w:val="24"/>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29, 2015</w:t>
            </w:r>
          </w:p>
        </w:tc>
      </w:tr>
      <w:tr>
        <w:trPr>
          <w:trHeight w:val="257"/>
        </w:trPr>
        <w:tc>
          <w:tcPr>
            <w:tcW w:w="7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34,535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36,930</w:t>
            </w:r>
          </w:p>
        </w:tc>
      </w:tr>
      <w:tr>
        <w:trPr>
          <w:trHeight w:val="260"/>
        </w:trPr>
        <w:tc>
          <w:tcPr>
            <w:tcW w:w="74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1,382</w:t>
            </w:r>
          </w:p>
        </w:tc>
      </w:tr>
      <w:tr>
        <w:trPr>
          <w:trHeight w:val="280"/>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427</w:t>
            </w:r>
          </w:p>
        </w:tc>
      </w:tr>
      <w:tr>
        <w:trPr>
          <w:trHeight w:val="260"/>
        </w:trPr>
        <w:tc>
          <w:tcPr>
            <w:tcW w:w="7400" w:type="dxa"/>
            <w:vAlign w:val="bottom"/>
          </w:tcPr>
          <w:p>
            <w:pPr>
              <w:ind w:left="40"/>
              <w:spacing w:after="0"/>
              <w:rPr>
                <w:sz w:val="20"/>
                <w:szCs w:val="20"/>
                <w:color w:val="auto"/>
              </w:rPr>
            </w:pPr>
            <w:r>
              <w:rPr>
                <w:rFonts w:ascii="Arial" w:cs="Arial" w:eastAsia="Arial" w:hAnsi="Arial"/>
                <w:sz w:val="16"/>
                <w:szCs w:val="16"/>
                <w:color w:val="auto"/>
              </w:rPr>
              <w:t>Net benefits paid</w:t>
            </w: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(928)</w:t>
            </w:r>
          </w:p>
        </w:tc>
      </w:tr>
      <w:tr>
        <w:trPr>
          <w:trHeight w:val="280"/>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Actuarial loss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684</w:t>
            </w:r>
          </w:p>
        </w:tc>
      </w:tr>
      <w:tr>
        <w:trPr>
          <w:trHeight w:val="264"/>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Plan amendment</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(28,596)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(3,960)</w:t>
            </w:r>
          </w:p>
        </w:tc>
      </w:tr>
      <w:tr>
        <w:trPr>
          <w:trHeight w:val="24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year</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6,346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34,535</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for the past three fiscal years consisted of the following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9"/>
              </w:rPr>
              <w:t>Year Ended</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r>
      <w:tr>
        <w:trPr>
          <w:trHeight w:val="264"/>
        </w:trPr>
        <w:tc>
          <w:tcPr>
            <w:tcW w:w="52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2"/>
                <w:szCs w:val="22"/>
                <w:color w:val="auto"/>
              </w:rPr>
            </w:pPr>
          </w:p>
        </w:tc>
        <w:tc>
          <w:tcPr>
            <w:tcW w:w="184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27, 2016</w:t>
            </w:r>
          </w:p>
        </w:tc>
        <w:tc>
          <w:tcPr>
            <w:tcW w:w="240" w:type="dxa"/>
            <w:vAlign w:val="bottom"/>
          </w:tcPr>
          <w:p>
            <w:pPr>
              <w:spacing w:after="0"/>
              <w:rPr>
                <w:sz w:val="22"/>
                <w:szCs w:val="22"/>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August 29, 2015</w:t>
            </w:r>
          </w:p>
        </w:tc>
        <w:tc>
          <w:tcPr>
            <w:tcW w:w="24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30, 2014</w:t>
            </w:r>
          </w:p>
        </w:tc>
      </w:tr>
      <w:tr>
        <w:trPr>
          <w:trHeight w:val="257"/>
        </w:trPr>
        <w:tc>
          <w:tcPr>
            <w:tcW w:w="5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327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1,382</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1,540</w:t>
            </w:r>
          </w:p>
        </w:tc>
      </w:tr>
      <w:tr>
        <w:trPr>
          <w:trHeight w:val="260"/>
        </w:trPr>
        <w:tc>
          <w:tcPr>
            <w:tcW w:w="524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spacing w:after="0"/>
              <w:rPr>
                <w:sz w:val="22"/>
                <w:szCs w:val="22"/>
                <w:color w:val="auto"/>
              </w:rPr>
            </w:pPr>
          </w:p>
        </w:tc>
        <w:tc>
          <w:tcPr>
            <w:tcW w:w="1740" w:type="dxa"/>
            <w:vAlign w:val="bottom"/>
          </w:tcPr>
          <w:p>
            <w:pPr>
              <w:jc w:val="right"/>
              <w:ind w:right="45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tcPr>
          <w:p>
            <w:pPr>
              <w:jc w:val="right"/>
              <w:ind w:right="459"/>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tcPr>
          <w:p>
            <w:pPr>
              <w:jc w:val="right"/>
              <w:ind w:right="459"/>
              <w:spacing w:after="0"/>
              <w:rPr>
                <w:sz w:val="20"/>
                <w:szCs w:val="20"/>
                <w:color w:val="auto"/>
              </w:rPr>
            </w:pPr>
            <w:r>
              <w:rPr>
                <w:rFonts w:ascii="Arial" w:cs="Arial" w:eastAsia="Arial" w:hAnsi="Arial"/>
                <w:sz w:val="16"/>
                <w:szCs w:val="16"/>
                <w:color w:val="auto"/>
              </w:rPr>
              <w:t>393</w:t>
            </w:r>
          </w:p>
        </w:tc>
      </w:tr>
      <w:tr>
        <w:trPr>
          <w:trHeight w:val="280"/>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(7,736)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(5,538)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(5,650)</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1,612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1,465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1,077</w:t>
            </w:r>
          </w:p>
        </w:tc>
      </w:tr>
      <w:tr>
        <w:trPr>
          <w:trHeight w:val="24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(5,689)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(2,264)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(2,640)</w:t>
            </w: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For accounting purposes, we recognized net periodic postretirement income as presented in the previous table, due to the amortization of prior service benefit associated with the establishment of caps on the employer portion of benefits in Fiscal 2005 and the plan amendments made over the past five years.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Amounts not yet recognized in net periodic benefit cost and included in accumulated other comprehensive income (before taxes)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27, 2016</w:t>
            </w:r>
          </w:p>
        </w:tc>
        <w:tc>
          <w:tcPr>
            <w:tcW w:w="260" w:type="dxa"/>
            <w:vAlign w:val="bottom"/>
          </w:tcPr>
          <w:p>
            <w:pPr>
              <w:spacing w:after="0"/>
              <w:rPr>
                <w:sz w:val="19"/>
                <w:szCs w:val="19"/>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29, 2015</w:t>
            </w:r>
          </w:p>
        </w:tc>
      </w:tr>
      <w:tr>
        <w:trPr>
          <w:trHeight w:val="257"/>
        </w:trPr>
        <w:tc>
          <w:tcPr>
            <w:tcW w:w="7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Prior service credit</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(34,139)</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(13,279)</w:t>
            </w:r>
          </w:p>
        </w:tc>
      </w:tr>
      <w:tr>
        <w:trPr>
          <w:trHeight w:val="264"/>
        </w:trPr>
        <w:tc>
          <w:tcPr>
            <w:tcW w:w="7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actuarial loss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15,648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16,410</w:t>
            </w:r>
          </w:p>
        </w:tc>
      </w:tr>
      <w:tr>
        <w:trPr>
          <w:trHeight w:val="24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(18,491)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3,131</w:t>
            </w:r>
          </w:p>
        </w:tc>
      </w:tr>
      <w:tr>
        <w:trPr>
          <w:trHeight w:val="20"/>
        </w:trPr>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estimated amounts that will be amortized from accumulated other comprehensive income to net periodic benefit cost in Fiscal 2017 include a prior service credit of $6.4 million and an actuarial net loss of $1.6 million.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527"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Expected future benefit payments for postretirement health care for the next ten years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9"/>
                <w:szCs w:val="19"/>
                <w:color w:val="auto"/>
              </w:rPr>
            </w:pPr>
          </w:p>
        </w:tc>
        <w:tc>
          <w:tcPr>
            <w:tcW w:w="1380" w:type="dxa"/>
            <w:vAlign w:val="bottom"/>
          </w:tcPr>
          <w:p>
            <w:pPr>
              <w:jc w:val="right"/>
              <w:ind w:right="459"/>
              <w:spacing w:after="0"/>
              <w:rPr>
                <w:sz w:val="20"/>
                <w:szCs w:val="20"/>
                <w:color w:val="auto"/>
              </w:rPr>
            </w:pPr>
            <w:r>
              <w:rPr>
                <w:rFonts w:ascii="Arial" w:cs="Arial" w:eastAsia="Arial" w:hAnsi="Arial"/>
                <w:sz w:val="16"/>
                <w:szCs w:val="16"/>
                <w:b w:val="1"/>
                <w:bCs w:val="1"/>
                <w:color w:val="auto"/>
              </w:rPr>
              <w:t>Amount</w:t>
            </w:r>
          </w:p>
        </w:tc>
      </w:tr>
      <w:tr>
        <w:trPr>
          <w:trHeight w:val="257"/>
        </w:trPr>
        <w:tc>
          <w:tcPr>
            <w:tcW w:w="6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89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2017</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r>
      <w:tr>
        <w:trPr>
          <w:trHeight w:val="260"/>
        </w:trPr>
        <w:tc>
          <w:tcPr>
            <w:tcW w:w="680" w:type="dxa"/>
            <w:vAlign w:val="bottom"/>
          </w:tcPr>
          <w:p>
            <w:pPr>
              <w:spacing w:after="0"/>
              <w:rPr>
                <w:sz w:val="22"/>
                <w:szCs w:val="22"/>
                <w:color w:val="auto"/>
              </w:rPr>
            </w:pPr>
          </w:p>
        </w:tc>
        <w:tc>
          <w:tcPr>
            <w:tcW w:w="8940" w:type="dxa"/>
            <w:vAlign w:val="bottom"/>
          </w:tcPr>
          <w:p>
            <w:pPr>
              <w:ind w:left="28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283</w:t>
            </w:r>
          </w:p>
        </w:tc>
      </w:tr>
      <w:tr>
        <w:trPr>
          <w:trHeight w:val="280"/>
        </w:trPr>
        <w:tc>
          <w:tcPr>
            <w:tcW w:w="680" w:type="dxa"/>
            <w:vAlign w:val="bottom"/>
            <w:shd w:val="clear" w:color="auto" w:fill="CCEEFF"/>
          </w:tcPr>
          <w:p>
            <w:pPr>
              <w:spacing w:after="0"/>
              <w:rPr>
                <w:sz w:val="24"/>
                <w:szCs w:val="24"/>
                <w:color w:val="auto"/>
              </w:rPr>
            </w:pPr>
          </w:p>
        </w:tc>
        <w:tc>
          <w:tcPr>
            <w:tcW w:w="8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381</w:t>
            </w:r>
          </w:p>
        </w:tc>
      </w:tr>
      <w:tr>
        <w:trPr>
          <w:trHeight w:val="260"/>
        </w:trPr>
        <w:tc>
          <w:tcPr>
            <w:tcW w:w="680" w:type="dxa"/>
            <w:vAlign w:val="bottom"/>
          </w:tcPr>
          <w:p>
            <w:pPr>
              <w:spacing w:after="0"/>
              <w:rPr>
                <w:sz w:val="22"/>
                <w:szCs w:val="22"/>
                <w:color w:val="auto"/>
              </w:rPr>
            </w:pPr>
          </w:p>
        </w:tc>
        <w:tc>
          <w:tcPr>
            <w:tcW w:w="8940" w:type="dxa"/>
            <w:vAlign w:val="bottom"/>
          </w:tcPr>
          <w:p>
            <w:pPr>
              <w:ind w:left="28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455</w:t>
            </w:r>
          </w:p>
        </w:tc>
      </w:tr>
      <w:tr>
        <w:trPr>
          <w:trHeight w:val="280"/>
        </w:trPr>
        <w:tc>
          <w:tcPr>
            <w:tcW w:w="680" w:type="dxa"/>
            <w:vAlign w:val="bottom"/>
            <w:shd w:val="clear" w:color="auto" w:fill="CCEEFF"/>
          </w:tcPr>
          <w:p>
            <w:pPr>
              <w:spacing w:after="0"/>
              <w:rPr>
                <w:sz w:val="24"/>
                <w:szCs w:val="24"/>
                <w:color w:val="auto"/>
              </w:rPr>
            </w:pPr>
          </w:p>
        </w:tc>
        <w:tc>
          <w:tcPr>
            <w:tcW w:w="8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r>
      <w:tr>
        <w:trPr>
          <w:trHeight w:val="264"/>
        </w:trPr>
        <w:tc>
          <w:tcPr>
            <w:tcW w:w="680" w:type="dxa"/>
            <w:vAlign w:val="bottom"/>
            <w:tcBorders>
              <w:bottom w:val="single" w:sz="8" w:color="CCEEFF"/>
            </w:tcBorders>
          </w:tcPr>
          <w:p>
            <w:pPr>
              <w:spacing w:after="0"/>
              <w:rPr>
                <w:sz w:val="22"/>
                <w:szCs w:val="22"/>
                <w:color w:val="auto"/>
              </w:rPr>
            </w:pPr>
          </w:p>
        </w:tc>
        <w:tc>
          <w:tcPr>
            <w:tcW w:w="89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2022 - 2026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2,484</w:t>
            </w:r>
          </w:p>
        </w:tc>
      </w:tr>
      <w:tr>
        <w:trPr>
          <w:trHeight w:val="240"/>
        </w:trPr>
        <w:tc>
          <w:tcPr>
            <w:tcW w:w="680" w:type="dxa"/>
            <w:vAlign w:val="bottom"/>
            <w:tcBorders>
              <w:bottom w:val="single" w:sz="8" w:color="CCEEFF"/>
            </w:tcBorders>
            <w:shd w:val="clear" w:color="auto" w:fill="CCEEFF"/>
          </w:tcPr>
          <w:p>
            <w:pPr>
              <w:spacing w:after="0"/>
              <w:rPr>
                <w:sz w:val="20"/>
                <w:szCs w:val="20"/>
                <w:color w:val="auto"/>
              </w:rPr>
            </w:pPr>
          </w:p>
        </w:tc>
        <w:tc>
          <w:tcPr>
            <w:tcW w:w="9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4,508</w:t>
            </w:r>
          </w:p>
        </w:tc>
      </w:tr>
      <w:tr>
        <w:trPr>
          <w:trHeight w:val="20"/>
        </w:trPr>
        <w:tc>
          <w:tcPr>
            <w:tcW w:w="68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The expected future benefit payments have been estimated based on the same assumptions used to measure our benefit obligation as of August 27, 2016, and include benefits attached to estimated current employees' future services.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Compensation Benefits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Deferred Compensation Program (1981)</w:t>
      </w:r>
    </w:p>
    <w:p>
      <w:pPr>
        <w:spacing w:after="0" w:line="2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have a Non-Qualified Deferred Compensation Program which permitted key employees to annually elect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age 55 and 5 years of participation under the plan. For deferrals prior to December 1992, vesting occurs at the later of age 55 and 5 years of service from first deferral or 20 years of service. Deferred compensation expense was $1.3 million, $1.3 million and $1.4 million in Fiscal 2016, 2015 and 2014, respectively. Total deferred compensation liabilities were $18.0 million and $19.5 million at August 27, 2016 and August 29, 2015,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Supplemental Executive Retirement Plan (SERP)</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primary purpose of this plan was to provide our officers and managers with supplemental retirement income for a period of 15 years after retirement. We have not offered this plan on a continuing basis to members of management since 1998. The plan was funded with individual whole life insurance policies (Split Dollar Program) owned by the named insured officer or manager. We initially paid the life insurance premiums on the life of the individual and the individual would receive life insurance and supplemental cash payment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COLI by a release of all interests by the participant and assignment to us as a prerequisite to participation in the SERP and transition from the Split Dollar Program. Total SERP liabilities were $2.7 million and $2.6 million at August 27, 2016 and August 29, 2015, respectively. This program remains closed to new employee participation.</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 assist in funding the deferred compensation and SERP liabilities, we have invested in COLI policies. The cash surrender value of these policies is presented as investment in life insurance in the accompanying balance sheets and consists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27, 2016</w:t>
            </w:r>
          </w:p>
        </w:tc>
        <w:tc>
          <w:tcPr>
            <w:tcW w:w="240" w:type="dxa"/>
            <w:vAlign w:val="bottom"/>
          </w:tcPr>
          <w:p>
            <w:pPr>
              <w:spacing w:after="0"/>
              <w:rPr>
                <w:sz w:val="19"/>
                <w:szCs w:val="19"/>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29, 2015</w:t>
            </w:r>
          </w:p>
        </w:tc>
      </w:tr>
      <w:tr>
        <w:trPr>
          <w:trHeight w:val="257"/>
        </w:trPr>
        <w:tc>
          <w:tcPr>
            <w:tcW w:w="7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value</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60,263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58,501</w:t>
            </w:r>
          </w:p>
        </w:tc>
      </w:tr>
      <w:tr>
        <w:trPr>
          <w:trHeight w:val="264"/>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Borrowings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(33,771)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(32,329)</w:t>
            </w:r>
          </w:p>
        </w:tc>
      </w:tr>
      <w:tr>
        <w:trPr>
          <w:trHeight w:val="24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26,492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26,172</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Share Option Program (2001)</w:t>
      </w:r>
    </w:p>
    <w:p>
      <w:pPr>
        <w:spacing w:after="0" w:line="2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Non-Qualified Share Option Program permitted participants in the Executive Share Option Plan (the "Executive Plan") to choose to defer a portion of their salary or other eligible compensation in the form of options to purchase selected securities, primarily equity-based mutual funds. These assets are treated as trading securities and are recorded at fair value. The Executive Plan has been closed to any additional deferrals since January 2005. The Executive Plan assets related to those options that will expire within a year are included in prepaid expenses and other assets in the accompanying balance sheets. The remaining assets are included in other assets. Total assets on August 27, 2016 and August 29, 2015 were $3.7 million and $5.4 million, respectively, and the liabilities were $3.3 million and $4.8 million, respectively. The difference between the asset and liability balances represents the additional 25% we contributed at the time of the initial deferrals to aid in potential additional earnings to the participant. This contribution is required to be paid back to us when the option is exercised. A participant may exercise his or her options per the plan document, but there is a requirement that after these dollars have been invested for 15 years the participant is required to exercise such option.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Deferred Compensation Plan (2007)</w:t>
      </w:r>
    </w:p>
    <w:p>
      <w:pPr>
        <w:spacing w:after="0" w:line="2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In December 2006, we adopted the Winnebago Industries, Inc. Executive Deferred Compensation Plan (the "Executive Deferred Compensation Plan"). Under the Executive Deferred Compensation Plan, corporate officers and certain key employees may annually choose to defer up to 50% of their salary and up to 100% of their cash incentive awards. The assets are presented as other assets and the liabilities are presented as postretirement health care and deferred compensation benefits in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385" w:right="239" w:bottom="1440" w:gutter="0" w:footer="0" w:header="0"/>
        </w:sectPr>
      </w:pPr>
    </w:p>
    <w:bookmarkStart w:id="40" w:name="page41"/>
    <w:bookmarkEnd w:id="40"/>
    <w:p>
      <w:pPr>
        <w:ind w:right="40"/>
        <w:spacing w:after="0" w:line="260" w:lineRule="auto"/>
        <w:rPr>
          <w:sz w:val="20"/>
          <w:szCs w:val="20"/>
          <w:color w:val="auto"/>
        </w:rPr>
      </w:pPr>
      <w:r>
        <w:rPr>
          <w:rFonts w:ascii="Arial" w:cs="Arial" w:eastAsia="Arial" w:hAnsi="Arial"/>
          <w:sz w:val="16"/>
          <w:szCs w:val="16"/>
          <w:color w:val="auto"/>
        </w:rPr>
        <w:t>accompanying balance sheets. Such assets on August 27, 2016 and August 29, 2015 were $388,000 and $297,000, respectively, and liabilities were $389,000 and $299,000,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Sharing Plan</w:t>
      </w:r>
    </w:p>
    <w:p>
      <w:pPr>
        <w:spacing w:after="0" w:line="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have a qualified profit sharing and contributory 401(k) plan for eligible employees. The plan provides quarterly discretionary matching cash contributions as approved by our Board of Directors. Contributions to the plan for Fiscal 2016, 2015 and 2014 were $1.5 million, $1.2 million and $1.1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RVs purchased.</w:t>
      </w:r>
    </w:p>
    <w:p>
      <w:pPr>
        <w:spacing w:after="0" w:line="147"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to the lending institution, or dealer invoice less periodic reductions based on the time since the date of the original invoice. Our contingent liability on all repurchase agreements was approximately $409.3 million and $386.0 million at August 27, 2016 and August 29, 2015, respectively.</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RVs to repurchase current inventory if a dealership exits the business. Incremental repurchase exposure beyond existing repurchase agreements, related to dealer inventory in states that we have had historical experience of repurchasing inventory, totaled $7.9 million and $7.2 million at August 27, 2016 and August 29, 2015, respectively.</w:t>
      </w:r>
    </w:p>
    <w:p>
      <w:pPr>
        <w:spacing w:after="0" w:line="149"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$881,000 as of August 27, 2016 and $1.3 million as of August 29, 2015. Repurchase risk is affected by the credit worthiness of our dealer network and if we are obligated to repurchase a substantially larger number of RVs in the future, this would increase our costs and could have a material adverse effect on our results of operations, financial condition, and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20"/>
                <w:szCs w:val="20"/>
                <w:color w:val="auto"/>
              </w:rPr>
            </w:pPr>
            <w:r>
              <w:rPr>
                <w:rFonts w:ascii="Arial" w:cs="Arial" w:eastAsia="Arial" w:hAnsi="Arial"/>
                <w:sz w:val="16"/>
                <w:szCs w:val="16"/>
                <w:color w:val="auto"/>
              </w:rPr>
              <w:t>A summary of the activity for the fiscal years stated for repurchased units is as follows:</w:t>
            </w: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98"/>
        </w:trPr>
        <w:tc>
          <w:tcPr>
            <w:tcW w:w="666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62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2016</w:t>
            </w:r>
          </w:p>
        </w:tc>
        <w:tc>
          <w:tcPr>
            <w:tcW w:w="14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Fiscal 2015 </w:t>
            </w:r>
            <w:r>
              <w:rPr>
                <w:rFonts w:ascii="Arial" w:cs="Arial" w:eastAsia="Arial" w:hAnsi="Arial"/>
                <w:sz w:val="21"/>
                <w:szCs w:val="21"/>
                <w:b w:val="1"/>
                <w:bCs w:val="1"/>
                <w:color w:val="auto"/>
                <w:vertAlign w:val="superscript"/>
              </w:rPr>
              <w:t>(1)</w:t>
            </w:r>
          </w:p>
        </w:tc>
        <w:tc>
          <w:tcPr>
            <w:tcW w:w="180" w:type="dxa"/>
            <w:vAlign w:val="bottom"/>
          </w:tcPr>
          <w:p>
            <w:pPr>
              <w:spacing w:after="0"/>
              <w:rPr>
                <w:sz w:val="24"/>
                <w:szCs w:val="24"/>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Fiscal 2014</w:t>
            </w:r>
          </w:p>
        </w:tc>
      </w:tr>
      <w:tr>
        <w:trPr>
          <w:trHeight w:val="264"/>
        </w:trPr>
        <w:tc>
          <w:tcPr>
            <w:tcW w:w="6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62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r>
      <w:tr>
        <w:trPr>
          <w:trHeight w:val="260"/>
        </w:trPr>
        <w:tc>
          <w:tcPr>
            <w:tcW w:w="6660" w:type="dxa"/>
            <w:vAlign w:val="bottom"/>
          </w:tcPr>
          <w:p>
            <w:pPr>
              <w:ind w:left="280"/>
              <w:spacing w:after="0"/>
              <w:rPr>
                <w:sz w:val="20"/>
                <w:szCs w:val="20"/>
                <w:color w:val="auto"/>
              </w:rPr>
            </w:pPr>
            <w:r>
              <w:rPr>
                <w:rFonts w:ascii="Arial" w:cs="Arial" w:eastAsia="Arial" w:hAnsi="Arial"/>
                <w:sz w:val="16"/>
                <w:szCs w:val="16"/>
                <w:color w:val="auto"/>
              </w:rPr>
              <w:t>Units</w:t>
            </w:r>
          </w:p>
        </w:tc>
        <w:tc>
          <w:tcPr>
            <w:tcW w:w="62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80"/>
        </w:trPr>
        <w:tc>
          <w:tcPr>
            <w:tcW w:w="6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r>
      <w:tr>
        <w:trPr>
          <w:trHeight w:val="260"/>
        </w:trPr>
        <w:tc>
          <w:tcPr>
            <w:tcW w:w="6660" w:type="dxa"/>
            <w:vAlign w:val="bottom"/>
          </w:tcPr>
          <w:p>
            <w:pPr>
              <w:ind w:left="40"/>
              <w:spacing w:after="0"/>
              <w:rPr>
                <w:sz w:val="20"/>
                <w:szCs w:val="20"/>
                <w:color w:val="auto"/>
              </w:rPr>
            </w:pPr>
            <w:r>
              <w:rPr>
                <w:rFonts w:ascii="Arial" w:cs="Arial" w:eastAsia="Arial" w:hAnsi="Arial"/>
                <w:sz w:val="16"/>
                <w:szCs w:val="16"/>
                <w:color w:val="auto"/>
              </w:rPr>
              <w:t>Inventory resold:</w:t>
            </w:r>
          </w:p>
        </w:tc>
        <w:tc>
          <w:tcPr>
            <w:tcW w:w="6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6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60"/>
        </w:trPr>
        <w:tc>
          <w:tcPr>
            <w:tcW w:w="6660" w:type="dxa"/>
            <w:vAlign w:val="bottom"/>
          </w:tcPr>
          <w:p>
            <w:pPr>
              <w:ind w:left="280"/>
              <w:spacing w:after="0"/>
              <w:rPr>
                <w:sz w:val="20"/>
                <w:szCs w:val="20"/>
                <w:color w:val="auto"/>
              </w:rPr>
            </w:pPr>
            <w:r>
              <w:rPr>
                <w:rFonts w:ascii="Arial" w:cs="Arial" w:eastAsia="Arial" w:hAnsi="Arial"/>
                <w:sz w:val="16"/>
                <w:szCs w:val="16"/>
                <w:color w:val="auto"/>
              </w:rPr>
              <w:t>Cash collected</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1,510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6,409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392</w:t>
            </w:r>
          </w:p>
        </w:tc>
      </w:tr>
      <w:tr>
        <w:trPr>
          <w:trHeight w:val="280"/>
        </w:trPr>
        <w:tc>
          <w:tcPr>
            <w:tcW w:w="6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recognized</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51"/>
        </w:trPr>
        <w:tc>
          <w:tcPr>
            <w:tcW w:w="6660" w:type="dxa"/>
            <w:vAlign w:val="bottom"/>
          </w:tcPr>
          <w:p>
            <w:pPr>
              <w:ind w:left="40"/>
              <w:spacing w:after="0"/>
              <w:rPr>
                <w:sz w:val="20"/>
                <w:szCs w:val="20"/>
                <w:color w:val="auto"/>
              </w:rPr>
            </w:pPr>
            <w:r>
              <w:rPr>
                <w:rFonts w:ascii="Arial" w:cs="Arial" w:eastAsia="Arial" w:hAnsi="Arial"/>
                <w:sz w:val="16"/>
                <w:szCs w:val="16"/>
                <w:color w:val="auto"/>
              </w:rPr>
              <w:t>Units in ending inventory</w:t>
            </w:r>
          </w:p>
        </w:tc>
        <w:tc>
          <w:tcPr>
            <w:tcW w:w="620" w:type="dxa"/>
            <w:vAlign w:val="bottom"/>
          </w:tcPr>
          <w:p>
            <w:pPr>
              <w:spacing w:after="0"/>
              <w:rPr>
                <w:sz w:val="21"/>
                <w:szCs w:val="21"/>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w:t>
            </w:r>
          </w:p>
        </w:tc>
      </w:tr>
    </w:tbl>
    <w:p>
      <w:pPr>
        <w:spacing w:after="0" w:line="24" w:lineRule="exact"/>
        <w:rPr>
          <w:sz w:val="20"/>
          <w:szCs w:val="20"/>
          <w:color w:val="auto"/>
        </w:rPr>
      </w:pPr>
    </w:p>
    <w:p>
      <w:pPr>
        <w:ind w:right="280" w:firstLine="8"/>
        <w:spacing w:after="0"/>
        <w:tabs>
          <w:tab w:leader="none" w:pos="135" w:val="left"/>
        </w:tabs>
        <w:numPr>
          <w:ilvl w:val="0"/>
          <w:numId w:val="36"/>
        </w:numPr>
        <w:rPr>
          <w:rFonts w:ascii="Arial" w:cs="Arial" w:eastAsia="Arial" w:hAnsi="Arial"/>
          <w:sz w:val="15"/>
          <w:szCs w:val="15"/>
          <w:color w:val="auto"/>
          <w:vertAlign w:val="superscript"/>
        </w:rPr>
      </w:pPr>
      <w:r>
        <w:rPr>
          <w:rFonts w:ascii="Arial" w:cs="Arial" w:eastAsia="Arial" w:hAnsi="Arial"/>
          <w:sz w:val="12"/>
          <w:szCs w:val="12"/>
          <w:color w:val="auto"/>
        </w:rPr>
        <w:t>A significant number of the units repurchased in Fiscal 2015 were attributable to a single dealership for which we had established a specific repurchase loss reserve in Fiscal 2014.</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We are involved in various legal proceedings which are ordinary and routine litigation incidental to our business, some of which are covered in whole or in part by insurance. While we believe the ultimate disposition of litigation will not have material adverse effect on our financial position, the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Commitments</w:t>
      </w:r>
    </w:p>
    <w:p>
      <w:pPr>
        <w:spacing w:after="0" w:line="2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have operating leases for certain land, buildings and equipment. Lease expense was $582,000 for Fiscal 2016, $901,000 for Fiscal 2015 and $1.1 million for Fiscal 2014. Minimum future lease commitments under noncancelable lease agreements in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85"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excess of one year as of August 27, 2016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8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Amount</w:t>
            </w:r>
          </w:p>
        </w:tc>
      </w:tr>
      <w:tr>
        <w:trPr>
          <w:trHeight w:val="257"/>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8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r>
      <w:tr>
        <w:trPr>
          <w:trHeight w:val="260"/>
        </w:trPr>
        <w:tc>
          <w:tcPr>
            <w:tcW w:w="1340" w:type="dxa"/>
            <w:vAlign w:val="bottom"/>
          </w:tcPr>
          <w:p>
            <w:pPr>
              <w:spacing w:after="0"/>
              <w:rPr>
                <w:sz w:val="22"/>
                <w:szCs w:val="22"/>
                <w:color w:val="auto"/>
              </w:rPr>
            </w:pPr>
          </w:p>
        </w:tc>
        <w:tc>
          <w:tcPr>
            <w:tcW w:w="8720" w:type="dxa"/>
            <w:vAlign w:val="bottom"/>
          </w:tcPr>
          <w:p>
            <w:pPr>
              <w:ind w:left="18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280"/>
        </w:trPr>
        <w:tc>
          <w:tcPr>
            <w:tcW w:w="1340" w:type="dxa"/>
            <w:vAlign w:val="bottom"/>
            <w:shd w:val="clear" w:color="auto" w:fill="CCEEFF"/>
          </w:tcPr>
          <w:p>
            <w:pPr>
              <w:spacing w:after="0"/>
              <w:rPr>
                <w:sz w:val="24"/>
                <w:szCs w:val="24"/>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60"/>
        </w:trPr>
        <w:tc>
          <w:tcPr>
            <w:tcW w:w="1340" w:type="dxa"/>
            <w:vAlign w:val="bottom"/>
          </w:tcPr>
          <w:p>
            <w:pPr>
              <w:spacing w:after="0"/>
              <w:rPr>
                <w:sz w:val="22"/>
                <w:szCs w:val="22"/>
                <w:color w:val="auto"/>
              </w:rPr>
            </w:pPr>
          </w:p>
        </w:tc>
        <w:tc>
          <w:tcPr>
            <w:tcW w:w="8720" w:type="dxa"/>
            <w:vAlign w:val="bottom"/>
          </w:tcPr>
          <w:p>
            <w:pPr>
              <w:ind w:left="18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3"/>
        </w:trPr>
        <w:tc>
          <w:tcPr>
            <w:tcW w:w="1340" w:type="dxa"/>
            <w:vAlign w:val="bottom"/>
            <w:shd w:val="clear" w:color="auto" w:fill="CCEEFF"/>
          </w:tcPr>
          <w:p>
            <w:pPr>
              <w:spacing w:after="0"/>
              <w:rPr>
                <w:sz w:val="23"/>
                <w:szCs w:val="23"/>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40"/>
        </w:trPr>
        <w:tc>
          <w:tcPr>
            <w:tcW w:w="1340" w:type="dxa"/>
            <w:vAlign w:val="bottom"/>
          </w:tcPr>
          <w:p>
            <w:pPr>
              <w:spacing w:after="0"/>
              <w:rPr>
                <w:sz w:val="20"/>
                <w:szCs w:val="20"/>
                <w:color w:val="auto"/>
              </w:rPr>
            </w:pPr>
          </w:p>
        </w:tc>
        <w:tc>
          <w:tcPr>
            <w:tcW w:w="882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275</w:t>
            </w:r>
          </w:p>
        </w:tc>
      </w:tr>
      <w:tr>
        <w:trPr>
          <w:trHeight w:val="20"/>
        </w:trPr>
        <w:tc>
          <w:tcPr>
            <w:tcW w:w="134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20"/>
                <w:szCs w:val="20"/>
                <w:color w:val="auto"/>
              </w:rPr>
            </w:pPr>
            <w:r>
              <w:rPr>
                <w:rFonts w:ascii="Arial" w:cs="Arial" w:eastAsia="Arial" w:hAnsi="Arial"/>
                <w:sz w:val="16"/>
                <w:szCs w:val="16"/>
                <w:b w:val="1"/>
                <w:bCs w:val="1"/>
                <w:color w:val="auto"/>
              </w:rPr>
              <w:t>Note 10: Income Taxes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51"/>
        </w:trPr>
        <w:tc>
          <w:tcPr>
            <w:tcW w:w="5280" w:type="dxa"/>
            <w:vAlign w:val="bottom"/>
          </w:tcPr>
          <w:p>
            <w:pPr>
              <w:spacing w:after="0"/>
              <w:rPr>
                <w:sz w:val="20"/>
                <w:szCs w:val="20"/>
                <w:color w:val="auto"/>
              </w:rPr>
            </w:pPr>
            <w:r>
              <w:rPr>
                <w:rFonts w:ascii="Arial" w:cs="Arial" w:eastAsia="Arial" w:hAnsi="Arial"/>
                <w:sz w:val="16"/>
                <w:szCs w:val="16"/>
                <w:color w:val="auto"/>
              </w:rPr>
              <w:t>Income tax expense consisted of the following:</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1"/>
        </w:trPr>
        <w:tc>
          <w:tcPr>
            <w:tcW w:w="5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4"/>
          </w:tcPr>
          <w:p>
            <w:pPr>
              <w:ind w:left="40"/>
              <w:spacing w:after="0"/>
              <w:rPr>
                <w:sz w:val="20"/>
                <w:szCs w:val="20"/>
                <w:color w:val="auto"/>
              </w:rPr>
            </w:pPr>
            <w:r>
              <w:rPr>
                <w:rFonts w:ascii="Arial" w:cs="Arial" w:eastAsia="Arial" w:hAnsi="Arial"/>
                <w:sz w:val="16"/>
                <w:szCs w:val="16"/>
                <w:b w:val="1"/>
                <w:bCs w:val="1"/>
                <w:color w:val="auto"/>
              </w:rPr>
              <w:t>August 27, 2016</w:t>
            </w:r>
          </w:p>
        </w:tc>
        <w:tc>
          <w:tcPr>
            <w:tcW w:w="180" w:type="dxa"/>
            <w:vAlign w:val="bottom"/>
          </w:tcPr>
          <w:p>
            <w:pPr>
              <w:spacing w:after="0"/>
              <w:rPr>
                <w:sz w:val="22"/>
                <w:szCs w:val="22"/>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August 29, 2015</w:t>
            </w:r>
          </w:p>
        </w:tc>
        <w:tc>
          <w:tcPr>
            <w:tcW w:w="26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30, 2014</w:t>
            </w:r>
          </w:p>
        </w:tc>
      </w:tr>
      <w:tr>
        <w:trPr>
          <w:trHeight w:val="270"/>
        </w:trPr>
        <w:tc>
          <w:tcPr>
            <w:tcW w:w="5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56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740" w:type="dxa"/>
            <w:vAlign w:val="bottom"/>
            <w:tcBorders>
              <w:top w:val="single" w:sz="8" w:color="auto"/>
            </w:tcBorders>
            <w:shd w:val="clear" w:color="auto" w:fill="CCEEFF"/>
          </w:tcPr>
          <w:p>
            <w:pPr>
              <w:spacing w:after="0"/>
              <w:rPr>
                <w:sz w:val="23"/>
                <w:szCs w:val="23"/>
                <w:color w:val="auto"/>
              </w:rPr>
            </w:pPr>
          </w:p>
        </w:tc>
      </w:tr>
      <w:tr>
        <w:trPr>
          <w:trHeight w:val="260"/>
        </w:trPr>
        <w:tc>
          <w:tcPr>
            <w:tcW w:w="5280" w:type="dxa"/>
            <w:vAlign w:val="bottom"/>
          </w:tcPr>
          <w:p>
            <w:pPr>
              <w:ind w:left="180"/>
              <w:spacing w:after="0"/>
              <w:rPr>
                <w:sz w:val="20"/>
                <w:szCs w:val="20"/>
                <w:color w:val="auto"/>
              </w:rPr>
            </w:pPr>
            <w:r>
              <w:rPr>
                <w:rFonts w:ascii="Arial" w:cs="Arial" w:eastAsia="Arial" w:hAnsi="Arial"/>
                <w:sz w:val="16"/>
                <w:szCs w:val="16"/>
                <w:color w:val="auto"/>
              </w:rPr>
              <w:t>Federal</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120"/>
              <w:spacing w:after="0"/>
              <w:rPr>
                <w:sz w:val="20"/>
                <w:szCs w:val="20"/>
                <w:color w:val="auto"/>
              </w:rPr>
            </w:pPr>
            <w:r>
              <w:rPr>
                <w:rFonts w:ascii="Arial" w:cs="Arial" w:eastAsia="Arial" w:hAnsi="Arial"/>
                <w:sz w:val="16"/>
                <w:szCs w:val="16"/>
                <w:color w:val="auto"/>
              </w:rPr>
              <w:t>14,293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15,406</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17,923</w:t>
            </w:r>
          </w:p>
        </w:tc>
      </w:tr>
      <w:tr>
        <w:trPr>
          <w:trHeight w:val="273"/>
        </w:trPr>
        <w:tc>
          <w:tcPr>
            <w:tcW w:w="5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5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(170)</w:t>
            </w:r>
          </w:p>
        </w:tc>
      </w:tr>
      <w:tr>
        <w:trPr>
          <w:trHeight w:val="250"/>
        </w:trPr>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15,978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16,530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17,753</w:t>
            </w:r>
          </w:p>
        </w:tc>
      </w:tr>
      <w:tr>
        <w:trPr>
          <w:trHeight w:val="27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60"/>
        </w:trPr>
        <w:tc>
          <w:tcPr>
            <w:tcW w:w="5280" w:type="dxa"/>
            <w:vAlign w:val="bottom"/>
          </w:tcPr>
          <w:p>
            <w:pPr>
              <w:ind w:left="180"/>
              <w:spacing w:after="0"/>
              <w:rPr>
                <w:sz w:val="20"/>
                <w:szCs w:val="20"/>
                <w:color w:val="auto"/>
              </w:rPr>
            </w:pPr>
            <w:r>
              <w:rPr>
                <w:rFonts w:ascii="Arial" w:cs="Arial" w:eastAsia="Arial" w:hAnsi="Arial"/>
                <w:sz w:val="16"/>
                <w:szCs w:val="16"/>
                <w:color w:val="auto"/>
              </w:rPr>
              <w:t>Federal</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6"/>
                <w:szCs w:val="16"/>
                <w:color w:val="auto"/>
              </w:rPr>
              <w:t>4,280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1,486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1,415</w:t>
            </w:r>
          </w:p>
        </w:tc>
      </w:tr>
      <w:tr>
        <w:trPr>
          <w:trHeight w:val="273"/>
        </w:trPr>
        <w:tc>
          <w:tcPr>
            <w:tcW w:w="5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5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456</w:t>
            </w:r>
          </w:p>
        </w:tc>
      </w:tr>
      <w:tr>
        <w:trPr>
          <w:trHeight w:val="250"/>
        </w:trPr>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4,724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1,871</w:t>
            </w:r>
          </w:p>
        </w:tc>
      </w:tr>
      <w:tr>
        <w:trPr>
          <w:trHeight w:val="24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20,702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18,324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19,624</w:t>
            </w:r>
          </w:p>
        </w:tc>
      </w:tr>
      <w:tr>
        <w:trPr>
          <w:trHeight w:val="20"/>
        </w:trPr>
        <w:tc>
          <w:tcPr>
            <w:tcW w:w="5840" w:type="dxa"/>
            <w:vAlign w:val="bottom"/>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369"/>
        </w:trPr>
        <w:tc>
          <w:tcPr>
            <w:tcW w:w="9420" w:type="dxa"/>
            <w:vAlign w:val="bottom"/>
            <w:gridSpan w:val="10"/>
          </w:tcPr>
          <w:p>
            <w:pPr>
              <w:spacing w:after="0"/>
              <w:rPr>
                <w:sz w:val="20"/>
                <w:szCs w:val="20"/>
                <w:color w:val="auto"/>
              </w:rPr>
            </w:pPr>
            <w:r>
              <w:rPr>
                <w:rFonts w:ascii="Arial" w:cs="Arial" w:eastAsia="Arial" w:hAnsi="Arial"/>
                <w:sz w:val="16"/>
                <w:szCs w:val="16"/>
                <w:color w:val="auto"/>
              </w:rPr>
              <w:t>The following table provides a reconciliation of the US statutory income tax rate to our effective income tax rate:</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1"/>
        </w:trPr>
        <w:tc>
          <w:tcPr>
            <w:tcW w:w="52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(A percentage)</w:t>
            </w:r>
          </w:p>
        </w:tc>
        <w:tc>
          <w:tcPr>
            <w:tcW w:w="2340" w:type="dxa"/>
            <w:vAlign w:val="bottom"/>
            <w:gridSpan w:val="6"/>
          </w:tcPr>
          <w:p>
            <w:pPr>
              <w:ind w:left="260"/>
              <w:spacing w:after="0"/>
              <w:rPr>
                <w:sz w:val="20"/>
                <w:szCs w:val="20"/>
                <w:color w:val="auto"/>
              </w:rPr>
            </w:pPr>
            <w:r>
              <w:rPr>
                <w:rFonts w:ascii="Arial" w:cs="Arial" w:eastAsia="Arial" w:hAnsi="Arial"/>
                <w:sz w:val="16"/>
                <w:szCs w:val="16"/>
                <w:b w:val="1"/>
                <w:bCs w:val="1"/>
                <w:color w:val="auto"/>
              </w:rPr>
              <w:t>August 27, 2016</w:t>
            </w:r>
          </w:p>
        </w:tc>
        <w:tc>
          <w:tcPr>
            <w:tcW w:w="1800" w:type="dxa"/>
            <w:vAlign w:val="bottom"/>
            <w:gridSpan w:val="3"/>
          </w:tcPr>
          <w:p>
            <w:pPr>
              <w:ind w:left="100"/>
              <w:spacing w:after="0"/>
              <w:rPr>
                <w:sz w:val="20"/>
                <w:szCs w:val="20"/>
                <w:color w:val="auto"/>
              </w:rPr>
            </w:pPr>
            <w:r>
              <w:rPr>
                <w:rFonts w:ascii="Arial" w:cs="Arial" w:eastAsia="Arial" w:hAnsi="Arial"/>
                <w:sz w:val="16"/>
                <w:szCs w:val="16"/>
                <w:b w:val="1"/>
                <w:bCs w:val="1"/>
                <w:color w:val="auto"/>
              </w:rPr>
              <w:t>August 29, 2015</w:t>
            </w:r>
          </w:p>
        </w:tc>
        <w:tc>
          <w:tcPr>
            <w:tcW w:w="26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30, 2014</w:t>
            </w:r>
          </w:p>
        </w:tc>
      </w:tr>
      <w:tr>
        <w:trPr>
          <w:trHeight w:val="270"/>
        </w:trPr>
        <w:tc>
          <w:tcPr>
            <w:tcW w:w="5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 federal statutory rate</w:t>
            </w:r>
          </w:p>
        </w:tc>
        <w:tc>
          <w:tcPr>
            <w:tcW w:w="56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35.0 %</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35.0 %</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74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35.0 %</w:t>
            </w:r>
          </w:p>
        </w:tc>
      </w:tr>
      <w:tr>
        <w:trPr>
          <w:trHeight w:val="260"/>
        </w:trPr>
        <w:tc>
          <w:tcPr>
            <w:tcW w:w="5280" w:type="dxa"/>
            <w:vAlign w:val="bottom"/>
          </w:tcPr>
          <w:p>
            <w:pPr>
              <w:ind w:left="40"/>
              <w:spacing w:after="0"/>
              <w:rPr>
                <w:sz w:val="20"/>
                <w:szCs w:val="20"/>
                <w:color w:val="auto"/>
              </w:rPr>
            </w:pPr>
            <w:r>
              <w:rPr>
                <w:rFonts w:ascii="Arial" w:cs="Arial" w:eastAsia="Arial" w:hAnsi="Arial"/>
                <w:sz w:val="16"/>
                <w:szCs w:val="16"/>
                <w:color w:val="auto"/>
              </w:rPr>
              <w:t>State taxes, net of federal benefit</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219"/>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2.3 %</w:t>
            </w:r>
          </w:p>
        </w:tc>
      </w:tr>
      <w:tr>
        <w:trPr>
          <w:trHeight w:val="28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Tax-free and dividend income</w:t>
            </w: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(1.5)%</w:t>
            </w:r>
          </w:p>
        </w:tc>
      </w:tr>
      <w:tr>
        <w:trPr>
          <w:trHeight w:val="260"/>
        </w:trPr>
        <w:tc>
          <w:tcPr>
            <w:tcW w:w="5280" w:type="dxa"/>
            <w:vAlign w:val="bottom"/>
          </w:tcPr>
          <w:p>
            <w:pPr>
              <w:ind w:left="40"/>
              <w:spacing w:after="0"/>
              <w:rPr>
                <w:sz w:val="20"/>
                <w:szCs w:val="20"/>
                <w:color w:val="auto"/>
              </w:rPr>
            </w:pPr>
            <w:r>
              <w:rPr>
                <w:rFonts w:ascii="Arial" w:cs="Arial" w:eastAsia="Arial" w:hAnsi="Arial"/>
                <w:sz w:val="16"/>
                <w:szCs w:val="16"/>
                <w:color w:val="auto"/>
              </w:rPr>
              <w:t>Income tax credits</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(0.4)%</w:t>
            </w:r>
          </w:p>
        </w:tc>
      </w:tr>
      <w:tr>
        <w:trPr>
          <w:trHeight w:val="28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Domestic production activities deduction</w:t>
            </w: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(2.8)%</w:t>
            </w:r>
          </w:p>
        </w:tc>
      </w:tr>
      <w:tr>
        <w:trPr>
          <w:trHeight w:val="260"/>
        </w:trPr>
        <w:tc>
          <w:tcPr>
            <w:tcW w:w="5280" w:type="dxa"/>
            <w:vAlign w:val="bottom"/>
          </w:tcPr>
          <w:p>
            <w:pPr>
              <w:ind w:left="40"/>
              <w:spacing w:after="0"/>
              <w:rPr>
                <w:sz w:val="20"/>
                <w:szCs w:val="20"/>
                <w:color w:val="auto"/>
              </w:rPr>
            </w:pPr>
            <w:r>
              <w:rPr>
                <w:rFonts w:ascii="Arial" w:cs="Arial" w:eastAsia="Arial" w:hAnsi="Arial"/>
                <w:sz w:val="16"/>
                <w:szCs w:val="16"/>
                <w:color w:val="auto"/>
              </w:rPr>
              <w:t>Other permanent items</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(0.9)%</w:t>
            </w:r>
          </w:p>
        </w:tc>
      </w:tr>
      <w:tr>
        <w:trPr>
          <w:trHeight w:val="28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Valuation allowance</w:t>
            </w: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gridSpan w:val="4"/>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(0.4)%</w:t>
            </w:r>
          </w:p>
        </w:tc>
      </w:tr>
      <w:tr>
        <w:trPr>
          <w:trHeight w:val="264"/>
        </w:trPr>
        <w:tc>
          <w:tcPr>
            <w:tcW w:w="5280" w:type="dxa"/>
            <w:vAlign w:val="bottom"/>
          </w:tcPr>
          <w:p>
            <w:pPr>
              <w:ind w:left="40"/>
              <w:spacing w:after="0"/>
              <w:rPr>
                <w:sz w:val="20"/>
                <w:szCs w:val="20"/>
                <w:color w:val="auto"/>
              </w:rPr>
            </w:pPr>
            <w:r>
              <w:rPr>
                <w:rFonts w:ascii="Arial" w:cs="Arial" w:eastAsia="Arial" w:hAnsi="Arial"/>
                <w:sz w:val="16"/>
                <w:szCs w:val="16"/>
                <w:color w:val="auto"/>
              </w:rPr>
              <w:t>Uncertain tax positions settlements and adjustments</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4"/>
          </w:tcPr>
          <w:p>
            <w:pPr>
              <w:ind w:left="60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22"/>
                <w:szCs w:val="22"/>
                <w:color w:val="auto"/>
              </w:rPr>
            </w:pP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(1.0)%</w:t>
            </w:r>
          </w:p>
        </w:tc>
      </w:tr>
      <w:tr>
        <w:trPr>
          <w:trHeight w:val="24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tax provision rate</w:t>
            </w: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31.3 %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30.8 %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30.3 %</w:t>
            </w:r>
          </w:p>
        </w:tc>
      </w:tr>
      <w:tr>
        <w:trPr>
          <w:trHeight w:val="20"/>
        </w:trPr>
        <w:tc>
          <w:tcPr>
            <w:tcW w:w="5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612"/>
        </w:trPr>
        <w:tc>
          <w:tcPr>
            <w:tcW w:w="5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398"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Pr>
          <w:p>
            <w:pPr>
              <w:spacing w:after="0"/>
              <w:rPr>
                <w:sz w:val="20"/>
                <w:szCs w:val="20"/>
                <w:color w:val="auto"/>
              </w:rPr>
            </w:pPr>
            <w:r>
              <w:rPr>
                <w:rFonts w:ascii="Arial" w:cs="Arial" w:eastAsia="Arial" w:hAnsi="Arial"/>
                <w:sz w:val="16"/>
                <w:szCs w:val="16"/>
                <w:color w:val="auto"/>
              </w:rPr>
              <w:t>The tax effects of temporary differences that give rise to deferred income taxes were as follows:</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91"/>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27, 2016</w:t>
            </w:r>
          </w:p>
        </w:tc>
        <w:tc>
          <w:tcPr>
            <w:tcW w:w="240" w:type="dxa"/>
            <w:vAlign w:val="bottom"/>
          </w:tcPr>
          <w:p>
            <w:pPr>
              <w:spacing w:after="0"/>
              <w:rPr>
                <w:sz w:val="24"/>
                <w:szCs w:val="24"/>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29, 2015</w:t>
            </w:r>
          </w:p>
        </w:tc>
      </w:tr>
      <w:tr>
        <w:trPr>
          <w:trHeight w:val="270"/>
        </w:trPr>
        <w:tc>
          <w:tcPr>
            <w:tcW w:w="7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asset (liability)</w:t>
            </w: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r>
      <w:tr>
        <w:trPr>
          <w:trHeight w:val="260"/>
        </w:trPr>
        <w:tc>
          <w:tcPr>
            <w:tcW w:w="7400" w:type="dxa"/>
            <w:vAlign w:val="bottom"/>
          </w:tcPr>
          <w:p>
            <w:pPr>
              <w:ind w:left="180"/>
              <w:spacing w:after="0"/>
              <w:rPr>
                <w:sz w:val="20"/>
                <w:szCs w:val="20"/>
                <w:color w:val="auto"/>
              </w:rPr>
            </w:pPr>
            <w:r>
              <w:rPr>
                <w:rFonts w:ascii="Arial" w:cs="Arial" w:eastAsia="Arial" w:hAnsi="Arial"/>
                <w:sz w:val="16"/>
                <w:szCs w:val="16"/>
                <w:color w:val="auto"/>
              </w:rPr>
              <w:t>Deferred compensation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9,609</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10,757</w:t>
            </w:r>
          </w:p>
        </w:tc>
      </w:tr>
      <w:tr>
        <w:trPr>
          <w:trHeight w:val="280"/>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Warranty reserves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4,729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4,288</w:t>
            </w:r>
          </w:p>
        </w:tc>
      </w:tr>
      <w:tr>
        <w:trPr>
          <w:trHeight w:val="260"/>
        </w:trPr>
        <w:tc>
          <w:tcPr>
            <w:tcW w:w="7400" w:type="dxa"/>
            <w:vAlign w:val="bottom"/>
          </w:tcPr>
          <w:p>
            <w:pPr>
              <w:ind w:left="180"/>
              <w:spacing w:after="0"/>
              <w:rPr>
                <w:sz w:val="20"/>
                <w:szCs w:val="20"/>
                <w:color w:val="auto"/>
              </w:rPr>
            </w:pPr>
            <w:r>
              <w:rPr>
                <w:rFonts w:ascii="Arial" w:cs="Arial" w:eastAsia="Arial" w:hAnsi="Arial"/>
                <w:sz w:val="16"/>
                <w:szCs w:val="16"/>
                <w:color w:val="auto"/>
              </w:rPr>
              <w:t>Postretirement health care benefits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2,262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12,792</w:t>
            </w:r>
          </w:p>
        </w:tc>
      </w:tr>
      <w:tr>
        <w:trPr>
          <w:trHeight w:val="280"/>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Self-insurance reserve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2,378</w:t>
            </w:r>
          </w:p>
        </w:tc>
      </w:tr>
      <w:tr>
        <w:trPr>
          <w:trHeight w:val="260"/>
        </w:trPr>
        <w:tc>
          <w:tcPr>
            <w:tcW w:w="7400" w:type="dxa"/>
            <w:vAlign w:val="bottom"/>
          </w:tcPr>
          <w:p>
            <w:pPr>
              <w:ind w:left="180"/>
              <w:spacing w:after="0"/>
              <w:rPr>
                <w:sz w:val="20"/>
                <w:szCs w:val="20"/>
                <w:color w:val="auto"/>
              </w:rPr>
            </w:pPr>
            <w:r>
              <w:rPr>
                <w:rFonts w:ascii="Arial" w:cs="Arial" w:eastAsia="Arial" w:hAnsi="Arial"/>
                <w:sz w:val="16"/>
                <w:szCs w:val="16"/>
                <w:color w:val="auto"/>
              </w:rPr>
              <w:t>Accrued vacation</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1,938</w:t>
            </w:r>
          </w:p>
        </w:tc>
      </w:tr>
      <w:tr>
        <w:trPr>
          <w:trHeight w:val="280"/>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based compensation</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1,239</w:t>
            </w:r>
          </w:p>
        </w:tc>
      </w:tr>
      <w:tr>
        <w:trPr>
          <w:trHeight w:val="260"/>
        </w:trPr>
        <w:tc>
          <w:tcPr>
            <w:tcW w:w="7400" w:type="dxa"/>
            <w:vAlign w:val="bottom"/>
          </w:tcPr>
          <w:p>
            <w:pPr>
              <w:ind w:left="180"/>
              <w:spacing w:after="0"/>
              <w:rPr>
                <w:sz w:val="20"/>
                <w:szCs w:val="20"/>
                <w:color w:val="auto"/>
              </w:rPr>
            </w:pPr>
            <w:r>
              <w:rPr>
                <w:rFonts w:ascii="Arial" w:cs="Arial" w:eastAsia="Arial" w:hAnsi="Arial"/>
                <w:sz w:val="16"/>
                <w:szCs w:val="16"/>
                <w:color w:val="auto"/>
              </w:rPr>
              <w:t>Unrecognized tax benefit</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726</w:t>
            </w:r>
          </w:p>
        </w:tc>
      </w:tr>
      <w:tr>
        <w:trPr>
          <w:trHeight w:val="280"/>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1,785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1,592</w:t>
            </w:r>
          </w:p>
        </w:tc>
      </w:tr>
      <w:tr>
        <w:trPr>
          <w:trHeight w:val="240"/>
        </w:trPr>
        <w:tc>
          <w:tcPr>
            <w:tcW w:w="7400" w:type="dxa"/>
            <w:vAlign w:val="bottom"/>
          </w:tcPr>
          <w:p>
            <w:pPr>
              <w:ind w:left="400"/>
              <w:spacing w:after="0"/>
              <w:rPr>
                <w:sz w:val="20"/>
                <w:szCs w:val="20"/>
                <w:color w:val="auto"/>
              </w:rPr>
            </w:pPr>
            <w:r>
              <w:rPr>
                <w:rFonts w:ascii="Arial" w:cs="Arial" w:eastAsia="Arial" w:hAnsi="Arial"/>
                <w:sz w:val="16"/>
                <w:szCs w:val="16"/>
                <w:color w:val="auto"/>
              </w:rPr>
              <w:t>Total deferred tax assets</w:t>
            </w:r>
          </w:p>
        </w:tc>
        <w:tc>
          <w:tcPr>
            <w:tcW w:w="240" w:type="dxa"/>
            <w:vAlign w:val="bottom"/>
          </w:tcPr>
          <w:p>
            <w:pPr>
              <w:spacing w:after="0"/>
              <w:rPr>
                <w:sz w:val="20"/>
                <w:szCs w:val="20"/>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24,333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35,710</w:t>
            </w:r>
          </w:p>
        </w:tc>
      </w:tr>
      <w:tr>
        <w:trPr>
          <w:trHeight w:val="280"/>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(2,383)</w:t>
            </w:r>
          </w:p>
        </w:tc>
      </w:tr>
      <w:tr>
        <w:trPr>
          <w:trHeight w:val="264"/>
        </w:trPr>
        <w:tc>
          <w:tcPr>
            <w:tcW w:w="7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Depreciation</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(3,650)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(1,338)</w:t>
            </w:r>
          </w:p>
        </w:tc>
      </w:tr>
      <w:tr>
        <w:trPr>
          <w:trHeight w:val="250"/>
        </w:trPr>
        <w:tc>
          <w:tcPr>
            <w:tcW w:w="7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deferred tax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(5,580)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(3,721)</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Total deferred income tax assets, net of deferred tax liabilities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18,753</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31,989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3810</wp:posOffset>
            </wp:positionV>
            <wp:extent cx="255587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55875" cy="26035"/>
                    </a:xfrm>
                    <a:prstGeom prst="rect">
                      <a:avLst/>
                    </a:prstGeom>
                    <a:noFill/>
                  </pic:spPr>
                </pic:pic>
              </a:graphicData>
            </a:graphic>
          </wp:anchor>
        </w:drawing>
      </w:r>
    </w:p>
    <w:p>
      <w:pPr>
        <w:spacing w:after="0" w:line="31" w:lineRule="exact"/>
        <w:rPr>
          <w:sz w:val="20"/>
          <w:szCs w:val="20"/>
          <w:color w:val="auto"/>
        </w:rPr>
      </w:pPr>
    </w:p>
    <w:p>
      <w:pPr>
        <w:ind w:left="260" w:right="520" w:hanging="252"/>
        <w:spacing w:after="0" w:line="218" w:lineRule="auto"/>
        <w:tabs>
          <w:tab w:leader="none" w:pos="2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At August 27, 2016, Other includes $95,000 related to state NOLs that will begin to expire in Fiscal 2021. We have evaluated all the positive and negative evidence and consider it more likely than not that these carryforwards can be realized.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Unrecognized Tax Benefits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unrecognized tax benefits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78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27, 2016</w:t>
            </w:r>
          </w:p>
        </w:tc>
        <w:tc>
          <w:tcPr>
            <w:tcW w:w="220" w:type="dxa"/>
            <w:vAlign w:val="bottom"/>
          </w:tcPr>
          <w:p>
            <w:pPr>
              <w:spacing w:after="0"/>
              <w:rPr>
                <w:sz w:val="19"/>
                <w:szCs w:val="19"/>
                <w:color w:val="auto"/>
              </w:rPr>
            </w:pPr>
          </w:p>
        </w:tc>
        <w:tc>
          <w:tcPr>
            <w:tcW w:w="180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29, 2015</w:t>
            </w:r>
          </w:p>
        </w:tc>
        <w:tc>
          <w:tcPr>
            <w:tcW w:w="240" w:type="dxa"/>
            <w:vAlign w:val="bottom"/>
          </w:tcPr>
          <w:p>
            <w:pPr>
              <w:spacing w:after="0"/>
              <w:rPr>
                <w:sz w:val="19"/>
                <w:szCs w:val="19"/>
                <w:color w:val="auto"/>
              </w:rPr>
            </w:pPr>
          </w:p>
        </w:tc>
        <w:tc>
          <w:tcPr>
            <w:tcW w:w="168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30, 2014</w:t>
            </w:r>
          </w:p>
        </w:tc>
      </w:tr>
      <w:tr>
        <w:trPr>
          <w:trHeight w:val="257"/>
        </w:trPr>
        <w:tc>
          <w:tcPr>
            <w:tcW w:w="5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 beginning balance</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1,589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1,709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2,134</w:t>
            </w:r>
          </w:p>
        </w:tc>
      </w:tr>
      <w:tr>
        <w:trPr>
          <w:trHeight w:val="260"/>
        </w:trPr>
        <w:tc>
          <w:tcPr>
            <w:tcW w:w="5460" w:type="dxa"/>
            <w:vAlign w:val="bottom"/>
          </w:tcPr>
          <w:p>
            <w:pPr>
              <w:ind w:left="40"/>
              <w:spacing w:after="0"/>
              <w:rPr>
                <w:sz w:val="20"/>
                <w:szCs w:val="20"/>
                <w:color w:val="auto"/>
              </w:rPr>
            </w:pPr>
            <w:r>
              <w:rPr>
                <w:rFonts w:ascii="Arial" w:cs="Arial" w:eastAsia="Arial" w:hAnsi="Arial"/>
                <w:sz w:val="16"/>
                <w:szCs w:val="16"/>
                <w:color w:val="auto"/>
              </w:rPr>
              <w:t>Gross decreases - tax positions in a prior period</w:t>
            </w:r>
          </w:p>
        </w:tc>
        <w:tc>
          <w:tcPr>
            <w:tcW w:w="240" w:type="dxa"/>
            <w:vAlign w:val="bottom"/>
          </w:tcPr>
          <w:p>
            <w:pPr>
              <w:spacing w:after="0"/>
              <w:rPr>
                <w:sz w:val="22"/>
                <w:szCs w:val="22"/>
                <w:color w:val="auto"/>
              </w:rPr>
            </w:pPr>
          </w:p>
        </w:tc>
        <w:tc>
          <w:tcPr>
            <w:tcW w:w="1660" w:type="dxa"/>
            <w:vAlign w:val="bottom"/>
          </w:tcPr>
          <w:p>
            <w:pPr>
              <w:jc w:val="right"/>
              <w:ind w:right="279"/>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(816)</w:t>
            </w:r>
          </w:p>
        </w:tc>
      </w:tr>
      <w:tr>
        <w:trPr>
          <w:trHeight w:val="273"/>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increases - current period tax positions</w:t>
            </w:r>
          </w:p>
        </w:tc>
        <w:tc>
          <w:tcPr>
            <w:tcW w:w="2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391</w:t>
            </w:r>
          </w:p>
        </w:tc>
      </w:tr>
      <w:tr>
        <w:trPr>
          <w:trHeight w:val="247"/>
        </w:trPr>
        <w:tc>
          <w:tcPr>
            <w:tcW w:w="5460" w:type="dxa"/>
            <w:vAlign w:val="bottom"/>
          </w:tcPr>
          <w:p>
            <w:pPr>
              <w:ind w:left="40"/>
              <w:spacing w:after="0"/>
              <w:rPr>
                <w:sz w:val="20"/>
                <w:szCs w:val="20"/>
                <w:color w:val="auto"/>
              </w:rPr>
            </w:pPr>
            <w:r>
              <w:rPr>
                <w:rFonts w:ascii="Arial" w:cs="Arial" w:eastAsia="Arial" w:hAnsi="Arial"/>
                <w:sz w:val="16"/>
                <w:szCs w:val="16"/>
                <w:color w:val="auto"/>
              </w:rPr>
              <w:t>Unrecognized tax benefits - ending balance</w:t>
            </w:r>
          </w:p>
        </w:tc>
        <w:tc>
          <w:tcPr>
            <w:tcW w:w="240" w:type="dxa"/>
            <w:vAlign w:val="bottom"/>
          </w:tcPr>
          <w:p>
            <w:pPr>
              <w:spacing w:after="0"/>
              <w:rPr>
                <w:sz w:val="21"/>
                <w:szCs w:val="21"/>
                <w:color w:val="auto"/>
              </w:rPr>
            </w:pPr>
          </w:p>
        </w:tc>
        <w:tc>
          <w:tcPr>
            <w:tcW w:w="1660" w:type="dxa"/>
            <w:vAlign w:val="bottom"/>
          </w:tcPr>
          <w:p>
            <w:pPr>
              <w:jc w:val="right"/>
              <w:ind w:right="339"/>
              <w:spacing w:after="0"/>
              <w:rPr>
                <w:sz w:val="20"/>
                <w:szCs w:val="20"/>
                <w:color w:val="auto"/>
              </w:rPr>
            </w:pPr>
            <w:r>
              <w:rPr>
                <w:rFonts w:ascii="Arial" w:cs="Arial" w:eastAsia="Arial" w:hAnsi="Arial"/>
                <w:sz w:val="16"/>
                <w:szCs w:val="16"/>
                <w:color w:val="auto"/>
              </w:rPr>
              <w:t>1,710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1,589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1,709</w:t>
            </w:r>
          </w:p>
        </w:tc>
      </w:tr>
      <w:tr>
        <w:trPr>
          <w:trHeight w:val="273"/>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interest and penalties</w:t>
            </w:r>
          </w:p>
        </w:tc>
        <w:tc>
          <w:tcPr>
            <w:tcW w:w="2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751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1,315</w:t>
            </w:r>
          </w:p>
        </w:tc>
      </w:tr>
      <w:tr>
        <w:trPr>
          <w:trHeight w:val="240"/>
        </w:trPr>
        <w:tc>
          <w:tcPr>
            <w:tcW w:w="5460" w:type="dxa"/>
            <w:vAlign w:val="bottom"/>
          </w:tcPr>
          <w:p>
            <w:pPr>
              <w:ind w:left="40"/>
              <w:spacing w:after="0"/>
              <w:rPr>
                <w:sz w:val="20"/>
                <w:szCs w:val="20"/>
                <w:color w:val="auto"/>
              </w:rPr>
            </w:pPr>
            <w:r>
              <w:rPr>
                <w:rFonts w:ascii="Arial" w:cs="Arial" w:eastAsia="Arial" w:hAnsi="Arial"/>
                <w:sz w:val="16"/>
                <w:szCs w:val="16"/>
                <w:color w:val="auto"/>
              </w:rPr>
              <w:t>Total unrecognized tax benefits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2,461</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2,511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3,024</w:t>
            </w: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amount of unrecognized tax benefits is not expected to change materially within the next 12 months.</w:t>
      </w:r>
    </w:p>
    <w:p>
      <w:pPr>
        <w:spacing w:after="0" w:line="16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If the remaining uncertain tax positions are ultimately resolved favorably, $1.8 million of unrecognized tax benefits would have a positive impact on our effective tax rate. It is our policy to recognize interest and penalties accrued relative to unrecognized tax benefits into tax expense.</w:t>
      </w:r>
    </w:p>
    <w:p>
      <w:pPr>
        <w:spacing w:after="0" w:line="142"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We file tax returns in the US federal jurisdiction, as well as state jurisdictions and in Canada. Although certain years are no longer subject to examinations by the IRS and various state taxing authorities, NOL carryforwards generated in those years may be adjusted upon examination by the IRS or state taxing authorities if they have been or will be used in a future period. As of August 27, 2016, our federal returns from Fiscal 2013 to present are subject to review by the IRS. As of August 27, 2016, our Fiscal 2014 Federal return is being reviewed. We anticipate this audit to be concluded with no material adjustments. With limited exception, state returns from Fiscal 2013 to present continue to be subject to review by state taxing jurisdictions. A number of years may lapse before an uncertain tax position is audited and finally resolved and it is difficult to predict the outcome of such audits. During the year, we finalized a state audit with a nominal impact.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Stock-Based Compensation Plans</w:t>
      </w:r>
    </w:p>
    <w:p>
      <w:pPr>
        <w:spacing w:after="0" w:line="187"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We have a 2014 Omnibus Equity, Performance Award, and Incentive Compensation Plan approved by shareholders (as amended, the "Plan") in place which allows us to grant or issue non-qualified stock options, incentive stock options, share awards and other equity compensation to key employees and to non-employee directors. No more than 3.6 million shares of common stock may be issued under the Plan and no more than 3.6 million of those shares may be used for awards other than stock options or stock appreciation rights. Shares subject to awards that are forfeited or terminated, expire unexercised, are cancelled and settled in cash in lieu of common stock or are exchanged for awards that do not involve common stock, shall be added back to the limits and again immediately become available for awards.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 and Share Awards</w:t>
      </w:r>
    </w:p>
    <w:p>
      <w:pPr>
        <w:spacing w:after="0" w:line="2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term of any options granted under the Plan may not exceed ten years from the date of the grant. Stock options are granted at the closing market price on the date of grant. Options issued to key employees generally vest over a three-year period in equal annual installments, beginning one year after the date of grant, with immediate vesting upon retirement or upon a change of control (as defined in the Plan), if earlier. Historically, options issued to directors vested six months after grant.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385" w:right="239" w:bottom="1440" w:gutter="0" w:footer="0" w:header="0"/>
        </w:sectPr>
      </w:pPr>
    </w:p>
    <w:bookmarkStart w:id="43" w:name="page44"/>
    <w:bookmarkEnd w:id="43"/>
    <w:p>
      <w:pPr>
        <w:ind w:right="60"/>
        <w:spacing w:after="0" w:line="248" w:lineRule="auto"/>
        <w:rPr>
          <w:sz w:val="20"/>
          <w:szCs w:val="20"/>
          <w:color w:val="auto"/>
        </w:rPr>
      </w:pPr>
      <w:r>
        <w:rPr>
          <w:rFonts w:ascii="Arial" w:cs="Arial" w:eastAsia="Arial" w:hAnsi="Arial"/>
          <w:sz w:val="16"/>
          <w:szCs w:val="16"/>
          <w:color w:val="auto"/>
        </w:rPr>
        <w:t>Share awards generally vest over a three-year period in equal annual installments with continued employment, beginning one year after the date of grant, with immediate vesting upon retirement for awards made prior to October 2016 or upon a change of control (collectively, "time-based") or upon attainment of established goals. Share awards that are not time-based typically vest at the end of a one year or three-year incentive period based upon the achievement of company goals ("performance-based"). The value of time-based restricted share awards is based on the number of shares granted and the closing price of our common stock on the date of grant. The value of performance-based restricted share awards is based upon the terms of the plan and an assessment of the probability of reaching the established performance targets. Historically, the terms of these plans linked the incentive payment to a percentage of base salary compensation and if the established goals are met, shares of the appropriate value are then granted.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Plans</w:t>
      </w:r>
    </w:p>
    <w:p>
      <w:pPr>
        <w:spacing w:after="0" w:line="2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For Fiscal 2014, Fiscal 2015 and Fiscal 2016, the Human Resources Committee of our Board of Directors established annual incentive plans for the officers that were to be paid in 2/3 cash and 1/3 restricted stock (stock must be held for one year from date of grant except for shares we agree to repurchase in lieu of executives' payment of payroll taxes). We repurchase shares from employees who elect to pay their payroll tax via delivery of shares of common stock as opposed to cash.</w:t>
      </w:r>
    </w:p>
    <w:p>
      <w:pPr>
        <w:spacing w:after="0" w:line="162" w:lineRule="exact"/>
        <w:rPr>
          <w:sz w:val="20"/>
          <w:szCs w:val="20"/>
          <w:color w:val="auto"/>
        </w:rPr>
      </w:pPr>
    </w:p>
    <w:p>
      <w:pPr>
        <w:ind w:right="640"/>
        <w:spacing w:after="0" w:line="295" w:lineRule="auto"/>
        <w:rPr>
          <w:sz w:val="20"/>
          <w:szCs w:val="20"/>
          <w:color w:val="auto"/>
        </w:rPr>
      </w:pPr>
      <w:r>
        <w:rPr>
          <w:rFonts w:ascii="Arial" w:cs="Arial" w:eastAsia="Arial" w:hAnsi="Arial"/>
          <w:sz w:val="16"/>
          <w:szCs w:val="16"/>
          <w:color w:val="auto"/>
        </w:rPr>
        <w:t>The following table shows the amount accrued each fiscal year for stock-based compensation under the annual incentive plan. The Human Resources Committee of the Board of Directors approved the awards of restricted stock to the officers on the dates shown.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27, 2016</w:t>
            </w:r>
          </w:p>
        </w:tc>
        <w:tc>
          <w:tcPr>
            <w:tcW w:w="220" w:type="dxa"/>
            <w:vAlign w:val="bottom"/>
          </w:tcPr>
          <w:p>
            <w:pPr>
              <w:spacing w:after="0"/>
              <w:rPr>
                <w:sz w:val="19"/>
                <w:szCs w:val="19"/>
                <w:color w:val="auto"/>
              </w:rPr>
            </w:pP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29, 2015</w:t>
            </w:r>
          </w:p>
        </w:tc>
        <w:tc>
          <w:tcPr>
            <w:tcW w:w="220" w:type="dxa"/>
            <w:vAlign w:val="bottom"/>
          </w:tcPr>
          <w:p>
            <w:pPr>
              <w:spacing w:after="0"/>
              <w:rPr>
                <w:sz w:val="19"/>
                <w:szCs w:val="19"/>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30, 2014</w:t>
            </w:r>
          </w:p>
        </w:tc>
      </w:tr>
      <w:tr>
        <w:trPr>
          <w:trHeight w:val="257"/>
        </w:trPr>
        <w:tc>
          <w:tcPr>
            <w:tcW w:w="5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Annual incentive accrual (in thousands)</w:t>
            </w:r>
          </w:p>
        </w:tc>
        <w:tc>
          <w:tcPr>
            <w:tcW w:w="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1,467</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454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2,600</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Date of award</w:t>
            </w:r>
          </w:p>
        </w:tc>
        <w:tc>
          <w:tcPr>
            <w:tcW w:w="740" w:type="dxa"/>
            <w:vAlign w:val="bottom"/>
          </w:tcPr>
          <w:p>
            <w:pPr>
              <w:spacing w:after="0"/>
              <w:rPr>
                <w:sz w:val="22"/>
                <w:szCs w:val="22"/>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10/11/2016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10/13/2015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10/14/2014</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portion of annual incentive accrual (in thousands)</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866</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Restricted shares awarded</w:t>
            </w:r>
          </w:p>
        </w:tc>
        <w:tc>
          <w:tcPr>
            <w:tcW w:w="740" w:type="dxa"/>
            <w:vAlign w:val="bottom"/>
          </w:tcPr>
          <w:p>
            <w:pPr>
              <w:spacing w:after="0"/>
              <w:rPr>
                <w:sz w:val="22"/>
                <w:szCs w:val="22"/>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17,532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7,914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40,495</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repurchased for payroll taxes</w:t>
            </w:r>
          </w:p>
        </w:tc>
        <w:tc>
          <w:tcPr>
            <w:tcW w:w="74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(8,412)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(3,511)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(20,638)</w:t>
            </w:r>
          </w:p>
        </w:tc>
      </w:tr>
      <w:tr>
        <w:trPr>
          <w:trHeight w:val="251"/>
        </w:trPr>
        <w:tc>
          <w:tcPr>
            <w:tcW w:w="5080" w:type="dxa"/>
            <w:vAlign w:val="bottom"/>
          </w:tcPr>
          <w:p>
            <w:pPr>
              <w:ind w:left="40"/>
              <w:spacing w:after="0"/>
              <w:rPr>
                <w:sz w:val="20"/>
                <w:szCs w:val="20"/>
                <w:color w:val="auto"/>
              </w:rPr>
            </w:pPr>
            <w:r>
              <w:rPr>
                <w:rFonts w:ascii="Arial" w:cs="Arial" w:eastAsia="Arial" w:hAnsi="Arial"/>
                <w:sz w:val="16"/>
                <w:szCs w:val="16"/>
                <w:color w:val="auto"/>
              </w:rPr>
              <w:t>Restricted shares issued</w:t>
            </w:r>
          </w:p>
        </w:tc>
        <w:tc>
          <w:tcPr>
            <w:tcW w:w="740" w:type="dxa"/>
            <w:vAlign w:val="bottom"/>
          </w:tcPr>
          <w:p>
            <w:pPr>
              <w:spacing w:after="0"/>
              <w:rPr>
                <w:sz w:val="21"/>
                <w:szCs w:val="21"/>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9,120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4,403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19,857</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Incentive Plans</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For Fiscal 2014, Fiscal 2015 and Fiscal 2016, the Human Resources Committee of our Board of Directors established three different three-year incentive compensation plans (Officers Long-Term Incentive Plan Fiscal 2013-2015, 2014-2016 and 2015-2017) to serve as an incentive to our senior management team to achieve certain ROE targets. If the ROE target is met, restricted stock will be awarded subsequent to the end of each three year period with a one-year restriction on sale upon award (except for shares we agree to repurchase in lieu of executives' payment of payroll taxes). In the event that we do not achieve the required ROE targets, no restricted stock will be granted. If it becomes probable that certain of the ROE performance targets will be achieved, the corresponding estimated cost of the grant will be recorded as stock-based compensation expense over the performance period. The probability of reaching the targets is evaluated each reporting period. If it becomes probable that certain of the target performance levels will be achieved, a cumulative adjustment will be recorded and future stock-based-compensation expense will increase based on the then projected performance levels. If we later determine that it is not probable that the minimum ROE performance threshold for the grants will be met, no further stock-based compensation cost will be recognized and any previously recognized stock-based compensation cost related to these plans will be reversed.</w:t>
      </w:r>
    </w:p>
    <w:p>
      <w:pPr>
        <w:spacing w:after="0" w:line="192"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The following table shows the amount accrued each fiscal year for stock-based compensation as a result of ROE targets being met. The Human Resources Committee of the Board of Directors approved the awards of restricted stock to the officers on the dates shown. We repurchase shares from employees who elect to pay their payroll tax via delivery of shares of common stock as opposed to cash.</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27, 2016</w:t>
            </w:r>
          </w:p>
        </w:tc>
        <w:tc>
          <w:tcPr>
            <w:tcW w:w="220" w:type="dxa"/>
            <w:vAlign w:val="bottom"/>
          </w:tcPr>
          <w:p>
            <w:pPr>
              <w:spacing w:after="0"/>
              <w:rPr>
                <w:sz w:val="19"/>
                <w:szCs w:val="19"/>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29, 2015</w:t>
            </w:r>
          </w:p>
        </w:tc>
        <w:tc>
          <w:tcPr>
            <w:tcW w:w="400" w:type="dxa"/>
            <w:vAlign w:val="bottom"/>
          </w:tcPr>
          <w:p>
            <w:pPr>
              <w:spacing w:after="0"/>
              <w:rPr>
                <w:sz w:val="19"/>
                <w:szCs w:val="19"/>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30, 2014</w:t>
            </w:r>
          </w:p>
        </w:tc>
      </w:tr>
      <w:tr>
        <w:trPr>
          <w:trHeight w:val="270"/>
        </w:trPr>
        <w:tc>
          <w:tcPr>
            <w:tcW w:w="4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LTIP accrual (in thousands)</w:t>
            </w:r>
          </w:p>
        </w:tc>
        <w:tc>
          <w:tcPr>
            <w:tcW w:w="16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318</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360</w:t>
            </w:r>
          </w:p>
        </w:tc>
        <w:tc>
          <w:tcPr>
            <w:tcW w:w="4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540</w:t>
            </w:r>
          </w:p>
        </w:tc>
      </w:tr>
      <w:tr>
        <w:trPr>
          <w:trHeight w:val="260"/>
        </w:trPr>
        <w:tc>
          <w:tcPr>
            <w:tcW w:w="4160" w:type="dxa"/>
            <w:vAlign w:val="bottom"/>
          </w:tcPr>
          <w:p>
            <w:pPr>
              <w:ind w:left="40"/>
              <w:spacing w:after="0"/>
              <w:rPr>
                <w:sz w:val="20"/>
                <w:szCs w:val="20"/>
                <w:color w:val="auto"/>
              </w:rPr>
            </w:pPr>
            <w:r>
              <w:rPr>
                <w:rFonts w:ascii="Arial" w:cs="Arial" w:eastAsia="Arial" w:hAnsi="Arial"/>
                <w:sz w:val="16"/>
                <w:szCs w:val="16"/>
                <w:color w:val="auto"/>
              </w:rPr>
              <w:t>LTIP plan year</w:t>
            </w:r>
          </w:p>
        </w:tc>
        <w:tc>
          <w:tcPr>
            <w:tcW w:w="1660" w:type="dxa"/>
            <w:vAlign w:val="bottom"/>
          </w:tcPr>
          <w:p>
            <w:pPr>
              <w:spacing w:after="0"/>
              <w:rPr>
                <w:sz w:val="22"/>
                <w:szCs w:val="22"/>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2014-2016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2013-2015</w:t>
            </w:r>
          </w:p>
        </w:tc>
        <w:tc>
          <w:tcPr>
            <w:tcW w:w="400" w:type="dxa"/>
            <w:vAlign w:val="bottom"/>
          </w:tcPr>
          <w:p>
            <w:pPr>
              <w:spacing w:after="0"/>
              <w:rPr>
                <w:sz w:val="22"/>
                <w:szCs w:val="22"/>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2012-2014</w:t>
            </w:r>
          </w:p>
        </w:tc>
      </w:tr>
      <w:tr>
        <w:trPr>
          <w:trHeight w:val="28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Date of award</w:t>
            </w:r>
          </w:p>
        </w:tc>
        <w:tc>
          <w:tcPr>
            <w:tcW w:w="16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10/11/2016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10/13/2015</w:t>
            </w: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10/14/2014</w:t>
            </w:r>
          </w:p>
        </w:tc>
      </w:tr>
      <w:tr>
        <w:trPr>
          <w:trHeight w:val="260"/>
        </w:trPr>
        <w:tc>
          <w:tcPr>
            <w:tcW w:w="4160" w:type="dxa"/>
            <w:vAlign w:val="bottom"/>
          </w:tcPr>
          <w:p>
            <w:pPr>
              <w:ind w:left="40"/>
              <w:spacing w:after="0"/>
              <w:rPr>
                <w:sz w:val="20"/>
                <w:szCs w:val="20"/>
                <w:color w:val="auto"/>
              </w:rPr>
            </w:pPr>
            <w:r>
              <w:rPr>
                <w:rFonts w:ascii="Arial" w:cs="Arial" w:eastAsia="Arial" w:hAnsi="Arial"/>
                <w:sz w:val="16"/>
                <w:szCs w:val="16"/>
                <w:color w:val="auto"/>
              </w:rPr>
              <w:t>Restricted shares awarded</w:t>
            </w:r>
          </w:p>
        </w:tc>
        <w:tc>
          <w:tcPr>
            <w:tcW w:w="1660" w:type="dxa"/>
            <w:vAlign w:val="bottom"/>
          </w:tcPr>
          <w:p>
            <w:pPr>
              <w:spacing w:after="0"/>
              <w:rPr>
                <w:sz w:val="22"/>
                <w:szCs w:val="22"/>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11,419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18,156</w:t>
            </w:r>
          </w:p>
        </w:tc>
        <w:tc>
          <w:tcPr>
            <w:tcW w:w="400" w:type="dxa"/>
            <w:vAlign w:val="bottom"/>
          </w:tcPr>
          <w:p>
            <w:pPr>
              <w:spacing w:after="0"/>
              <w:rPr>
                <w:sz w:val="22"/>
                <w:szCs w:val="22"/>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25,529</w:t>
            </w:r>
          </w:p>
        </w:tc>
      </w:tr>
      <w:tr>
        <w:trPr>
          <w:trHeight w:val="28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repurchased for payroll taxes</w:t>
            </w:r>
          </w:p>
        </w:tc>
        <w:tc>
          <w:tcPr>
            <w:tcW w:w="16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(5,539)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(8,529)</w:t>
            </w: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(13,011)</w:t>
            </w:r>
          </w:p>
        </w:tc>
      </w:tr>
      <w:tr>
        <w:trPr>
          <w:trHeight w:val="251"/>
        </w:trPr>
        <w:tc>
          <w:tcPr>
            <w:tcW w:w="4160" w:type="dxa"/>
            <w:vAlign w:val="bottom"/>
          </w:tcPr>
          <w:p>
            <w:pPr>
              <w:ind w:left="40"/>
              <w:spacing w:after="0"/>
              <w:rPr>
                <w:sz w:val="20"/>
                <w:szCs w:val="20"/>
                <w:color w:val="auto"/>
              </w:rPr>
            </w:pPr>
            <w:r>
              <w:rPr>
                <w:rFonts w:ascii="Arial" w:cs="Arial" w:eastAsia="Arial" w:hAnsi="Arial"/>
                <w:sz w:val="16"/>
                <w:szCs w:val="16"/>
                <w:color w:val="auto"/>
              </w:rPr>
              <w:t>Restricted shares issued</w:t>
            </w:r>
          </w:p>
        </w:tc>
        <w:tc>
          <w:tcPr>
            <w:tcW w:w="1660" w:type="dxa"/>
            <w:vAlign w:val="bottom"/>
          </w:tcPr>
          <w:p>
            <w:pPr>
              <w:spacing w:after="0"/>
              <w:rPr>
                <w:sz w:val="21"/>
                <w:szCs w:val="21"/>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5,880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9,627</w:t>
            </w:r>
          </w:p>
        </w:tc>
        <w:tc>
          <w:tcPr>
            <w:tcW w:w="400" w:type="dxa"/>
            <w:vAlign w:val="bottom"/>
          </w:tcPr>
          <w:p>
            <w:pPr>
              <w:spacing w:after="0"/>
              <w:rPr>
                <w:sz w:val="21"/>
                <w:szCs w:val="21"/>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12,518</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Awards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Non-employee directors may elect to receive all or part of their annual retainer and board fees in the form of Winnebago Industries stock units credited in the form of shares of our common stock instead of cash. The directors are restricted from selling these shares until their retirement. During Fiscal 2016, there were 5,058 stock units awarded to our non-employee directors in lieu of cash compensation. The aggregate intrinsic value of these awards as of August 27, 2016 was $2.1 million with 86,506 stock units outstanding.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385"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Stock-Based Compensation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for the past three fiscal years consisted of the following components: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w w:val="99"/>
              </w:rPr>
              <w:t>Year Ended</w:t>
            </w: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gridSpan w:val="2"/>
          </w:tcPr>
          <w:p>
            <w:pPr>
              <w:jc w:val="right"/>
              <w:ind w:right="144"/>
              <w:spacing w:after="0"/>
              <w:rPr>
                <w:sz w:val="20"/>
                <w:szCs w:val="20"/>
                <w:color w:val="auto"/>
              </w:rPr>
            </w:pPr>
            <w:r>
              <w:rPr>
                <w:rFonts w:ascii="Arial" w:cs="Arial" w:eastAsia="Arial" w:hAnsi="Arial"/>
                <w:sz w:val="16"/>
                <w:szCs w:val="16"/>
                <w:b w:val="1"/>
                <w:bCs w:val="1"/>
                <w:color w:val="auto"/>
              </w:rPr>
              <w:t>August 27, 2016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August 29, 2015</w:t>
            </w:r>
          </w:p>
        </w:tc>
        <w:tc>
          <w:tcPr>
            <w:tcW w:w="1700" w:type="dxa"/>
            <w:vAlign w:val="bottom"/>
            <w:gridSpan w:val="3"/>
          </w:tcPr>
          <w:p>
            <w:pPr>
              <w:jc w:val="right"/>
              <w:ind w:right="163"/>
              <w:spacing w:after="0"/>
              <w:rPr>
                <w:sz w:val="20"/>
                <w:szCs w:val="20"/>
                <w:color w:val="auto"/>
              </w:rPr>
            </w:pPr>
            <w:r>
              <w:rPr>
                <w:rFonts w:ascii="Arial" w:cs="Arial" w:eastAsia="Arial" w:hAnsi="Arial"/>
                <w:sz w:val="16"/>
                <w:szCs w:val="16"/>
                <w:b w:val="1"/>
                <w:bCs w:val="1"/>
                <w:color w:val="auto"/>
              </w:rPr>
              <w:t>August 30, 2014</w:t>
            </w:r>
          </w:p>
        </w:tc>
        <w:tc>
          <w:tcPr>
            <w:tcW w:w="0" w:type="dxa"/>
            <w:vAlign w:val="bottom"/>
          </w:tcPr>
          <w:p>
            <w:pPr>
              <w:spacing w:after="0"/>
              <w:rPr>
                <w:sz w:val="1"/>
                <w:szCs w:val="1"/>
                <w:color w:val="auto"/>
              </w:rPr>
            </w:pPr>
          </w:p>
        </w:tc>
      </w:tr>
      <w:tr>
        <w:trPr>
          <w:trHeight w:val="270"/>
        </w:trPr>
        <w:tc>
          <w:tcPr>
            <w:tcW w:w="3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Share awards:</w:t>
            </w:r>
          </w:p>
        </w:tc>
        <w:tc>
          <w:tcPr>
            <w:tcW w:w="102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60" w:type="dxa"/>
            <w:vAlign w:val="bottom"/>
            <w:gridSpan w:val="3"/>
          </w:tcPr>
          <w:p>
            <w:pPr>
              <w:ind w:left="180"/>
              <w:spacing w:after="0"/>
              <w:rPr>
                <w:sz w:val="20"/>
                <w:szCs w:val="20"/>
                <w:color w:val="auto"/>
              </w:rPr>
            </w:pPr>
            <w:r>
              <w:rPr>
                <w:rFonts w:ascii="Arial" w:cs="Arial" w:eastAsia="Arial" w:hAnsi="Arial"/>
                <w:sz w:val="16"/>
                <w:szCs w:val="16"/>
                <w:color w:val="auto"/>
              </w:rPr>
              <w:t>Performance-based annual plan employee award expense</w:t>
            </w: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606"/>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489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52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2"/>
                <w:szCs w:val="22"/>
                <w:color w:val="auto"/>
              </w:rPr>
            </w:pPr>
          </w:p>
        </w:tc>
        <w:tc>
          <w:tcPr>
            <w:tcW w:w="760" w:type="dxa"/>
            <w:vAlign w:val="bottom"/>
          </w:tcPr>
          <w:p>
            <w:pPr>
              <w:jc w:val="right"/>
              <w:ind w:right="566"/>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80"/>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Performance-based LTIP employee award expense</w:t>
            </w: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60"/>
        </w:trPr>
        <w:tc>
          <w:tcPr>
            <w:tcW w:w="3200" w:type="dxa"/>
            <w:vAlign w:val="bottom"/>
          </w:tcPr>
          <w:p>
            <w:pPr>
              <w:ind w:left="180"/>
              <w:spacing w:after="0"/>
              <w:rPr>
                <w:sz w:val="20"/>
                <w:szCs w:val="20"/>
                <w:color w:val="auto"/>
              </w:rPr>
            </w:pPr>
            <w:r>
              <w:rPr>
                <w:rFonts w:ascii="Arial" w:cs="Arial" w:eastAsia="Arial" w:hAnsi="Arial"/>
                <w:sz w:val="16"/>
                <w:szCs w:val="16"/>
                <w:color w:val="auto"/>
              </w:rPr>
              <w:t>Time-based employee award expense</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1,583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r>
        <w:trPr>
          <w:trHeight w:val="280"/>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Time-based directors award expense</w:t>
            </w:r>
          </w:p>
        </w:tc>
        <w:tc>
          <w:tcPr>
            <w:tcW w:w="10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743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60"/>
        </w:trPr>
        <w:tc>
          <w:tcPr>
            <w:tcW w:w="3200" w:type="dxa"/>
            <w:vAlign w:val="bottom"/>
          </w:tcPr>
          <w:p>
            <w:pPr>
              <w:ind w:left="180"/>
              <w:spacing w:after="0"/>
              <w:rPr>
                <w:sz w:val="20"/>
                <w:szCs w:val="20"/>
                <w:color w:val="auto"/>
              </w:rPr>
            </w:pPr>
            <w:r>
              <w:rPr>
                <w:rFonts w:ascii="Arial" w:cs="Arial" w:eastAsia="Arial" w:hAnsi="Arial"/>
                <w:sz w:val="16"/>
                <w:szCs w:val="16"/>
                <w:color w:val="auto"/>
              </w:rPr>
              <w:t>Directors stock unit expense</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149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73"/>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0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Total stock-based compensation</w:t>
            </w: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606"/>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3,293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52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3,097</w:t>
            </w:r>
          </w:p>
        </w:tc>
        <w:tc>
          <w:tcPr>
            <w:tcW w:w="100" w:type="dxa"/>
            <w:vAlign w:val="bottom"/>
          </w:tcPr>
          <w:p>
            <w:pPr>
              <w:spacing w:after="0"/>
              <w:rPr>
                <w:sz w:val="20"/>
                <w:szCs w:val="20"/>
                <w:color w:val="auto"/>
              </w:rPr>
            </w:pPr>
          </w:p>
        </w:tc>
        <w:tc>
          <w:tcPr>
            <w:tcW w:w="760" w:type="dxa"/>
            <w:vAlign w:val="bottom"/>
          </w:tcPr>
          <w:p>
            <w:pPr>
              <w:jc w:val="right"/>
              <w:ind w:right="566"/>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3,386</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Stock Options</w:t>
            </w: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2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60" w:type="dxa"/>
            <w:vAlign w:val="bottom"/>
            <w:gridSpan w:val="7"/>
          </w:tcPr>
          <w:p>
            <w:pPr>
              <w:spacing w:after="0"/>
              <w:rPr>
                <w:sz w:val="20"/>
                <w:szCs w:val="20"/>
                <w:color w:val="auto"/>
              </w:rPr>
            </w:pPr>
            <w:r>
              <w:rPr>
                <w:rFonts w:ascii="Arial" w:cs="Arial" w:eastAsia="Arial" w:hAnsi="Arial"/>
                <w:sz w:val="16"/>
                <w:szCs w:val="16"/>
                <w:color w:val="auto"/>
              </w:rPr>
              <w:t>A summary of stock option activity for Fiscal 2016, 2015 and 2014 is as follows:</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32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1900" w:type="dxa"/>
            <w:vAlign w:val="bottom"/>
            <w:tcBorders>
              <w:bottom w:val="single" w:sz="8" w:color="auto"/>
            </w:tcBorders>
            <w:gridSpan w:val="3"/>
          </w:tcPr>
          <w:p>
            <w:pPr>
              <w:jc w:val="center"/>
              <w:ind w:left="688"/>
              <w:spacing w:after="0"/>
              <w:rPr>
                <w:sz w:val="20"/>
                <w:szCs w:val="20"/>
                <w:color w:val="auto"/>
              </w:rPr>
            </w:pPr>
            <w:r>
              <w:rPr>
                <w:rFonts w:ascii="Arial" w:cs="Arial" w:eastAsia="Arial" w:hAnsi="Arial"/>
                <w:sz w:val="14"/>
                <w:szCs w:val="14"/>
                <w:b w:val="1"/>
                <w:bCs w:val="1"/>
                <w:color w:val="auto"/>
              </w:rPr>
              <w:t>August 27, 2016</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jc w:val="center"/>
              <w:ind w:left="566"/>
              <w:spacing w:after="0"/>
              <w:rPr>
                <w:sz w:val="20"/>
                <w:szCs w:val="20"/>
                <w:color w:val="auto"/>
              </w:rPr>
            </w:pPr>
            <w:r>
              <w:rPr>
                <w:rFonts w:ascii="Arial" w:cs="Arial" w:eastAsia="Arial" w:hAnsi="Arial"/>
                <w:sz w:val="14"/>
                <w:szCs w:val="14"/>
                <w:b w:val="1"/>
                <w:bCs w:val="1"/>
                <w:color w:val="auto"/>
              </w:rPr>
              <w:t>August 29, 2015</w:t>
            </w: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August 30, 2014</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Wtd. Avg.</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Wtd. Avg.</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43"/>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rPr>
              <w:t>Price per</w:t>
            </w:r>
          </w:p>
        </w:tc>
        <w:tc>
          <w:tcPr>
            <w:tcW w:w="14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Exercise</w:t>
            </w:r>
          </w:p>
        </w:tc>
        <w:tc>
          <w:tcPr>
            <w:tcW w:w="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Price per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Exercise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Arial" w:cs="Arial" w:eastAsia="Arial" w:hAnsi="Arial"/>
                <w:sz w:val="14"/>
                <w:szCs w:val="14"/>
                <w:b w:val="1"/>
                <w:bCs w:val="1"/>
                <w:color w:val="auto"/>
              </w:rPr>
              <w:t>Price per</w:t>
            </w:r>
          </w:p>
        </w:tc>
        <w:tc>
          <w:tcPr>
            <w:tcW w:w="160" w:type="dxa"/>
            <w:vAlign w:val="bottom"/>
          </w:tcPr>
          <w:p>
            <w:pPr>
              <w:spacing w:after="0"/>
              <w:rPr>
                <w:sz w:val="14"/>
                <w:szCs w:val="14"/>
                <w:color w:val="auto"/>
              </w:rPr>
            </w:pPr>
          </w:p>
        </w:tc>
        <w:tc>
          <w:tcPr>
            <w:tcW w:w="780" w:type="dxa"/>
            <w:vAlign w:val="bottom"/>
          </w:tcPr>
          <w:p>
            <w:pPr>
              <w:jc w:val="center"/>
              <w:ind w:right="23"/>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020" w:type="dxa"/>
            <w:vAlign w:val="bottom"/>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rPr>
              <w:t>Share</w:t>
            </w:r>
          </w:p>
        </w:tc>
        <w:tc>
          <w:tcPr>
            <w:tcW w:w="1100" w:type="dxa"/>
            <w:vAlign w:val="bottom"/>
            <w:gridSpan w:val="4"/>
          </w:tcPr>
          <w:p>
            <w:pPr>
              <w:ind w:left="60"/>
              <w:spacing w:after="0"/>
              <w:rPr>
                <w:sz w:val="20"/>
                <w:szCs w:val="20"/>
                <w:color w:val="auto"/>
              </w:rPr>
            </w:pPr>
            <w:r>
              <w:rPr>
                <w:rFonts w:ascii="Arial" w:cs="Arial" w:eastAsia="Arial" w:hAnsi="Arial"/>
                <w:sz w:val="14"/>
                <w:szCs w:val="14"/>
                <w:b w:val="1"/>
                <w:bCs w:val="1"/>
                <w:color w:val="auto"/>
              </w:rPr>
              <w:t>Price/Share</w:t>
            </w:r>
          </w:p>
        </w:tc>
        <w:tc>
          <w:tcPr>
            <w:tcW w:w="800" w:type="dxa"/>
            <w:vAlign w:val="bottom"/>
          </w:tcPr>
          <w:p>
            <w:pPr>
              <w:jc w:val="right"/>
              <w:ind w:right="146"/>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960" w:type="dxa"/>
            <w:vAlign w:val="bottom"/>
            <w:gridSpan w:val="5"/>
          </w:tcPr>
          <w:p>
            <w:pPr>
              <w:ind w:left="20"/>
              <w:spacing w:after="0"/>
              <w:rPr>
                <w:sz w:val="20"/>
                <w:szCs w:val="20"/>
                <w:color w:val="auto"/>
              </w:rPr>
            </w:pPr>
            <w:r>
              <w:rPr>
                <w:rFonts w:ascii="Arial" w:cs="Arial" w:eastAsia="Arial" w:hAnsi="Arial"/>
                <w:sz w:val="14"/>
                <w:szCs w:val="14"/>
                <w:b w:val="1"/>
                <w:bCs w:val="1"/>
                <w:color w:val="auto"/>
              </w:rPr>
              <w:t>Price/Share</w:t>
            </w: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ind w:right="126"/>
              <w:spacing w:after="0"/>
              <w:rPr>
                <w:sz w:val="20"/>
                <w:szCs w:val="20"/>
                <w:color w:val="auto"/>
              </w:rPr>
            </w:pPr>
            <w:r>
              <w:rPr>
                <w:rFonts w:ascii="Arial" w:cs="Arial" w:eastAsia="Arial" w:hAnsi="Arial"/>
                <w:sz w:val="14"/>
                <w:szCs w:val="14"/>
                <w:b w:val="1"/>
                <w:bCs w:val="1"/>
                <w:color w:val="auto"/>
              </w:rPr>
              <w:t>Share</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Price/Share</w:t>
            </w:r>
          </w:p>
        </w:tc>
        <w:tc>
          <w:tcPr>
            <w:tcW w:w="0" w:type="dxa"/>
            <w:vAlign w:val="bottom"/>
          </w:tcPr>
          <w:p>
            <w:pPr>
              <w:spacing w:after="0"/>
              <w:rPr>
                <w:sz w:val="1"/>
                <w:szCs w:val="1"/>
                <w:color w:val="auto"/>
              </w:rPr>
            </w:pPr>
          </w:p>
        </w:tc>
      </w:tr>
      <w:tr>
        <w:trPr>
          <w:trHeight w:val="270"/>
        </w:trPr>
        <w:tc>
          <w:tcPr>
            <w:tcW w:w="3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Outstanding at beginning of year</w:t>
            </w:r>
          </w:p>
        </w:tc>
        <w:tc>
          <w:tcPr>
            <w:tcW w:w="10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167,394</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$26 - $34</w:t>
            </w:r>
          </w:p>
        </w:tc>
        <w:tc>
          <w:tcPr>
            <w:tcW w:w="1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28.30</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457,421</w:t>
            </w:r>
          </w:p>
        </w:tc>
        <w:tc>
          <w:tcPr>
            <w:tcW w:w="9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$26 - $36</w:t>
            </w: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4"/>
                <w:szCs w:val="14"/>
                <w:color w:val="auto"/>
              </w:rPr>
              <w:t>30.38</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4"/>
                <w:szCs w:val="14"/>
                <w:color w:val="auto"/>
              </w:rPr>
              <w:t>664,994</w:t>
            </w:r>
          </w:p>
        </w:tc>
        <w:tc>
          <w:tcPr>
            <w:tcW w:w="10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 $36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4"/>
                <w:szCs w:val="14"/>
                <w:color w:val="auto"/>
              </w:rPr>
              <w:t>29.83</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Options granted</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$16 - $17</w:t>
            </w: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16.67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4"/>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2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Options exercised</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(77,833)</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 $27</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4"/>
                <w:szCs w:val="14"/>
                <w:color w:val="auto"/>
              </w:rPr>
              <w:t>26.72</w:t>
            </w: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Options cancelled</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(167,394)</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$26 - $34</w:t>
            </w: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28.30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(290,027)</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$26 - $36</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color w:val="auto"/>
              </w:rPr>
              <w:t>31.58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(129,740)</w:t>
            </w: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$26 - $35</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29.75</w:t>
            </w: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end of year</w:t>
            </w:r>
          </w:p>
        </w:tc>
        <w:tc>
          <w:tcPr>
            <w:tcW w:w="10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10,000</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$16 - $17</w:t>
            </w:r>
          </w:p>
        </w:tc>
        <w:tc>
          <w:tcPr>
            <w:tcW w:w="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16.67</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167,394</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$26 - $34</w:t>
            </w: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4"/>
                <w:szCs w:val="14"/>
                <w:color w:val="auto"/>
              </w:rPr>
              <w:t>28.30</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4"/>
                <w:szCs w:val="14"/>
                <w:color w:val="auto"/>
              </w:rPr>
              <w:t>457,421</w:t>
            </w: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 $36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4"/>
                <w:szCs w:val="14"/>
                <w:color w:val="auto"/>
              </w:rPr>
              <w:t>30.38</w:t>
            </w:r>
          </w:p>
        </w:tc>
        <w:tc>
          <w:tcPr>
            <w:tcW w:w="0" w:type="dxa"/>
            <w:vAlign w:val="bottom"/>
          </w:tcPr>
          <w:p>
            <w:pPr>
              <w:spacing w:after="0"/>
              <w:rPr>
                <w:sz w:val="1"/>
                <w:szCs w:val="1"/>
                <w:color w:val="auto"/>
              </w:rPr>
            </w:pPr>
          </w:p>
        </w:tc>
      </w:tr>
      <w:tr>
        <w:trPr>
          <w:trHeight w:val="250"/>
        </w:trPr>
        <w:tc>
          <w:tcPr>
            <w:tcW w:w="3200" w:type="dxa"/>
            <w:vAlign w:val="bottom"/>
          </w:tcPr>
          <w:p>
            <w:pPr>
              <w:ind w:left="40"/>
              <w:spacing w:after="0"/>
              <w:rPr>
                <w:sz w:val="20"/>
                <w:szCs w:val="20"/>
                <w:color w:val="auto"/>
              </w:rPr>
            </w:pPr>
            <w:r>
              <w:rPr>
                <w:rFonts w:ascii="Arial" w:cs="Arial" w:eastAsia="Arial" w:hAnsi="Arial"/>
                <w:sz w:val="14"/>
                <w:szCs w:val="14"/>
                <w:color w:val="auto"/>
              </w:rPr>
              <w:t>Exercisable at end of year</w:t>
            </w:r>
          </w:p>
        </w:tc>
        <w:tc>
          <w:tcPr>
            <w:tcW w:w="1020" w:type="dxa"/>
            <w:vAlign w:val="bottom"/>
          </w:tcPr>
          <w:p>
            <w:pPr>
              <w:jc w:val="right"/>
              <w:spacing w:after="0"/>
              <w:rPr>
                <w:sz w:val="20"/>
                <w:szCs w:val="20"/>
                <w:color w:val="auto"/>
              </w:rPr>
            </w:pPr>
            <w:r>
              <w:rPr>
                <w:rFonts w:ascii="Arial" w:cs="Arial" w:eastAsia="Arial" w:hAnsi="Arial"/>
                <w:sz w:val="14"/>
                <w:szCs w:val="14"/>
                <w:color w:val="auto"/>
              </w:rPr>
              <w:t>—  $</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96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6"/>
              <w:spacing w:after="0"/>
              <w:rPr>
                <w:sz w:val="20"/>
                <w:szCs w:val="20"/>
                <w:color w:val="auto"/>
              </w:rPr>
            </w:pPr>
            <w:r>
              <w:rPr>
                <w:rFonts w:ascii="Arial" w:cs="Arial" w:eastAsia="Arial" w:hAnsi="Arial"/>
                <w:sz w:val="14"/>
                <w:szCs w:val="14"/>
                <w:color w:val="auto"/>
              </w:rPr>
              <w:t>167,394</w:t>
            </w:r>
          </w:p>
        </w:tc>
        <w:tc>
          <w:tcPr>
            <w:tcW w:w="900" w:type="dxa"/>
            <w:vAlign w:val="bottom"/>
          </w:tcPr>
          <w:p>
            <w:pPr>
              <w:jc w:val="right"/>
              <w:ind w:right="24"/>
              <w:spacing w:after="0"/>
              <w:rPr>
                <w:sz w:val="20"/>
                <w:szCs w:val="20"/>
                <w:color w:val="auto"/>
              </w:rPr>
            </w:pPr>
            <w:r>
              <w:rPr>
                <w:rFonts w:ascii="Arial" w:cs="Arial" w:eastAsia="Arial" w:hAnsi="Arial"/>
                <w:sz w:val="14"/>
                <w:szCs w:val="14"/>
                <w:color w:val="auto"/>
              </w:rPr>
              <w:t>$26 - $34</w:t>
            </w: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3"/>
              <w:spacing w:after="0"/>
              <w:rPr>
                <w:sz w:val="20"/>
                <w:szCs w:val="20"/>
                <w:color w:val="auto"/>
              </w:rPr>
            </w:pPr>
            <w:r>
              <w:rPr>
                <w:rFonts w:ascii="Arial" w:cs="Arial" w:eastAsia="Arial" w:hAnsi="Arial"/>
                <w:sz w:val="14"/>
                <w:szCs w:val="14"/>
                <w:color w:val="auto"/>
              </w:rPr>
              <w:t>28.30</w:t>
            </w:r>
          </w:p>
        </w:tc>
        <w:tc>
          <w:tcPr>
            <w:tcW w:w="10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Arial" w:cs="Arial" w:eastAsia="Arial" w:hAnsi="Arial"/>
                <w:sz w:val="14"/>
                <w:szCs w:val="14"/>
                <w:color w:val="auto"/>
              </w:rPr>
              <w:t>457,421</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$26 - $36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3"/>
              <w:spacing w:after="0"/>
              <w:rPr>
                <w:sz w:val="20"/>
                <w:szCs w:val="20"/>
                <w:color w:val="auto"/>
              </w:rPr>
            </w:pPr>
            <w:r>
              <w:rPr>
                <w:rFonts w:ascii="Arial" w:cs="Arial" w:eastAsia="Arial" w:hAnsi="Arial"/>
                <w:sz w:val="14"/>
                <w:szCs w:val="14"/>
                <w:color w:val="auto"/>
              </w:rPr>
              <w:t>30.38</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end of year</w:t>
            </w:r>
          </w:p>
        </w:tc>
        <w:tc>
          <w:tcPr>
            <w:tcW w:w="10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10,000</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$16 - $17</w:t>
            </w:r>
          </w:p>
        </w:tc>
        <w:tc>
          <w:tcPr>
            <w:tcW w:w="1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16.67</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167,394</w:t>
            </w:r>
          </w:p>
        </w:tc>
        <w:tc>
          <w:tcPr>
            <w:tcW w:w="9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$26 - $34</w:t>
            </w: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4"/>
                <w:szCs w:val="14"/>
                <w:color w:val="auto"/>
              </w:rPr>
              <w:t>28.30</w:t>
            </w: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4"/>
                <w:szCs w:val="14"/>
                <w:color w:val="auto"/>
              </w:rPr>
              <w:t>457,421</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 $36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4"/>
                <w:szCs w:val="14"/>
                <w:color w:val="auto"/>
              </w:rPr>
              <w:t>30.38</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option grant is estimated on the date of grant using the Black-Scholes option-pricing model with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5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Valuation Assumptions</w:t>
            </w:r>
            <w:r>
              <w:rPr>
                <w:rFonts w:ascii="Arial" w:cs="Arial" w:eastAsia="Arial" w:hAnsi="Arial"/>
                <w:sz w:val="21"/>
                <w:szCs w:val="21"/>
                <w:color w:val="auto"/>
                <w:vertAlign w:val="superscript"/>
              </w:rPr>
              <w:t>(1)</w:t>
            </w:r>
          </w:p>
        </w:tc>
        <w:tc>
          <w:tcPr>
            <w:tcW w:w="1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Fiscal 2016</w:t>
            </w:r>
          </w:p>
        </w:tc>
      </w:tr>
      <w:tr>
        <w:trPr>
          <w:trHeight w:val="237"/>
        </w:trPr>
        <w:tc>
          <w:tcPr>
            <w:tcW w:w="9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1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2.40%</w:t>
            </w:r>
          </w:p>
        </w:tc>
      </w:tr>
      <w:tr>
        <w:trPr>
          <w:trHeight w:val="243"/>
        </w:trPr>
        <w:tc>
          <w:tcPr>
            <w:tcW w:w="9560" w:type="dxa"/>
            <w:vAlign w:val="bottom"/>
          </w:tcPr>
          <w:p>
            <w:pPr>
              <w:ind w:left="40"/>
              <w:spacing w:after="0"/>
              <w:rPr>
                <w:sz w:val="20"/>
                <w:szCs w:val="20"/>
                <w:color w:val="auto"/>
              </w:rPr>
            </w:pPr>
            <w:r>
              <w:rPr>
                <w:rFonts w:ascii="Arial" w:cs="Arial" w:eastAsia="Arial" w:hAnsi="Arial"/>
                <w:sz w:val="16"/>
                <w:szCs w:val="16"/>
                <w:color w:val="auto"/>
              </w:rPr>
              <w:t xml:space="preserve">Risk-free interest rate </w:t>
            </w:r>
            <w:r>
              <w:rPr>
                <w:rFonts w:ascii="Arial" w:cs="Arial" w:eastAsia="Arial" w:hAnsi="Arial"/>
                <w:sz w:val="21"/>
                <w:szCs w:val="21"/>
                <w:color w:val="auto"/>
                <w:vertAlign w:val="superscript"/>
              </w:rPr>
              <w:t>(2)</w:t>
            </w:r>
          </w:p>
        </w:tc>
        <w:tc>
          <w:tcPr>
            <w:tcW w:w="1860" w:type="dxa"/>
            <w:vAlign w:val="bottom"/>
          </w:tcPr>
          <w:p>
            <w:pPr>
              <w:jc w:val="right"/>
              <w:ind w:right="199"/>
              <w:spacing w:after="0"/>
              <w:rPr>
                <w:sz w:val="20"/>
                <w:szCs w:val="20"/>
                <w:color w:val="auto"/>
              </w:rPr>
            </w:pPr>
            <w:r>
              <w:rPr>
                <w:rFonts w:ascii="Arial" w:cs="Arial" w:eastAsia="Arial" w:hAnsi="Arial"/>
                <w:sz w:val="16"/>
                <w:szCs w:val="16"/>
                <w:color w:val="auto"/>
              </w:rPr>
              <w:t>1.49%</w:t>
            </w:r>
          </w:p>
        </w:tc>
      </w:tr>
      <w:tr>
        <w:trPr>
          <w:trHeight w:val="243"/>
        </w:trPr>
        <w:tc>
          <w:tcPr>
            <w:tcW w:w="9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Expected life (in years) </w:t>
            </w:r>
            <w:r>
              <w:rPr>
                <w:rFonts w:ascii="Arial" w:cs="Arial" w:eastAsia="Arial" w:hAnsi="Arial"/>
                <w:sz w:val="21"/>
                <w:szCs w:val="21"/>
                <w:color w:val="auto"/>
                <w:vertAlign w:val="superscript"/>
              </w:rPr>
              <w:t>(3)</w:t>
            </w:r>
          </w:p>
        </w:tc>
        <w:tc>
          <w:tcPr>
            <w:tcW w:w="18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w:t>
            </w:r>
          </w:p>
        </w:tc>
      </w:tr>
      <w:tr>
        <w:trPr>
          <w:trHeight w:val="243"/>
        </w:trPr>
        <w:tc>
          <w:tcPr>
            <w:tcW w:w="9560" w:type="dxa"/>
            <w:vAlign w:val="bottom"/>
          </w:tcPr>
          <w:p>
            <w:pPr>
              <w:ind w:left="40"/>
              <w:spacing w:after="0"/>
              <w:rPr>
                <w:sz w:val="20"/>
                <w:szCs w:val="20"/>
                <w:color w:val="auto"/>
              </w:rPr>
            </w:pPr>
            <w:r>
              <w:rPr>
                <w:rFonts w:ascii="Arial" w:cs="Arial" w:eastAsia="Arial" w:hAnsi="Arial"/>
                <w:sz w:val="16"/>
                <w:szCs w:val="16"/>
                <w:color w:val="auto"/>
              </w:rPr>
              <w:t xml:space="preserve">Expected volatility </w:t>
            </w:r>
            <w:r>
              <w:rPr>
                <w:rFonts w:ascii="Arial" w:cs="Arial" w:eastAsia="Arial" w:hAnsi="Arial"/>
                <w:sz w:val="21"/>
                <w:szCs w:val="21"/>
                <w:color w:val="auto"/>
                <w:vertAlign w:val="superscript"/>
              </w:rPr>
              <w:t>(4)</w:t>
            </w:r>
          </w:p>
        </w:tc>
        <w:tc>
          <w:tcPr>
            <w:tcW w:w="1860" w:type="dxa"/>
            <w:vAlign w:val="bottom"/>
          </w:tcPr>
          <w:p>
            <w:pPr>
              <w:jc w:val="right"/>
              <w:ind w:right="199"/>
              <w:spacing w:after="0"/>
              <w:rPr>
                <w:sz w:val="20"/>
                <w:szCs w:val="20"/>
                <w:color w:val="auto"/>
              </w:rPr>
            </w:pPr>
            <w:r>
              <w:rPr>
                <w:rFonts w:ascii="Arial" w:cs="Arial" w:eastAsia="Arial" w:hAnsi="Arial"/>
                <w:sz w:val="16"/>
                <w:szCs w:val="16"/>
                <w:color w:val="auto"/>
              </w:rPr>
              <w:t>43.52%</w:t>
            </w:r>
          </w:p>
        </w:tc>
      </w:tr>
      <w:tr>
        <w:trPr>
          <w:trHeight w:val="270"/>
        </w:trPr>
        <w:tc>
          <w:tcPr>
            <w:tcW w:w="9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fair value of options granted</w:t>
            </w:r>
          </w:p>
        </w:tc>
        <w:tc>
          <w:tcPr>
            <w:tcW w:w="18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$5.31</w:t>
            </w:r>
          </w:p>
        </w:tc>
      </w:tr>
      <w:tr>
        <w:trPr>
          <w:trHeight w:val="186"/>
        </w:trPr>
        <w:tc>
          <w:tcPr>
            <w:tcW w:w="9560" w:type="dxa"/>
            <w:vAlign w:val="bottom"/>
          </w:tcPr>
          <w:p>
            <w:pPr>
              <w:spacing w:after="0" w:line="186" w:lineRule="exact"/>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Forfeitures are estimated based on historical experience.</w:t>
            </w:r>
          </w:p>
        </w:tc>
        <w:tc>
          <w:tcPr>
            <w:tcW w:w="1860" w:type="dxa"/>
            <w:vAlign w:val="bottom"/>
          </w:tcPr>
          <w:p>
            <w:pPr>
              <w:spacing w:after="0"/>
              <w:rPr>
                <w:sz w:val="16"/>
                <w:szCs w:val="16"/>
                <w:color w:val="auto"/>
              </w:rPr>
            </w:pPr>
          </w:p>
        </w:tc>
      </w:tr>
      <w:tr>
        <w:trPr>
          <w:trHeight w:val="197"/>
        </w:trPr>
        <w:tc>
          <w:tcPr>
            <w:tcW w:w="9560" w:type="dxa"/>
            <w:vAlign w:val="bottom"/>
          </w:tcPr>
          <w:p>
            <w:pPr>
              <w:spacing w:after="0" w:line="197" w:lineRule="exact"/>
              <w:rPr>
                <w:sz w:val="20"/>
                <w:szCs w:val="20"/>
                <w:color w:val="auto"/>
              </w:rPr>
            </w:pPr>
            <w:r>
              <w:rPr>
                <w:rFonts w:ascii="Arial" w:cs="Arial" w:eastAsia="Arial" w:hAnsi="Arial"/>
                <w:sz w:val="21"/>
                <w:szCs w:val="21"/>
                <w:color w:val="auto"/>
                <w:vertAlign w:val="superscript"/>
              </w:rPr>
              <w:t>(2</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Risk-free interest rate is based on Treasury Securities constant maturity interest rate whose term is consistent with the expected life of our</w:t>
            </w:r>
          </w:p>
        </w:tc>
        <w:tc>
          <w:tcPr>
            <w:tcW w:w="1860" w:type="dxa"/>
            <w:vAlign w:val="bottom"/>
          </w:tcPr>
          <w:p>
            <w:pPr>
              <w:spacing w:after="0"/>
              <w:rPr>
                <w:sz w:val="17"/>
                <w:szCs w:val="17"/>
                <w:color w:val="auto"/>
              </w:rPr>
            </w:pPr>
          </w:p>
        </w:tc>
      </w:tr>
    </w:tbl>
    <w:p>
      <w:pPr>
        <w:spacing w:after="0" w:line="229" w:lineRule="auto"/>
        <w:rPr>
          <w:sz w:val="20"/>
          <w:szCs w:val="20"/>
          <w:color w:val="auto"/>
        </w:rPr>
      </w:pPr>
      <w:r>
        <w:rPr>
          <w:rFonts w:ascii="Arial" w:cs="Arial" w:eastAsia="Arial" w:hAnsi="Arial"/>
          <w:sz w:val="14"/>
          <w:szCs w:val="14"/>
          <w:color w:val="auto"/>
        </w:rPr>
        <w:t>stock options.</w:t>
      </w:r>
    </w:p>
    <w:p>
      <w:pPr>
        <w:spacing w:after="0" w:line="188"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4"/>
          <w:szCs w:val="14"/>
          <w:color w:val="auto"/>
        </w:rPr>
        <w:t xml:space="preserve"> Expected life of stock options is based on historical experience.</w:t>
      </w:r>
    </w:p>
    <w:p>
      <w:pPr>
        <w:spacing w:after="0"/>
        <w:rPr>
          <w:sz w:val="20"/>
          <w:szCs w:val="20"/>
          <w:color w:val="auto"/>
        </w:rPr>
      </w:pPr>
      <w:r>
        <w:rPr>
          <w:rFonts w:ascii="Arial" w:cs="Arial" w:eastAsia="Arial" w:hAnsi="Arial"/>
          <w:sz w:val="21"/>
          <w:szCs w:val="21"/>
          <w:color w:val="auto"/>
          <w:vertAlign w:val="superscript"/>
        </w:rPr>
        <w:t>(4)</w:t>
      </w:r>
      <w:r>
        <w:rPr>
          <w:rFonts w:ascii="Arial" w:cs="Arial" w:eastAsia="Arial" w:hAnsi="Arial"/>
          <w:sz w:val="14"/>
          <w:szCs w:val="14"/>
          <w:color w:val="auto"/>
        </w:rPr>
        <w:t xml:space="preserve"> Expected stock price volatility is based on historical experience over a term consistent with the expected life of our stock options.</w:t>
      </w:r>
    </w:p>
    <w:p>
      <w:pPr>
        <w:spacing w:after="0" w:line="142"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The weighted average remaining contractual life for options outstanding at August 27, 2016 was 9.4 years. Aggregate intrinsic value for options outstanding at August 27, 2016 was $72,000. As of August 27, 2016, there was $42,000 of unrecognized compensation expense related to option awards that is expected to be recognized over a weighted average period of 2.4 years. Other values related to options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Fiscal 2016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Fiscal 2015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Fiscal 2014</w:t>
            </w:r>
          </w:p>
        </w:tc>
      </w:tr>
      <w:tr>
        <w:trPr>
          <w:trHeight w:val="257"/>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Aggregate intrinsic value of options exercised </w:t>
            </w:r>
            <w:r>
              <w:rPr>
                <w:rFonts w:ascii="Arial" w:cs="Arial" w:eastAsia="Arial" w:hAnsi="Arial"/>
                <w:sz w:val="21"/>
                <w:szCs w:val="21"/>
                <w:color w:val="auto"/>
                <w:vertAlign w:val="superscript"/>
              </w:rPr>
              <w:t>(1)</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   $</w:t>
            </w:r>
          </w:p>
        </w:tc>
        <w:tc>
          <w:tcPr>
            <w:tcW w:w="148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251"/>
        </w:trPr>
        <w:tc>
          <w:tcPr>
            <w:tcW w:w="5780" w:type="dxa"/>
            <w:vAlign w:val="bottom"/>
          </w:tcPr>
          <w:p>
            <w:pPr>
              <w:ind w:left="40"/>
              <w:spacing w:after="0"/>
              <w:rPr>
                <w:sz w:val="20"/>
                <w:szCs w:val="20"/>
                <w:color w:val="auto"/>
              </w:rPr>
            </w:pPr>
            <w:r>
              <w:rPr>
                <w:rFonts w:ascii="Arial" w:cs="Arial" w:eastAsia="Arial" w:hAnsi="Arial"/>
                <w:sz w:val="16"/>
                <w:szCs w:val="16"/>
                <w:color w:val="auto"/>
              </w:rPr>
              <w:t>Net cash proceeds from the exercise of stock options</w:t>
            </w:r>
          </w:p>
        </w:tc>
        <w:tc>
          <w:tcPr>
            <w:tcW w:w="1500" w:type="dxa"/>
            <w:vAlign w:val="bottom"/>
          </w:tcPr>
          <w:p>
            <w:pPr>
              <w:spacing w:after="0"/>
              <w:rPr>
                <w:sz w:val="21"/>
                <w:szCs w:val="21"/>
                <w:color w:val="auto"/>
              </w:rPr>
            </w:pPr>
          </w:p>
        </w:tc>
        <w:tc>
          <w:tcPr>
            <w:tcW w:w="148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148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2,080</w:t>
            </w:r>
          </w:p>
        </w:tc>
      </w:tr>
      <w:tr>
        <w:trPr>
          <w:trHeight w:val="270"/>
        </w:trPr>
        <w:tc>
          <w:tcPr>
            <w:tcW w:w="5780" w:type="dxa"/>
            <w:vAlign w:val="bottom"/>
          </w:tcPr>
          <w:p>
            <w:pPr>
              <w:ind w:left="40"/>
              <w:spacing w:after="0"/>
              <w:rPr>
                <w:sz w:val="20"/>
                <w:szCs w:val="20"/>
                <w:color w:val="auto"/>
              </w:rPr>
            </w:pPr>
            <w:r>
              <w:rPr>
                <w:rFonts w:ascii="Arial" w:cs="Arial" w:eastAsia="Arial" w:hAnsi="Arial"/>
                <w:sz w:val="16"/>
                <w:szCs w:val="16"/>
                <w:color w:val="auto"/>
              </w:rPr>
              <w:t>Actual income tax benefit realized from stock option exercises</w:t>
            </w:r>
          </w:p>
        </w:tc>
        <w:tc>
          <w:tcPr>
            <w:tcW w:w="1500" w:type="dxa"/>
            <w:vAlign w:val="bottom"/>
          </w:tcPr>
          <w:p>
            <w:pPr>
              <w:spacing w:after="0"/>
              <w:rPr>
                <w:sz w:val="23"/>
                <w:szCs w:val="23"/>
                <w:color w:val="auto"/>
              </w:rPr>
            </w:pPr>
          </w:p>
        </w:tc>
        <w:tc>
          <w:tcPr>
            <w:tcW w:w="148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148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60" w:hanging="238"/>
        <w:spacing w:after="0" w:line="199" w:lineRule="auto"/>
        <w:tabs>
          <w:tab w:leader="none" w:pos="260" w:val="left"/>
        </w:tabs>
        <w:numPr>
          <w:ilvl w:val="0"/>
          <w:numId w:val="38"/>
        </w:numPr>
        <w:rPr>
          <w:rFonts w:ascii="Arial" w:cs="Arial" w:eastAsia="Arial" w:hAnsi="Arial"/>
          <w:sz w:val="22"/>
          <w:szCs w:val="22"/>
          <w:color w:val="auto"/>
          <w:vertAlign w:val="superscript"/>
        </w:rPr>
      </w:pPr>
      <w:r>
        <w:rPr>
          <w:rFonts w:ascii="Arial" w:cs="Arial" w:eastAsia="Arial" w:hAnsi="Arial"/>
          <w:sz w:val="14"/>
          <w:szCs w:val="14"/>
          <w:color w:val="auto"/>
        </w:rPr>
        <w:t>The amount by which the closing price of our stock on the date of exercise exceeded the exercise price.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On October 11, 2016 the Human Resources Committee of the Board of Directors approved the grant of 46,800 stock options to our officers.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i w:val="1"/>
          <w:iCs w:val="1"/>
          <w:color w:val="auto"/>
        </w:rPr>
        <w:t>Share Awards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share award activity for Fiscal 2016, 2015 and 2014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860"/>
              <w:spacing w:after="0"/>
              <w:rPr>
                <w:sz w:val="20"/>
                <w:szCs w:val="20"/>
                <w:color w:val="auto"/>
              </w:rPr>
            </w:pPr>
            <w:r>
              <w:rPr>
                <w:rFonts w:ascii="Arial" w:cs="Arial" w:eastAsia="Arial" w:hAnsi="Arial"/>
                <w:sz w:val="16"/>
                <w:szCs w:val="16"/>
                <w:b w:val="1"/>
                <w:bCs w:val="1"/>
                <w:color w:val="auto"/>
              </w:rPr>
              <w:t>Year Ended</w:t>
            </w: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64"/>
        </w:trPr>
        <w:tc>
          <w:tcPr>
            <w:tcW w:w="3480" w:type="dxa"/>
            <w:vAlign w:val="bottom"/>
          </w:tcPr>
          <w:p>
            <w:pPr>
              <w:spacing w:after="0"/>
              <w:rPr>
                <w:sz w:val="22"/>
                <w:szCs w:val="22"/>
                <w:color w:val="auto"/>
              </w:rPr>
            </w:pPr>
          </w:p>
        </w:tc>
        <w:tc>
          <w:tcPr>
            <w:tcW w:w="25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August 27, 2016</w:t>
            </w:r>
          </w:p>
        </w:tc>
        <w:tc>
          <w:tcPr>
            <w:tcW w:w="120" w:type="dxa"/>
            <w:vAlign w:val="bottom"/>
          </w:tcPr>
          <w:p>
            <w:pPr>
              <w:spacing w:after="0"/>
              <w:rPr>
                <w:sz w:val="22"/>
                <w:szCs w:val="22"/>
                <w:color w:val="auto"/>
              </w:rPr>
            </w:pPr>
          </w:p>
        </w:tc>
        <w:tc>
          <w:tcPr>
            <w:tcW w:w="25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August 29, 2015</w:t>
            </w:r>
          </w:p>
        </w:tc>
        <w:tc>
          <w:tcPr>
            <w:tcW w:w="100" w:type="dxa"/>
            <w:vAlign w:val="bottom"/>
          </w:tcPr>
          <w:p>
            <w:pPr>
              <w:spacing w:after="0"/>
              <w:rPr>
                <w:sz w:val="22"/>
                <w:szCs w:val="22"/>
                <w:color w:val="auto"/>
              </w:rPr>
            </w:pPr>
          </w:p>
        </w:tc>
        <w:tc>
          <w:tcPr>
            <w:tcW w:w="25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August 30, 2014</w:t>
            </w:r>
          </w:p>
        </w:tc>
      </w:tr>
      <w:tr>
        <w:trPr>
          <w:trHeight w:val="198"/>
        </w:trPr>
        <w:tc>
          <w:tcPr>
            <w:tcW w:w="3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Weighted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Weighted</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3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Average Grant</w:t>
            </w:r>
          </w:p>
        </w:tc>
        <w:tc>
          <w:tcPr>
            <w:tcW w:w="1260" w:type="dxa"/>
            <w:vAlign w:val="bottom"/>
          </w:tcPr>
          <w:p>
            <w:pPr>
              <w:spacing w:after="0"/>
              <w:rPr>
                <w:sz w:val="16"/>
                <w:szCs w:val="16"/>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9"/>
              </w:rPr>
              <w:t>Average Grant</w:t>
            </w:r>
          </w:p>
        </w:tc>
        <w:tc>
          <w:tcPr>
            <w:tcW w:w="126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Average Grant</w:t>
            </w:r>
          </w:p>
        </w:tc>
      </w:tr>
      <w:tr>
        <w:trPr>
          <w:trHeight w:val="189"/>
        </w:trPr>
        <w:tc>
          <w:tcPr>
            <w:tcW w:w="3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Date</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Date</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rPr>
              <w:t>Date</w:t>
            </w:r>
          </w:p>
        </w:tc>
      </w:tr>
      <w:tr>
        <w:trPr>
          <w:trHeight w:val="228"/>
        </w:trPr>
        <w:tc>
          <w:tcPr>
            <w:tcW w:w="3480" w:type="dxa"/>
            <w:vAlign w:val="bottom"/>
          </w:tcPr>
          <w:p>
            <w:pPr>
              <w:spacing w:after="0"/>
              <w:rPr>
                <w:sz w:val="19"/>
                <w:szCs w:val="19"/>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Fair Value</w:t>
            </w: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w:t>
            </w: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9"/>
                <w:szCs w:val="19"/>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Fair Value</w:t>
            </w:r>
          </w:p>
        </w:tc>
      </w:tr>
      <w:tr>
        <w:trPr>
          <w:trHeight w:val="257"/>
        </w:trPr>
        <w:tc>
          <w:tcPr>
            <w:tcW w:w="3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Beginning of year</w:t>
            </w:r>
          </w:p>
        </w:tc>
        <w:tc>
          <w:tcPr>
            <w:tcW w:w="1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163,420</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20.83</w:t>
            </w: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198,523</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18.98</w:t>
            </w:r>
          </w:p>
        </w:tc>
        <w:tc>
          <w:tcPr>
            <w:tcW w:w="10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190,962</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12.46</w:t>
            </w:r>
          </w:p>
        </w:tc>
      </w:tr>
      <w:tr>
        <w:trPr>
          <w:trHeight w:val="260"/>
        </w:trPr>
        <w:tc>
          <w:tcPr>
            <w:tcW w:w="3480" w:type="dxa"/>
            <w:vAlign w:val="bottom"/>
          </w:tcPr>
          <w:p>
            <w:pPr>
              <w:ind w:left="4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240,270</w:t>
            </w:r>
          </w:p>
        </w:tc>
        <w:tc>
          <w:tcPr>
            <w:tcW w:w="2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19.72</w:t>
            </w:r>
          </w:p>
        </w:tc>
        <w:tc>
          <w:tcPr>
            <w:tcW w:w="12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165,624</w:t>
            </w:r>
          </w:p>
        </w:tc>
        <w:tc>
          <w:tcPr>
            <w:tcW w:w="24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21.70</w:t>
            </w:r>
          </w:p>
        </w:tc>
        <w:tc>
          <w:tcPr>
            <w:tcW w:w="10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138,345</w:t>
            </w:r>
          </w:p>
        </w:tc>
        <w:tc>
          <w:tcPr>
            <w:tcW w:w="2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27.44</w:t>
            </w:r>
          </w:p>
        </w:tc>
      </w:tr>
      <w:tr>
        <w:trPr>
          <w:trHeight w:val="280"/>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(110,283)</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19.44</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(198,693)</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19.71</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(129,817)</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18.82</w:t>
            </w:r>
          </w:p>
        </w:tc>
      </w:tr>
      <w:tr>
        <w:trPr>
          <w:trHeight w:val="264"/>
        </w:trPr>
        <w:tc>
          <w:tcPr>
            <w:tcW w:w="3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Canceled</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(9,526)</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20.28</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(2,034)</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20.58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18.44</w:t>
            </w:r>
          </w:p>
        </w:tc>
      </w:tr>
      <w:tr>
        <w:trPr>
          <w:trHeight w:val="24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 of year</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283,881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20.45</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163,420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20.83</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198,523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18.98</w:t>
            </w:r>
          </w:p>
        </w:tc>
      </w:tr>
      <w:tr>
        <w:trPr>
          <w:trHeight w:val="20"/>
        </w:trPr>
        <w:tc>
          <w:tcPr>
            <w:tcW w:w="3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of awards outstanding at August 27, 2016 was $6.8 million.</w:t>
      </w:r>
    </w:p>
    <w:p>
      <w:pPr>
        <w:spacing w:after="0" w:line="167"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As of August 27, 2016, there was $2.8 million of unrecognized compensation expense related to restricted stock awards that is expected to be recognized over a weighted average period of 1.9 years. The total fair value of awards vested during Fiscal 2016, 2015 and 2014 was $2.2 million, $4.2 million and $3.6 million, respectively.</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On October 11, 2016 the Human Resources Committee of the Board of Directors approved the award of grants of 76,800 shares of our restricted common stock under the Plan valued at $2.1 million to our key management group (approximately 60 employees). The Board of Directors also granted 20,800 shares of our restricted common stock valued at $580,000 to the non-management members of the Board.</w:t>
      </w:r>
    </w:p>
    <w:p>
      <w:pPr>
        <w:spacing w:after="0" w:line="174"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The value of the restricted stock is based on the closing price of our common stock on the date of grant, which was $27.89. The fair value of this award to employees is amortized on a straight-line basis over the requisite service period of three years. Estimated non-cash stock compensation expense based on this restricted stock grant will be approximately $1.0 million for Fiscal 2017.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Business Segments</w:t>
      </w:r>
    </w:p>
    <w:p>
      <w:pPr>
        <w:spacing w:after="0" w:line="171"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 xml:space="preserve">We report segment information based on the "management" approach defined in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management approach designates the internal reporting used by management for making decisions and assessing performance as the source of our reportable segments.</w:t>
      </w:r>
    </w:p>
    <w:p>
      <w:pPr>
        <w:spacing w:after="0" w:line="15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the first quarter of Fiscal 2017, we revised our reporting segments. Previously we had one reporting segment which included all recreational vehicle products and services. With the acquisition of Grand Design in the first quarter of Fiscal 2017, we expanded the number of reporting segments to two: (1) Motorized products and services and (2) Towable products and services. The Towable segment includes all products which are not motorized and are generally towed by another vehicle. The Motorized segment includes all products that include a motorized chassis as well as other related manufactured products. Prior year segment information has been restated to conform to the current reporting segment presentation.</w:t>
      </w:r>
    </w:p>
    <w:p>
      <w:pPr>
        <w:spacing w:after="0" w:line="176"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We organize our business reporting on a product basis. Each reportable segment is managed separately to better align to our customers, distribution partners and the unique market dynamics of the product groups. The accounting policies of both reportable segments are the same and described in Note 1, "Summary of Significant Accounting Policies".</w:t>
      </w:r>
    </w:p>
    <w:p>
      <w:pPr>
        <w:spacing w:after="0" w:line="174" w:lineRule="exact"/>
        <w:rPr>
          <w:sz w:val="20"/>
          <w:szCs w:val="20"/>
          <w:color w:val="auto"/>
        </w:rPr>
      </w:pPr>
    </w:p>
    <w:p>
      <w:pPr>
        <w:ind w:right="400"/>
        <w:spacing w:after="0" w:line="251" w:lineRule="auto"/>
        <w:rPr>
          <w:sz w:val="20"/>
          <w:szCs w:val="20"/>
          <w:color w:val="auto"/>
        </w:rPr>
      </w:pPr>
      <w:r>
        <w:rPr>
          <w:rFonts w:ascii="Arial" w:cs="Arial" w:eastAsia="Arial" w:hAnsi="Arial"/>
          <w:sz w:val="16"/>
          <w:szCs w:val="16"/>
          <w:color w:val="auto"/>
        </w:rPr>
        <w:t>We evaluate the performance of our reportable segments based on Adjusted EBITDA. Adjusted EBITDA is defined as earnings before interest, taxes, depreciation and amortization and other adjustments made in order to present comparable results from period to period. Examples of items excluded from Adjusted EBITDA include the postretirement health care benefit income resulting from the plan amendments over the past several years, favorable legal settlements including our Fiscal 2016 Australia trademark settlement, and transaction costs related to our pending acquisition of Grand Design RV.</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54"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The following table shows information by reporting segment for Fiscal 2016, Fiscal 2015 and Fiscal 2014: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198"/>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Arial" w:cs="Arial" w:eastAsia="Arial" w:hAnsi="Arial"/>
                <w:sz w:val="16"/>
                <w:szCs w:val="16"/>
                <w:b w:val="1"/>
                <w:bCs w:val="1"/>
                <w:color w:val="auto"/>
              </w:rPr>
              <w:t>August 27,</w:t>
            </w:r>
          </w:p>
        </w:tc>
        <w:tc>
          <w:tcPr>
            <w:tcW w:w="26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August 29,</w:t>
            </w:r>
          </w:p>
        </w:tc>
        <w:tc>
          <w:tcPr>
            <w:tcW w:w="260" w:type="dxa"/>
            <w:vAlign w:val="bottom"/>
          </w:tcPr>
          <w:p>
            <w:pPr>
              <w:spacing w:after="0"/>
              <w:rPr>
                <w:sz w:val="17"/>
                <w:szCs w:val="17"/>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30,</w:t>
            </w:r>
          </w:p>
        </w:tc>
      </w:tr>
      <w:tr>
        <w:trPr>
          <w:trHeight w:val="228"/>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Motorized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885,814</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904,821</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887,040</w:t>
            </w:r>
          </w:p>
        </w:tc>
      </w:tr>
      <w:tr>
        <w:trPr>
          <w:trHeight w:val="27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89,412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71,684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58,123</w:t>
            </w:r>
          </w:p>
        </w:tc>
      </w:tr>
      <w:tr>
        <w:trPr>
          <w:trHeight w:val="240"/>
        </w:trPr>
        <w:tc>
          <w:tcPr>
            <w:tcW w:w="6060" w:type="dxa"/>
            <w:vAlign w:val="bottom"/>
          </w:tcPr>
          <w:p>
            <w:pPr>
              <w:ind w:left="180"/>
              <w:spacing w:after="0"/>
              <w:rPr>
                <w:sz w:val="20"/>
                <w:szCs w:val="20"/>
                <w:color w:val="auto"/>
              </w:rPr>
            </w:pPr>
            <w:r>
              <w:rPr>
                <w:rFonts w:ascii="Arial" w:cs="Arial" w:eastAsia="Arial" w:hAnsi="Arial"/>
                <w:sz w:val="16"/>
                <w:szCs w:val="16"/>
                <w:color w:val="auto"/>
              </w:rPr>
              <w:t>Consolidated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975,226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976,505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945,163</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67"/>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Motorized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57,365</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57,102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61,974</w:t>
            </w:r>
          </w:p>
        </w:tc>
      </w:tr>
      <w:tr>
        <w:trPr>
          <w:trHeight w:val="27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4,952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2,767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1,359</w:t>
            </w:r>
          </w:p>
        </w:tc>
      </w:tr>
      <w:tr>
        <w:trPr>
          <w:trHeight w:val="240"/>
        </w:trPr>
        <w:tc>
          <w:tcPr>
            <w:tcW w:w="6060" w:type="dxa"/>
            <w:vAlign w:val="bottom"/>
          </w:tcPr>
          <w:p>
            <w:pPr>
              <w:ind w:left="180"/>
              <w:spacing w:after="0"/>
              <w:rPr>
                <w:sz w:val="20"/>
                <w:szCs w:val="20"/>
                <w:color w:val="auto"/>
              </w:rPr>
            </w:pPr>
            <w:r>
              <w:rPr>
                <w:rFonts w:ascii="Arial" w:cs="Arial" w:eastAsia="Arial" w:hAnsi="Arial"/>
                <w:sz w:val="16"/>
                <w:szCs w:val="16"/>
                <w:color w:val="auto"/>
              </w:rPr>
              <w:t>Consolidated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62,317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59,869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63,333</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67"/>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Motorized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23,920</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10,923</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10,383</w:t>
            </w:r>
          </w:p>
        </w:tc>
      </w:tr>
      <w:tr>
        <w:trPr>
          <w:trHeight w:val="27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5,650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r>
      <w:tr>
        <w:trPr>
          <w:trHeight w:val="240"/>
        </w:trPr>
        <w:tc>
          <w:tcPr>
            <w:tcW w:w="6060" w:type="dxa"/>
            <w:vAlign w:val="bottom"/>
          </w:tcPr>
          <w:p>
            <w:pPr>
              <w:ind w:left="180"/>
              <w:spacing w:after="0"/>
              <w:rPr>
                <w:sz w:val="20"/>
                <w:szCs w:val="20"/>
                <w:color w:val="auto"/>
              </w:rPr>
            </w:pPr>
            <w:r>
              <w:rPr>
                <w:rFonts w:ascii="Arial" w:cs="Arial" w:eastAsia="Arial" w:hAnsi="Arial"/>
                <w:sz w:val="16"/>
                <w:szCs w:val="16"/>
                <w:color w:val="auto"/>
              </w:rPr>
              <w:t>Consolidated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24,551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16,573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10,476</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7"/>
          </w:tcPr>
          <w:p>
            <w:pPr>
              <w:ind w:left="720"/>
              <w:spacing w:after="0"/>
              <w:rPr>
                <w:sz w:val="20"/>
                <w:szCs w:val="20"/>
                <w:color w:val="auto"/>
              </w:rPr>
            </w:pPr>
            <w:r>
              <w:rPr>
                <w:rFonts w:ascii="Arial" w:cs="Arial" w:eastAsia="Arial" w:hAnsi="Arial"/>
                <w:sz w:val="16"/>
                <w:szCs w:val="16"/>
                <w:b w:val="1"/>
                <w:bCs w:val="1"/>
                <w:color w:val="auto"/>
                <w:w w:val="97"/>
              </w:rPr>
              <w:t>Year Ended</w:t>
            </w: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August 27,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gridSpan w:val="2"/>
          </w:tcPr>
          <w:p>
            <w:pPr>
              <w:jc w:val="center"/>
              <w:ind w:right="359"/>
              <w:spacing w:after="0"/>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2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Motorized</w:t>
            </w: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jc w:val="right"/>
              <w:ind w:right="3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368,941</w:t>
            </w: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339,392</w:t>
            </w:r>
          </w:p>
        </w:tc>
        <w:tc>
          <w:tcPr>
            <w:tcW w:w="0" w:type="dxa"/>
            <w:vAlign w:val="bottom"/>
          </w:tcPr>
          <w:p>
            <w:pPr>
              <w:spacing w:after="0"/>
              <w:rPr>
                <w:sz w:val="1"/>
                <w:szCs w:val="1"/>
                <w:color w:val="auto"/>
              </w:rPr>
            </w:pPr>
          </w:p>
        </w:tc>
      </w:tr>
      <w:tr>
        <w:trPr>
          <w:trHeight w:val="273"/>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21,777</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22,782</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Consolidated</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gridSpan w:val="2"/>
          </w:tcPr>
          <w:p>
            <w:pPr>
              <w:jc w:val="right"/>
              <w:ind w:right="3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390,718</w:t>
            </w: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362,174</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6"/>
                <w:szCs w:val="16"/>
                <w:color w:val="auto"/>
              </w:rPr>
              <w:t>Reconciliation of net income to consolidated Adjusted EBITDA:</w:t>
            </w: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6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 Ended</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00" w:type="dxa"/>
            <w:vAlign w:val="bottom"/>
            <w:gridSpan w:val="5"/>
          </w:tcPr>
          <w:p>
            <w:pPr>
              <w:jc w:val="center"/>
              <w:spacing w:after="0"/>
              <w:rPr>
                <w:sz w:val="20"/>
                <w:szCs w:val="20"/>
                <w:color w:val="auto"/>
              </w:rPr>
            </w:pPr>
            <w:r>
              <w:rPr>
                <w:rFonts w:ascii="Arial" w:cs="Arial" w:eastAsia="Arial" w:hAnsi="Arial"/>
                <w:sz w:val="16"/>
                <w:szCs w:val="16"/>
                <w:b w:val="1"/>
                <w:bCs w:val="1"/>
                <w:color w:val="auto"/>
              </w:rPr>
              <w:t>August 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August 29,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August 30,</w:t>
            </w:r>
          </w:p>
        </w:tc>
        <w:tc>
          <w:tcPr>
            <w:tcW w:w="0" w:type="dxa"/>
            <w:vAlign w:val="bottom"/>
          </w:tcPr>
          <w:p>
            <w:pPr>
              <w:spacing w:after="0"/>
              <w:rPr>
                <w:sz w:val="1"/>
                <w:szCs w:val="1"/>
                <w:color w:val="auto"/>
              </w:rPr>
            </w:pPr>
          </w:p>
        </w:tc>
      </w:tr>
      <w:tr>
        <w:trPr>
          <w:trHeight w:val="22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98"/>
              </w:rPr>
              <w:t>45,496</w:t>
            </w:r>
          </w:p>
        </w:tc>
        <w:tc>
          <w:tcPr>
            <w:tcW w:w="5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60" w:type="dxa"/>
            <w:vAlign w:val="bottom"/>
            <w:gridSpan w:val="5"/>
            <w:shd w:val="clear" w:color="auto" w:fill="CCEEFF"/>
          </w:tcPr>
          <w:p>
            <w:pPr>
              <w:jc w:val="right"/>
              <w:ind w:right="200"/>
              <w:spacing w:after="0"/>
              <w:rPr>
                <w:sz w:val="20"/>
                <w:szCs w:val="20"/>
                <w:color w:val="auto"/>
              </w:rPr>
            </w:pPr>
            <w:r>
              <w:rPr>
                <w:rFonts w:ascii="Arial" w:cs="Arial" w:eastAsia="Arial" w:hAnsi="Arial"/>
                <w:sz w:val="16"/>
                <w:szCs w:val="16"/>
                <w:color w:val="auto"/>
              </w:rPr>
              <w:t>41,210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8"/>
              </w:rPr>
              <w:t>45,053</w:t>
            </w:r>
          </w:p>
        </w:tc>
        <w:tc>
          <w:tcPr>
            <w:tcW w:w="0" w:type="dxa"/>
            <w:vAlign w:val="bottom"/>
          </w:tcPr>
          <w:p>
            <w:pPr>
              <w:spacing w:after="0"/>
              <w:rPr>
                <w:sz w:val="1"/>
                <w:szCs w:val="1"/>
                <w:color w:val="auto"/>
              </w:rPr>
            </w:pPr>
          </w:p>
        </w:tc>
      </w:tr>
      <w:tr>
        <w:trPr>
          <w:trHeight w:val="260"/>
        </w:trPr>
        <w:tc>
          <w:tcPr>
            <w:tcW w:w="424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98"/>
              </w:rPr>
              <w:t>20,702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60" w:type="dxa"/>
            <w:vAlign w:val="bottom"/>
            <w:gridSpan w:val="5"/>
            <w:shd w:val="clear" w:color="auto" w:fill="CCEEFF"/>
          </w:tcPr>
          <w:p>
            <w:pPr>
              <w:jc w:val="right"/>
              <w:ind w:right="200"/>
              <w:spacing w:after="0"/>
              <w:rPr>
                <w:sz w:val="20"/>
                <w:szCs w:val="20"/>
                <w:color w:val="auto"/>
              </w:rPr>
            </w:pPr>
            <w:r>
              <w:rPr>
                <w:rFonts w:ascii="Arial" w:cs="Arial" w:eastAsia="Arial" w:hAnsi="Arial"/>
                <w:sz w:val="16"/>
                <w:szCs w:val="16"/>
                <w:color w:val="auto"/>
              </w:rPr>
              <w:t>18,324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8"/>
              </w:rPr>
              <w:t>19,624</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Depreciation and amortization</w:t>
            </w:r>
          </w:p>
        </w:tc>
        <w:tc>
          <w:tcPr>
            <w:tcW w:w="42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5,745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6"/>
                <w:szCs w:val="16"/>
                <w:color w:val="auto"/>
              </w:rPr>
              <w:t>4,513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4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98"/>
              </w:rPr>
              <w:t>71,943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60" w:type="dxa"/>
            <w:vAlign w:val="bottom"/>
            <w:gridSpan w:val="5"/>
            <w:shd w:val="clear" w:color="auto" w:fill="CCEEFF"/>
          </w:tcPr>
          <w:p>
            <w:pPr>
              <w:jc w:val="right"/>
              <w:ind w:right="200"/>
              <w:spacing w:after="0"/>
              <w:rPr>
                <w:sz w:val="20"/>
                <w:szCs w:val="20"/>
                <w:color w:val="auto"/>
              </w:rPr>
            </w:pPr>
            <w:r>
              <w:rPr>
                <w:rFonts w:ascii="Arial" w:cs="Arial" w:eastAsia="Arial" w:hAnsi="Arial"/>
                <w:sz w:val="16"/>
                <w:szCs w:val="16"/>
                <w:color w:val="auto"/>
              </w:rPr>
              <w:t>64,057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8"/>
              </w:rPr>
              <w:t>68,674</w:t>
            </w:r>
          </w:p>
        </w:tc>
        <w:tc>
          <w:tcPr>
            <w:tcW w:w="0" w:type="dxa"/>
            <w:vAlign w:val="bottom"/>
          </w:tcPr>
          <w:p>
            <w:pPr>
              <w:spacing w:after="0"/>
              <w:rPr>
                <w:sz w:val="1"/>
                <w:szCs w:val="1"/>
                <w:color w:val="auto"/>
              </w:rPr>
            </w:pPr>
          </w:p>
        </w:tc>
      </w:tr>
      <w:tr>
        <w:trPr>
          <w:trHeight w:val="260"/>
        </w:trPr>
        <w:tc>
          <w:tcPr>
            <w:tcW w:w="4240" w:type="dxa"/>
            <w:vAlign w:val="bottom"/>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(6,124)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gridSpan w:val="5"/>
          </w:tcPr>
          <w:p>
            <w:pPr>
              <w:jc w:val="right"/>
              <w:ind w:right="160"/>
              <w:spacing w:after="0"/>
              <w:rPr>
                <w:sz w:val="20"/>
                <w:szCs w:val="20"/>
                <w:color w:val="auto"/>
              </w:rPr>
            </w:pPr>
            <w:r>
              <w:rPr>
                <w:rFonts w:ascii="Arial" w:cs="Arial" w:eastAsia="Arial" w:hAnsi="Arial"/>
                <w:sz w:val="16"/>
                <w:szCs w:val="16"/>
                <w:color w:val="auto"/>
              </w:rPr>
              <w:t>(4,073)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(4,573)</w:t>
            </w: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Legal settlement</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gridSpan w:val="5"/>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240" w:type="dxa"/>
            <w:vAlign w:val="bottom"/>
          </w:tcPr>
          <w:p>
            <w:pPr>
              <w:ind w:left="180"/>
              <w:spacing w:after="0"/>
              <w:rPr>
                <w:sz w:val="20"/>
                <w:szCs w:val="20"/>
                <w:color w:val="auto"/>
              </w:rPr>
            </w:pPr>
            <w:r>
              <w:rPr>
                <w:rFonts w:ascii="Arial" w:cs="Arial" w:eastAsia="Arial" w:hAnsi="Arial"/>
                <w:sz w:val="16"/>
                <w:szCs w:val="16"/>
                <w:color w:val="auto"/>
              </w:rPr>
              <w:t>Transaction costs</w:t>
            </w: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2"/>
          </w:tcPr>
          <w:p>
            <w:pPr>
              <w:jc w:val="right"/>
              <w:ind w:right="59"/>
              <w:spacing w:after="0"/>
              <w:rPr>
                <w:sz w:val="20"/>
                <w:szCs w:val="20"/>
                <w:color w:val="auto"/>
              </w:rPr>
            </w:pPr>
            <w:r>
              <w:rPr>
                <w:rFonts w:ascii="Arial" w:cs="Arial" w:eastAsia="Arial" w:hAnsi="Arial"/>
                <w:sz w:val="16"/>
                <w:szCs w:val="16"/>
                <w:color w:val="auto"/>
              </w:rPr>
              <w:t>355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5"/>
          </w:tcPr>
          <w:p>
            <w:pPr>
              <w:jc w:val="right"/>
              <w:ind w:right="3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2"/>
                <w:szCs w:val="22"/>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Non-operating income</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gridSpan w:val="2"/>
          </w:tcPr>
          <w:p>
            <w:pPr>
              <w:jc w:val="right"/>
              <w:ind w:right="59"/>
              <w:spacing w:after="0"/>
              <w:rPr>
                <w:sz w:val="20"/>
                <w:szCs w:val="20"/>
                <w:color w:val="auto"/>
              </w:rPr>
            </w:pPr>
            <w:r>
              <w:rPr>
                <w:rFonts w:ascii="Arial" w:cs="Arial" w:eastAsia="Arial" w:hAnsi="Arial"/>
                <w:sz w:val="16"/>
                <w:szCs w:val="16"/>
                <w:color w:val="auto"/>
                <w:w w:val="98"/>
              </w:rPr>
              <w:t>62,317</w:t>
            </w:r>
          </w:p>
        </w:tc>
        <w:tc>
          <w:tcPr>
            <w:tcW w:w="500" w:type="dxa"/>
            <w:vAlign w:val="bottom"/>
            <w:gridSpan w:val="3"/>
          </w:tcPr>
          <w:p>
            <w:pPr>
              <w:jc w:val="center"/>
              <w:spacing w:after="0"/>
              <w:rPr>
                <w:sz w:val="20"/>
                <w:szCs w:val="20"/>
                <w:color w:val="auto"/>
              </w:rPr>
            </w:pPr>
            <w:r>
              <w:rPr>
                <w:rFonts w:ascii="Arial" w:cs="Arial" w:eastAsia="Arial" w:hAnsi="Arial"/>
                <w:sz w:val="16"/>
                <w:szCs w:val="16"/>
                <w:color w:val="auto"/>
                <w:w w:val="89"/>
              </w:rPr>
              <w:t>$</w:t>
            </w:r>
          </w:p>
        </w:tc>
        <w:tc>
          <w:tcPr>
            <w:tcW w:w="1460" w:type="dxa"/>
            <w:vAlign w:val="bottom"/>
            <w:gridSpan w:val="5"/>
          </w:tcPr>
          <w:p>
            <w:pPr>
              <w:jc w:val="right"/>
              <w:ind w:right="200"/>
              <w:spacing w:after="0"/>
              <w:rPr>
                <w:sz w:val="20"/>
                <w:szCs w:val="20"/>
                <w:color w:val="auto"/>
              </w:rPr>
            </w:pPr>
            <w:r>
              <w:rPr>
                <w:rFonts w:ascii="Arial" w:cs="Arial" w:eastAsia="Arial" w:hAnsi="Arial"/>
                <w:sz w:val="16"/>
                <w:szCs w:val="16"/>
                <w:color w:val="auto"/>
              </w:rPr>
              <w:t>59,869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w w:val="98"/>
              </w:rPr>
              <w:t>63,333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6"/>
                <w:szCs w:val="16"/>
                <w:color w:val="auto"/>
              </w:rPr>
              <w:t>Net revenue by geographic area:</w:t>
            </w: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6"/>
                <w:szCs w:val="16"/>
                <w:b w:val="1"/>
                <w:bCs w:val="1"/>
                <w:color w:val="auto"/>
                <w:w w:val="99"/>
              </w:rPr>
              <w:t>Year Ended</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August 27, 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5"/>
          </w:tcPr>
          <w:p>
            <w:pPr>
              <w:jc w:val="center"/>
              <w:ind w:right="199"/>
              <w:spacing w:after="0"/>
              <w:rPr>
                <w:sz w:val="20"/>
                <w:szCs w:val="20"/>
                <w:color w:val="auto"/>
              </w:rPr>
            </w:pPr>
            <w:r>
              <w:rPr>
                <w:rFonts w:ascii="Arial" w:cs="Arial" w:eastAsia="Arial" w:hAnsi="Arial"/>
                <w:sz w:val="16"/>
                <w:szCs w:val="16"/>
                <w:b w:val="1"/>
                <w:bCs w:val="1"/>
                <w:color w:val="auto"/>
              </w:rPr>
              <w:t>August 29, 2015</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August 30, 2014</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940,230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40" w:type="dxa"/>
            <w:vAlign w:val="bottom"/>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920,315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873,910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34,996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6"/>
                <w:szCs w:val="16"/>
                <w:color w:val="auto"/>
              </w:rPr>
              <w:t>56,190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71,253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4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975,226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40" w:type="dxa"/>
            <w:vAlign w:val="bottom"/>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976,505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945,163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85"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385" w:right="2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20"/>
                <w:szCs w:val="20"/>
                <w:color w:val="auto"/>
              </w:rPr>
            </w:pPr>
            <w:r>
              <w:rPr>
                <w:rFonts w:ascii="Arial" w:cs="Arial" w:eastAsia="Arial" w:hAnsi="Arial"/>
                <w:sz w:val="16"/>
                <w:szCs w:val="16"/>
                <w:b w:val="1"/>
                <w:bCs w:val="1"/>
                <w:color w:val="auto"/>
              </w:rPr>
              <w:t>Note 13: Earnings Per Share</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51"/>
        </w:trPr>
        <w:tc>
          <w:tcPr>
            <w:tcW w:w="7920" w:type="dxa"/>
            <w:vAlign w:val="bottom"/>
            <w:gridSpan w:val="5"/>
          </w:tcPr>
          <w:p>
            <w:pPr>
              <w:spacing w:after="0"/>
              <w:rPr>
                <w:sz w:val="20"/>
                <w:szCs w:val="20"/>
                <w:color w:val="auto"/>
              </w:rPr>
            </w:pPr>
            <w:r>
              <w:rPr>
                <w:rFonts w:ascii="Arial" w:cs="Arial" w:eastAsia="Arial" w:hAnsi="Arial"/>
                <w:sz w:val="16"/>
                <w:szCs w:val="16"/>
                <w:color w:val="auto"/>
              </w:rPr>
              <w:t>The following table reflects the calculation of basic and diluted income per share for the past three fiscal years:</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91"/>
        </w:trPr>
        <w:tc>
          <w:tcPr>
            <w:tcW w:w="6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9"/>
              </w:rPr>
              <w:t>Year Ended</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80" w:type="dxa"/>
            <w:vAlign w:val="bottom"/>
          </w:tcPr>
          <w:p>
            <w:pPr>
              <w:spacing w:after="0"/>
              <w:rPr>
                <w:sz w:val="22"/>
                <w:szCs w:val="22"/>
                <w:color w:val="auto"/>
              </w:rPr>
            </w:pPr>
          </w:p>
        </w:tc>
        <w:tc>
          <w:tcPr>
            <w:tcW w:w="1680" w:type="dxa"/>
            <w:vAlign w:val="bottom"/>
            <w:gridSpan w:val="3"/>
          </w:tcPr>
          <w:p>
            <w:pPr>
              <w:ind w:left="80"/>
              <w:spacing w:after="0"/>
              <w:rPr>
                <w:sz w:val="20"/>
                <w:szCs w:val="20"/>
                <w:color w:val="auto"/>
              </w:rPr>
            </w:pPr>
            <w:r>
              <w:rPr>
                <w:rFonts w:ascii="Arial" w:cs="Arial" w:eastAsia="Arial" w:hAnsi="Arial"/>
                <w:sz w:val="16"/>
                <w:szCs w:val="16"/>
                <w:b w:val="1"/>
                <w:bCs w:val="1"/>
                <w:color w:val="auto"/>
              </w:rPr>
              <w:t>August 27, 2016</w:t>
            </w:r>
          </w:p>
        </w:tc>
        <w:tc>
          <w:tcPr>
            <w:tcW w:w="160" w:type="dxa"/>
            <w:vAlign w:val="bottom"/>
          </w:tcPr>
          <w:p>
            <w:pPr>
              <w:spacing w:after="0"/>
              <w:rPr>
                <w:sz w:val="22"/>
                <w:szCs w:val="22"/>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August 29, 2015</w:t>
            </w:r>
          </w:p>
        </w:tc>
        <w:tc>
          <w:tcPr>
            <w:tcW w:w="180" w:type="dxa"/>
            <w:vAlign w:val="bottom"/>
          </w:tcPr>
          <w:p>
            <w:pPr>
              <w:spacing w:after="0"/>
              <w:rPr>
                <w:sz w:val="22"/>
                <w:szCs w:val="22"/>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30, 2014</w:t>
            </w:r>
          </w:p>
        </w:tc>
      </w:tr>
      <w:tr>
        <w:trPr>
          <w:trHeight w:val="270"/>
        </w:trPr>
        <w:tc>
          <w:tcPr>
            <w:tcW w:w="60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8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45,496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41,210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45,053</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26,925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26,941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27,430</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Net income per share - basic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1.64</w:t>
            </w:r>
          </w:p>
        </w:tc>
      </w:tr>
      <w:tr>
        <w:trPr>
          <w:trHeight w:val="293"/>
        </w:trPr>
        <w:tc>
          <w:tcPr>
            <w:tcW w:w="6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Income per share - assuming dilution</w:t>
            </w: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45,496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41,210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45,053</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26,925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26,941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27,430</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8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27,033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27,051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27,545</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r>
    </w:tbl>
    <w:p>
      <w:pPr>
        <w:spacing w:after="0" w:line="191"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The computation of weighted average shares and potential dilutive shares outstanding excludes the effects of options to purchase 10,000, 167,394 and 457,421 shares of common stock for the fiscal years ended August 27, 2016, August 29, 2015 and August 30, 2014, respectively. These amounts were not included in the computation of diluted income per share because they are anti-dilutive under the treasury stock method.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20"/>
                <w:szCs w:val="20"/>
                <w:color w:val="auto"/>
              </w:rPr>
            </w:pPr>
            <w:r>
              <w:rPr>
                <w:rFonts w:ascii="Arial" w:cs="Arial" w:eastAsia="Arial" w:hAnsi="Arial"/>
                <w:sz w:val="16"/>
                <w:szCs w:val="16"/>
                <w:b w:val="1"/>
                <w:bCs w:val="1"/>
                <w:color w:val="auto"/>
              </w:rPr>
              <w:t>Note 14: Interim Financial Information (Unaudited)</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78"/>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Fiscal 2016</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78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8"/>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November 28,</w:t>
            </w:r>
          </w:p>
        </w:tc>
        <w:tc>
          <w:tcPr>
            <w:tcW w:w="18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February 27,</w:t>
            </w:r>
          </w:p>
        </w:tc>
        <w:tc>
          <w:tcPr>
            <w:tcW w:w="2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May 28,</w:t>
            </w:r>
          </w:p>
        </w:tc>
        <w:tc>
          <w:tcPr>
            <w:tcW w:w="220" w:type="dxa"/>
            <w:vAlign w:val="bottom"/>
          </w:tcPr>
          <w:p>
            <w:pPr>
              <w:spacing w:after="0"/>
              <w:rPr>
                <w:sz w:val="17"/>
                <w:szCs w:val="17"/>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214,223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225,672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272,077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263,254</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25,249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25,276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30,257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31,867</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18,886</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8,558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9,354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14,438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13,146</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 (basic)</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color w:val="auto"/>
              </w:rPr>
              <w:t>Net income per share (diluted)</w:t>
            </w:r>
          </w:p>
        </w:tc>
        <w:tc>
          <w:tcPr>
            <w:tcW w:w="16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0.49</w:t>
            </w:r>
          </w:p>
        </w:tc>
      </w:tr>
      <w:tr>
        <w:trPr>
          <w:trHeight w:val="391"/>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Fiscal 2015</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78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8"/>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November 29,</w:t>
            </w:r>
          </w:p>
        </w:tc>
        <w:tc>
          <w:tcPr>
            <w:tcW w:w="18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February 28,</w:t>
            </w:r>
          </w:p>
        </w:tc>
        <w:tc>
          <w:tcPr>
            <w:tcW w:w="2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May 30,</w:t>
            </w:r>
          </w:p>
        </w:tc>
        <w:tc>
          <w:tcPr>
            <w:tcW w:w="220" w:type="dxa"/>
            <w:vAlign w:val="bottom"/>
          </w:tcPr>
          <w:p>
            <w:pPr>
              <w:spacing w:after="0"/>
              <w:rPr>
                <w:sz w:val="17"/>
                <w:szCs w:val="17"/>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29,</w:t>
            </w:r>
          </w:p>
        </w:tc>
      </w:tr>
      <w:tr>
        <w:trPr>
          <w:trHeight w:val="22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224,403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234,543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266,510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251,049</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24,386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24,258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28,183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28,053</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11,948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16,911</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9,895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8,096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11,502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11,717</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 (basic)</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color w:val="auto"/>
              </w:rPr>
              <w:t>Net income per share (diluted)</w:t>
            </w:r>
          </w:p>
        </w:tc>
        <w:tc>
          <w:tcPr>
            <w:tcW w:w="16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0.43</w:t>
            </w:r>
          </w:p>
        </w:tc>
      </w:tr>
      <w:tr>
        <w:trPr>
          <w:trHeight w:val="621"/>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77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365"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Pr>
          <w:p>
            <w:pPr>
              <w:spacing w:after="0"/>
              <w:rPr>
                <w:sz w:val="20"/>
                <w:szCs w:val="20"/>
                <w:color w:val="auto"/>
              </w:rPr>
            </w:pPr>
            <w:r>
              <w:rPr>
                <w:rFonts w:ascii="Arial" w:cs="Arial" w:eastAsia="Arial" w:hAnsi="Arial"/>
                <w:sz w:val="16"/>
                <w:szCs w:val="16"/>
                <w:b w:val="1"/>
                <w:bCs w:val="1"/>
                <w:color w:val="auto"/>
              </w:rPr>
              <w:t>Note 15: Comprehensive Income</w:t>
            </w: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7180" w:type="dxa"/>
            <w:vAlign w:val="bottom"/>
            <w:gridSpan w:val="2"/>
          </w:tcPr>
          <w:p>
            <w:pPr>
              <w:spacing w:after="0"/>
              <w:rPr>
                <w:sz w:val="20"/>
                <w:szCs w:val="20"/>
                <w:color w:val="auto"/>
              </w:rPr>
            </w:pPr>
            <w:r>
              <w:rPr>
                <w:rFonts w:ascii="Arial" w:cs="Arial" w:eastAsia="Arial" w:hAnsi="Arial"/>
                <w:sz w:val="16"/>
                <w:szCs w:val="16"/>
                <w:color w:val="auto"/>
              </w:rPr>
              <w:t>Changes in AOCI for defined benefit pension items, net of tax, were: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9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w:t>
            </w: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August 27, 2016</w:t>
            </w:r>
          </w:p>
        </w:tc>
        <w:tc>
          <w:tcPr>
            <w:tcW w:w="3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August 29, 2015</w:t>
            </w:r>
          </w:p>
        </w:tc>
        <w:tc>
          <w:tcPr>
            <w:tcW w:w="0" w:type="dxa"/>
            <w:vAlign w:val="bottom"/>
          </w:tcPr>
          <w:p>
            <w:pPr>
              <w:spacing w:after="0"/>
              <w:rPr>
                <w:sz w:val="1"/>
                <w:szCs w:val="1"/>
                <w:color w:val="auto"/>
              </w:rPr>
            </w:pPr>
          </w:p>
        </w:tc>
      </w:tr>
      <w:tr>
        <w:trPr>
          <w:trHeight w:val="247"/>
        </w:trPr>
        <w:tc>
          <w:tcPr>
            <w:tcW w:w="2940" w:type="dxa"/>
            <w:vAlign w:val="bottom"/>
          </w:tcPr>
          <w:p>
            <w:pPr>
              <w:ind w:left="40"/>
              <w:spacing w:after="0"/>
              <w:rPr>
                <w:sz w:val="20"/>
                <w:szCs w:val="20"/>
                <w:color w:val="auto"/>
              </w:rPr>
            </w:pPr>
            <w:r>
              <w:rPr>
                <w:rFonts w:ascii="Arial" w:cs="Arial" w:eastAsia="Arial" w:hAnsi="Arial"/>
                <w:sz w:val="16"/>
                <w:szCs w:val="16"/>
                <w:color w:val="auto"/>
              </w:rPr>
              <w:t>Balance at beginning of year</w:t>
            </w:r>
          </w:p>
        </w:tc>
        <w:tc>
          <w:tcPr>
            <w:tcW w:w="424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(2,274)</w:t>
            </w:r>
          </w:p>
        </w:tc>
        <w:tc>
          <w:tcPr>
            <w:tcW w:w="880" w:type="dxa"/>
            <w:vAlign w:val="bottom"/>
            <w:gridSpan w:val="5"/>
          </w:tcPr>
          <w:p>
            <w:pPr>
              <w:jc w:val="right"/>
              <w:ind w:right="28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99"/>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280"/>
        </w:trPr>
        <w:tc>
          <w:tcPr>
            <w:tcW w:w="2940" w:type="dxa"/>
            <w:vAlign w:val="bottom"/>
            <w:shd w:val="clear" w:color="auto" w:fill="CCEEFF"/>
          </w:tcPr>
          <w:p>
            <w:pPr>
              <w:spacing w:after="0"/>
              <w:rPr>
                <w:sz w:val="24"/>
                <w:szCs w:val="24"/>
                <w:color w:val="auto"/>
              </w:rPr>
            </w:pPr>
          </w:p>
        </w:tc>
        <w:tc>
          <w:tcPr>
            <w:tcW w:w="4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94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4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17,027</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2,044</w:t>
            </w:r>
          </w:p>
        </w:tc>
        <w:tc>
          <w:tcPr>
            <w:tcW w:w="0" w:type="dxa"/>
            <w:vAlign w:val="bottom"/>
          </w:tcPr>
          <w:p>
            <w:pPr>
              <w:spacing w:after="0"/>
              <w:rPr>
                <w:sz w:val="1"/>
                <w:szCs w:val="1"/>
                <w:color w:val="auto"/>
              </w:rPr>
            </w:pPr>
          </w:p>
        </w:tc>
      </w:tr>
      <w:tr>
        <w:trPr>
          <w:trHeight w:val="273"/>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424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(3,778)</w:t>
            </w:r>
          </w:p>
        </w:tc>
        <w:tc>
          <w:tcPr>
            <w:tcW w:w="36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(2,510)</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current-period OCI</w:t>
            </w:r>
          </w:p>
        </w:tc>
        <w:tc>
          <w:tcPr>
            <w:tcW w:w="42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13,249</w:t>
            </w:r>
          </w:p>
        </w:tc>
        <w:tc>
          <w:tcPr>
            <w:tcW w:w="36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70"/>
        </w:trPr>
        <w:tc>
          <w:tcPr>
            <w:tcW w:w="2940" w:type="dxa"/>
            <w:vAlign w:val="bottom"/>
            <w:shd w:val="clear" w:color="auto" w:fill="CCEEFF"/>
          </w:tcPr>
          <w:p>
            <w:pPr>
              <w:spacing w:after="0"/>
              <w:rPr>
                <w:sz w:val="23"/>
                <w:szCs w:val="23"/>
                <w:color w:val="auto"/>
              </w:rPr>
            </w:pPr>
          </w:p>
        </w:tc>
        <w:tc>
          <w:tcPr>
            <w:tcW w:w="4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94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424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10,975</w:t>
            </w:r>
          </w:p>
        </w:tc>
        <w:tc>
          <w:tcPr>
            <w:tcW w:w="880" w:type="dxa"/>
            <w:vAlign w:val="bottom"/>
            <w:gridSpan w:val="5"/>
          </w:tcPr>
          <w:p>
            <w:pPr>
              <w:jc w:val="right"/>
              <w:ind w:right="28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99"/>
              <w:spacing w:after="0"/>
              <w:rPr>
                <w:sz w:val="20"/>
                <w:szCs w:val="20"/>
                <w:color w:val="auto"/>
              </w:rPr>
            </w:pPr>
            <w:r>
              <w:rPr>
                <w:rFonts w:ascii="Arial" w:cs="Arial" w:eastAsia="Arial" w:hAnsi="Arial"/>
                <w:sz w:val="16"/>
                <w:szCs w:val="16"/>
                <w:color w:val="auto"/>
              </w:rPr>
              <w:t>(2,274)</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6"/>
                <w:szCs w:val="16"/>
                <w:color w:val="auto"/>
              </w:rPr>
              <w:t>Reclassifications out of AOCI in net periodic benefit costs, net of tax, were:</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1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9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7"/>
              </w:rPr>
              <w:t>Year Ended</w:t>
            </w: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940" w:type="dxa"/>
            <w:vAlign w:val="bottom"/>
          </w:tcPr>
          <w:p>
            <w:pPr>
              <w:spacing w:after="0"/>
              <w:rPr>
                <w:sz w:val="16"/>
                <w:szCs w:val="16"/>
                <w:color w:val="auto"/>
              </w:rPr>
            </w:pPr>
          </w:p>
        </w:tc>
        <w:tc>
          <w:tcPr>
            <w:tcW w:w="4240" w:type="dxa"/>
            <w:vAlign w:val="bottom"/>
          </w:tcPr>
          <w:p>
            <w:pPr>
              <w:ind w:left="440"/>
              <w:spacing w:after="0"/>
              <w:rPr>
                <w:sz w:val="20"/>
                <w:szCs w:val="20"/>
                <w:color w:val="auto"/>
              </w:rPr>
            </w:pPr>
            <w:r>
              <w:rPr>
                <w:rFonts w:ascii="Arial" w:cs="Arial" w:eastAsia="Arial" w:hAnsi="Arial"/>
                <w:sz w:val="16"/>
                <w:szCs w:val="16"/>
                <w:b w:val="1"/>
                <w:bCs w:val="1"/>
                <w:color w:val="auto"/>
              </w:rPr>
              <w:t>Location on Consolidated Statements of</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24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Income and Comprehensive Income</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August 27, 2016</w:t>
            </w: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August 29, 2015</w:t>
            </w:r>
          </w:p>
        </w:tc>
        <w:tc>
          <w:tcPr>
            <w:tcW w:w="0" w:type="dxa"/>
            <w:vAlign w:val="bottom"/>
          </w:tcPr>
          <w:p>
            <w:pPr>
              <w:spacing w:after="0"/>
              <w:rPr>
                <w:sz w:val="1"/>
                <w:szCs w:val="1"/>
                <w:color w:val="auto"/>
              </w:rPr>
            </w:pPr>
          </w:p>
        </w:tc>
      </w:tr>
      <w:tr>
        <w:trPr>
          <w:trHeight w:val="270"/>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42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Cost of goods sold</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w:t>
            </w:r>
          </w:p>
        </w:tc>
        <w:tc>
          <w:tcPr>
            <w:tcW w:w="880" w:type="dxa"/>
            <w:vAlign w:val="bottom"/>
            <w:gridSpan w:val="5"/>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(3,428)</w:t>
            </w:r>
          </w:p>
        </w:tc>
        <w:tc>
          <w:tcPr>
            <w:tcW w:w="0" w:type="dxa"/>
            <w:vAlign w:val="bottom"/>
          </w:tcPr>
          <w:p>
            <w:pPr>
              <w:spacing w:after="0"/>
              <w:rPr>
                <w:sz w:val="1"/>
                <w:szCs w:val="1"/>
                <w:color w:val="auto"/>
              </w:rPr>
            </w:pPr>
          </w:p>
        </w:tc>
      </w:tr>
      <w:tr>
        <w:trPr>
          <w:trHeight w:val="264"/>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net actuarial loss</w:t>
            </w:r>
          </w:p>
        </w:tc>
        <w:tc>
          <w:tcPr>
            <w:tcW w:w="42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Cost of goods sold</w:t>
            </w: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w:t>
            </w:r>
          </w:p>
        </w:tc>
        <w:tc>
          <w:tcPr>
            <w:tcW w:w="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40"/>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42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(3,778)</w:t>
            </w:r>
          </w:p>
        </w:tc>
        <w:tc>
          <w:tcPr>
            <w:tcW w:w="880" w:type="dxa"/>
            <w:vAlign w:val="bottom"/>
            <w:gridSpan w:val="5"/>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(2,510)</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Subsequent Events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Issues of stock options and restricted common stock</w:t>
      </w:r>
    </w:p>
    <w:p>
      <w:pPr>
        <w:spacing w:after="0" w:line="2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On October 11, 2016 the Human Resources Committee of our Board of Directors issued stock options and shares of restricted common stock, which is further discussed in Note 11.</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w:t>
      </w:r>
    </w:p>
    <w:p>
      <w:pPr>
        <w:spacing w:after="0" w:line="25" w:lineRule="exact"/>
        <w:rPr>
          <w:sz w:val="20"/>
          <w:szCs w:val="20"/>
          <w:color w:val="auto"/>
        </w:rPr>
      </w:pPr>
    </w:p>
    <w:p>
      <w:pPr>
        <w:ind w:right="820"/>
        <w:spacing w:after="0" w:line="260" w:lineRule="auto"/>
        <w:rPr>
          <w:sz w:val="20"/>
          <w:szCs w:val="20"/>
          <w:color w:val="auto"/>
        </w:rPr>
      </w:pPr>
      <w:r>
        <w:rPr>
          <w:rFonts w:ascii="Arial" w:cs="Arial" w:eastAsia="Arial" w:hAnsi="Arial"/>
          <w:sz w:val="16"/>
          <w:szCs w:val="16"/>
          <w:color w:val="auto"/>
        </w:rPr>
        <w:t>On October 12, 2016 our Board of Directors declared a cash dividend of $0.10 per outstanding share of common stock. The dividend will be paid on November 23, 2016 to all shareholders of record at the close of business on November 9, 2016.</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Purchase Agreement</w:t>
      </w:r>
    </w:p>
    <w:p>
      <w:pPr>
        <w:spacing w:after="0" w:line="25"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On October 2, 2016, we entered into a Securities Purchase Agreement (the “Purchase Agreement”) with Grand Design, Octavius Corporation (“Octavius”), Summit Partners Growth Equity Fund VIII-A, L.P., Summit Partners Growth Equity Fund VIII-B, L.P., Summit Partners Entrepreneur Advisors Fund I, L.P., Summit Investors I, LLC, Summit Investors I (UK), L.P., SP GE VIII-B GD RV Holdings, L.P. (collectively the “Summit Sellers”), RDB III, Inc., and each of the shareholders of RDB III, Inc. (collectively the “RDB Sellers”). The Summit Sellers and RDB Sellers are hereafter referred to as “Sellers.”</w:t>
      </w:r>
    </w:p>
    <w:p>
      <w:pPr>
        <w:spacing w:after="0" w:line="20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Purchase Agreement provides that, among other things, and subject to the terms and conditions of the Purchase Agreement, Octavius, a newly formed wholly-owned subsidiary, will acquire all of the equity interests of Grand Design and all of the capital stock of SP GE VIII-B RV Blocker Corp., a Delaware corporation owned by Summit Partners Growth Equity Fund VIII-B, L.P., representing the sale of Grand Design to Winnebago. Following the transaction, Grand Design will be an indirect wholly-owned subsidiary. The purchase price for the acquisition is approximately $500.0 million, consisting of $395.0 million in cash and 4,586,555 shares ($105.0 million) of our common stock to be issued to Sellers. The $500.0 million purchase price is subject to customary closing adjustments pursuant to the terms of the Purchase Agreement. The closing of the acquisition is also subject to customary closing conditions, including the expiration of any applicable waiting period under the Hart Scott Rodino Antitrust Improvements Act of 1976, as amended. The acquisition is expected to close in the first fiscal quarter of 2017.</w:t>
      </w:r>
    </w:p>
    <w:p>
      <w:pPr>
        <w:spacing w:after="0" w:line="208"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In connection with our agreement to acquire Grand Design we executed a customary debt commitment letter with JPM Morgan pursuant to which, subject to customary exceptions and conditions, JPMorgan has committed to provide a seven-year $300.0 million secured term loan B facility, and a five-year $125.0 million asset-based revolving credit facility (collectively the “Credit Facilities”). We intend to use the proceeds from the term loan and a portion of the revolving credit facility together with $60.0 million in cash and $105.0 million in common stock to complete the acquisition of Grand Design. The remainder of the revolving credit facility will be used to fund our working capital needs. The Credit Facilities are expected to be secured by all or substantially all of our assets, and will replace our current credit facility with Wells Fargo Bank, N.A.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sectPr>
      <w:pgSz w:w="11900" w:h="16838" w:orient="portrait"/>
      <w:cols w:equalWidth="0" w:num="1">
        <w:col w:w="11420"/>
      </w:cols>
      <w:pgMar w:left="240" w:top="3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o"/>
      <w:numFmt w:val="bullet"/>
      <w:start w:val="1"/>
    </w:lvl>
  </w:abstractNum>
  <w:abstractNum w:abstractNumId="1">
    <w:nsid w:val="62BBD95A"/>
    <w:multiLevelType w:val="hybridMultilevel"/>
    <w:lvl w:ilvl="0">
      <w:lvlJc w:val="left"/>
      <w:lvlText w:val="%1"/>
      <w:numFmt w:val="decimal"/>
      <w:start w:val="10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2019-12-29T09:28:07Z</dcterms:created>
  <dcterms:modified xsi:type="dcterms:W3CDTF">2019-12-29T09:28:07Z</dcterms:modified>
</cp:coreProperties>
</file>