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March 18, 2003</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244" w:right="1440" w:bottom="1440" w:gutter="0" w:footer="0" w:header="0"/>
        </w:sectPr>
      </w:pP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Iowa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001-06403</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42-0802678</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2980" w:space="720"/>
            <w:col w:w="2020" w:space="720"/>
            <w:col w:w="3779"/>
          </w:cols>
          <w:pgMar w:left="240" w:top="244" w:right="1440" w:bottom="1440" w:gutter="0" w:footer="0" w:header="0"/>
          <w:type w:val="continuous"/>
        </w:sectPr>
      </w:pPr>
    </w:p>
    <w:p>
      <w:pPr>
        <w:spacing w:after="0" w:line="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P.O. Box 152</w:t>
      </w:r>
    </w:p>
    <w:p>
      <w:pPr>
        <w:ind w:left="960"/>
        <w:spacing w:after="0" w:line="238" w:lineRule="auto"/>
        <w:rPr>
          <w:sz w:val="20"/>
          <w:szCs w:val="20"/>
          <w:color w:val="auto"/>
        </w:rPr>
      </w:pPr>
      <w:r>
        <w:rPr>
          <w:rFonts w:ascii="Courier New" w:cs="Courier New" w:eastAsia="Courier New" w:hAnsi="Courier New"/>
          <w:sz w:val="18"/>
          <w:szCs w:val="18"/>
          <w:color w:val="auto"/>
        </w:rPr>
        <w:t>Forest City, Iowa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50436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6140" w:space="720"/>
            <w:col w:w="3359"/>
          </w:cols>
          <w:pgMar w:left="240" w:top="244" w:right="1440" w:bottom="144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641-585-3535</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 FINANCIAL STATEMENTS, PRO FORMA FINANCIAL INFORMATION AND EXHIBITS.</w:t>
      </w:r>
    </w:p>
    <w:p>
      <w:pPr>
        <w:spacing w:after="0" w:line="218" w:lineRule="exact"/>
        <w:rPr>
          <w:sz w:val="24"/>
          <w:szCs w:val="24"/>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Ex. 99</w:t>
      </w:r>
      <w:r>
        <w:rPr>
          <w:sz w:val="20"/>
          <w:szCs w:val="20"/>
          <w:color w:val="auto"/>
        </w:rPr>
        <w:tab/>
      </w:r>
      <w:r>
        <w:rPr>
          <w:rFonts w:ascii="Courier New" w:cs="Courier New" w:eastAsia="Courier New" w:hAnsi="Courier New"/>
          <w:sz w:val="16"/>
          <w:szCs w:val="16"/>
          <w:color w:val="auto"/>
        </w:rPr>
        <w:t>Press release of Winnebago Industries, Inc. dated</w:t>
      </w:r>
    </w:p>
    <w:p>
      <w:pPr>
        <w:ind w:left="1900"/>
        <w:spacing w:after="0" w:line="238" w:lineRule="auto"/>
        <w:rPr>
          <w:sz w:val="20"/>
          <w:szCs w:val="20"/>
          <w:color w:val="auto"/>
        </w:rPr>
      </w:pPr>
      <w:r>
        <w:rPr>
          <w:rFonts w:ascii="Courier New" w:cs="Courier New" w:eastAsia="Courier New" w:hAnsi="Courier New"/>
          <w:sz w:val="18"/>
          <w:szCs w:val="18"/>
          <w:color w:val="auto"/>
        </w:rPr>
        <w:t>March 18, 2003</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18, 2003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Bruce D. Hertzke</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Bruce D. Hertzke</w:t>
      </w:r>
    </w:p>
    <w:p>
      <w:pPr>
        <w:ind w:left="4320"/>
        <w:spacing w:after="0" w:line="238" w:lineRule="auto"/>
        <w:tabs>
          <w:tab w:leader="none" w:pos="52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919"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660" w:space="720"/>
            <w:col w:w="6839"/>
          </w:cols>
          <w:pgMar w:left="240" w:top="925" w:right="1440" w:bottom="1440" w:gutter="0" w:footer="0" w:header="0"/>
          <w:type w:val="continuous"/>
        </w:sectPr>
      </w:pPr>
    </w:p>
    <w:p>
      <w:pPr>
        <w:spacing w:after="0" w:line="226"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6"/>
          <w:szCs w:val="16"/>
          <w:color w:val="auto"/>
        </w:rPr>
        <w:t>99</w:t>
      </w:r>
      <w:r>
        <w:rPr>
          <w:sz w:val="20"/>
          <w:szCs w:val="20"/>
          <w:color w:val="auto"/>
        </w:rPr>
        <w:tab/>
      </w:r>
      <w:r>
        <w:rPr>
          <w:rFonts w:ascii="Courier New" w:cs="Courier New" w:eastAsia="Courier New" w:hAnsi="Courier New"/>
          <w:sz w:val="16"/>
          <w:szCs w:val="16"/>
          <w:color w:val="auto"/>
        </w:rPr>
        <w:t>Press release of Winnebago Industries, Inc. dated March 18, 2003.</w:t>
      </w:r>
    </w:p>
    <w:p>
      <w:pPr>
        <w:sectPr>
          <w:pgSz w:w="11900" w:h="16838" w:orient="portrait"/>
          <w:cols w:equalWidth="0" w:num="1">
            <w:col w:w="10219"/>
          </w:cols>
          <w:pgMar w:left="240" w:top="925"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8"/>
          <w:szCs w:val="18"/>
          <w:color w:val="auto"/>
        </w:rPr>
        <w:t>Sheila Davis</w:t>
      </w:r>
    </w:p>
    <w:p>
      <w:pPr>
        <w:ind w:left="1480"/>
        <w:spacing w:after="0" w:line="238" w:lineRule="auto"/>
        <w:rPr>
          <w:sz w:val="20"/>
          <w:szCs w:val="20"/>
          <w:color w:val="auto"/>
        </w:rPr>
      </w:pPr>
      <w:r>
        <w:rPr>
          <w:rFonts w:ascii="Courier New" w:cs="Courier New" w:eastAsia="Courier New" w:hAnsi="Courier New"/>
          <w:sz w:val="18"/>
          <w:szCs w:val="18"/>
          <w:color w:val="auto"/>
        </w:rPr>
        <w:t>Public Relations/Investor Relations Manager</w:t>
      </w:r>
    </w:p>
    <w:p>
      <w:pPr>
        <w:ind w:left="1480"/>
        <w:spacing w:after="0"/>
        <w:rPr>
          <w:sz w:val="20"/>
          <w:szCs w:val="20"/>
          <w:color w:val="auto"/>
        </w:rPr>
      </w:pPr>
      <w:r>
        <w:rPr>
          <w:rFonts w:ascii="Courier New" w:cs="Courier New" w:eastAsia="Courier New" w:hAnsi="Courier New"/>
          <w:sz w:val="18"/>
          <w:szCs w:val="18"/>
          <w:color w:val="auto"/>
        </w:rPr>
        <w:t>641/585-6803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REPORTS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SECOND QUARTER/RECORD SIX MONTHS RESULTS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FOREST CITY, IOWA, March 18, 2003 -- Winnebago Industries, Inc. (NYSE: WGO), the world's leading motor home manufacturer, today reported net income of $12.3 million for the second quarter ended March 1, 2003, a 30.9 percent increase compared to net income of $9.4 million for the second quarter of fiscal 2002. On a per share basis, the Company earned 64 cents per diluted share for the second quarter of fiscal 2003, a 42.2 percent increase compared to 45 cents per diluted share for the second quarter in fiscal 2002.</w:t>
      </w:r>
    </w:p>
    <w:p>
      <w:pPr>
        <w:spacing w:after="0" w:line="211"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Revenues for the second quarter of fiscal 2003 were $186.7 million, an increase of two percent when compared to revenues of $183.1 million for the second quarter in fiscal 2002.</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results of the quarter benefited from an improved mix of products, the favorable outcome of an annual physical inventory and lower stock-based incentive compensation expense, and was partially offset by the start-up costs of the new production facility in Charles City, Iowa.</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Net income for the first 26 weeks of fiscal 2003 was a record $28.6 million, a 41.6 percent increase when compared to the income of $20.2 million for the first 27 weeks of fiscal 2002. On a per share basis, the Company earned a record $1.50 per diluted share for the first 26 weeks of fiscal 2003, a 57.9 percent increase compared to 95 cents per diluted share for the first 27 weeks of fiscal 2002.</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26 weeks of fiscal 2003, the Company reported record revenues of</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$420.8 million, a 16.6 percent increase compared to $360.9 million for the first 27 weeks of fiscal 2002.</w:t>
      </w:r>
    </w:p>
    <w:p>
      <w:pPr>
        <w:spacing w:after="0" w:line="208" w:lineRule="exact"/>
        <w:rPr>
          <w:sz w:val="20"/>
          <w:szCs w:val="20"/>
          <w:color w:val="auto"/>
        </w:rPr>
      </w:pPr>
    </w:p>
    <w:p>
      <w:pPr>
        <w:ind w:right="1999" w:firstLine="421"/>
        <w:spacing w:after="0" w:line="271" w:lineRule="auto"/>
        <w:rPr>
          <w:sz w:val="20"/>
          <w:szCs w:val="20"/>
          <w:color w:val="auto"/>
        </w:rPr>
      </w:pPr>
      <w:r>
        <w:rPr>
          <w:rFonts w:ascii="Courier New" w:cs="Courier New" w:eastAsia="Courier New" w:hAnsi="Courier New"/>
          <w:sz w:val="16"/>
          <w:szCs w:val="16"/>
          <w:color w:val="auto"/>
        </w:rPr>
        <w:t>For the second quarter ended March 1, 2003, Winnebago Industries reported factory shipments of 1,523 Class A and 736 Class C motor homes, compared to shipments of 1,470 Class A and 978 Class C motor homes for the second quarter last year. Class A motor home shipments in the second quarter of fiscal 2003 included 366 diesel units, compared to 404 diesel unit shipments in the second quarter last year. Winnebago Industries' sales order backlog for Class A &amp; C motor homes was 1,890 on March 1, 2003, compared to 3,206 on March 2, 2002.</w:t>
      </w:r>
    </w:p>
    <w:p>
      <w:pPr>
        <w:spacing w:after="0" w:line="18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are extremely pleased with our strong earnings performance for the second quarter and first six months of fiscal 2003," said Winnebago Industries' Chairman, CEO and President Bruce D. Hertzke.</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more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2nd Quarter Results - Page 2</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"However, due to the U.S. facing the lowest consumer confidence levels in recent history and the geopolitical turmoil caused by the threat of war with Iraq, it appears that the RV market has temporarily slowed. As a result of the market slowdown and higher inventories, we have temporarily scheduled four-day work weeks for our factories. Nonetheless, we believe long-term prospects remain extremely positive. According to the University of Michigan "Consumer Demographic Profile" study published in 2002 and conducted for the RV industry, long-term prospects will be favorably impacted due to the increased popularity of RVs, the growth in our prime target audience of people over age 50, and broadening age range of people who are buying our motor homes," said Hertzke.</w:t>
      </w:r>
    </w:p>
    <w:p>
      <w:pPr>
        <w:spacing w:after="0" w:line="189"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"Because of these long-term growth prospects, we've invested in our future to ensure we are ready to meet the increased demand for our products when the economy and geopolitical conditions normalize," Hertzke continued. "Although there were start-up expenses for this highly automated new plant, we believe it will help Winnebago Industries to continue to lead the industry in cost effectiveness, product quality, customer satisfaction and corporate profitability in the years ahead." Winnebago Industries began limited production</w:t>
      </w:r>
    </w:p>
    <w:p>
      <w:pPr>
        <w:sectPr>
          <w:pgSz w:w="11900" w:h="16838" w:orient="portrait"/>
          <w:cols w:equalWidth="0" w:num="1">
            <w:col w:w="10219"/>
          </w:cols>
          <w:pgMar w:left="240" w:top="136" w:right="1440" w:bottom="0" w:gutter="0" w:footer="0" w:header="0"/>
        </w:sectPr>
      </w:pPr>
    </w:p>
    <w:bookmarkStart w:id="4" w:name="page5"/>
    <w:bookmarkEnd w:id="4"/>
    <w:p>
      <w:pPr>
        <w:ind w:right="2099"/>
        <w:spacing w:after="0" w:line="237" w:lineRule="auto"/>
        <w:rPr>
          <w:sz w:val="20"/>
          <w:szCs w:val="20"/>
          <w:color w:val="auto"/>
        </w:rPr>
      </w:pPr>
      <w:r>
        <w:rPr>
          <w:rFonts w:ascii="Courier New" w:cs="Courier New" w:eastAsia="Courier New" w:hAnsi="Courier New"/>
          <w:sz w:val="18"/>
          <w:szCs w:val="18"/>
          <w:color w:val="auto"/>
        </w:rPr>
        <w:t>in the Company's new motor home production facility in Charles City, with the first unit completed last week. Winnebago Industries is currently producing Class C motor homes in this new facility, allowing incremental Class A production in the Company's Forest City facility.</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Dealer inventory levels of the Company's products were 4,944 on March 1, 2003, compared to 4,102 units at that time last year.</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During the second quarter of fiscal 2003, Winnebago Industries completed the stock repurchase program announced on June 19, 2002. Since June 2002, 450,200 shares of the Company's stock have been repurchased for an aggregate purchase price of $14.8 million. Currently outstanding shares are 18,472,000. This is Winnebago Industries' seventh stock repurchase program. Since the initial repurchase program in December 1997, Winnebago Industries has repurchased approximately 33 percent of our stock, 8,426,064 shares, at an aggregate purchase price of $164.3 million. Hertzke said, "We continue to believe that the repurchase of our stock is the best use of our excess capital for our shareholders."</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Winnebago Industries will host a live webcast to review second quarter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today, March 18, 2003, at 10 a.m. EST and is available on the Company's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website at www.winnebagoind.com or at</w:t>
      </w:r>
    </w:p>
    <w:p>
      <w:pPr>
        <w:spacing w:after="0" w:line="238" w:lineRule="auto"/>
        <w:rPr>
          <w:sz w:val="20"/>
          <w:szCs w:val="20"/>
          <w:color w:val="auto"/>
        </w:rPr>
      </w:pPr>
      <w:r>
        <w:rPr>
          <w:rFonts w:ascii="Courier New" w:cs="Courier New" w:eastAsia="Courier New" w:hAnsi="Courier New"/>
          <w:sz w:val="18"/>
          <w:szCs w:val="18"/>
          <w:color w:val="auto"/>
        </w:rPr>
        <w:t>www.shareholder.com/winnebago/medialist.cfm. It will be archived and available</w:t>
      </w:r>
    </w:p>
    <w:p>
      <w:pPr>
        <w:spacing w:after="0"/>
        <w:rPr>
          <w:sz w:val="20"/>
          <w:szCs w:val="20"/>
          <w:color w:val="auto"/>
        </w:rPr>
      </w:pPr>
      <w:r>
        <w:rPr>
          <w:rFonts w:ascii="Courier New" w:cs="Courier New" w:eastAsia="Courier New" w:hAnsi="Courier New"/>
          <w:sz w:val="18"/>
          <w:szCs w:val="18"/>
          <w:color w:val="auto"/>
        </w:rPr>
        <w:t>for 90 days.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WINNEBAGO INDUSTRIES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Winnebago Industries, Inc. is the leading manufacturer of motor homes, self-contained recreation vehicles used primarily in leisure travel and outdoor recreation activities. The Company builds quality motor homes under the Winnebago, Itasca, Rialta and Ultimate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www.winnebagoind.com/investor_relations.htm.</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more -</w:t>
      </w:r>
    </w:p>
    <w:p>
      <w:pPr>
        <w:sectPr>
          <w:pgSz w:w="11900" w:h="16838" w:orient="portrait"/>
          <w:cols w:equalWidth="0" w:num="1">
            <w:col w:w="10219"/>
          </w:cols>
          <w:pgMar w:left="240" w:top="142"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5120" w:type="dxa"/>
            <w:vAlign w:val="bottom"/>
            <w:gridSpan w:val="3"/>
          </w:tcPr>
          <w:p>
            <w:pPr>
              <w:spacing w:after="0"/>
              <w:rPr>
                <w:sz w:val="20"/>
                <w:szCs w:val="20"/>
                <w:color w:val="auto"/>
              </w:rPr>
            </w:pPr>
            <w:r>
              <w:rPr>
                <w:rFonts w:ascii="Courier New" w:cs="Courier New" w:eastAsia="Courier New" w:hAnsi="Courier New"/>
                <w:sz w:val="18"/>
                <w:szCs w:val="18"/>
                <w:color w:val="auto"/>
                <w:w w:val="98"/>
              </w:rPr>
              <w:t>Winnebago Industries' 2nd Quarter Results - Page</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3</w:t>
            </w: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608"/>
        </w:trPr>
        <w:tc>
          <w:tcPr>
            <w:tcW w:w="5120" w:type="dxa"/>
            <w:vAlign w:val="bottom"/>
            <w:gridSpan w:val="3"/>
          </w:tcPr>
          <w:p>
            <w:pPr>
              <w:ind w:left="540"/>
              <w:spacing w:after="0"/>
              <w:rPr>
                <w:sz w:val="20"/>
                <w:szCs w:val="20"/>
                <w:color w:val="auto"/>
              </w:rPr>
            </w:pPr>
            <w:r>
              <w:rPr>
                <w:rFonts w:ascii="Courier New" w:cs="Courier New" w:eastAsia="Courier New" w:hAnsi="Courier New"/>
                <w:sz w:val="18"/>
                <w:szCs w:val="18"/>
                <w:color w:val="auto"/>
                <w:w w:val="98"/>
              </w:rPr>
              <w:t>This press release contains forward-looking</w:t>
            </w:r>
          </w:p>
        </w:tc>
        <w:tc>
          <w:tcPr>
            <w:tcW w:w="34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statements within the meaning</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85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8"/>
              </w:rPr>
              <w:t>of the Private Securities Litigation Reform Act of 1995. Investors are cautioned</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85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that forward-looking statements are inherently uncertain. A number of factors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85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could cause actual results to differ materially from these statements,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85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including, but not limited to reactions to actual or threatened terrorist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85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9"/>
              </w:rPr>
              <w:t>attacks, the availability and price of fuel, a significant increase in interest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85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rates, a slowdown in the economy, availability of chassis, slower than</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85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anticipated sales of new or existing products, new products introduced by</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85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competitors, collections of dealer financing receivables and other factors.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85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Additional information concerning certain risks and uncertainties that could</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85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cause actual results to differ materially from that projected or suggested is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85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contained in the Company's filings with the Securities and Exchange Commission</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85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(SEC) over the last 12 months, copies of which are available from the SEC or</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the Company upon request.</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5120" w:type="dxa"/>
            <w:vAlign w:val="bottom"/>
            <w:gridSpan w:val="3"/>
          </w:tcPr>
          <w:p>
            <w:pPr>
              <w:ind w:left="2860"/>
              <w:spacing w:after="0"/>
              <w:rPr>
                <w:sz w:val="20"/>
                <w:szCs w:val="20"/>
                <w:color w:val="auto"/>
              </w:rPr>
            </w:pPr>
            <w:r>
              <w:rPr>
                <w:rFonts w:ascii="Courier New" w:cs="Courier New" w:eastAsia="Courier New" w:hAnsi="Courier New"/>
                <w:sz w:val="18"/>
                <w:szCs w:val="18"/>
                <w:color w:val="auto"/>
                <w:w w:val="98"/>
              </w:rPr>
              <w:t>WINNEBAGO INDUSTRIES,</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6860" w:type="dxa"/>
            <w:vAlign w:val="bottom"/>
            <w:gridSpan w:val="5"/>
          </w:tcPr>
          <w:p>
            <w:pPr>
              <w:jc w:val="center"/>
              <w:ind w:left="1592"/>
              <w:spacing w:after="0" w:line="203" w:lineRule="exact"/>
              <w:rPr>
                <w:sz w:val="20"/>
                <w:szCs w:val="20"/>
                <w:color w:val="auto"/>
              </w:rPr>
            </w:pPr>
            <w:r>
              <w:rPr>
                <w:rFonts w:ascii="Courier New" w:cs="Courier New" w:eastAsia="Courier New" w:hAnsi="Courier New"/>
                <w:sz w:val="18"/>
                <w:szCs w:val="18"/>
                <w:color w:val="auto"/>
                <w:w w:val="97"/>
              </w:rPr>
              <w:t>UNAUDITED CONSOLIDATED STATEMENTS OF INCOME</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6860" w:type="dxa"/>
            <w:vAlign w:val="bottom"/>
            <w:gridSpan w:val="5"/>
          </w:tcPr>
          <w:p>
            <w:pPr>
              <w:jc w:val="center"/>
              <w:ind w:left="1592"/>
              <w:spacing w:after="0" w:line="203" w:lineRule="exact"/>
              <w:rPr>
                <w:sz w:val="20"/>
                <w:szCs w:val="20"/>
                <w:color w:val="auto"/>
              </w:rPr>
            </w:pPr>
            <w:r>
              <w:rPr>
                <w:rFonts w:ascii="Courier New" w:cs="Courier New" w:eastAsia="Courier New" w:hAnsi="Courier New"/>
                <w:sz w:val="18"/>
                <w:szCs w:val="18"/>
                <w:color w:val="auto"/>
                <w:w w:val="97"/>
              </w:rPr>
              <w:t>(IN THOUSANDS EXCEPT PER SHARE AMOUNTS)</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810"/>
        </w:trPr>
        <w:tc>
          <w:tcPr>
            <w:tcW w:w="3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26 WEEKS</w:t>
            </w:r>
          </w:p>
        </w:tc>
        <w:tc>
          <w:tcPr>
            <w:tcW w:w="94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4"/>
              </w:rPr>
              <w:t>27 WEEKS</w:t>
            </w:r>
          </w:p>
        </w:tc>
      </w:tr>
      <w:tr>
        <w:trPr>
          <w:trHeight w:val="203"/>
        </w:trPr>
        <w:tc>
          <w:tcPr>
            <w:tcW w:w="3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4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QUARTER ENDED</w:t>
            </w:r>
          </w:p>
        </w:tc>
        <w:tc>
          <w:tcPr>
            <w:tcW w:w="42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ENDED</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390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3/1/2003</w:t>
            </w: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3/2/2002</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3/1/2003</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3/2/2002</w:t>
            </w:r>
          </w:p>
        </w:tc>
      </w:tr>
      <w:tr>
        <w:trPr>
          <w:trHeight w:val="203"/>
        </w:trPr>
        <w:tc>
          <w:tcPr>
            <w:tcW w:w="390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$186,728</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183,055</w:t>
            </w:r>
          </w:p>
        </w:tc>
        <w:tc>
          <w:tcPr>
            <w:tcW w:w="420" w:type="dxa"/>
            <w:vAlign w:val="bottom"/>
          </w:tcPr>
          <w:p>
            <w:pPr>
              <w:ind w:left="320"/>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420,817</w:t>
            </w:r>
          </w:p>
        </w:tc>
        <w:tc>
          <w:tcPr>
            <w:tcW w:w="220" w:type="dxa"/>
            <w:vAlign w:val="bottom"/>
          </w:tcPr>
          <w:p>
            <w:pPr>
              <w:ind w:left="100"/>
              <w:spacing w:after="0"/>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w w:val="92"/>
              </w:rPr>
              <w:t>360,857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4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159,590</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160,117</w:t>
            </w:r>
          </w:p>
        </w:tc>
        <w:tc>
          <w:tcPr>
            <w:tcW w:w="4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357,865</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313,687</w:t>
            </w:r>
          </w:p>
        </w:tc>
      </w:tr>
      <w:tr>
        <w:trPr>
          <w:trHeight w:val="203"/>
        </w:trPr>
        <w:tc>
          <w:tcPr>
            <w:tcW w:w="3900" w:type="dxa"/>
            <w:vAlign w:val="bottom"/>
          </w:tcPr>
          <w:p>
            <w:pPr>
              <w:spacing w:after="0"/>
              <w:rPr>
                <w:sz w:val="17"/>
                <w:szCs w:val="17"/>
                <w:color w:val="auto"/>
              </w:rPr>
            </w:pPr>
          </w:p>
        </w:tc>
        <w:tc>
          <w:tcPr>
            <w:tcW w:w="55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Gross profit</w:t>
            </w:r>
          </w:p>
        </w:tc>
        <w:tc>
          <w:tcPr>
            <w:tcW w:w="4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27,138</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22,938</w:t>
            </w:r>
          </w:p>
        </w:tc>
        <w:tc>
          <w:tcPr>
            <w:tcW w:w="4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62,952</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47,170</w:t>
            </w:r>
          </w:p>
        </w:tc>
      </w:tr>
      <w:tr>
        <w:trPr>
          <w:trHeight w:val="203"/>
        </w:trPr>
        <w:tc>
          <w:tcPr>
            <w:tcW w:w="3900" w:type="dxa"/>
            <w:vAlign w:val="bottom"/>
          </w:tcPr>
          <w:p>
            <w:pPr>
              <w:spacing w:after="0"/>
              <w:rPr>
                <w:sz w:val="17"/>
                <w:szCs w:val="17"/>
                <w:color w:val="auto"/>
              </w:rPr>
            </w:pPr>
          </w:p>
        </w:tc>
        <w:tc>
          <w:tcPr>
            <w:tcW w:w="55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w:t>
            </w:r>
          </w:p>
        </w:tc>
        <w:tc>
          <w:tcPr>
            <w:tcW w:w="4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4,068</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4,493</w:t>
            </w:r>
          </w:p>
        </w:tc>
        <w:tc>
          <w:tcPr>
            <w:tcW w:w="4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8,755</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9,310</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4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2,950</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5,031</w:t>
            </w:r>
          </w:p>
        </w:tc>
        <w:tc>
          <w:tcPr>
            <w:tcW w:w="4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8,087</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9,135</w:t>
            </w:r>
          </w:p>
        </w:tc>
      </w:tr>
      <w:tr>
        <w:trPr>
          <w:trHeight w:val="203"/>
        </w:trPr>
        <w:tc>
          <w:tcPr>
            <w:tcW w:w="3900" w:type="dxa"/>
            <w:vAlign w:val="bottom"/>
          </w:tcPr>
          <w:p>
            <w:pPr>
              <w:spacing w:after="0"/>
              <w:rPr>
                <w:sz w:val="17"/>
                <w:szCs w:val="17"/>
                <w:color w:val="auto"/>
              </w:rPr>
            </w:pPr>
          </w:p>
        </w:tc>
        <w:tc>
          <w:tcPr>
            <w:tcW w:w="55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4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7,018</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9,524</w:t>
            </w:r>
          </w:p>
        </w:tc>
        <w:tc>
          <w:tcPr>
            <w:tcW w:w="4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16,842</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18,445</w:t>
            </w:r>
          </w:p>
        </w:tc>
      </w:tr>
      <w:tr>
        <w:trPr>
          <w:trHeight w:val="203"/>
        </w:trPr>
        <w:tc>
          <w:tcPr>
            <w:tcW w:w="3900" w:type="dxa"/>
            <w:vAlign w:val="bottom"/>
          </w:tcPr>
          <w:p>
            <w:pPr>
              <w:spacing w:after="0"/>
              <w:rPr>
                <w:sz w:val="17"/>
                <w:szCs w:val="17"/>
                <w:color w:val="auto"/>
              </w:rPr>
            </w:pPr>
          </w:p>
        </w:tc>
        <w:tc>
          <w:tcPr>
            <w:tcW w:w="55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4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20,120</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13,414</w:t>
            </w:r>
          </w:p>
        </w:tc>
        <w:tc>
          <w:tcPr>
            <w:tcW w:w="4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46,110</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28,725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income</w:t>
            </w:r>
          </w:p>
        </w:tc>
        <w:tc>
          <w:tcPr>
            <w:tcW w:w="4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912</w:t>
            </w:r>
          </w:p>
        </w:tc>
        <w:tc>
          <w:tcPr>
            <w:tcW w:w="4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493</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1,804</w:t>
            </w:r>
          </w:p>
        </w:tc>
      </w:tr>
      <w:tr>
        <w:trPr>
          <w:trHeight w:val="203"/>
        </w:trPr>
        <w:tc>
          <w:tcPr>
            <w:tcW w:w="3900" w:type="dxa"/>
            <w:vAlign w:val="bottom"/>
          </w:tcPr>
          <w:p>
            <w:pPr>
              <w:spacing w:after="0"/>
              <w:rPr>
                <w:sz w:val="17"/>
                <w:szCs w:val="17"/>
                <w:color w:val="auto"/>
              </w:rPr>
            </w:pPr>
          </w:p>
        </w:tc>
        <w:tc>
          <w:tcPr>
            <w:tcW w:w="55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Pre-tax income</w:t>
            </w:r>
          </w:p>
        </w:tc>
        <w:tc>
          <w:tcPr>
            <w:tcW w:w="4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20,432</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14,326</w:t>
            </w:r>
          </w:p>
        </w:tc>
        <w:tc>
          <w:tcPr>
            <w:tcW w:w="4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46,603</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30,529</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4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8,123</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4,878</w:t>
            </w:r>
          </w:p>
        </w:tc>
        <w:tc>
          <w:tcPr>
            <w:tcW w:w="4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18,016</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10,371</w:t>
            </w:r>
          </w:p>
        </w:tc>
      </w:tr>
      <w:tr>
        <w:trPr>
          <w:trHeight w:val="203"/>
        </w:trPr>
        <w:tc>
          <w:tcPr>
            <w:tcW w:w="3900" w:type="dxa"/>
            <w:vAlign w:val="bottom"/>
          </w:tcPr>
          <w:p>
            <w:pPr>
              <w:spacing w:after="0"/>
              <w:rPr>
                <w:sz w:val="17"/>
                <w:szCs w:val="17"/>
                <w:color w:val="auto"/>
              </w:rPr>
            </w:pPr>
          </w:p>
        </w:tc>
        <w:tc>
          <w:tcPr>
            <w:tcW w:w="55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$ 12,309</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9,448</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28,587</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20,158</w:t>
            </w:r>
          </w:p>
        </w:tc>
      </w:tr>
      <w:tr>
        <w:trPr>
          <w:trHeight w:val="203"/>
        </w:trPr>
        <w:tc>
          <w:tcPr>
            <w:tcW w:w="3900" w:type="dxa"/>
            <w:vAlign w:val="bottom"/>
          </w:tcPr>
          <w:p>
            <w:pPr>
              <w:spacing w:after="0"/>
              <w:rPr>
                <w:sz w:val="17"/>
                <w:szCs w:val="17"/>
                <w:color w:val="auto"/>
              </w:rPr>
            </w:pPr>
          </w:p>
        </w:tc>
        <w:tc>
          <w:tcPr>
            <w:tcW w:w="55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per share - basic</w:t>
            </w:r>
          </w:p>
        </w:tc>
        <w:tc>
          <w:tcPr>
            <w:tcW w:w="42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2"/>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1.52</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3900" w:type="dxa"/>
            <w:vAlign w:val="bottom"/>
          </w:tcPr>
          <w:p>
            <w:pPr>
              <w:spacing w:after="0"/>
              <w:rPr>
                <w:sz w:val="17"/>
                <w:szCs w:val="17"/>
                <w:color w:val="auto"/>
              </w:rPr>
            </w:pPr>
          </w:p>
        </w:tc>
        <w:tc>
          <w:tcPr>
            <w:tcW w:w="55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calculations - basic</w:t>
            </w:r>
          </w:p>
        </w:tc>
        <w:tc>
          <w:tcPr>
            <w:tcW w:w="4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18,775</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20,760</w:t>
            </w:r>
          </w:p>
        </w:tc>
        <w:tc>
          <w:tcPr>
            <w:tcW w:w="4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18,750</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20,715</w:t>
            </w:r>
          </w:p>
        </w:tc>
      </w:tr>
      <w:tr>
        <w:trPr>
          <w:trHeight w:val="203"/>
        </w:trPr>
        <w:tc>
          <w:tcPr>
            <w:tcW w:w="3900" w:type="dxa"/>
            <w:vAlign w:val="bottom"/>
          </w:tcPr>
          <w:p>
            <w:pPr>
              <w:spacing w:after="0"/>
              <w:rPr>
                <w:sz w:val="17"/>
                <w:szCs w:val="17"/>
                <w:color w:val="auto"/>
              </w:rPr>
            </w:pPr>
          </w:p>
        </w:tc>
        <w:tc>
          <w:tcPr>
            <w:tcW w:w="55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share - diluted</w:t>
            </w:r>
          </w:p>
        </w:tc>
        <w:tc>
          <w:tcPr>
            <w:tcW w:w="42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2"/>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1.50</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3900" w:type="dxa"/>
            <w:vAlign w:val="bottom"/>
          </w:tcPr>
          <w:p>
            <w:pPr>
              <w:spacing w:after="0"/>
              <w:rPr>
                <w:sz w:val="17"/>
                <w:szCs w:val="17"/>
                <w:color w:val="auto"/>
              </w:rPr>
            </w:pPr>
          </w:p>
        </w:tc>
        <w:tc>
          <w:tcPr>
            <w:tcW w:w="55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calculations - diluted</w:t>
            </w:r>
          </w:p>
        </w:tc>
        <w:tc>
          <w:tcPr>
            <w:tcW w:w="4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19,112</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21,215</w:t>
            </w:r>
          </w:p>
        </w:tc>
        <w:tc>
          <w:tcPr>
            <w:tcW w:w="4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19,113</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21,157</w:t>
            </w:r>
          </w:p>
        </w:tc>
      </w:tr>
      <w:tr>
        <w:trPr>
          <w:trHeight w:val="203"/>
        </w:trPr>
        <w:tc>
          <w:tcPr>
            <w:tcW w:w="3900" w:type="dxa"/>
            <w:vAlign w:val="bottom"/>
          </w:tcPr>
          <w:p>
            <w:pPr>
              <w:spacing w:after="0"/>
              <w:rPr>
                <w:sz w:val="17"/>
                <w:szCs w:val="17"/>
                <w:color w:val="auto"/>
              </w:rPr>
            </w:pPr>
          </w:p>
        </w:tc>
        <w:tc>
          <w:tcPr>
            <w:tcW w:w="55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Certain prior year information has been reclassified to conform to the current year presentation.</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more -</w:t>
      </w:r>
    </w:p>
    <w:p>
      <w:pPr>
        <w:sectPr>
          <w:pgSz w:w="11900" w:h="16838" w:orient="portrait"/>
          <w:cols w:equalWidth="0" w:num="1">
            <w:col w:w="10219"/>
          </w:cols>
          <w:pgMar w:left="240" w:top="9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20"/>
                <w:szCs w:val="20"/>
                <w:color w:val="auto"/>
              </w:rPr>
            </w:pPr>
            <w:r>
              <w:rPr>
                <w:rFonts w:ascii="Courier New" w:cs="Courier New" w:eastAsia="Courier New" w:hAnsi="Courier New"/>
                <w:sz w:val="18"/>
                <w:szCs w:val="18"/>
                <w:color w:val="auto"/>
                <w:w w:val="99"/>
              </w:rPr>
              <w:t>Winnebago Industries' 2nd Quarter Results - Page 4</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608"/>
        </w:trPr>
        <w:tc>
          <w:tcPr>
            <w:tcW w:w="6900" w:type="dxa"/>
            <w:vAlign w:val="bottom"/>
            <w:gridSpan w:val="2"/>
          </w:tcPr>
          <w:p>
            <w:pPr>
              <w:jc w:val="right"/>
              <w:ind w:right="912"/>
              <w:spacing w:after="0"/>
              <w:rPr>
                <w:sz w:val="20"/>
                <w:szCs w:val="20"/>
                <w:color w:val="auto"/>
              </w:rPr>
            </w:pPr>
            <w:r>
              <w:rPr>
                <w:rFonts w:ascii="Courier New" w:cs="Courier New" w:eastAsia="Courier New" w:hAnsi="Courier New"/>
                <w:sz w:val="18"/>
                <w:szCs w:val="18"/>
                <w:color w:val="auto"/>
              </w:rPr>
              <w:t>WINNEBAGO INDUSTRIES, INC.</w:t>
            </w:r>
          </w:p>
        </w:tc>
        <w:tc>
          <w:tcPr>
            <w:tcW w:w="1540" w:type="dxa"/>
            <w:vAlign w:val="bottom"/>
          </w:tcPr>
          <w:p>
            <w:pPr>
              <w:spacing w:after="0"/>
              <w:rPr>
                <w:sz w:val="24"/>
                <w:szCs w:val="24"/>
                <w:color w:val="auto"/>
              </w:rPr>
            </w:pPr>
          </w:p>
        </w:tc>
      </w:tr>
      <w:tr>
        <w:trPr>
          <w:trHeight w:val="203"/>
        </w:trPr>
        <w:tc>
          <w:tcPr>
            <w:tcW w:w="6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1540" w:type="dxa"/>
            <w:vAlign w:val="bottom"/>
          </w:tcPr>
          <w:p>
            <w:pPr>
              <w:spacing w:after="0"/>
              <w:rPr>
                <w:sz w:val="17"/>
                <w:szCs w:val="17"/>
                <w:color w:val="auto"/>
              </w:rPr>
            </w:pPr>
          </w:p>
        </w:tc>
      </w:tr>
      <w:tr>
        <w:trPr>
          <w:trHeight w:val="203"/>
        </w:trPr>
        <w:tc>
          <w:tcPr>
            <w:tcW w:w="5380" w:type="dxa"/>
            <w:vAlign w:val="bottom"/>
          </w:tcPr>
          <w:p>
            <w:pPr>
              <w:ind w:left="3800"/>
              <w:spacing w:after="0" w:line="203" w:lineRule="exact"/>
              <w:rPr>
                <w:sz w:val="20"/>
                <w:szCs w:val="20"/>
                <w:color w:val="auto"/>
              </w:rPr>
            </w:pPr>
            <w:r>
              <w:rPr>
                <w:rFonts w:ascii="Courier New" w:cs="Courier New" w:eastAsia="Courier New" w:hAnsi="Courier New"/>
                <w:sz w:val="18"/>
                <w:szCs w:val="18"/>
                <w:color w:val="auto"/>
              </w:rPr>
              <w:t>(IN THOUSANDS)</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5380" w:type="dxa"/>
            <w:vAlign w:val="bottom"/>
          </w:tcPr>
          <w:p>
            <w:pPr>
              <w:spacing w:after="0"/>
              <w:rPr>
                <w:sz w:val="24"/>
                <w:szCs w:val="24"/>
                <w:color w:val="auto"/>
              </w:rPr>
            </w:pP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MAR. 1, 2003</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AUG. 31, 2002</w:t>
            </w:r>
          </w:p>
        </w:tc>
      </w:tr>
      <w:tr>
        <w:trPr>
          <w:trHeight w:val="203"/>
        </w:trPr>
        <w:tc>
          <w:tcPr>
            <w:tcW w:w="5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154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$ 39,507</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$ 42,225</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60,828</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66,496</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127,405</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113,654</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12,327</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11,221</w:t>
            </w:r>
          </w:p>
        </w:tc>
      </w:tr>
      <w:tr>
        <w:trPr>
          <w:trHeight w:val="203"/>
        </w:trPr>
        <w:tc>
          <w:tcPr>
            <w:tcW w:w="5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240,067</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233,596</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62,354</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48,927</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22,956</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22,438</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 life insurance</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23,344</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23,602</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9,484</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8,514</w:t>
            </w:r>
          </w:p>
        </w:tc>
      </w:tr>
      <w:tr>
        <w:trPr>
          <w:trHeight w:val="203"/>
        </w:trPr>
        <w:tc>
          <w:tcPr>
            <w:tcW w:w="5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$358,205</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$337,077</w:t>
            </w:r>
          </w:p>
        </w:tc>
      </w:tr>
      <w:tr>
        <w:trPr>
          <w:trHeight w:val="203"/>
        </w:trPr>
        <w:tc>
          <w:tcPr>
            <w:tcW w:w="5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8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$ 42,437</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$ 44,230</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4,347</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2,610</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41,950</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41,761</w:t>
            </w:r>
          </w:p>
        </w:tc>
      </w:tr>
      <w:tr>
        <w:trPr>
          <w:trHeight w:val="203"/>
        </w:trPr>
        <w:tc>
          <w:tcPr>
            <w:tcW w:w="5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88,734</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88,601</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Post retirement health care and</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compensation benefits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70,489</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68,661</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198,982</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179,815</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$358,205</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$337,077</w:t>
            </w:r>
          </w:p>
        </w:tc>
      </w:tr>
      <w:tr>
        <w:trPr>
          <w:trHeight w:val="203"/>
        </w:trPr>
        <w:tc>
          <w:tcPr>
            <w:tcW w:w="5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2019-12-13T08:12:59Z</dcterms:created>
  <dcterms:modified xsi:type="dcterms:W3CDTF">2019-12-13T08:12:59Z</dcterms:modified>
</cp:coreProperties>
</file>