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10-Q</w:t>
      </w:r>
    </w:p>
    <w:p>
      <w:pPr>
        <w:spacing w:after="0" w:line="82"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44"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44" w:lineRule="exact"/>
        <w:rPr>
          <w:sz w:val="24"/>
          <w:szCs w:val="24"/>
          <w:color w:val="auto"/>
        </w:rPr>
      </w:pPr>
    </w:p>
    <w:p>
      <w:pPr>
        <w:ind w:right="2580" w:firstLine="355"/>
        <w:spacing w:after="0" w:line="378" w:lineRule="auto"/>
        <w:rPr>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November 27, 2021</w:t>
      </w:r>
    </w:p>
    <w:p>
      <w:pPr>
        <w:spacing w:after="0" w:line="1"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or</w:t>
      </w:r>
    </w:p>
    <w:p>
      <w:pPr>
        <w:spacing w:after="0" w:line="66" w:lineRule="exact"/>
        <w:rPr>
          <w:sz w:val="24"/>
          <w:szCs w:val="24"/>
          <w:color w:val="auto"/>
        </w:rPr>
      </w:pPr>
    </w:p>
    <w:p>
      <w:pPr>
        <w:ind w:left="280" w:right="2680" w:hanging="254"/>
        <w:spacing w:after="0" w:line="365" w:lineRule="auto"/>
        <w:tabs>
          <w:tab w:leader="none" w:pos="2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jc w:val="center"/>
        <w:ind w:right="60"/>
        <w:spacing w:after="0"/>
        <w:rPr>
          <w:sz w:val="20"/>
          <w:szCs w:val="20"/>
          <w:color w:val="auto"/>
        </w:rPr>
      </w:pPr>
      <w:r>
        <w:rPr>
          <w:rFonts w:ascii="Arial" w:cs="Arial" w:eastAsia="Arial" w:hAnsi="Arial"/>
          <w:sz w:val="16"/>
          <w:szCs w:val="16"/>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62230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4" w:lineRule="exact"/>
        <w:rPr>
          <w:sz w:val="24"/>
          <w:szCs w:val="24"/>
          <w:color w:val="auto"/>
        </w:rPr>
      </w:pPr>
    </w:p>
    <w:tbl>
      <w:tblPr>
        <w:tblLayout w:type="fixed"/>
        <w:tblInd w:w="10" w:type="dxa"/>
        <w:tblCellMar>
          <w:top w:w="0" w:type="dxa"/>
          <w:left w:w="0" w:type="dxa"/>
          <w:bottom w:w="0" w:type="dxa"/>
          <w:right w:w="0" w:type="dxa"/>
        </w:tblCellMar>
      </w:tblPr>
      <w:tr>
        <w:trPr>
          <w:trHeight w:val="218"/>
        </w:trPr>
        <w:tc>
          <w:tcPr>
            <w:tcW w:w="1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center"/>
              <w:ind w:right="459"/>
              <w:spacing w:after="0"/>
              <w:rPr>
                <w:sz w:val="20"/>
                <w:szCs w:val="20"/>
                <w:color w:val="auto"/>
              </w:rPr>
            </w:pPr>
            <w:r>
              <w:rPr>
                <w:rFonts w:ascii="Arial" w:cs="Arial" w:eastAsia="Arial" w:hAnsi="Arial"/>
                <w:sz w:val="16"/>
                <w:szCs w:val="16"/>
                <w:b w:val="1"/>
                <w:bCs w:val="1"/>
                <w:color w:val="auto"/>
              </w:rPr>
              <w:t>Iowa</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tcBorders>
              <w:bottom w:val="single" w:sz="8" w:color="auto"/>
            </w:tcBorders>
            <w:gridSpan w:val="3"/>
          </w:tcPr>
          <w:p>
            <w:pPr>
              <w:jc w:val="right"/>
              <w:ind w:right="2000"/>
              <w:spacing w:after="0"/>
              <w:rPr>
                <w:sz w:val="20"/>
                <w:szCs w:val="20"/>
                <w:color w:val="auto"/>
              </w:rPr>
            </w:pPr>
            <w:r>
              <w:rPr>
                <w:rFonts w:ascii="Arial" w:cs="Arial" w:eastAsia="Arial" w:hAnsi="Arial"/>
                <w:sz w:val="16"/>
                <w:szCs w:val="16"/>
                <w:b w:val="1"/>
                <w:bCs w:val="1"/>
                <w:color w:val="auto"/>
              </w:rPr>
              <w:t>42-0802678</w:t>
            </w:r>
          </w:p>
        </w:tc>
      </w:tr>
      <w:tr>
        <w:trPr>
          <w:trHeight w:val="207"/>
        </w:trPr>
        <w:tc>
          <w:tcPr>
            <w:tcW w:w="6420" w:type="dxa"/>
            <w:vAlign w:val="bottom"/>
            <w:gridSpan w:val="6"/>
          </w:tcPr>
          <w:p>
            <w:pPr>
              <w:jc w:val="center"/>
              <w:ind w:right="680"/>
              <w:spacing w:after="0"/>
              <w:rPr>
                <w:sz w:val="20"/>
                <w:szCs w:val="20"/>
                <w:color w:val="auto"/>
              </w:rPr>
            </w:pPr>
            <w:r>
              <w:rPr>
                <w:rFonts w:ascii="Arial" w:cs="Arial" w:eastAsia="Arial" w:hAnsi="Arial"/>
                <w:sz w:val="16"/>
                <w:szCs w:val="16"/>
                <w:color w:val="auto"/>
              </w:rPr>
              <w:t>(State or other jurisdiction of incorporation or organization)</w:t>
            </w:r>
          </w:p>
        </w:tc>
        <w:tc>
          <w:tcPr>
            <w:tcW w:w="80" w:type="dxa"/>
            <w:vAlign w:val="bottom"/>
          </w:tcPr>
          <w:p>
            <w:pPr>
              <w:spacing w:after="0"/>
              <w:rPr>
                <w:sz w:val="17"/>
                <w:szCs w:val="17"/>
                <w:color w:val="auto"/>
              </w:rPr>
            </w:pPr>
          </w:p>
        </w:tc>
        <w:tc>
          <w:tcPr>
            <w:tcW w:w="4760" w:type="dxa"/>
            <w:vAlign w:val="bottom"/>
            <w:gridSpan w:val="2"/>
          </w:tcPr>
          <w:p>
            <w:pPr>
              <w:jc w:val="center"/>
              <w:ind w:right="100"/>
              <w:spacing w:after="0"/>
              <w:rPr>
                <w:sz w:val="20"/>
                <w:szCs w:val="20"/>
                <w:color w:val="auto"/>
              </w:rPr>
            </w:pPr>
            <w:r>
              <w:rPr>
                <w:rFonts w:ascii="Arial" w:cs="Arial" w:eastAsia="Arial" w:hAnsi="Arial"/>
                <w:sz w:val="16"/>
                <w:szCs w:val="16"/>
                <w:color w:val="auto"/>
              </w:rPr>
              <w:t>(I.R.S. Employer Identification No.)</w:t>
            </w:r>
          </w:p>
        </w:tc>
      </w:tr>
      <w:tr>
        <w:trPr>
          <w:trHeight w:val="273"/>
        </w:trPr>
        <w:tc>
          <w:tcPr>
            <w:tcW w:w="1720" w:type="dxa"/>
            <w:vAlign w:val="bottom"/>
          </w:tcPr>
          <w:p>
            <w:pPr>
              <w:ind w:left="240"/>
              <w:spacing w:after="0"/>
              <w:rPr>
                <w:sz w:val="20"/>
                <w:szCs w:val="20"/>
                <w:color w:val="auto"/>
              </w:rPr>
            </w:pPr>
            <w:r>
              <w:rPr>
                <w:rFonts w:ascii="Arial" w:cs="Arial" w:eastAsia="Arial" w:hAnsi="Arial"/>
                <w:sz w:val="16"/>
                <w:szCs w:val="16"/>
                <w:b w:val="1"/>
                <w:bCs w:val="1"/>
                <w:color w:val="auto"/>
              </w:rPr>
              <w:t>13200 Pioneer Trail</w:t>
            </w:r>
          </w:p>
        </w:tc>
        <w:tc>
          <w:tcPr>
            <w:tcW w:w="220" w:type="dxa"/>
            <w:vAlign w:val="bottom"/>
          </w:tcPr>
          <w:p>
            <w:pPr>
              <w:spacing w:after="0"/>
              <w:rPr>
                <w:sz w:val="23"/>
                <w:szCs w:val="23"/>
                <w:color w:val="auto"/>
              </w:rPr>
            </w:pPr>
          </w:p>
        </w:tc>
        <w:tc>
          <w:tcPr>
            <w:tcW w:w="2380" w:type="dxa"/>
            <w:vAlign w:val="bottom"/>
          </w:tcPr>
          <w:p>
            <w:pPr>
              <w:ind w:left="500"/>
              <w:spacing w:after="0"/>
              <w:rPr>
                <w:sz w:val="20"/>
                <w:szCs w:val="20"/>
                <w:color w:val="auto"/>
              </w:rPr>
            </w:pPr>
            <w:r>
              <w:rPr>
                <w:rFonts w:ascii="Arial" w:cs="Arial" w:eastAsia="Arial" w:hAnsi="Arial"/>
                <w:sz w:val="16"/>
                <w:szCs w:val="16"/>
                <w:b w:val="1"/>
                <w:bCs w:val="1"/>
                <w:color w:val="auto"/>
              </w:rPr>
              <w:t>Eden Prairie</w:t>
            </w:r>
          </w:p>
        </w:tc>
        <w:tc>
          <w:tcPr>
            <w:tcW w:w="2100" w:type="dxa"/>
            <w:vAlign w:val="bottom"/>
            <w:gridSpan w:val="3"/>
          </w:tcPr>
          <w:p>
            <w:pPr>
              <w:jc w:val="right"/>
              <w:ind w:right="1220"/>
              <w:spacing w:after="0"/>
              <w:rPr>
                <w:sz w:val="20"/>
                <w:szCs w:val="20"/>
                <w:color w:val="auto"/>
              </w:rPr>
            </w:pPr>
            <w:r>
              <w:rPr>
                <w:rFonts w:ascii="Arial" w:cs="Arial" w:eastAsia="Arial" w:hAnsi="Arial"/>
                <w:sz w:val="16"/>
                <w:szCs w:val="16"/>
                <w:b w:val="1"/>
                <w:bCs w:val="1"/>
                <w:color w:val="auto"/>
              </w:rPr>
              <w:t>Minnesota</w:t>
            </w:r>
          </w:p>
        </w:tc>
        <w:tc>
          <w:tcPr>
            <w:tcW w:w="4840" w:type="dxa"/>
            <w:vAlign w:val="bottom"/>
            <w:gridSpan w:val="3"/>
          </w:tcPr>
          <w:p>
            <w:pPr>
              <w:jc w:val="right"/>
              <w:ind w:right="2200"/>
              <w:spacing w:after="0"/>
              <w:rPr>
                <w:sz w:val="20"/>
                <w:szCs w:val="20"/>
                <w:color w:val="auto"/>
              </w:rPr>
            </w:pPr>
            <w:r>
              <w:rPr>
                <w:rFonts w:ascii="Arial" w:cs="Arial" w:eastAsia="Arial" w:hAnsi="Arial"/>
                <w:sz w:val="16"/>
                <w:szCs w:val="16"/>
                <w:b w:val="1"/>
                <w:bCs w:val="1"/>
                <w:color w:val="auto"/>
              </w:rPr>
              <w:t>55347</w:t>
            </w:r>
          </w:p>
        </w:tc>
      </w:tr>
      <w:tr>
        <w:trPr>
          <w:trHeight w:val="207"/>
        </w:trPr>
        <w:tc>
          <w:tcPr>
            <w:tcW w:w="4320" w:type="dxa"/>
            <w:vAlign w:val="bottom"/>
            <w:tcBorders>
              <w:top w:val="single" w:sz="8" w:color="auto"/>
            </w:tcBorders>
            <w:gridSpan w:val="3"/>
          </w:tcPr>
          <w:p>
            <w:pPr>
              <w:jc w:val="center"/>
              <w:ind w:left="1319"/>
              <w:spacing w:after="0"/>
              <w:rPr>
                <w:sz w:val="20"/>
                <w:szCs w:val="20"/>
                <w:color w:val="auto"/>
              </w:rPr>
            </w:pPr>
            <w:r>
              <w:rPr>
                <w:rFonts w:ascii="Arial" w:cs="Arial" w:eastAsia="Arial" w:hAnsi="Arial"/>
                <w:sz w:val="16"/>
                <w:szCs w:val="16"/>
                <w:color w:val="auto"/>
              </w:rPr>
              <w:t>(Address of principal executive offices)</w:t>
            </w: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76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color w:val="auto"/>
              </w:rPr>
              <w:t>(Zip Code)</w:t>
            </w:r>
          </w:p>
        </w:tc>
      </w:tr>
      <w:tr>
        <w:trPr>
          <w:trHeight w:val="273"/>
        </w:trPr>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6"/>
                <w:szCs w:val="16"/>
                <w:b w:val="1"/>
                <w:bCs w:val="1"/>
                <w:color w:val="auto"/>
              </w:rPr>
              <w:t>952-829-8600</w:t>
            </w:r>
          </w:p>
        </w:tc>
        <w:tc>
          <w:tcPr>
            <w:tcW w:w="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tcPr>
          <w:p>
            <w:pPr>
              <w:spacing w:after="0"/>
              <w:rPr>
                <w:sz w:val="23"/>
                <w:szCs w:val="23"/>
                <w:color w:val="auto"/>
              </w:rPr>
            </w:pPr>
          </w:p>
        </w:tc>
        <w:tc>
          <w:tcPr>
            <w:tcW w:w="2260" w:type="dxa"/>
            <w:vAlign w:val="bottom"/>
          </w:tcPr>
          <w:p>
            <w:pPr>
              <w:spacing w:after="0"/>
              <w:rPr>
                <w:sz w:val="23"/>
                <w:szCs w:val="23"/>
                <w:color w:val="auto"/>
              </w:rPr>
            </w:pPr>
          </w:p>
        </w:tc>
      </w:tr>
      <w:tr>
        <w:trPr>
          <w:trHeight w:val="193"/>
        </w:trPr>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320" w:type="dxa"/>
            <w:vAlign w:val="bottom"/>
            <w:gridSpan w:val="7"/>
          </w:tcPr>
          <w:p>
            <w:pPr>
              <w:jc w:val="center"/>
              <w:ind w:right="1960"/>
              <w:spacing w:after="0"/>
              <w:rPr>
                <w:sz w:val="20"/>
                <w:szCs w:val="20"/>
                <w:color w:val="auto"/>
              </w:rPr>
            </w:pPr>
            <w:r>
              <w:rPr>
                <w:rFonts w:ascii="Arial" w:cs="Arial" w:eastAsia="Arial" w:hAnsi="Arial"/>
                <w:sz w:val="16"/>
                <w:szCs w:val="16"/>
                <w:color w:val="auto"/>
              </w:rPr>
              <w:t>(Registrant's telephone number, including area code)</w:t>
            </w:r>
          </w:p>
        </w:tc>
      </w:tr>
      <w:tr>
        <w:trPr>
          <w:trHeight w:val="540"/>
        </w:trPr>
        <w:tc>
          <w:tcPr>
            <w:tcW w:w="43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r>
        <w:trPr>
          <w:trHeight w:val="213"/>
        </w:trPr>
        <w:tc>
          <w:tcPr>
            <w:tcW w:w="1720" w:type="dxa"/>
            <w:vAlign w:val="bottom"/>
            <w:tcBorders>
              <w:left w:val="single" w:sz="8" w:color="auto"/>
              <w:bottom w:val="single" w:sz="8" w:color="auto"/>
            </w:tcBorders>
          </w:tcPr>
          <w:p>
            <w:pPr>
              <w:spacing w:after="0"/>
              <w:rPr>
                <w:sz w:val="18"/>
                <w:szCs w:val="18"/>
                <w:color w:val="auto"/>
              </w:rPr>
            </w:pPr>
          </w:p>
        </w:tc>
        <w:tc>
          <w:tcPr>
            <w:tcW w:w="2600" w:type="dxa"/>
            <w:vAlign w:val="bottom"/>
            <w:tcBorders>
              <w:bottom w:val="single" w:sz="8" w:color="auto"/>
            </w:tcBorders>
            <w:gridSpan w:val="2"/>
          </w:tcPr>
          <w:p>
            <w:pPr>
              <w:jc w:val="center"/>
              <w:ind w:right="1179"/>
              <w:spacing w:after="0"/>
              <w:rPr>
                <w:sz w:val="20"/>
                <w:szCs w:val="20"/>
                <w:color w:val="auto"/>
              </w:rPr>
            </w:pPr>
            <w:r>
              <w:rPr>
                <w:rFonts w:ascii="Arial" w:cs="Arial" w:eastAsia="Arial" w:hAnsi="Arial"/>
                <w:sz w:val="16"/>
                <w:szCs w:val="16"/>
                <w:color w:val="auto"/>
              </w:rPr>
              <w:t>Title of each class</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Trading Symbol(s)</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320" w:type="dxa"/>
            <w:vAlign w:val="bottom"/>
            <w:tcBorders>
              <w:left w:val="single" w:sz="8" w:color="auto"/>
              <w:bottom w:val="single" w:sz="8" w:color="auto"/>
            </w:tcBorders>
            <w:gridSpan w:val="3"/>
          </w:tcPr>
          <w:p>
            <w:pPr>
              <w:jc w:val="center"/>
              <w:ind w:left="379"/>
              <w:spacing w:after="0"/>
              <w:rPr>
                <w:sz w:val="20"/>
                <w:szCs w:val="20"/>
                <w:color w:val="auto"/>
              </w:rPr>
            </w:pPr>
            <w:r>
              <w:rPr>
                <w:rFonts w:ascii="Arial" w:cs="Arial" w:eastAsia="Arial" w:hAnsi="Arial"/>
                <w:sz w:val="16"/>
                <w:szCs w:val="16"/>
                <w:color w:val="auto"/>
              </w:rPr>
              <w:t>Common Stock, $0.50 par value per share</w:t>
            </w:r>
          </w:p>
        </w:tc>
        <w:tc>
          <w:tcPr>
            <w:tcW w:w="4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WGO</w:t>
            </w:r>
          </w:p>
        </w:tc>
        <w:tc>
          <w:tcPr>
            <w:tcW w:w="80" w:type="dxa"/>
            <w:vAlign w:val="bottom"/>
            <w:tcBorders>
              <w:bottom w:val="single" w:sz="8" w:color="auto"/>
              <w:right w:val="single" w:sz="8" w:color="auto"/>
            </w:tcBorders>
          </w:tcPr>
          <w:p>
            <w:pPr>
              <w:spacing w:after="0"/>
              <w:rPr>
                <w:sz w:val="18"/>
                <w:szCs w:val="18"/>
                <w:color w:val="auto"/>
              </w:rPr>
            </w:pPr>
          </w:p>
        </w:tc>
        <w:tc>
          <w:tcPr>
            <w:tcW w:w="476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6"/>
                <w:szCs w:val="16"/>
                <w:color w:val="auto"/>
              </w:rPr>
              <w:t>New York Stock Exchange</w:t>
            </w:r>
          </w:p>
        </w:tc>
      </w:tr>
    </w:tbl>
    <w:p>
      <w:pPr>
        <w:spacing w:after="0" w:line="339" w:lineRule="exact"/>
        <w:rPr>
          <w:sz w:val="24"/>
          <w:szCs w:val="24"/>
          <w:color w:val="auto"/>
        </w:rPr>
      </w:pPr>
    </w:p>
    <w:p>
      <w:pPr>
        <w:jc w:val="both"/>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2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21" w:lineRule="exact"/>
        <w:rPr>
          <w:sz w:val="24"/>
          <w:szCs w:val="24"/>
          <w:color w:val="auto"/>
        </w:rPr>
      </w:pPr>
    </w:p>
    <w:p>
      <w:pPr>
        <w:ind w:right="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p>
      <w:pPr>
        <w:spacing w:after="0" w:line="184" w:lineRule="exact"/>
        <w:tabs>
          <w:tab w:leader="none" w:pos="2020" w:val="left"/>
          <w:tab w:leader="none" w:pos="362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Accelerated Filer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43" w:lineRule="exact"/>
        <w:rPr>
          <w:sz w:val="24"/>
          <w:szCs w:val="24"/>
          <w:color w:val="auto"/>
        </w:rPr>
      </w:pPr>
    </w:p>
    <w:p>
      <w:pPr>
        <w:ind w:left="180"/>
        <w:spacing w:after="0" w:line="184" w:lineRule="exact"/>
        <w:tabs>
          <w:tab w:leader="none" w:pos="2760" w:val="left"/>
        </w:tabs>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2"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90" w:lineRule="exact"/>
        <w:rPr>
          <w:sz w:val="24"/>
          <w:szCs w:val="24"/>
          <w:color w:val="auto"/>
        </w:rPr>
      </w:pPr>
    </w:p>
    <w:p>
      <w:pPr>
        <w:spacing w:after="0"/>
        <w:rPr>
          <w:sz w:val="20"/>
          <w:szCs w:val="20"/>
          <w:color w:val="auto"/>
        </w:rPr>
      </w:pPr>
      <w:r>
        <w:rPr>
          <w:rFonts w:ascii="Arial" w:cs="Arial" w:eastAsia="Arial" w:hAnsi="Arial"/>
          <w:sz w:val="16"/>
          <w:szCs w:val="16"/>
          <w:color w:val="auto"/>
        </w:rPr>
        <w:t>As of December 13, 2021, there were 33,344,672 shares of common stock, par value $0.50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on Form 10-Q</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November 27, 2021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0" w:type="dxa"/>
            <w:vAlign w:val="bottom"/>
            <w:gridSpan w:val="4"/>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PART I.</w:t>
              </w:r>
            </w:hyperlink>
          </w:p>
        </w:tc>
        <w:tc>
          <w:tcPr>
            <w:tcW w:w="6400" w:type="dxa"/>
            <w:vAlign w:val="bottom"/>
            <w:gridSpan w:val="17"/>
          </w:tcPr>
          <w:p>
            <w:pPr>
              <w:spacing w:after="0"/>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FINANCIAL INFORMATION</w:t>
              </w:r>
            </w:hyperlink>
          </w:p>
        </w:tc>
        <w:tc>
          <w:tcPr>
            <w:tcW w:w="3840" w:type="dxa"/>
            <w:vAlign w:val="bottom"/>
            <w:gridSpan w:val="3"/>
          </w:tcPr>
          <w:p>
            <w:pPr>
              <w:jc w:val="right"/>
              <w:spacing w:after="0"/>
              <w:rPr>
                <w:rFonts w:ascii="Arial" w:cs="Arial" w:eastAsia="Arial" w:hAnsi="Arial"/>
                <w:sz w:val="16"/>
                <w:szCs w:val="16"/>
                <w:color w:val="0000FF"/>
              </w:rPr>
            </w:pPr>
            <w:hyperlink w:anchor="page2">
              <w:r>
                <w:rPr>
                  <w:rFonts w:ascii="Arial" w:cs="Arial" w:eastAsia="Arial" w:hAnsi="Arial"/>
                  <w:sz w:val="16"/>
                  <w:szCs w:val="16"/>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rFonts w:ascii="Arial" w:cs="Arial" w:eastAsia="Arial" w:hAnsi="Arial"/>
                <w:sz w:val="16"/>
                <w:szCs w:val="16"/>
                <w:color w:val="0000FF"/>
                <w:w w:val="93"/>
              </w:rPr>
            </w:pPr>
            <w:hyperlink w:anchor="page3">
              <w:r>
                <w:rPr>
                  <w:rFonts w:ascii="Arial" w:cs="Arial" w:eastAsia="Arial" w:hAnsi="Arial"/>
                  <w:sz w:val="16"/>
                  <w:szCs w:val="16"/>
                  <w:color w:val="0000FF"/>
                  <w:w w:val="93"/>
                </w:rPr>
                <w:t>Item 1.</w:t>
              </w:r>
            </w:hyperlink>
          </w:p>
        </w:tc>
        <w:tc>
          <w:tcPr>
            <w:tcW w:w="460" w:type="dxa"/>
            <w:vAlign w:val="bottom"/>
            <w:gridSpan w:val="3"/>
          </w:tcPr>
          <w:p>
            <w:pPr>
              <w:spacing w:after="0"/>
              <w:rPr>
                <w:sz w:val="17"/>
                <w:szCs w:val="17"/>
                <w:color w:val="auto"/>
              </w:rPr>
            </w:pPr>
          </w:p>
        </w:tc>
        <w:tc>
          <w:tcPr>
            <w:tcW w:w="6400" w:type="dxa"/>
            <w:vAlign w:val="bottom"/>
            <w:gridSpan w:val="1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Financial Statements</w:t>
              </w:r>
            </w:hyperlink>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40" w:type="dxa"/>
            <w:vAlign w:val="bottom"/>
            <w:gridSpan w:val="1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Statements of Income and Comprehensive Income</w:t>
              </w:r>
            </w:hyperlink>
          </w:p>
        </w:tc>
        <w:tc>
          <w:tcPr>
            <w:tcW w:w="1560" w:type="dxa"/>
            <w:vAlign w:val="bottom"/>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Consolidated Balance Sheets</w:t>
              </w:r>
            </w:hyperlink>
          </w:p>
        </w:tc>
        <w:tc>
          <w:tcPr>
            <w:tcW w:w="2520" w:type="dxa"/>
            <w:vAlign w:val="bottom"/>
            <w:gridSpan w:val="7"/>
          </w:tcPr>
          <w:p>
            <w:pPr>
              <w:spacing w:after="0"/>
              <w:rPr>
                <w:sz w:val="17"/>
                <w:szCs w:val="17"/>
                <w:color w:val="auto"/>
              </w:rPr>
            </w:pPr>
          </w:p>
        </w:tc>
        <w:tc>
          <w:tcPr>
            <w:tcW w:w="1560" w:type="dxa"/>
            <w:vAlign w:val="bottom"/>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gridSpan w:val="9"/>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Consolidated Statements of Cash Flows</w:t>
              </w:r>
            </w:hyperlink>
          </w:p>
        </w:tc>
        <w:tc>
          <w:tcPr>
            <w:tcW w:w="3320" w:type="dxa"/>
            <w:vAlign w:val="bottom"/>
            <w:gridSpan w:val="6"/>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0" w:type="dxa"/>
            <w:vAlign w:val="bottom"/>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Consolidated Statements of Changes in Shareholders' Equity</w:t>
              </w:r>
            </w:hyperlink>
          </w:p>
        </w:tc>
        <w:tc>
          <w:tcPr>
            <w:tcW w:w="3840" w:type="dxa"/>
            <w:vAlign w:val="bottom"/>
            <w:gridSpan w:val="3"/>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gridSpan w:val="13"/>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Consolidated Financial Statements</w:t>
              </w:r>
            </w:hyperlink>
          </w:p>
        </w:tc>
        <w:tc>
          <w:tcPr>
            <w:tcW w:w="1820" w:type="dxa"/>
            <w:vAlign w:val="bottom"/>
            <w:gridSpan w:val="2"/>
          </w:tcPr>
          <w:p>
            <w:pPr>
              <w:spacing w:after="0"/>
              <w:rPr>
                <w:sz w:val="17"/>
                <w:szCs w:val="17"/>
                <w:color w:val="auto"/>
              </w:rPr>
            </w:pPr>
          </w:p>
        </w:tc>
        <w:tc>
          <w:tcPr>
            <w:tcW w:w="3840" w:type="dxa"/>
            <w:vAlign w:val="bottom"/>
            <w:gridSpan w:val="3"/>
          </w:tcPr>
          <w:p>
            <w:pPr>
              <w:jc w:val="right"/>
              <w:spacing w:after="0"/>
              <w:rPr>
                <w:rFonts w:ascii="Arial" w:cs="Arial" w:eastAsia="Arial" w:hAnsi="Arial"/>
                <w:sz w:val="16"/>
                <w:szCs w:val="16"/>
                <w:color w:val="0000FF"/>
              </w:rPr>
            </w:pPr>
            <w:hyperlink w:anchor="page7">
              <w:r>
                <w:rPr>
                  <w:rFonts w:ascii="Arial" w:cs="Arial" w:eastAsia="Arial" w:hAnsi="Arial"/>
                  <w:sz w:val="16"/>
                  <w:szCs w:val="16"/>
                  <w:color w:val="0000FF"/>
                </w:rPr>
                <w:t>8</w:t>
              </w:r>
            </w:hyperlink>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Item 2.</w:t>
              </w:r>
            </w:hyperlink>
          </w:p>
        </w:tc>
        <w:tc>
          <w:tcPr>
            <w:tcW w:w="6400" w:type="dxa"/>
            <w:vAlign w:val="bottom"/>
            <w:gridSpan w:val="17"/>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Management's Discussion and Analysis of Financial Condition and Results of Operations.</w:t>
              </w:r>
            </w:hyperlink>
          </w:p>
        </w:tc>
        <w:tc>
          <w:tcPr>
            <w:tcW w:w="3840" w:type="dxa"/>
            <w:vAlign w:val="bottom"/>
            <w:gridSpan w:val="3"/>
          </w:tcPr>
          <w:p>
            <w:pPr>
              <w:jc w:val="right"/>
              <w:spacing w:after="0"/>
              <w:rPr>
                <w:rFonts w:ascii="Arial" w:cs="Arial" w:eastAsia="Arial" w:hAnsi="Arial"/>
                <w:sz w:val="16"/>
                <w:szCs w:val="16"/>
                <w:color w:val="0000FF"/>
              </w:rPr>
            </w:pPr>
            <w:hyperlink w:anchor="page21">
              <w:r>
                <w:rPr>
                  <w:rFonts w:ascii="Arial" w:cs="Arial" w:eastAsia="Arial" w:hAnsi="Arial"/>
                  <w:sz w:val="16"/>
                  <w:szCs w:val="16"/>
                  <w:color w:val="0000FF"/>
                </w:rPr>
                <w:t>22</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3.</w:t>
              </w:r>
            </w:hyperlink>
          </w:p>
        </w:tc>
        <w:tc>
          <w:tcPr>
            <w:tcW w:w="6400" w:type="dxa"/>
            <w:vAlign w:val="bottom"/>
            <w:gridSpan w:val="17"/>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Quantitative and Qualitative Disclosures About Market Risk</w:t>
              </w:r>
            </w:hyperlink>
          </w:p>
        </w:tc>
        <w:tc>
          <w:tcPr>
            <w:tcW w:w="3840" w:type="dxa"/>
            <w:vAlign w:val="bottom"/>
            <w:gridSpan w:val="3"/>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2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Item 4.</w:t>
              </w:r>
            </w:hyperlink>
          </w:p>
        </w:tc>
        <w:tc>
          <w:tcPr>
            <w:tcW w:w="6400" w:type="dxa"/>
            <w:vAlign w:val="bottom"/>
            <w:gridSpan w:val="17"/>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Controls and Procedures.</w:t>
              </w:r>
            </w:hyperlink>
          </w:p>
        </w:tc>
        <w:tc>
          <w:tcPr>
            <w:tcW w:w="3840" w:type="dxa"/>
            <w:vAlign w:val="bottom"/>
            <w:gridSpan w:val="3"/>
          </w:tcPr>
          <w:p>
            <w:pPr>
              <w:jc w:val="right"/>
              <w:spacing w:after="0"/>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620" w:type="dxa"/>
            <w:vAlign w:val="bottom"/>
            <w:tcBorders>
              <w:bottom w:val="single" w:sz="8" w:color="0000FF"/>
            </w:tcBorders>
            <w:gridSpan w:val="3"/>
          </w:tcPr>
          <w:p>
            <w:pPr>
              <w:spacing w:after="0"/>
              <w:rPr>
                <w:rFonts w:ascii="Arial" w:cs="Arial" w:eastAsia="Arial" w:hAnsi="Arial"/>
                <w:sz w:val="16"/>
                <w:szCs w:val="16"/>
                <w:b w:val="1"/>
                <w:bCs w:val="1"/>
                <w:color w:val="0000FF"/>
                <w:w w:val="97"/>
              </w:rPr>
            </w:pPr>
            <w:hyperlink w:anchor="page29">
              <w:r>
                <w:rPr>
                  <w:rFonts w:ascii="Arial" w:cs="Arial" w:eastAsia="Arial" w:hAnsi="Arial"/>
                  <w:sz w:val="16"/>
                  <w:szCs w:val="16"/>
                  <w:b w:val="1"/>
                  <w:bCs w:val="1"/>
                  <w:color w:val="0000FF"/>
                  <w:w w:val="97"/>
                </w:rPr>
                <w:t>PART II.</w:t>
              </w:r>
            </w:hyperlink>
          </w:p>
        </w:tc>
        <w:tc>
          <w:tcPr>
            <w:tcW w:w="340" w:type="dxa"/>
            <w:vAlign w:val="bottom"/>
          </w:tcPr>
          <w:p>
            <w:pPr>
              <w:spacing w:after="0"/>
              <w:rPr>
                <w:sz w:val="24"/>
                <w:szCs w:val="24"/>
                <w:color w:val="auto"/>
              </w:rPr>
            </w:pPr>
          </w:p>
        </w:tc>
        <w:tc>
          <w:tcPr>
            <w:tcW w:w="1740" w:type="dxa"/>
            <w:vAlign w:val="bottom"/>
            <w:tcBorders>
              <w:bottom w:val="single" w:sz="8" w:color="0000FF"/>
            </w:tcBorders>
            <w:gridSpan w:val="6"/>
          </w:tcPr>
          <w:p>
            <w:pPr>
              <w:spacing w:after="0"/>
              <w:rPr>
                <w:rFonts w:ascii="Arial" w:cs="Arial" w:eastAsia="Arial" w:hAnsi="Arial"/>
                <w:sz w:val="16"/>
                <w:szCs w:val="16"/>
                <w:b w:val="1"/>
                <w:bCs w:val="1"/>
                <w:color w:val="0000FF"/>
                <w:w w:val="99"/>
              </w:rPr>
            </w:pPr>
            <w:hyperlink w:anchor="page29">
              <w:r>
                <w:rPr>
                  <w:rFonts w:ascii="Arial" w:cs="Arial" w:eastAsia="Arial" w:hAnsi="Arial"/>
                  <w:sz w:val="16"/>
                  <w:szCs w:val="16"/>
                  <w:b w:val="1"/>
                  <w:bCs w:val="1"/>
                  <w:color w:val="0000FF"/>
                  <w:w w:val="99"/>
                </w:rPr>
                <w:t>OTHER INFORMATION</w:t>
              </w:r>
            </w:hyperlink>
          </w:p>
        </w:tc>
        <w:tc>
          <w:tcPr>
            <w:tcW w:w="4660" w:type="dxa"/>
            <w:vAlign w:val="bottom"/>
            <w:gridSpan w:val="11"/>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30</w:t>
              </w:r>
            </w:hyperlink>
          </w:p>
        </w:tc>
      </w:tr>
      <w:tr>
        <w:trPr>
          <w:trHeight w:val="196"/>
        </w:trPr>
        <w:tc>
          <w:tcPr>
            <w:tcW w:w="960" w:type="dxa"/>
            <w:vAlign w:val="bottom"/>
            <w:gridSpan w:val="4"/>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1.</w:t>
              </w:r>
            </w:hyperlink>
          </w:p>
        </w:tc>
        <w:tc>
          <w:tcPr>
            <w:tcW w:w="6400" w:type="dxa"/>
            <w:vAlign w:val="bottom"/>
            <w:gridSpan w:val="17"/>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Legal Proceedings.</w:t>
              </w:r>
            </w:hyperlink>
          </w:p>
        </w:tc>
        <w:tc>
          <w:tcPr>
            <w:tcW w:w="3840" w:type="dxa"/>
            <w:vAlign w:val="bottom"/>
            <w:gridSpan w:val="3"/>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1A.</w:t>
              </w:r>
            </w:hyperlink>
          </w:p>
        </w:tc>
        <w:tc>
          <w:tcPr>
            <w:tcW w:w="6400" w:type="dxa"/>
            <w:vAlign w:val="bottom"/>
            <w:gridSpan w:val="17"/>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Risk Factors</w:t>
              </w:r>
            </w:hyperlink>
          </w:p>
        </w:tc>
        <w:tc>
          <w:tcPr>
            <w:tcW w:w="3840" w:type="dxa"/>
            <w:vAlign w:val="bottom"/>
            <w:gridSpan w:val="3"/>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r>
      <w:tr>
        <w:trPr>
          <w:trHeight w:val="20"/>
        </w:trPr>
        <w:tc>
          <w:tcPr>
            <w:tcW w:w="6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600" w:type="dxa"/>
            <w:vAlign w:val="bottom"/>
            <w:gridSpan w:val="2"/>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2.</w:t>
              </w:r>
            </w:hyperlink>
          </w:p>
        </w:tc>
        <w:tc>
          <w:tcPr>
            <w:tcW w:w="360" w:type="dxa"/>
            <w:vAlign w:val="bottom"/>
            <w:gridSpan w:val="2"/>
          </w:tcPr>
          <w:p>
            <w:pPr>
              <w:spacing w:after="0"/>
              <w:rPr>
                <w:sz w:val="17"/>
                <w:szCs w:val="17"/>
                <w:color w:val="auto"/>
              </w:rPr>
            </w:pPr>
          </w:p>
        </w:tc>
        <w:tc>
          <w:tcPr>
            <w:tcW w:w="6400" w:type="dxa"/>
            <w:vAlign w:val="bottom"/>
            <w:gridSpan w:val="17"/>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Unregistered Sales of Equity Securities and Use of Proceeds.</w:t>
              </w:r>
            </w:hyperlink>
          </w:p>
        </w:tc>
        <w:tc>
          <w:tcPr>
            <w:tcW w:w="3840" w:type="dxa"/>
            <w:vAlign w:val="bottom"/>
            <w:gridSpan w:val="3"/>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30</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840" w:type="dxa"/>
            <w:vAlign w:val="bottom"/>
            <w:gridSpan w:val="11"/>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196"/>
        </w:trPr>
        <w:tc>
          <w:tcPr>
            <w:tcW w:w="960" w:type="dxa"/>
            <w:vAlign w:val="bottom"/>
            <w:gridSpan w:val="4"/>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Item 6.</w:t>
              </w:r>
            </w:hyperlink>
          </w:p>
        </w:tc>
        <w:tc>
          <w:tcPr>
            <w:tcW w:w="6400" w:type="dxa"/>
            <w:vAlign w:val="bottom"/>
            <w:gridSpan w:val="17"/>
          </w:tcPr>
          <w:p>
            <w:pPr>
              <w:spacing w:after="0"/>
              <w:rPr>
                <w:rFonts w:ascii="Arial" w:cs="Arial" w:eastAsia="Arial" w:hAnsi="Arial"/>
                <w:sz w:val="16"/>
                <w:szCs w:val="16"/>
                <w:color w:val="0000FF"/>
              </w:rPr>
            </w:pPr>
            <w:hyperlink w:anchor="page30">
              <w:r>
                <w:rPr>
                  <w:rFonts w:ascii="Arial" w:cs="Arial" w:eastAsia="Arial" w:hAnsi="Arial"/>
                  <w:sz w:val="16"/>
                  <w:szCs w:val="16"/>
                  <w:color w:val="0000FF"/>
                </w:rPr>
                <w:t>Exhibits</w:t>
              </w:r>
            </w:hyperlink>
          </w:p>
        </w:tc>
        <w:tc>
          <w:tcPr>
            <w:tcW w:w="3840" w:type="dxa"/>
            <w:vAlign w:val="bottom"/>
            <w:gridSpan w:val="3"/>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31</w:t>
              </w:r>
            </w:hyperlink>
          </w:p>
        </w:tc>
      </w:tr>
      <w:tr>
        <w:trPr>
          <w:trHeight w:val="20"/>
        </w:trPr>
        <w:tc>
          <w:tcPr>
            <w:tcW w:w="50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840" w:type="dxa"/>
            <w:vAlign w:val="bottom"/>
            <w:gridSpan w:val="14"/>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453"/>
        </w:trPr>
        <w:tc>
          <w:tcPr>
            <w:tcW w:w="1060" w:type="dxa"/>
            <w:vAlign w:val="bottom"/>
            <w:tcBorders>
              <w:bottom w:val="single" w:sz="8" w:color="0000FF"/>
            </w:tcBorders>
            <w:gridSpan w:val="5"/>
          </w:tcPr>
          <w:p>
            <w:pPr>
              <w:spacing w:after="0"/>
              <w:rPr>
                <w:rFonts w:ascii="Arial" w:cs="Arial" w:eastAsia="Arial" w:hAnsi="Arial"/>
                <w:sz w:val="16"/>
                <w:szCs w:val="16"/>
                <w:b w:val="1"/>
                <w:bCs w:val="1"/>
                <w:color w:val="0000FF"/>
                <w:w w:val="99"/>
              </w:rPr>
            </w:pPr>
            <w:hyperlink w:anchor="page31">
              <w:r>
                <w:rPr>
                  <w:rFonts w:ascii="Arial" w:cs="Arial" w:eastAsia="Arial" w:hAnsi="Arial"/>
                  <w:sz w:val="16"/>
                  <w:szCs w:val="16"/>
                  <w:b w:val="1"/>
                  <w:bCs w:val="1"/>
                  <w:color w:val="0000FF"/>
                  <w:w w:val="99"/>
                </w:rPr>
                <w:t>SIGNATURES</w:t>
              </w:r>
            </w:hyperlink>
          </w:p>
        </w:tc>
        <w:tc>
          <w:tcPr>
            <w:tcW w:w="6300" w:type="dxa"/>
            <w:vAlign w:val="bottom"/>
            <w:gridSpan w:val="16"/>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6"/>
                <w:szCs w:val="16"/>
                <w:color w:val="0000FF"/>
                <w:w w:val="89"/>
              </w:rPr>
            </w:pPr>
            <w:hyperlink w:anchor="page31">
              <w:r>
                <w:rPr>
                  <w:rFonts w:ascii="Arial" w:cs="Arial" w:eastAsia="Arial" w:hAnsi="Arial"/>
                  <w:sz w:val="16"/>
                  <w:szCs w:val="16"/>
                  <w:color w:val="0000FF"/>
                  <w:w w:val="89"/>
                </w:rPr>
                <w:t>32</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57785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698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906"/>
        </w:trPr>
        <w:tc>
          <w:tcPr>
            <w:tcW w:w="6980" w:type="dxa"/>
            <w:vAlign w:val="bottom"/>
            <w:gridSpan w:val="2"/>
          </w:tcPr>
          <w:p>
            <w:pPr>
              <w:spacing w:after="0"/>
              <w:rPr>
                <w:sz w:val="20"/>
                <w:szCs w:val="20"/>
                <w:color w:val="auto"/>
              </w:rPr>
            </w:pPr>
            <w:r>
              <w:rPr>
                <w:rFonts w:ascii="Arial" w:cs="Arial" w:eastAsia="Arial" w:hAnsi="Arial"/>
                <w:sz w:val="16"/>
                <w:szCs w:val="16"/>
                <w:b w:val="1"/>
                <w:bCs w:val="1"/>
                <w:color w:val="auto"/>
              </w:rPr>
              <w:t>PART I. FINANCIAL INFORMATION</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32"/>
        </w:trPr>
        <w:tc>
          <w:tcPr>
            <w:tcW w:w="6980" w:type="dxa"/>
            <w:vAlign w:val="bottom"/>
            <w:gridSpan w:val="2"/>
          </w:tcPr>
          <w:p>
            <w:pPr>
              <w:spacing w:after="0"/>
              <w:rPr>
                <w:sz w:val="20"/>
                <w:szCs w:val="20"/>
                <w:color w:val="auto"/>
              </w:rPr>
            </w:pPr>
            <w:r>
              <w:rPr>
                <w:rFonts w:ascii="Arial" w:cs="Arial" w:eastAsia="Arial" w:hAnsi="Arial"/>
                <w:sz w:val="16"/>
                <w:szCs w:val="16"/>
                <w:b w:val="1"/>
                <w:bCs w:val="1"/>
                <w:color w:val="auto"/>
              </w:rPr>
              <w:t>Item 1. Consolidated Financial Statements</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06"/>
        </w:trPr>
        <w:tc>
          <w:tcPr>
            <w:tcW w:w="69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89"/>
        </w:trPr>
        <w:tc>
          <w:tcPr>
            <w:tcW w:w="69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15"/>
        </w:trPr>
        <w:tc>
          <w:tcPr>
            <w:tcW w:w="69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2"/>
        </w:trPr>
        <w:tc>
          <w:tcPr>
            <w:tcW w:w="126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4"/>
          </w:tcPr>
          <w:p>
            <w:pPr>
              <w:jc w:val="right"/>
              <w:ind w:right="1239"/>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1260" w:type="dxa"/>
            <w:vAlign w:val="bottom"/>
          </w:tcPr>
          <w:p>
            <w:pPr>
              <w:spacing w:after="0"/>
              <w:rPr>
                <w:sz w:val="13"/>
                <w:szCs w:val="13"/>
                <w:color w:val="auto"/>
              </w:rPr>
            </w:pPr>
          </w:p>
        </w:tc>
        <w:tc>
          <w:tcPr>
            <w:tcW w:w="5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November 27,</w:t>
            </w:r>
          </w:p>
        </w:tc>
        <w:tc>
          <w:tcPr>
            <w:tcW w:w="300" w:type="dxa"/>
            <w:vAlign w:val="bottom"/>
          </w:tcPr>
          <w:p>
            <w:pPr>
              <w:spacing w:after="0"/>
              <w:rPr>
                <w:sz w:val="13"/>
                <w:szCs w:val="13"/>
                <w:color w:val="auto"/>
              </w:rPr>
            </w:pPr>
          </w:p>
        </w:tc>
        <w:tc>
          <w:tcPr>
            <w:tcW w:w="1780" w:type="dxa"/>
            <w:vAlign w:val="bottom"/>
          </w:tcPr>
          <w:p>
            <w:pPr>
              <w:jc w:val="right"/>
              <w:ind w:right="419"/>
              <w:spacing w:after="0" w:line="158" w:lineRule="exact"/>
              <w:rPr>
                <w:sz w:val="20"/>
                <w:szCs w:val="20"/>
                <w:color w:val="auto"/>
              </w:rPr>
            </w:pPr>
            <w:r>
              <w:rPr>
                <w:rFonts w:ascii="Arial" w:cs="Arial" w:eastAsia="Arial" w:hAnsi="Arial"/>
                <w:sz w:val="16"/>
                <w:szCs w:val="16"/>
                <w:b w:val="1"/>
                <w:bCs w:val="1"/>
                <w:color w:val="auto"/>
              </w:rPr>
              <w:t>November 28,</w:t>
            </w:r>
          </w:p>
        </w:tc>
      </w:tr>
      <w:tr>
        <w:trPr>
          <w:trHeight w:val="215"/>
        </w:trPr>
        <w:tc>
          <w:tcPr>
            <w:tcW w:w="69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(in thousands, except per share data)</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2020</w:t>
            </w:r>
          </w:p>
        </w:tc>
      </w:tr>
      <w:tr>
        <w:trPr>
          <w:trHeight w:val="21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1,155,740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793,131</w:t>
            </w:r>
          </w:p>
        </w:tc>
      </w:tr>
      <w:tr>
        <w:trPr>
          <w:trHeight w:val="213"/>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goods sold</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926,328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656,127</w:t>
            </w:r>
          </w:p>
        </w:tc>
      </w:tr>
      <w:tr>
        <w:trPr>
          <w:trHeight w:val="20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229,412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137,004</w:t>
            </w:r>
          </w:p>
        </w:tc>
      </w:tr>
      <w:tr>
        <w:trPr>
          <w:trHeight w:val="209"/>
        </w:trPr>
        <w:tc>
          <w:tcPr>
            <w:tcW w:w="698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74,870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48,399</w:t>
            </w:r>
          </w:p>
        </w:tc>
      </w:tr>
      <w:tr>
        <w:trPr>
          <w:trHeight w:val="216"/>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r>
      <w:tr>
        <w:trPr>
          <w:trHeight w:val="210"/>
        </w:trPr>
        <w:tc>
          <w:tcPr>
            <w:tcW w:w="69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83,042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51,989</w:t>
            </w:r>
          </w:p>
        </w:tc>
      </w:tr>
      <w:tr>
        <w:trPr>
          <w:trHeight w:val="212"/>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3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85,015</w:t>
            </w:r>
          </w:p>
        </w:tc>
      </w:tr>
      <w:tr>
        <w:trPr>
          <w:trHeight w:val="213"/>
        </w:trPr>
        <w:tc>
          <w:tcPr>
            <w:tcW w:w="698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10,242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9,941</w:t>
            </w:r>
          </w:p>
        </w:tc>
      </w:tr>
      <w:tr>
        <w:trPr>
          <w:trHeight w:val="216"/>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r>
      <w:tr>
        <w:trPr>
          <w:trHeight w:val="209"/>
        </w:trPr>
        <w:tc>
          <w:tcPr>
            <w:tcW w:w="698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129,771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74,980</w:t>
            </w:r>
          </w:p>
        </w:tc>
      </w:tr>
      <w:tr>
        <w:trPr>
          <w:trHeight w:val="216"/>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17,557</w:t>
            </w:r>
          </w:p>
        </w:tc>
      </w:tr>
      <w:tr>
        <w:trPr>
          <w:trHeight w:val="213"/>
        </w:trPr>
        <w:tc>
          <w:tcPr>
            <w:tcW w:w="69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99,630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57,423</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1260" w:type="dxa"/>
            <w:vAlign w:val="bottom"/>
            <w:shd w:val="clear" w:color="auto" w:fill="CCEEFF"/>
          </w:tcPr>
          <w:p>
            <w:pPr>
              <w:spacing w:after="0"/>
              <w:rPr>
                <w:sz w:val="19"/>
                <w:szCs w:val="19"/>
                <w:color w:val="auto"/>
              </w:rPr>
            </w:pPr>
          </w:p>
        </w:tc>
        <w:tc>
          <w:tcPr>
            <w:tcW w:w="5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6980" w:type="dxa"/>
            <w:vAlign w:val="bottom"/>
            <w:gridSpan w:val="2"/>
          </w:tcPr>
          <w:p>
            <w:pPr>
              <w:ind w:left="20"/>
              <w:spacing w:after="0"/>
              <w:rPr>
                <w:sz w:val="20"/>
                <w:szCs w:val="20"/>
                <w:color w:val="auto"/>
              </w:rPr>
            </w:pPr>
            <w:r>
              <w:rPr>
                <w:rFonts w:ascii="Arial" w:cs="Arial" w:eastAsia="Arial" w:hAnsi="Arial"/>
                <w:sz w:val="16"/>
                <w:szCs w:val="16"/>
                <w:color w:val="auto"/>
              </w:rPr>
              <w:t>Earnings per common share:</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13"/>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60"/>
        </w:trPr>
        <w:tc>
          <w:tcPr>
            <w:tcW w:w="6980" w:type="dxa"/>
            <w:vAlign w:val="bottom"/>
            <w:gridSpan w:val="2"/>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r>
      <w:tr>
        <w:trPr>
          <w:trHeight w:val="213"/>
        </w:trPr>
        <w:tc>
          <w:tcPr>
            <w:tcW w:w="6980" w:type="dxa"/>
            <w:vAlign w:val="bottom"/>
            <w:gridSpan w:val="2"/>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69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33,609</w:t>
            </w:r>
          </w:p>
        </w:tc>
      </w:tr>
      <w:tr>
        <w:trPr>
          <w:trHeight w:val="213"/>
        </w:trPr>
        <w:tc>
          <w:tcPr>
            <w:tcW w:w="6980" w:type="dxa"/>
            <w:vAlign w:val="bottom"/>
            <w:gridSpan w:val="2"/>
          </w:tcPr>
          <w:p>
            <w:pPr>
              <w:ind w:left="220"/>
              <w:spacing w:after="0"/>
              <w:rPr>
                <w:sz w:val="20"/>
                <w:szCs w:val="20"/>
                <w:color w:val="auto"/>
              </w:rPr>
            </w:pPr>
            <w:r>
              <w:rPr>
                <w:rFonts w:ascii="Arial" w:cs="Arial" w:eastAsia="Arial" w:hAnsi="Arial"/>
                <w:sz w:val="16"/>
                <w:szCs w:val="16"/>
                <w:color w:val="auto"/>
              </w:rPr>
              <w:t>Diluted</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34,378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33,839</w:t>
            </w:r>
          </w:p>
        </w:tc>
      </w:tr>
      <w:tr>
        <w:trPr>
          <w:trHeight w:val="260"/>
        </w:trPr>
        <w:tc>
          <w:tcPr>
            <w:tcW w:w="6980" w:type="dxa"/>
            <w:vAlign w:val="bottom"/>
            <w:gridSpan w:val="2"/>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r>
      <w:tr>
        <w:trPr>
          <w:trHeight w:val="213"/>
        </w:trPr>
        <w:tc>
          <w:tcPr>
            <w:tcW w:w="69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99,630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57,423</w:t>
            </w:r>
          </w:p>
        </w:tc>
      </w:tr>
      <w:tr>
        <w:trPr>
          <w:trHeight w:val="219"/>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3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3"/>
        </w:trPr>
        <w:tc>
          <w:tcPr>
            <w:tcW w:w="6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Amortization of net actuarial loss (net of tax of $3 and $3)</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38"/>
        </w:trPr>
        <w:tc>
          <w:tcPr>
            <w:tcW w:w="6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57,432</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November 27,</w:t>
            </w:r>
          </w:p>
        </w:tc>
        <w:tc>
          <w:tcPr>
            <w:tcW w:w="260" w:type="dxa"/>
            <w:vAlign w:val="bottom"/>
          </w:tcPr>
          <w:p>
            <w:pPr>
              <w:spacing w:after="0"/>
              <w:rPr>
                <w:sz w:val="16"/>
                <w:szCs w:val="16"/>
                <w:color w:val="auto"/>
              </w:rPr>
            </w:pPr>
          </w:p>
        </w:tc>
        <w:tc>
          <w:tcPr>
            <w:tcW w:w="13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28,</w:t>
            </w:r>
          </w:p>
        </w:tc>
      </w:tr>
      <w:tr>
        <w:trPr>
          <w:trHeight w:val="215"/>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 except per share data)</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0"/>
        </w:trPr>
        <w:tc>
          <w:tcPr>
            <w:tcW w:w="7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rPr>
              <w:t>(Unaudited)</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211,384</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434,563</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less allowance for doubtful accounts ($275 and $307, respectively)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263,677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253,808</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432,825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341,473</w:t>
            </w: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21,701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29,069</w:t>
            </w:r>
          </w:p>
        </w:tc>
      </w:tr>
      <w:tr>
        <w:trPr>
          <w:trHeight w:val="20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929,587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1,058,913</w:t>
            </w:r>
          </w:p>
        </w:tc>
      </w:tr>
      <w:tr>
        <w:trPr>
          <w:trHeight w:val="213"/>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191,427</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484,176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348,058</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390,407</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Investment in life insurance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29,027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28,821</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28,379</w:t>
            </w:r>
          </w:p>
        </w:tc>
      </w:tr>
      <w:tr>
        <w:trPr>
          <w:trHeight w:val="21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16,562</w:t>
            </w:r>
          </w:p>
        </w:tc>
      </w:tr>
      <w:tr>
        <w:trPr>
          <w:trHeight w:val="23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2,206,361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2,062,567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180,030</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Income taxes payable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29,223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8,043</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Accrued compensation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48,909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67,541</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Product warranties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91,222</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Self-insurance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20,952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19,296</w:t>
            </w:r>
          </w:p>
        </w:tc>
      </w:tr>
      <w:tr>
        <w:trPr>
          <w:trHeight w:val="219"/>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Promotional</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10,040</w:t>
            </w:r>
          </w:p>
        </w:tc>
      </w:tr>
      <w:tr>
        <w:trPr>
          <w:trHeight w:val="213"/>
        </w:trPr>
        <w:tc>
          <w:tcPr>
            <w:tcW w:w="7860" w:type="dxa"/>
            <w:vAlign w:val="bottom"/>
          </w:tcPr>
          <w:p>
            <w:pPr>
              <w:ind w:left="220"/>
              <w:spacing w:after="0"/>
              <w:rPr>
                <w:sz w:val="20"/>
                <w:szCs w:val="20"/>
                <w:color w:val="auto"/>
              </w:rPr>
            </w:pPr>
            <w:r>
              <w:rPr>
                <w:rFonts w:ascii="Arial" w:cs="Arial" w:eastAsia="Arial" w:hAnsi="Arial"/>
                <w:sz w:val="16"/>
                <w:szCs w:val="16"/>
                <w:color w:val="auto"/>
              </w:rPr>
              <w:t>Accrued interest and dividends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8,014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10,720</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40,768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20,384</w:t>
            </w:r>
          </w:p>
        </w:tc>
      </w:tr>
      <w:tr>
        <w:trPr>
          <w:trHeight w:val="20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427,103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407,276</w:t>
            </w:r>
          </w:p>
        </w:tc>
      </w:tr>
      <w:tr>
        <w:trPr>
          <w:trHeight w:val="213"/>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debt, net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532,739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528,559</w:t>
            </w:r>
          </w:p>
        </w:tc>
      </w:tr>
      <w:tr>
        <w:trPr>
          <w:trHeight w:val="213"/>
        </w:trPr>
        <w:tc>
          <w:tcPr>
            <w:tcW w:w="78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13,247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13,429</w:t>
            </w:r>
          </w:p>
        </w:tc>
      </w:tr>
      <w:tr>
        <w:trPr>
          <w:trHeight w:val="219"/>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26,368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26,745</w:t>
            </w:r>
          </w:p>
        </w:tc>
      </w:tr>
      <w:tr>
        <w:trPr>
          <w:trHeight w:val="219"/>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compensation benefits, net of current portion</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9,550</w:t>
            </w:r>
          </w:p>
        </w:tc>
      </w:tr>
      <w:tr>
        <w:trPr>
          <w:trHeight w:val="213"/>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13,582</w:t>
            </w:r>
          </w:p>
        </w:tc>
      </w:tr>
      <w:tr>
        <w:trPr>
          <w:trHeight w:val="212"/>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1,047,103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1,005,624</w:t>
            </w:r>
          </w:p>
        </w:tc>
      </w:tr>
      <w:tr>
        <w:trPr>
          <w:trHeight w:val="193"/>
        </w:trPr>
        <w:tc>
          <w:tcPr>
            <w:tcW w:w="7860" w:type="dxa"/>
            <w:vAlign w:val="bottom"/>
          </w:tcPr>
          <w:p>
            <w:pPr>
              <w:ind w:left="20"/>
              <w:spacing w:after="0"/>
              <w:rPr>
                <w:sz w:val="20"/>
                <w:szCs w:val="20"/>
                <w:color w:val="auto"/>
              </w:rPr>
            </w:pPr>
            <w:r>
              <w:rPr>
                <w:rFonts w:ascii="Arial" w:cs="Arial" w:eastAsia="Arial" w:hAnsi="Arial"/>
                <w:sz w:val="16"/>
                <w:szCs w:val="16"/>
                <w:color w:val="auto"/>
              </w:rPr>
              <w:t>Contingent liabilities and commitments (Note 11)</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Preferred stock, par value $0.01: 10,000 shares authorized; Zero shares issued and outstanding</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par value $0.50: 120,000 shares authorized; 51,776 shares issued and outstanding</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25,888</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233,727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218,490</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1,172,996</w:t>
            </w:r>
          </w:p>
        </w:tc>
      </w:tr>
      <w:tr>
        <w:trPr>
          <w:trHeight w:val="213"/>
        </w:trPr>
        <w:tc>
          <w:tcPr>
            <w:tcW w:w="7860" w:type="dxa"/>
            <w:vAlign w:val="bottom"/>
          </w:tcPr>
          <w:p>
            <w:pPr>
              <w:ind w:left="14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(491)</w:t>
            </w:r>
          </w:p>
        </w:tc>
      </w:tr>
      <w:tr>
        <w:trPr>
          <w:trHeight w:val="219"/>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Treasury stock, at cost: 18,476 and 18,713 shares,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(372,572)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(359,940)</w:t>
            </w:r>
          </w:p>
        </w:tc>
      </w:tr>
      <w:tr>
        <w:trPr>
          <w:trHeight w:val="209"/>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Total shareholders' equity</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1,159,258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1,056,943</w:t>
            </w:r>
          </w:p>
        </w:tc>
      </w:tr>
      <w:tr>
        <w:trPr>
          <w:trHeight w:val="23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2,206,361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2,062,567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8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880"/>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9"/>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5"/>
        </w:trPr>
        <w:tc>
          <w:tcPr>
            <w:tcW w:w="786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3"/>
        </w:trPr>
        <w:tc>
          <w:tcPr>
            <w:tcW w:w="12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126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November 27,</w:t>
            </w:r>
          </w:p>
        </w:tc>
        <w:tc>
          <w:tcPr>
            <w:tcW w:w="200" w:type="dxa"/>
            <w:vAlign w:val="bottom"/>
          </w:tcPr>
          <w:p>
            <w:pPr>
              <w:spacing w:after="0"/>
              <w:rPr>
                <w:sz w:val="13"/>
                <w:szCs w:val="13"/>
                <w:color w:val="auto"/>
              </w:rPr>
            </w:pPr>
          </w:p>
        </w:tc>
        <w:tc>
          <w:tcPr>
            <w:tcW w:w="1440" w:type="dxa"/>
            <w:vAlign w:val="bottom"/>
          </w:tcPr>
          <w:p>
            <w:pPr>
              <w:jc w:val="right"/>
              <w:ind w:right="199"/>
              <w:spacing w:after="0" w:line="158" w:lineRule="exact"/>
              <w:rPr>
                <w:sz w:val="20"/>
                <w:szCs w:val="20"/>
                <w:color w:val="auto"/>
              </w:rPr>
            </w:pPr>
            <w:r>
              <w:rPr>
                <w:rFonts w:ascii="Arial" w:cs="Arial" w:eastAsia="Arial" w:hAnsi="Arial"/>
                <w:sz w:val="16"/>
                <w:szCs w:val="16"/>
                <w:b w:val="1"/>
                <w:bCs w:val="1"/>
                <w:color w:val="auto"/>
              </w:rPr>
              <w:t>November 28,</w:t>
            </w:r>
          </w:p>
        </w:tc>
      </w:tr>
      <w:tr>
        <w:trPr>
          <w:trHeight w:val="215"/>
        </w:trPr>
        <w:tc>
          <w:tcPr>
            <w:tcW w:w="78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(in thousands)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1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99,630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57,423</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5,306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4,160</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3,590</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Non-cash interest expense,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3,627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3,351</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debt issuance costs</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Last in, first-out expense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2,354</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872</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Contingent consideration fair value adjustment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Other,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(3,329)</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(10,380)</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(80,472)</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583</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w:t>
            </w:r>
          </w:p>
        </w:tc>
      </w:tr>
      <w:tr>
        <w:trPr>
          <w:trHeight w:val="213"/>
        </w:trPr>
        <w:tc>
          <w:tcPr>
            <w:tcW w:w="7860" w:type="dxa"/>
            <w:vAlign w:val="bottom"/>
            <w:gridSpan w:val="2"/>
          </w:tcPr>
          <w:p>
            <w:pPr>
              <w:ind w:left="220"/>
              <w:spacing w:after="0"/>
              <w:rPr>
                <w:sz w:val="20"/>
                <w:szCs w:val="20"/>
                <w:color w:val="auto"/>
              </w:rPr>
            </w:pPr>
            <w:r>
              <w:rPr>
                <w:rFonts w:ascii="Arial" w:cs="Arial" w:eastAsia="Arial" w:hAnsi="Arial"/>
                <w:sz w:val="16"/>
                <w:szCs w:val="16"/>
                <w:color w:val="auto"/>
              </w:rPr>
              <w:t>Income taxes and unrecognized tax benefits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24,664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16,556</w:t>
            </w:r>
          </w:p>
        </w:tc>
      </w:tr>
      <w:tr>
        <w:trPr>
          <w:trHeight w:val="219"/>
        </w:trPr>
        <w:tc>
          <w:tcPr>
            <w:tcW w:w="78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expenses and other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10,111</w:t>
            </w:r>
          </w:p>
        </w:tc>
      </w:tr>
      <w:tr>
        <w:trPr>
          <w:trHeight w:val="209"/>
        </w:trPr>
        <w:tc>
          <w:tcPr>
            <w:tcW w:w="7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56,549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(2,670)</w:t>
            </w:r>
          </w:p>
        </w:tc>
      </w:tr>
      <w:tr>
        <w:trPr>
          <w:trHeight w:val="183"/>
        </w:trPr>
        <w:tc>
          <w:tcPr>
            <w:tcW w:w="1260" w:type="dxa"/>
            <w:vAlign w:val="bottom"/>
            <w:shd w:val="clear" w:color="auto" w:fill="CCEEFF"/>
          </w:tcPr>
          <w:p>
            <w:pPr>
              <w:spacing w:after="0"/>
              <w:rPr>
                <w:sz w:val="15"/>
                <w:szCs w:val="15"/>
                <w:color w:val="auto"/>
              </w:rPr>
            </w:pPr>
          </w:p>
        </w:tc>
        <w:tc>
          <w:tcPr>
            <w:tcW w:w="6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5"/>
        </w:trPr>
        <w:tc>
          <w:tcPr>
            <w:tcW w:w="7860" w:type="dxa"/>
            <w:vAlign w:val="bottom"/>
            <w:gridSpan w:val="2"/>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(8,689)</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Acquisition of business, net of cash acquired</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(228,159)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7,775</w:t>
            </w:r>
          </w:p>
        </w:tc>
      </w:tr>
      <w:tr>
        <w:trPr>
          <w:trHeight w:val="213"/>
        </w:trPr>
        <w:tc>
          <w:tcPr>
            <w:tcW w:w="7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(251,410)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(1,148)</w:t>
            </w:r>
          </w:p>
        </w:tc>
      </w:tr>
      <w:tr>
        <w:trPr>
          <w:trHeight w:val="183"/>
        </w:trPr>
        <w:tc>
          <w:tcPr>
            <w:tcW w:w="12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16"/>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Borrowings on long-term debt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932,566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798,359</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Repayments on long-term debt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(798,359)</w:t>
            </w:r>
          </w:p>
        </w:tc>
      </w:tr>
      <w:tr>
        <w:trPr>
          <w:trHeight w:val="213"/>
        </w:trPr>
        <w:tc>
          <w:tcPr>
            <w:tcW w:w="7860" w:type="dxa"/>
            <w:vAlign w:val="bottom"/>
            <w:gridSpan w:val="2"/>
          </w:tcPr>
          <w:p>
            <w:pPr>
              <w:ind w:left="140"/>
              <w:spacing w:after="0"/>
              <w:rPr>
                <w:sz w:val="20"/>
                <w:szCs w:val="20"/>
                <w:color w:val="auto"/>
              </w:rPr>
            </w:pPr>
            <w:r>
              <w:rPr>
                <w:rFonts w:ascii="Arial" w:cs="Arial" w:eastAsia="Arial" w:hAnsi="Arial"/>
                <w:sz w:val="16"/>
                <w:szCs w:val="16"/>
                <w:color w:val="auto"/>
              </w:rPr>
              <w:t>Payments of cash dividends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(4,046)</w:t>
            </w:r>
          </w:p>
        </w:tc>
      </w:tr>
      <w:tr>
        <w:trPr>
          <w:trHeight w:val="219"/>
        </w:trPr>
        <w:tc>
          <w:tcPr>
            <w:tcW w:w="7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Payments for repurchases of common stock</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(11,606)</w:t>
            </w:r>
          </w:p>
        </w:tc>
      </w:tr>
      <w:tr>
        <w:trPr>
          <w:trHeight w:val="213"/>
        </w:trPr>
        <w:tc>
          <w:tcPr>
            <w:tcW w:w="7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r>
      <w:tr>
        <w:trPr>
          <w:trHeight w:val="212"/>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(28,318)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decrease in cash and cash equivalents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1120" w:type="dxa"/>
            <w:vAlign w:val="bottom"/>
          </w:tcPr>
          <w:p>
            <w:pPr>
              <w:jc w:val="center"/>
              <w:ind w:left="299"/>
              <w:spacing w:after="0"/>
              <w:rPr>
                <w:sz w:val="20"/>
                <w:szCs w:val="20"/>
                <w:color w:val="auto"/>
              </w:rPr>
            </w:pPr>
            <w:r>
              <w:rPr>
                <w:rFonts w:ascii="Arial" w:cs="Arial" w:eastAsia="Arial" w:hAnsi="Arial"/>
                <w:sz w:val="16"/>
                <w:szCs w:val="16"/>
                <w:color w:val="auto"/>
              </w:rPr>
              <w:t>(223,179)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(19,636)</w:t>
            </w:r>
          </w:p>
        </w:tc>
      </w:tr>
      <w:tr>
        <w:trPr>
          <w:trHeight w:val="219"/>
        </w:trPr>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rPr>
              <w:t>434,563</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292,575</w:t>
            </w:r>
          </w:p>
        </w:tc>
      </w:tr>
      <w:tr>
        <w:trPr>
          <w:trHeight w:val="210"/>
        </w:trPr>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color w:val="auto"/>
              </w:rPr>
              <w:t>211,384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272,939</w:t>
            </w:r>
          </w:p>
        </w:tc>
      </w:tr>
      <w:tr>
        <w:trPr>
          <w:trHeight w:val="23"/>
        </w:trPr>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18"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3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Income taxes paid (received), net</w:t>
            </w:r>
          </w:p>
        </w:tc>
        <w:tc>
          <w:tcPr>
            <w:tcW w:w="32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8,716</w:t>
            </w:r>
          </w:p>
        </w:tc>
        <w:tc>
          <w:tcPr>
            <w:tcW w:w="72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21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w:t>
            </w:r>
          </w:p>
        </w:tc>
        <w:tc>
          <w:tcPr>
            <w:tcW w:w="3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4,765</w:t>
            </w:r>
          </w:p>
        </w:tc>
        <w:tc>
          <w:tcPr>
            <w:tcW w:w="7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w:t>
            </w: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2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5920" w:type="dxa"/>
            <w:vAlign w:val="bottom"/>
          </w:tcPr>
          <w:p>
            <w:pPr>
              <w:ind w:left="140"/>
              <w:spacing w:after="0"/>
              <w:rPr>
                <w:sz w:val="20"/>
                <w:szCs w:val="20"/>
                <w:color w:val="auto"/>
              </w:rPr>
            </w:pPr>
            <w:r>
              <w:rPr>
                <w:rFonts w:ascii="Arial" w:cs="Arial" w:eastAsia="Arial" w:hAnsi="Arial"/>
                <w:sz w:val="16"/>
                <w:szCs w:val="16"/>
                <w:color w:val="auto"/>
              </w:rPr>
              <w:t>Issuance of common stock for acquisition of business</w:t>
            </w:r>
          </w:p>
        </w:tc>
        <w:tc>
          <w:tcPr>
            <w:tcW w:w="254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22,000</w:t>
            </w:r>
          </w:p>
        </w:tc>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 in accounts payable</w:t>
            </w:r>
          </w:p>
        </w:tc>
        <w:tc>
          <w:tcPr>
            <w:tcW w:w="2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1,101</w:t>
            </w:r>
          </w:p>
        </w:tc>
        <w:tc>
          <w:tcPr>
            <w:tcW w:w="7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w:t>
            </w: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November 27, 2021</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4"/>
                <w:szCs w:val="2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680" w:type="dxa"/>
            <w:vAlign w:val="bottom"/>
            <w:vMerge w:val="restart"/>
          </w:tcPr>
          <w:p>
            <w:pPr>
              <w:ind w:left="20"/>
              <w:spacing w:after="0" w:line="122" w:lineRule="exact"/>
              <w:rPr>
                <w:sz w:val="20"/>
                <w:szCs w:val="20"/>
                <w:color w:val="auto"/>
              </w:rPr>
            </w:pPr>
            <w:r>
              <w:rPr>
                <w:rFonts w:ascii="Arial" w:cs="Arial" w:eastAsia="Arial" w:hAnsi="Arial"/>
                <w:sz w:val="14"/>
                <w:szCs w:val="14"/>
                <w:color w:val="auto"/>
              </w:rPr>
              <w:t>(in thousands,</w:t>
            </w: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center"/>
              <w:ind w:right="48"/>
              <w:spacing w:after="0" w:line="122"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3"/>
                <w:szCs w:val="3"/>
                <w:color w:val="auto"/>
              </w:rPr>
            </w:pPr>
          </w:p>
        </w:tc>
        <w:tc>
          <w:tcPr>
            <w:tcW w:w="840" w:type="dxa"/>
            <w:vAlign w:val="bottom"/>
            <w:vMerge w:val="restart"/>
          </w:tcPr>
          <w:p>
            <w:pPr>
              <w:jc w:val="right"/>
              <w:ind w:right="108"/>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300" w:type="dxa"/>
            <w:vAlign w:val="bottom"/>
            <w:vMerge w:val="restart"/>
          </w:tcPr>
          <w:p>
            <w:pPr>
              <w:jc w:val="center"/>
              <w:ind w:right="68"/>
              <w:spacing w:after="0" w:line="122" w:lineRule="exact"/>
              <w:rPr>
                <w:sz w:val="20"/>
                <w:szCs w:val="20"/>
                <w:color w:val="auto"/>
              </w:rPr>
            </w:pPr>
            <w:r>
              <w:rPr>
                <w:rFonts w:ascii="Arial" w:cs="Arial" w:eastAsia="Arial" w:hAnsi="Arial"/>
                <w:sz w:val="14"/>
                <w:szCs w:val="14"/>
                <w:b w:val="1"/>
                <w:bCs w:val="1"/>
                <w:color w:val="auto"/>
              </w:rPr>
              <w:t>Comprehensive</w:t>
            </w: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61"/>
        </w:trPr>
        <w:tc>
          <w:tcPr>
            <w:tcW w:w="2680" w:type="dxa"/>
            <w:vAlign w:val="bottom"/>
            <w:vMerge w:val="continue"/>
          </w:tcPr>
          <w:p>
            <w:pPr>
              <w:spacing w:after="0"/>
              <w:rPr>
                <w:sz w:val="5"/>
                <w:szCs w:val="5"/>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5"/>
                <w:szCs w:val="5"/>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except per share data)</w:t>
            </w: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August 28, 2021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218,490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1,172,996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(359,940)</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1,056,943</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2,702</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2,711</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for acquisition</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14,709</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7,291</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22,000</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Issuance of stock, net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(2,174)</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194</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3,791</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1,617</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(23,723)</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(23,723)</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Other</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 comprehensive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2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99,630</w:t>
            </w: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99,630</w:t>
            </w:r>
          </w:p>
        </w:tc>
        <w:tc>
          <w:tcPr>
            <w:tcW w:w="0" w:type="dxa"/>
            <w:vAlign w:val="bottom"/>
          </w:tcPr>
          <w:p>
            <w:pPr>
              <w:spacing w:after="0"/>
              <w:rPr>
                <w:sz w:val="1"/>
                <w:szCs w:val="1"/>
                <w:color w:val="auto"/>
              </w:rPr>
            </w:pPr>
          </w:p>
        </w:tc>
      </w:tr>
      <w:tr>
        <w:trPr>
          <w:trHeight w:val="208"/>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November 27,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233,727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1,272,697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(18,476)</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(372,572)</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1,159,258</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gridSpan w:val="5"/>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26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November 28, 2020</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680" w:type="dxa"/>
            <w:vAlign w:val="bottom"/>
          </w:tcPr>
          <w:p>
            <w:pPr>
              <w:spacing w:after="0"/>
              <w:rPr>
                <w:sz w:val="24"/>
                <w:szCs w:val="2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Shares</w:t>
            </w:r>
          </w:p>
        </w:tc>
        <w:tc>
          <w:tcPr>
            <w:tcW w:w="120" w:type="dxa"/>
            <w:vAlign w:val="bottom"/>
          </w:tcPr>
          <w:p>
            <w:pPr>
              <w:spacing w:after="0"/>
              <w:rPr>
                <w:sz w:val="24"/>
                <w:szCs w:val="24"/>
                <w:color w:val="auto"/>
              </w:rPr>
            </w:pPr>
          </w:p>
        </w:tc>
        <w:tc>
          <w:tcPr>
            <w:tcW w:w="860" w:type="dxa"/>
            <w:vAlign w:val="bottom"/>
          </w:tcPr>
          <w:p>
            <w:pPr>
              <w:jc w:val="center"/>
              <w:ind w:right="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188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Treasury Stock</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680" w:type="dxa"/>
            <w:vAlign w:val="bottom"/>
            <w:vMerge w:val="restart"/>
          </w:tcPr>
          <w:p>
            <w:pPr>
              <w:ind w:left="20"/>
              <w:spacing w:after="0" w:line="122" w:lineRule="exact"/>
              <w:rPr>
                <w:sz w:val="20"/>
                <w:szCs w:val="20"/>
                <w:color w:val="auto"/>
              </w:rPr>
            </w:pPr>
            <w:r>
              <w:rPr>
                <w:rFonts w:ascii="Arial" w:cs="Arial" w:eastAsia="Arial" w:hAnsi="Arial"/>
                <w:sz w:val="14"/>
                <w:szCs w:val="14"/>
                <w:color w:val="auto"/>
              </w:rPr>
              <w:t>(in thousands,</w:t>
            </w:r>
          </w:p>
        </w:tc>
        <w:tc>
          <w:tcPr>
            <w:tcW w:w="8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vMerge w:val="restart"/>
          </w:tcPr>
          <w:p>
            <w:pPr>
              <w:jc w:val="center"/>
              <w:ind w:right="48"/>
              <w:spacing w:after="0" w:line="122"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3"/>
                <w:szCs w:val="3"/>
                <w:color w:val="auto"/>
              </w:rPr>
            </w:pPr>
          </w:p>
        </w:tc>
        <w:tc>
          <w:tcPr>
            <w:tcW w:w="840" w:type="dxa"/>
            <w:vAlign w:val="bottom"/>
            <w:vMerge w:val="restart"/>
          </w:tcPr>
          <w:p>
            <w:pPr>
              <w:jc w:val="right"/>
              <w:ind w:right="108"/>
              <w:spacing w:after="0" w:line="122"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3"/>
                <w:szCs w:val="3"/>
                <w:color w:val="auto"/>
              </w:rPr>
            </w:pPr>
          </w:p>
        </w:tc>
        <w:tc>
          <w:tcPr>
            <w:tcW w:w="1300" w:type="dxa"/>
            <w:vAlign w:val="bottom"/>
            <w:vMerge w:val="restart"/>
          </w:tcPr>
          <w:p>
            <w:pPr>
              <w:jc w:val="center"/>
              <w:ind w:right="68"/>
              <w:spacing w:after="0" w:line="122" w:lineRule="exact"/>
              <w:rPr>
                <w:sz w:val="20"/>
                <w:szCs w:val="20"/>
                <w:color w:val="auto"/>
              </w:rPr>
            </w:pPr>
            <w:r>
              <w:rPr>
                <w:rFonts w:ascii="Arial" w:cs="Arial" w:eastAsia="Arial" w:hAnsi="Arial"/>
                <w:sz w:val="14"/>
                <w:szCs w:val="14"/>
                <w:b w:val="1"/>
                <w:bCs w:val="1"/>
                <w:color w:val="auto"/>
              </w:rPr>
              <w:t>Comprehensive</w:t>
            </w:r>
          </w:p>
        </w:tc>
        <w:tc>
          <w:tcPr>
            <w:tcW w:w="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Total Shareholders'</w:t>
            </w:r>
          </w:p>
        </w:tc>
        <w:tc>
          <w:tcPr>
            <w:tcW w:w="0" w:type="dxa"/>
            <w:vAlign w:val="bottom"/>
          </w:tcPr>
          <w:p>
            <w:pPr>
              <w:spacing w:after="0"/>
              <w:rPr>
                <w:sz w:val="1"/>
                <w:szCs w:val="1"/>
                <w:color w:val="auto"/>
              </w:rPr>
            </w:pPr>
          </w:p>
        </w:tc>
      </w:tr>
      <w:tr>
        <w:trPr>
          <w:trHeight w:val="61"/>
        </w:trPr>
        <w:tc>
          <w:tcPr>
            <w:tcW w:w="2680" w:type="dxa"/>
            <w:vAlign w:val="bottom"/>
            <w:vMerge w:val="continue"/>
          </w:tcPr>
          <w:p>
            <w:pPr>
              <w:spacing w:after="0"/>
              <w:rPr>
                <w:sz w:val="5"/>
                <w:szCs w:val="5"/>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5"/>
                <w:szCs w:val="5"/>
                <w:color w:val="auto"/>
              </w:rPr>
            </w:pPr>
          </w:p>
        </w:tc>
        <w:tc>
          <w:tcPr>
            <w:tcW w:w="8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5"/>
                <w:szCs w:val="5"/>
                <w:color w:val="auto"/>
              </w:rPr>
            </w:pPr>
          </w:p>
        </w:tc>
        <w:tc>
          <w:tcPr>
            <w:tcW w:w="8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except per share data)</w:t>
            </w: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Earnings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Income (Loss)</w:t>
            </w:r>
          </w:p>
        </w:tc>
        <w:tc>
          <w:tcPr>
            <w:tcW w:w="8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August 29, 2020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203,791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913,610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(18,133)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(315,297)</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827,466</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2,346</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2,354</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Issuance of stock, net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1,586</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Repurchase of common stock</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(233)</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(11,606)</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(11,606)</w:t>
            </w:r>
          </w:p>
        </w:tc>
        <w:tc>
          <w:tcPr>
            <w:tcW w:w="0" w:type="dxa"/>
            <w:vAlign w:val="bottom"/>
          </w:tcPr>
          <w:p>
            <w:pPr>
              <w:spacing w:after="0"/>
              <w:rPr>
                <w:sz w:val="1"/>
                <w:szCs w:val="1"/>
                <w:color w:val="auto"/>
              </w:rPr>
            </w:pPr>
          </w:p>
        </w:tc>
      </w:tr>
      <w:tr>
        <w:trPr>
          <w:trHeight w:val="153"/>
        </w:trPr>
        <w:tc>
          <w:tcPr>
            <w:tcW w:w="268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Common stock dividends; $0.12 per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14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(4,088)</w:t>
            </w:r>
          </w:p>
        </w:tc>
        <w:tc>
          <w:tcPr>
            <w:tcW w:w="0" w:type="dxa"/>
            <w:vAlign w:val="bottom"/>
          </w:tcPr>
          <w:p>
            <w:pPr>
              <w:spacing w:after="0"/>
              <w:rPr>
                <w:sz w:val="1"/>
                <w:szCs w:val="1"/>
                <w:color w:val="auto"/>
              </w:rPr>
            </w:pPr>
          </w:p>
        </w:tc>
      </w:tr>
      <w:tr>
        <w:trPr>
          <w:trHeight w:val="171"/>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w:t>
            </w:r>
          </w:p>
        </w:tc>
        <w:tc>
          <w:tcPr>
            <w:tcW w:w="8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140"/>
              <w:spacing w:after="0"/>
              <w:rPr>
                <w:sz w:val="20"/>
                <w:szCs w:val="20"/>
                <w:color w:val="auto"/>
              </w:rPr>
            </w:pPr>
            <w:r>
              <w:rPr>
                <w:rFonts w:ascii="Arial" w:cs="Arial" w:eastAsia="Arial" w:hAnsi="Arial"/>
                <w:sz w:val="14"/>
                <w:szCs w:val="14"/>
                <w:color w:val="auto"/>
              </w:rPr>
              <w:t>Total comprehensive income</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9"/>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57,423</w:t>
            </w: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57,423</w:t>
            </w:r>
          </w:p>
        </w:tc>
        <w:tc>
          <w:tcPr>
            <w:tcW w:w="0" w:type="dxa"/>
            <w:vAlign w:val="bottom"/>
          </w:tcPr>
          <w:p>
            <w:pPr>
              <w:spacing w:after="0"/>
              <w:rPr>
                <w:sz w:val="1"/>
                <w:szCs w:val="1"/>
                <w:color w:val="auto"/>
              </w:rPr>
            </w:pPr>
          </w:p>
        </w:tc>
      </w:tr>
      <w:tr>
        <w:trPr>
          <w:trHeight w:val="183"/>
        </w:trPr>
        <w:tc>
          <w:tcPr>
            <w:tcW w:w="2680" w:type="dxa"/>
            <w:vAlign w:val="bottom"/>
          </w:tcPr>
          <w:p>
            <w:pPr>
              <w:ind w:left="20"/>
              <w:spacing w:after="0"/>
              <w:rPr>
                <w:sz w:val="20"/>
                <w:szCs w:val="20"/>
                <w:color w:val="auto"/>
              </w:rPr>
            </w:pPr>
            <w:r>
              <w:rPr>
                <w:rFonts w:ascii="Arial" w:cs="Arial" w:eastAsia="Arial" w:hAnsi="Arial"/>
                <w:sz w:val="14"/>
                <w:szCs w:val="14"/>
                <w:color w:val="auto"/>
              </w:rPr>
              <w:t>Balance at November 28, 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51,776</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25,888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204,551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966,945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(18,275)</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(325,309)</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871,558</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Consolidated Financial Statements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amounts are in thousands, except share and per share data, unless otherwise designated)</w:t>
      </w:r>
    </w:p>
    <w:p>
      <w:pPr>
        <w:spacing w:after="0" w:line="22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1.</w:t>
        <w:tab/>
        <w:t>Basis of Presentation</w:t>
      </w:r>
    </w:p>
    <w:p>
      <w:pPr>
        <w:spacing w:after="0" w:line="268"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consolidated financial statements include the accounts of Winnebago Industries, Inc. and its wholly owned subsidiaries. Significant intercompany account balances and transactions have been eliminated.</w:t>
      </w:r>
    </w:p>
    <w:p>
      <w:pPr>
        <w:spacing w:after="0" w:line="222" w:lineRule="exact"/>
        <w:rPr>
          <w:sz w:val="20"/>
          <w:szCs w:val="20"/>
          <w:color w:val="auto"/>
        </w:rPr>
      </w:pPr>
    </w:p>
    <w:p>
      <w:pPr>
        <w:ind w:right="560"/>
        <w:spacing w:after="0" w:line="260" w:lineRule="auto"/>
        <w:rPr>
          <w:sz w:val="20"/>
          <w:szCs w:val="20"/>
          <w:color w:val="auto"/>
        </w:rPr>
      </w:pPr>
      <w:r>
        <w:rPr>
          <w:rFonts w:ascii="Arial" w:cs="Arial" w:eastAsia="Arial" w:hAnsi="Arial"/>
          <w:sz w:val="16"/>
          <w:szCs w:val="16"/>
          <w:color w:val="auto"/>
        </w:rPr>
        <w:t>The use of the terms "Winnebago Industries," "Winnebago," "we," "our," and "us" in this Quarterly Report on Form 10-Q, unless the context otherwise requires, refers to Winnebago Industries, Inc. and its wholly owned subsidiaries.</w:t>
      </w:r>
    </w:p>
    <w:p>
      <w:pPr>
        <w:spacing w:after="0" w:line="222"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interim unaudited consolidated financial statements included herein are prepared pursuant to the rules and regulations of the United States (“U.S.”) Securities and Exchange Commission (“SEC”). The information furnished in these consolidated financial statements includes normal recurring adjustments, unless noted otherwise in the Notes to Consolidated Financial Statements, and reflects all adjustments that are, in management’s opinion, necessary for a fair presentation of such financial statements. The consolidated financial statements are prepared in accordance with U.S. Generally Accepted Accounting Principles (“GAAP”). GAAP requires us to make estimates and assumptions that affect amounts reported. Certain information and footnote disclosures normally included in financial statements prepared in accordance with GAAP have been condensed or omitted pursuant to SEC rules and regulations.</w:t>
      </w:r>
    </w:p>
    <w:p>
      <w:pPr>
        <w:spacing w:after="0" w:line="23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consolidated financial statements included in this Quarterly Report on Form 10-Q should be read in conjunction with the audited consolidated financial statements and notes thereto included in our Annual Report on Form 10-K for the fiscal year ended August 28, 2021 filed with the SEC. Interim results of operations are not necessarily indicative of the results to be expected for the full fiscal year ending August 27, 2022.</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133"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In preparing the accompanying unaudited consolidated financial statements, we have evaluated subsequent events for potential recognition and disclosure through the date of this filing noting no material subsequent events except for the item noted below:</w:t>
      </w:r>
    </w:p>
    <w:p>
      <w:pPr>
        <w:spacing w:after="0" w:line="22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 December 15, 2021, our Board of Directors declared a quarterly cash dividend of $0.18 per share payable on January 26, 2022 to common shareholders of record at the close of business on January 12, 2022.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CARES Act</w:t>
      </w:r>
    </w:p>
    <w:p>
      <w:pPr>
        <w:spacing w:after="0" w:line="13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Coronavirus Aid, Relief, and Economic Security ("CARES") Act was signed into law on March 27, 2020 to help alleviate the impact of the COVID-19 pandemic in the U.S. We are taking advantage of the employer payroll tax deferral offered by the CARES Act, which allows us to defer the payment of employer payroll taxes for the period from March 27, 2020 to December 31, 2020. The deferred employer payroll tax liability as of November 27, 2021 was $12.4 million and will be payable in equal installments in December 2021 and December 2022. We also took advantage of a tax credit granted to companies under the CARES Act who continued to pay their employees when operations were fully or partially suspended. The refundable tax credit available through the end of the third quarter of Fiscal 2020 reflected in cost of goods sold on the Consolidated Statements of Income and Comprehensive Income was approximately $4.0 million. The entire amount is expected to be received during calendar year 2022. As of November 27, 2021, $3.2 million remains outstanding within other current assets on the Consolidated Balance Sheets.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117" w:lineRule="exact"/>
        <w:rPr>
          <w:sz w:val="20"/>
          <w:szCs w:val="20"/>
          <w:color w:val="auto"/>
        </w:rPr>
      </w:pPr>
    </w:p>
    <w:p>
      <w:pPr>
        <w:ind w:right="300"/>
        <w:spacing w:after="0" w:line="258" w:lineRule="auto"/>
        <w:rPr>
          <w:sz w:val="20"/>
          <w:szCs w:val="20"/>
          <w:color w:val="auto"/>
        </w:rPr>
      </w:pPr>
      <w:r>
        <w:rPr>
          <w:rFonts w:ascii="Arial" w:cs="Arial" w:eastAsia="Arial" w:hAnsi="Arial"/>
          <w:sz w:val="16"/>
          <w:szCs w:val="16"/>
          <w:color w:val="auto"/>
        </w:rPr>
        <w:t xml:space="preserve">Accounting Standards Update ("ASU") Topic 740, </w:t>
      </w:r>
      <w:r>
        <w:rPr>
          <w:rFonts w:ascii="Arial" w:cs="Arial" w:eastAsia="Arial" w:hAnsi="Arial"/>
          <w:sz w:val="16"/>
          <w:szCs w:val="16"/>
          <w:i w:val="1"/>
          <w:iCs w:val="1"/>
          <w:color w:val="auto"/>
        </w:rPr>
        <w:t>Income Taxes: Simplifying the Accounting for Income Taxes</w:t>
      </w:r>
      <w:r>
        <w:rPr>
          <w:rFonts w:ascii="Arial" w:cs="Arial" w:eastAsia="Arial" w:hAnsi="Arial"/>
          <w:sz w:val="16"/>
          <w:szCs w:val="16"/>
          <w:color w:val="auto"/>
        </w:rPr>
        <w:t>, was adopted in the first quarter of Fiscal 2022. The new standard eliminates certain exceptions to Topic 740's general principles, improves consistent application and simplifies its application. We adopted the new guidance in the first quarter of Fiscal 2022, and there was not a material impact to our financial condition, results of operations or disclosures.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In August 2020, the Financial Accounting Standards Board ("FASB") issued Accounting Standards Update ("ASU") 2020-06, </w:t>
      </w:r>
      <w:r>
        <w:rPr>
          <w:rFonts w:ascii="Arial" w:cs="Arial" w:eastAsia="Arial" w:hAnsi="Arial"/>
          <w:sz w:val="16"/>
          <w:szCs w:val="16"/>
          <w:i w:val="1"/>
          <w:iCs w:val="1"/>
          <w:color w:val="auto"/>
        </w:rPr>
        <w:t>Debt - Debt with Conversion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Options (Subtopic 470-20) and Derivatives and Hedging - Contracts in Entity's Own Equity (Subtopic 815-40) </w:t>
      </w:r>
      <w:r>
        <w:rPr>
          <w:rFonts w:ascii="Arial" w:cs="Arial" w:eastAsia="Arial" w:hAnsi="Arial"/>
          <w:sz w:val="16"/>
          <w:szCs w:val="16"/>
          <w:color w:val="auto"/>
        </w:rPr>
        <w:t>which reduces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models used to account for convertible instruments, amends diluted earnings per share ("EPS") calculations for convertible instruments, and amends the requirements for a contract (or embedded derivative) that is potentially settled in an entity's own shares to be classified in equity. Certain disclosure requirements were also added to increase transparency and decision-usefulness regarding a convertible instrument's terms and features. Additionally, the if-converted method for including convertible instruments must be used in diluted EPS as opposed to the treasury stock method. The new guidance is effective for annual reporting periods beginning after December 15, 2021, which is our Fiscal 2023. Early adoption is permitted using either a modified retrospective or full retrospective approach. We expect to adopt the new guidance in the first</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quarter of Fiscal 2023 and have not yet evaluated the impact the adoption of this guidance will have on our financial condition, results of operations or disclosures; however, the new guidance is expected to change our diluted EPS reporting.</w:t>
      </w:r>
    </w:p>
    <w:p>
      <w:pPr>
        <w:spacing w:after="0" w:line="206"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 (Topic 848): Facilitation of Effects of Reference Rate Reform on Financial Reporting</w:t>
      </w:r>
      <w:r>
        <w:rPr>
          <w:rFonts w:ascii="Arial" w:cs="Arial" w:eastAsia="Arial" w:hAnsi="Arial"/>
          <w:sz w:val="16"/>
          <w:szCs w:val="16"/>
          <w:color w:val="auto"/>
        </w:rPr>
        <w:t>, which provides practical expedients and exceptions for applying GAAP to contracts, hedging relationships, and other transactions affected by reference rate reform if certain criteria are met. The expedients and exceptions provided by this guidance apply only to contracts, hedging relationships, and other transactions that reference the London interbank offered rate (“LIBOR”) or another reference rate expected to be discontinued as a result of reference rate reform. This guidance is not applicable to contract modifications made and hedging relationships entered into or evaluated after December 31, 2022. The guidance can be applied immediately through December 31, 2022. We will adopt this standard when LIBOR is discontinued and do not expect a material impact to our financial condition, results of operations or disclosures based on the current debt portfolio and capital structure.</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2.</w:t>
        <w:tab/>
        <w:t>Business Combinations</w:t>
      </w:r>
    </w:p>
    <w:p>
      <w:pPr>
        <w:spacing w:after="0" w:line="268" w:lineRule="exact"/>
        <w:rPr>
          <w:sz w:val="20"/>
          <w:szCs w:val="20"/>
          <w:color w:val="auto"/>
        </w:rPr>
      </w:pPr>
    </w:p>
    <w:p>
      <w:pPr>
        <w:ind w:right="860"/>
        <w:spacing w:after="0" w:line="260" w:lineRule="auto"/>
        <w:rPr>
          <w:sz w:val="20"/>
          <w:szCs w:val="20"/>
          <w:color w:val="auto"/>
        </w:rPr>
      </w:pPr>
      <w:r>
        <w:rPr>
          <w:rFonts w:ascii="Arial" w:cs="Arial" w:eastAsia="Arial" w:hAnsi="Arial"/>
          <w:sz w:val="16"/>
          <w:szCs w:val="16"/>
          <w:color w:val="auto"/>
        </w:rPr>
        <w:t>On August 31, 2021, we purchased 100% of the equity interests of Barletta Boat Company, LLC and Three Limes, LLC (collectively, "Barletta"), a manufacturer of high-quality, premium pontoon boats that are sold through a network of independent authorized dealers.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of Barletta resulted in a newly created Marine reportable segment that includes Barletta and Chris-Craft 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We acquired Barletta for a purchase price of $286.3 million, including cash payments of $240.1 million, $25.0 million in common stock issued to the sellers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(subject to a discount noted below), and contingent consideration from earnout provisions. The common stock fair value included in the purchase price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reflects a 12% discount, due to the lack of marketability as these are unregistered shares that have a one-year lockup restriction, which reduced the value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common stock to $22.0 million. The contingent consideration includes both a potential stock payout as well as a potential cash payment based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achievement of certain financial performance metrics over the next few years. The maximum payout under the earnout is $50.0 million in cash and $15.0</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million in stock if all metrics are achieved. The fair value of the earnout at August 31, 2021 was $24.2 million. The fair value of the earnout as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November 27, 2021 was $30.6 million, of which $13.8 million is included in other current liabilities and $16.8 million is included in other long-term liabilities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Balance Sheets.</w:t>
      </w:r>
    </w:p>
    <w:p>
      <w:pPr>
        <w:spacing w:after="0" w:line="248"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total purchase price was allocated to the acquired net tangible and intangible assets of Barletta, based on their preliminary fair values at the date of the acquisition. We expect to finalize the allocation of the purchase price when our valuation of the acquired intangible assets, goodwill, and tax accounts is complete.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preliminary fair values assigned to the Barletta net assets acquired as of the date of acquisition:</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August 31, 2021</w:t>
            </w:r>
          </w:p>
        </w:tc>
      </w:tr>
      <w:tr>
        <w:trPr>
          <w:trHeight w:val="210"/>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11,903</w:t>
            </w: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24,564</w:t>
            </w:r>
          </w:p>
        </w:tc>
      </w:tr>
      <w:tr>
        <w:trPr>
          <w:trHeight w:val="21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17,250</w:t>
            </w: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136,118</w:t>
            </w:r>
          </w:p>
        </w:tc>
      </w:tr>
      <w:tr>
        <w:trPr>
          <w:trHeight w:val="216"/>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3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111,400</w:t>
            </w:r>
          </w:p>
        </w:tc>
      </w:tr>
      <w:tr>
        <w:trPr>
          <w:trHeight w:val="209"/>
        </w:trPr>
        <w:tc>
          <w:tcPr>
            <w:tcW w:w="8860" w:type="dxa"/>
            <w:vAlign w:val="bottom"/>
          </w:tcPr>
          <w:p>
            <w:pPr>
              <w:ind w:left="240"/>
              <w:spacing w:after="0"/>
              <w:rPr>
                <w:sz w:val="20"/>
                <w:szCs w:val="20"/>
                <w:color w:val="auto"/>
              </w:rPr>
            </w:pPr>
            <w:r>
              <w:rPr>
                <w:rFonts w:ascii="Arial" w:cs="Arial" w:eastAsia="Arial" w:hAnsi="Arial"/>
                <w:sz w:val="16"/>
                <w:szCs w:val="16"/>
                <w:color w:val="auto"/>
              </w:rPr>
              <w:t>Total assets acquired</w:t>
            </w: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301,235</w:t>
            </w:r>
          </w:p>
        </w:tc>
      </w:tr>
      <w:tr>
        <w:trPr>
          <w:trHeight w:val="219"/>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7,181</w:t>
            </w:r>
          </w:p>
        </w:tc>
      </w:tr>
      <w:tr>
        <w:trPr>
          <w:trHeight w:val="213"/>
        </w:trPr>
        <w:tc>
          <w:tcPr>
            <w:tcW w:w="8860" w:type="dxa"/>
            <w:vAlign w:val="bottom"/>
          </w:tcPr>
          <w:p>
            <w:pPr>
              <w:ind w:left="20"/>
              <w:spacing w:after="0"/>
              <w:rPr>
                <w:sz w:val="20"/>
                <w:szCs w:val="20"/>
                <w:color w:val="auto"/>
              </w:rPr>
            </w:pPr>
            <w:r>
              <w:rPr>
                <w:rFonts w:ascii="Arial" w:cs="Arial" w:eastAsia="Arial" w:hAnsi="Arial"/>
                <w:sz w:val="16"/>
                <w:szCs w:val="16"/>
                <w:color w:val="auto"/>
              </w:rPr>
              <w:t>Product warranties</w:t>
            </w:r>
          </w:p>
        </w:tc>
        <w:tc>
          <w:tcPr>
            <w:tcW w:w="3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6"/>
                <w:szCs w:val="16"/>
                <w:color w:val="auto"/>
              </w:rPr>
              <w:t>4,656</w:t>
            </w:r>
          </w:p>
        </w:tc>
      </w:tr>
      <w:tr>
        <w:trPr>
          <w:trHeight w:val="216"/>
        </w:trPr>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40" w:type="dxa"/>
            <w:vAlign w:val="bottom"/>
            <w:tcBorders>
              <w:bottom w:val="single" w:sz="8" w:color="auto"/>
            </w:tcBorders>
            <w:shd w:val="clear" w:color="auto" w:fill="CCEEFF"/>
          </w:tcPr>
          <w:p>
            <w:pPr>
              <w:spacing w:after="0"/>
              <w:rPr>
                <w:sz w:val="18"/>
                <w:szCs w:val="18"/>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w:t>
            </w:r>
          </w:p>
        </w:tc>
      </w:tr>
      <w:tr>
        <w:trPr>
          <w:trHeight w:val="209"/>
        </w:trPr>
        <w:tc>
          <w:tcPr>
            <w:tcW w:w="88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liabilities assumed</w:t>
            </w:r>
          </w:p>
        </w:tc>
        <w:tc>
          <w:tcPr>
            <w:tcW w:w="3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14,983</w:t>
            </w:r>
          </w:p>
        </w:tc>
      </w:tr>
      <w:tr>
        <w:trPr>
          <w:trHeight w:val="238"/>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purchase price</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286,252</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339"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Goodwill from the Barletta acquisition is recognized in our newly created Marine segment. We expect that the full amount of goodwill will be deductible for tax purposes.</w:t>
      </w:r>
    </w:p>
    <w:p>
      <w:pPr>
        <w:spacing w:after="0" w:line="222"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intangible assets acquired include a trade name, dealer network, and backlog. The trade name has an indefinite life, while the backlog and dealer network will be amortized on a straight line basis over 10 months and 12 years,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80"/>
        <w:spacing w:after="0" w:line="253" w:lineRule="auto"/>
        <w:rPr>
          <w:sz w:val="20"/>
          <w:szCs w:val="20"/>
          <w:color w:val="auto"/>
        </w:rPr>
      </w:pPr>
      <w:r>
        <w:rPr>
          <w:rFonts w:ascii="Arial" w:cs="Arial" w:eastAsia="Arial" w:hAnsi="Arial"/>
          <w:sz w:val="16"/>
          <w:szCs w:val="16"/>
          <w:color w:val="auto"/>
        </w:rPr>
        <w:t>Total transaction costs related to the Barletta acquisition were $3.1 million, of which $2.4 million were expensed during the first quarter of Fiscal 2022 and $0.7 million were expensed during the fourth quarter of Fiscal 2021. Transaction costs are included in selling, general and administrative expenses in the accompanying Consolidated Statements of Income and Comprehensive Income.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Pro forma results of operations for this acquisition have not been presented as they were immaterial to the reported results.</w:t>
      </w:r>
    </w:p>
    <w:p>
      <w:pPr>
        <w:spacing w:after="0" w:line="22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3.</w:t>
        <w:tab/>
        <w:t>Business Segments</w:t>
      </w:r>
    </w:p>
    <w:p>
      <w:pPr>
        <w:spacing w:after="0" w:line="26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seven operating segments: 1) Grand Design towables, 2) Winnebago towables, 3) Winnebago motorhomes, 4) Newmar motorhomes, 5) Chris-Craft marine, 6) Barletta marine and 7) Winnebago specialty vehicles. Financial performance is evaluated based on each operating segment's Adjusted Earnings Before Interest, Taxes, Depreciation and Amortization ("EBITDA"), as defined below, which excludes certain corporate administration expenses and non-operating income and expense.</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acquisition of Barletta resulted in a newly created Marine reportable segment effective for the first quarter of Fiscal 2022. The segment consists of Barletta and our existing Chris-Craft operating segment. Prior year amounts for Chris-Craft have been reclassified from Corporate / All Other category to the Marine segment.</w:t>
      </w:r>
    </w:p>
    <w:p>
      <w:pPr>
        <w:spacing w:after="0" w:line="228" w:lineRule="exact"/>
        <w:rPr>
          <w:sz w:val="20"/>
          <w:szCs w:val="20"/>
          <w:color w:val="auto"/>
        </w:rPr>
      </w:pPr>
    </w:p>
    <w:p>
      <w:pPr>
        <w:jc w:val="both"/>
        <w:ind w:right="80"/>
        <w:spacing w:after="0" w:line="250" w:lineRule="auto"/>
        <w:rPr>
          <w:sz w:val="20"/>
          <w:szCs w:val="20"/>
          <w:color w:val="auto"/>
        </w:rPr>
      </w:pPr>
      <w:r>
        <w:rPr>
          <w:rFonts w:ascii="Arial" w:cs="Arial" w:eastAsia="Arial" w:hAnsi="Arial"/>
          <w:sz w:val="16"/>
          <w:szCs w:val="16"/>
          <w:color w:val="auto"/>
        </w:rPr>
        <w:t>Our three reportable segments are: Towable (an aggregation of the Grand Design towables and the Winnebago towables operating segments); Motorhome (an aggregation of the Winnebago motorhomes and Newmar motorhomes operating segments); and Marine (an aggregation of the Chris Craft marine and Barletta marine operating segments). Towable is comprised of non-motorized products that are generally towed by another vehicle, along with other related manufactured products and services. Motorhome is comprised of products that include a motorized chassis, along with other related manufactured products and services. Marine is comprised of products that include boats, along with other manufactured products and services.</w:t>
      </w:r>
    </w:p>
    <w:p>
      <w:pPr>
        <w:spacing w:after="0" w:line="230"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Corporate / All Other category includes the Winnebago specialty vehicles operating segment as well as certain corporate administration expenses related to the oversight of the enterprise, such as corporate leadership and administration costs.</w:t>
      </w:r>
    </w:p>
    <w:p>
      <w:pPr>
        <w:spacing w:after="0" w:line="222"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Identifiable assets of the reportable segments exclude general corporate assets, which principally consist of cash and cash equivalents and certain deferred tax balances. The general corporate assets are included in the Corporate / All Other category.</w:t>
      </w:r>
    </w:p>
    <w:p>
      <w:pPr>
        <w:spacing w:after="0" w:line="22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Chief Executive Officer (the Chief Operating Decision Maker ("CODM")) regularly reviews consolidated financial results in their entirety and operating segment financial information through Adjusted EBITDA and has ultimate responsibility for enterprise decisions. Our CODM is responsible for allocating resources and assessing performance of the consolidated enterprise, reportable segments and operating segments. Management of each operating segment has responsibility for operating decisions, allocating resources and assessing performance within their respective operating segment. The accounting policies of all reportable segments are the same as those described in Note 1 to the Consolidated Financial Statements included in Item 8 of Part II of our Annual Report on Form 10-K for the fiscal year ended August 28, 2021.</w:t>
      </w:r>
    </w:p>
    <w:p>
      <w:pPr>
        <w:spacing w:after="0" w:line="232"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We monitor and evaluate operating performance of our reportable segments based on Adjusted EBITDA. We believe disclosing Adjusted EBITDA is useful to securities analysts, investors and other interested parties when evaluating companies in our industries.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period over period. Examples of items excluded from Adjusted EBITDA include acquisition-related costs, litigation reserves, restructuring expenses, gain or loss on sale of property, plant and equipment, contingent consideration fair value adjustment, and non-operating income or loss.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by reportable segment is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70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949"/>
        </w:trPr>
        <w:tc>
          <w:tcPr>
            <w:tcW w:w="1260" w:type="dxa"/>
            <w:vAlign w:val="bottom"/>
            <w:tcBorders>
              <w:top w:val="single" w:sz="8" w:color="0000FF"/>
            </w:tcBorders>
          </w:tcPr>
          <w:p>
            <w:pPr>
              <w:spacing w:after="0"/>
              <w:rPr>
                <w:sz w:val="24"/>
                <w:szCs w:val="24"/>
                <w:color w:val="auto"/>
              </w:rPr>
            </w:pPr>
          </w:p>
        </w:tc>
        <w:tc>
          <w:tcPr>
            <w:tcW w:w="5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4"/>
          </w:tcPr>
          <w:p>
            <w:pPr>
              <w:jc w:val="right"/>
              <w:ind w:right="1239"/>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126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2"/>
          </w:tcPr>
          <w:p>
            <w:pPr>
              <w:jc w:val="center"/>
              <w:ind w:right="420"/>
              <w:spacing w:after="0" w:line="158" w:lineRule="exact"/>
              <w:rPr>
                <w:sz w:val="20"/>
                <w:szCs w:val="20"/>
                <w:color w:val="auto"/>
              </w:rPr>
            </w:pPr>
            <w:r>
              <w:rPr>
                <w:rFonts w:ascii="Arial" w:cs="Arial" w:eastAsia="Arial" w:hAnsi="Arial"/>
                <w:sz w:val="16"/>
                <w:szCs w:val="16"/>
                <w:b w:val="1"/>
                <w:bCs w:val="1"/>
                <w:color w:val="auto"/>
              </w:rPr>
              <w:t>November 27,</w:t>
            </w:r>
          </w:p>
        </w:tc>
        <w:tc>
          <w:tcPr>
            <w:tcW w:w="300" w:type="dxa"/>
            <w:vAlign w:val="bottom"/>
          </w:tcPr>
          <w:p>
            <w:pPr>
              <w:spacing w:after="0"/>
              <w:rPr>
                <w:sz w:val="13"/>
                <w:szCs w:val="13"/>
                <w:color w:val="auto"/>
              </w:rPr>
            </w:pPr>
          </w:p>
        </w:tc>
        <w:tc>
          <w:tcPr>
            <w:tcW w:w="1760" w:type="dxa"/>
            <w:vAlign w:val="bottom"/>
          </w:tcPr>
          <w:p>
            <w:pPr>
              <w:jc w:val="center"/>
              <w:ind w:right="219"/>
              <w:spacing w:after="0" w:line="158" w:lineRule="exact"/>
              <w:rPr>
                <w:sz w:val="20"/>
                <w:szCs w:val="20"/>
                <w:color w:val="auto"/>
              </w:rPr>
            </w:pPr>
            <w:r>
              <w:rPr>
                <w:rFonts w:ascii="Arial" w:cs="Arial" w:eastAsia="Arial" w:hAnsi="Arial"/>
                <w:sz w:val="16"/>
                <w:szCs w:val="16"/>
                <w:b w:val="1"/>
                <w:bCs w:val="1"/>
                <w:color w:val="auto"/>
              </w:rPr>
              <w:t>November 28,</w:t>
            </w:r>
          </w:p>
        </w:tc>
      </w:tr>
      <w:tr>
        <w:trPr>
          <w:trHeight w:val="216"/>
        </w:trPr>
        <w:tc>
          <w:tcPr>
            <w:tcW w:w="7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2020</w:t>
            </w:r>
          </w:p>
        </w:tc>
      </w:tr>
      <w:tr>
        <w:trPr>
          <w:trHeight w:val="20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651,024</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454,901</w:t>
            </w:r>
          </w:p>
        </w:tc>
      </w:tr>
      <w:tr>
        <w:trPr>
          <w:trHeight w:val="21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421,479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322,389</w:t>
            </w: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Marine</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79,318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11,894</w:t>
            </w:r>
          </w:p>
        </w:tc>
      </w:tr>
      <w:tr>
        <w:trPr>
          <w:trHeight w:val="21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3,947</w:t>
            </w:r>
          </w:p>
        </w:tc>
      </w:tr>
      <w:tr>
        <w:trPr>
          <w:trHeight w:val="212"/>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Consolidated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1,155,740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793,131</w:t>
            </w: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75"/>
        </w:trPr>
        <w:tc>
          <w:tcPr>
            <w:tcW w:w="1260" w:type="dxa"/>
            <w:vAlign w:val="bottom"/>
            <w:shd w:val="clear" w:color="auto" w:fill="CCEEFF"/>
          </w:tcPr>
          <w:p>
            <w:pPr>
              <w:spacing w:after="0"/>
              <w:rPr>
                <w:sz w:val="6"/>
                <w:szCs w:val="6"/>
                <w:color w:val="auto"/>
              </w:rPr>
            </w:pPr>
          </w:p>
        </w:tc>
        <w:tc>
          <w:tcPr>
            <w:tcW w:w="57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760" w:type="dxa"/>
            <w:vAlign w:val="bottom"/>
            <w:shd w:val="clear" w:color="auto" w:fill="CCEEFF"/>
          </w:tcPr>
          <w:p>
            <w:pPr>
              <w:spacing w:after="0"/>
              <w:rPr>
                <w:sz w:val="6"/>
                <w:szCs w:val="6"/>
                <w:color w:val="auto"/>
              </w:rPr>
            </w:pPr>
          </w:p>
        </w:tc>
      </w:tr>
      <w:tr>
        <w:trPr>
          <w:trHeight w:val="215"/>
        </w:trPr>
        <w:tc>
          <w:tcPr>
            <w:tcW w:w="7000" w:type="dxa"/>
            <w:vAlign w:val="bottom"/>
            <w:gridSpan w:val="2"/>
          </w:tcPr>
          <w:p>
            <w:pPr>
              <w:ind w:left="20"/>
              <w:spacing w:after="0"/>
              <w:rPr>
                <w:sz w:val="20"/>
                <w:szCs w:val="20"/>
                <w:color w:val="auto"/>
              </w:rPr>
            </w:pPr>
            <w:r>
              <w:rPr>
                <w:rFonts w:ascii="Arial" w:cs="Arial" w:eastAsia="Arial" w:hAnsi="Arial"/>
                <w:sz w:val="16"/>
                <w:szCs w:val="16"/>
                <w:b w:val="1"/>
                <w:bCs w:val="1"/>
                <w:color w:val="auto"/>
              </w:rPr>
              <w:t>Adjusted EBITDA</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7"/>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Towable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112,077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63,143</w:t>
            </w: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Motorhome</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50,153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30,343</w:t>
            </w:r>
          </w:p>
        </w:tc>
      </w:tr>
      <w:tr>
        <w:trPr>
          <w:trHeight w:val="21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Marine</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r>
      <w:tr>
        <w:trPr>
          <w:trHeight w:val="213"/>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Corporate / All Other</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(5,047)</w:t>
            </w:r>
          </w:p>
        </w:tc>
      </w:tr>
      <w:tr>
        <w:trPr>
          <w:trHeight w:val="238"/>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Consolidated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89,293</w:t>
            </w:r>
          </w:p>
        </w:tc>
      </w:tr>
      <w:tr>
        <w:trPr>
          <w:trHeight w:val="20"/>
        </w:trPr>
        <w:tc>
          <w:tcPr>
            <w:tcW w:w="70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1260" w:type="dxa"/>
            <w:vAlign w:val="bottom"/>
          </w:tcPr>
          <w:p>
            <w:pPr>
              <w:spacing w:after="0"/>
              <w:rPr>
                <w:sz w:val="4"/>
                <w:szCs w:val="4"/>
                <w:color w:val="auto"/>
              </w:rPr>
            </w:pPr>
          </w:p>
        </w:tc>
        <w:tc>
          <w:tcPr>
            <w:tcW w:w="57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1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Capital Expenditures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11,158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4,137</w:t>
            </w:r>
          </w:p>
        </w:tc>
      </w:tr>
      <w:tr>
        <w:trPr>
          <w:trHeight w:val="21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4,003</w:t>
            </w: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Marine</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21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Consolidated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23,215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8,689</w:t>
            </w:r>
          </w:p>
        </w:tc>
      </w:tr>
      <w:tr>
        <w:trPr>
          <w:trHeight w:val="20"/>
        </w:trPr>
        <w:tc>
          <w:tcPr>
            <w:tcW w:w="12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520"/>
        </w:trPr>
        <w:tc>
          <w:tcPr>
            <w:tcW w:w="126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November 27,</w:t>
            </w:r>
          </w:p>
        </w:tc>
        <w:tc>
          <w:tcPr>
            <w:tcW w:w="300" w:type="dxa"/>
            <w:vAlign w:val="bottom"/>
          </w:tcPr>
          <w:p>
            <w:pPr>
              <w:spacing w:after="0"/>
              <w:rPr>
                <w:sz w:val="24"/>
                <w:szCs w:val="24"/>
                <w:color w:val="auto"/>
              </w:rPr>
            </w:pPr>
          </w:p>
        </w:tc>
        <w:tc>
          <w:tcPr>
            <w:tcW w:w="1760" w:type="dxa"/>
            <w:vAlign w:val="bottom"/>
          </w:tcPr>
          <w:p>
            <w:pPr>
              <w:jc w:val="center"/>
              <w:ind w:right="219"/>
              <w:spacing w:after="0"/>
              <w:rPr>
                <w:sz w:val="20"/>
                <w:szCs w:val="20"/>
                <w:color w:val="auto"/>
              </w:rPr>
            </w:pPr>
            <w:r>
              <w:rPr>
                <w:rFonts w:ascii="Arial" w:cs="Arial" w:eastAsia="Arial" w:hAnsi="Arial"/>
                <w:sz w:val="16"/>
                <w:szCs w:val="16"/>
                <w:b w:val="1"/>
                <w:bCs w:val="1"/>
                <w:color w:val="auto"/>
              </w:rPr>
              <w:t>August 28,</w:t>
            </w:r>
          </w:p>
        </w:tc>
      </w:tr>
      <w:tr>
        <w:trPr>
          <w:trHeight w:val="216"/>
        </w:trPr>
        <w:tc>
          <w:tcPr>
            <w:tcW w:w="7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2021</w:t>
            </w:r>
          </w:p>
        </w:tc>
      </w:tr>
      <w:tr>
        <w:trPr>
          <w:trHeight w:val="21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Towable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823,838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790,257</w:t>
            </w:r>
          </w:p>
        </w:tc>
      </w:tr>
      <w:tr>
        <w:trPr>
          <w:trHeight w:val="21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762,742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728,060</w:t>
            </w: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Marine</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395,533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102,901</w:t>
            </w:r>
          </w:p>
        </w:tc>
      </w:tr>
      <w:tr>
        <w:trPr>
          <w:trHeight w:val="21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 All Other</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224,248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441,349</w:t>
            </w:r>
          </w:p>
        </w:tc>
      </w:tr>
      <w:tr>
        <w:trPr>
          <w:trHeight w:val="213"/>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Consolidated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2,206,361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2,062,567</w:t>
            </w:r>
          </w:p>
        </w:tc>
      </w:tr>
      <w:tr>
        <w:trPr>
          <w:trHeight w:val="20"/>
        </w:trPr>
        <w:tc>
          <w:tcPr>
            <w:tcW w:w="126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70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906"/>
        </w:trPr>
        <w:tc>
          <w:tcPr>
            <w:tcW w:w="7000" w:type="dxa"/>
            <w:vAlign w:val="bottom"/>
            <w:gridSpan w:val="2"/>
          </w:tcPr>
          <w:p>
            <w:pPr>
              <w:spacing w:after="0"/>
              <w:rPr>
                <w:sz w:val="20"/>
                <w:szCs w:val="20"/>
                <w:color w:val="auto"/>
              </w:rPr>
            </w:pPr>
            <w:r>
              <w:rPr>
                <w:rFonts w:ascii="Arial" w:cs="Arial" w:eastAsia="Arial" w:hAnsi="Arial"/>
                <w:sz w:val="16"/>
                <w:szCs w:val="16"/>
                <w:color w:val="auto"/>
              </w:rPr>
              <w:t>Reconciliation of net income to consolidated Adjusted EBITDA is as follows: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33"/>
        </w:trPr>
        <w:tc>
          <w:tcPr>
            <w:tcW w:w="126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4"/>
          </w:tcPr>
          <w:p>
            <w:pPr>
              <w:jc w:val="right"/>
              <w:ind w:right="123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27, 2021</w:t>
            </w:r>
          </w:p>
        </w:tc>
        <w:tc>
          <w:tcPr>
            <w:tcW w:w="200" w:type="dxa"/>
            <w:vAlign w:val="bottom"/>
          </w:tcPr>
          <w:p>
            <w:pPr>
              <w:spacing w:after="0"/>
              <w:rPr>
                <w:sz w:val="18"/>
                <w:szCs w:val="18"/>
                <w:color w:val="auto"/>
              </w:rPr>
            </w:pPr>
          </w:p>
        </w:tc>
        <w:tc>
          <w:tcPr>
            <w:tcW w:w="1860" w:type="dxa"/>
            <w:vAlign w:val="bottom"/>
          </w:tcPr>
          <w:p>
            <w:pPr>
              <w:jc w:val="right"/>
              <w:ind w:right="219"/>
              <w:spacing w:after="0"/>
              <w:rPr>
                <w:sz w:val="20"/>
                <w:szCs w:val="20"/>
                <w:color w:val="auto"/>
              </w:rPr>
            </w:pPr>
            <w:r>
              <w:rPr>
                <w:rFonts w:ascii="Arial" w:cs="Arial" w:eastAsia="Arial" w:hAnsi="Arial"/>
                <w:sz w:val="16"/>
                <w:szCs w:val="16"/>
                <w:b w:val="1"/>
                <w:bCs w:val="1"/>
                <w:color w:val="auto"/>
              </w:rPr>
              <w:t>November 28, 2020</w:t>
            </w:r>
          </w:p>
        </w:tc>
      </w:tr>
      <w:tr>
        <w:trPr>
          <w:trHeight w:val="210"/>
        </w:trPr>
        <w:tc>
          <w:tcPr>
            <w:tcW w:w="70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99,630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57,423</w:t>
            </w:r>
          </w:p>
        </w:tc>
      </w:tr>
      <w:tr>
        <w:trPr>
          <w:trHeight w:val="213"/>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10,242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9,941</w:t>
            </w:r>
          </w:p>
        </w:tc>
      </w:tr>
      <w:tr>
        <w:trPr>
          <w:trHeight w:val="21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17,557</w:t>
            </w:r>
          </w:p>
        </w:tc>
      </w:tr>
      <w:tr>
        <w:trPr>
          <w:trHeight w:val="213"/>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5,306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4,160</w:t>
            </w:r>
          </w:p>
        </w:tc>
      </w:tr>
      <w:tr>
        <w:trPr>
          <w:trHeight w:val="216"/>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r>
      <w:tr>
        <w:trPr>
          <w:trHeight w:val="210"/>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153,491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92,671</w:t>
            </w:r>
          </w:p>
        </w:tc>
      </w:tr>
      <w:tr>
        <w:trPr>
          <w:trHeight w:val="21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Acquisition-related costs</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Litigation reserves</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Gain on sale of property, plant and equipment</w:t>
            </w:r>
          </w:p>
        </w:tc>
        <w:tc>
          <w:tcPr>
            <w:tcW w:w="2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(3,565)</w:t>
            </w:r>
          </w:p>
        </w:tc>
      </w:tr>
      <w:tr>
        <w:trPr>
          <w:trHeight w:val="213"/>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Restructuring expenses</w:t>
            </w:r>
          </w:p>
        </w:tc>
        <w:tc>
          <w:tcPr>
            <w:tcW w:w="200" w:type="dxa"/>
            <w:vAlign w:val="bottom"/>
          </w:tcPr>
          <w:p>
            <w:pPr>
              <w:spacing w:after="0"/>
              <w:rPr>
                <w:sz w:val="18"/>
                <w:szCs w:val="18"/>
                <w:color w:val="auto"/>
              </w:rPr>
            </w:pP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9"/>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Contingent consideration fair value adjustment</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Non-operating (income) loss</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38"/>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89,293</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4.</w:t>
        <w:tab/>
        <w:t>Investments and Fair Value Measurements</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determining the fair value of financial assets and liabilities, we utilize market data or other assumptions that we believe market participants would use in pricing the asset or liability in the principal or most advantageous market and adjust for non-performance and/or other risks associated with us as well as counterparties, as appropriate. Assets and liabilities measured at fair value are classified using the following hierarchy, which is based upon the transparency of inputs to the valuation as of the measurement date: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 Unadjusted quoted prices which are available in active markets for identical assets or liabilities accessible at the measurement date.</w:t>
      </w:r>
    </w:p>
    <w:p>
      <w:pPr>
        <w:spacing w:after="0" w:line="248" w:lineRule="exact"/>
        <w:rPr>
          <w:sz w:val="20"/>
          <w:szCs w:val="20"/>
          <w:color w:val="auto"/>
        </w:rPr>
      </w:pPr>
    </w:p>
    <w:p>
      <w:pPr>
        <w:ind w:left="660" w:right="440"/>
        <w:spacing w:after="0" w:line="281"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Inputs other than quoted prices included in Level 1 inputs that are observable for the asset or liability, either directly or indirectly, for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the full term of the asset or liability.</w:t>
      </w:r>
    </w:p>
    <w:p>
      <w:pPr>
        <w:spacing w:after="0" w:line="190" w:lineRule="exact"/>
        <w:rPr>
          <w:sz w:val="20"/>
          <w:szCs w:val="20"/>
          <w:color w:val="auto"/>
        </w:rPr>
      </w:pPr>
    </w:p>
    <w:p>
      <w:pPr>
        <w:ind w:left="660" w:right="300"/>
        <w:spacing w:after="0" w:line="281"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for the asset or liability used to measure fair value to the extent that observable inputs are not available, thereby</w:t>
      </w:r>
      <w:r>
        <w:rPr>
          <w:rFonts w:ascii="Arial" w:cs="Arial" w:eastAsia="Arial" w:hAnsi="Arial"/>
          <w:sz w:val="16"/>
          <w:szCs w:val="16"/>
          <w:i w:val="1"/>
          <w:iCs w:val="1"/>
          <w:color w:val="auto"/>
        </w:rPr>
        <w:t xml:space="preserve"> </w:t>
      </w:r>
      <w:r>
        <w:rPr>
          <w:rFonts w:ascii="Arial" w:cs="Arial" w:eastAsia="Arial" w:hAnsi="Arial"/>
          <w:sz w:val="16"/>
          <w:szCs w:val="16"/>
          <w:color w:val="auto"/>
        </w:rPr>
        <w:t>allowing for situations in which there is little, if any, market activity for the asset or liability at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442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906"/>
        </w:trPr>
        <w:tc>
          <w:tcPr>
            <w:tcW w:w="6160" w:type="dxa"/>
            <w:vAlign w:val="bottom"/>
            <w:gridSpan w:val="8"/>
          </w:tcPr>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97"/>
        </w:trPr>
        <w:tc>
          <w:tcPr>
            <w:tcW w:w="6520" w:type="dxa"/>
            <w:vAlign w:val="bottom"/>
            <w:gridSpan w:val="9"/>
          </w:tcPr>
          <w:p>
            <w:pPr>
              <w:spacing w:after="0"/>
              <w:rPr>
                <w:sz w:val="20"/>
                <w:szCs w:val="20"/>
                <w:color w:val="auto"/>
              </w:rPr>
            </w:pPr>
            <w:r>
              <w:rPr>
                <w:rFonts w:ascii="Arial" w:cs="Arial" w:eastAsia="Arial" w:hAnsi="Arial"/>
                <w:sz w:val="16"/>
                <w:szCs w:val="16"/>
                <w:color w:val="auto"/>
              </w:rPr>
              <w:t>Financial assets and liabilities measured at fair value on a recurring basis are as follows:</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8"/>
              </w:rPr>
              <w:t>Fair Value at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3"/>
          </w:tcPr>
          <w:p>
            <w:pPr>
              <w:jc w:val="center"/>
              <w:ind w:right="320"/>
              <w:spacing w:after="0" w:line="148" w:lineRule="exact"/>
              <w:rPr>
                <w:sz w:val="20"/>
                <w:szCs w:val="20"/>
                <w:color w:val="auto"/>
              </w:rPr>
            </w:pPr>
            <w:r>
              <w:rPr>
                <w:rFonts w:ascii="Arial" w:cs="Arial" w:eastAsia="Arial" w:hAnsi="Arial"/>
                <w:sz w:val="16"/>
                <w:szCs w:val="16"/>
                <w:b w:val="1"/>
                <w:bCs w:val="1"/>
                <w:color w:val="auto"/>
              </w:rPr>
              <w:t>November 27,</w:t>
            </w: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8"/>
                <w:szCs w:val="18"/>
                <w:color w:val="auto"/>
              </w:rPr>
            </w:pPr>
          </w:p>
        </w:tc>
        <w:tc>
          <w:tcPr>
            <w:tcW w:w="1400" w:type="dxa"/>
            <w:vAlign w:val="bottom"/>
            <w:gridSpan w:val="3"/>
          </w:tcPr>
          <w:p>
            <w:pPr>
              <w:ind w:left="20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Level 3</w:t>
            </w:r>
          </w:p>
        </w:tc>
      </w:tr>
      <w:tr>
        <w:trPr>
          <w:trHeight w:val="209"/>
        </w:trPr>
        <w:tc>
          <w:tcPr>
            <w:tcW w:w="20" w:type="dxa"/>
            <w:vAlign w:val="bottom"/>
            <w:tcBorders>
              <w:top w:val="single" w:sz="8" w:color="auto"/>
            </w:tcBorders>
            <w:shd w:val="clear" w:color="auto" w:fill="CCEEFF"/>
          </w:tcPr>
          <w:p>
            <w:pPr>
              <w:spacing w:after="0"/>
              <w:rPr>
                <w:sz w:val="18"/>
                <w:szCs w:val="18"/>
                <w:color w:val="auto"/>
              </w:rPr>
            </w:pPr>
          </w:p>
        </w:tc>
        <w:tc>
          <w:tcPr>
            <w:tcW w:w="44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Assets that fund deferred compensation</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00" w:type="dxa"/>
            <w:vAlign w:val="bottom"/>
            <w:gridSpan w:val="2"/>
          </w:tcPr>
          <w:p>
            <w:pPr>
              <w:ind w:left="120"/>
              <w:spacing w:after="0"/>
              <w:rPr>
                <w:sz w:val="20"/>
                <w:szCs w:val="20"/>
                <w:color w:val="auto"/>
              </w:rPr>
            </w:pPr>
            <w:r>
              <w:rPr>
                <w:rFonts w:ascii="Arial" w:cs="Arial" w:eastAsia="Arial" w:hAnsi="Arial"/>
                <w:sz w:val="16"/>
                <w:szCs w:val="16"/>
                <w:color w:val="auto"/>
              </w:rPr>
              <w:t>Domestic equity funds</w:t>
            </w: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1,347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Fixed income funds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 at fair value</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16"/>
        </w:trPr>
        <w:tc>
          <w:tcPr>
            <w:tcW w:w="2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Contingent consideration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Earnout liability</w:t>
            </w:r>
          </w:p>
        </w:tc>
        <w:tc>
          <w:tcPr>
            <w:tcW w:w="2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30,560</w:t>
            </w:r>
          </w:p>
        </w:tc>
      </w:tr>
      <w:tr>
        <w:trPr>
          <w:trHeight w:val="233"/>
        </w:trPr>
        <w:tc>
          <w:tcPr>
            <w:tcW w:w="2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liabilities at fair value</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rPr>
              <w:t>Fair Value at</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Fair Value Hierarchy</w:t>
            </w: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3"/>
          </w:tcPr>
          <w:p>
            <w:pPr>
              <w:jc w:val="center"/>
              <w:ind w:right="280"/>
              <w:spacing w:after="0" w:line="148" w:lineRule="exact"/>
              <w:rPr>
                <w:sz w:val="20"/>
                <w:szCs w:val="20"/>
                <w:color w:val="auto"/>
              </w:rPr>
            </w:pPr>
            <w:r>
              <w:rPr>
                <w:rFonts w:ascii="Arial" w:cs="Arial" w:eastAsia="Arial" w:hAnsi="Arial"/>
                <w:sz w:val="16"/>
                <w:szCs w:val="16"/>
                <w:b w:val="1"/>
                <w:bCs w:val="1"/>
                <w:color w:val="auto"/>
              </w:rPr>
              <w:t>August 28,</w:t>
            </w:r>
          </w:p>
        </w:tc>
        <w:tc>
          <w:tcPr>
            <w:tcW w:w="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8"/>
                <w:szCs w:val="18"/>
                <w:color w:val="auto"/>
              </w:rPr>
            </w:pPr>
          </w:p>
        </w:tc>
        <w:tc>
          <w:tcPr>
            <w:tcW w:w="1400" w:type="dxa"/>
            <w:vAlign w:val="bottom"/>
            <w:gridSpan w:val="3"/>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300" w:type="dxa"/>
            <w:vAlign w:val="bottom"/>
          </w:tcPr>
          <w:p>
            <w:pPr>
              <w:jc w:val="right"/>
              <w:ind w:right="439"/>
              <w:spacing w:after="0"/>
              <w:rPr>
                <w:sz w:val="20"/>
                <w:szCs w:val="20"/>
                <w:color w:val="auto"/>
              </w:rPr>
            </w:pPr>
            <w:r>
              <w:rPr>
                <w:rFonts w:ascii="Arial" w:cs="Arial" w:eastAsia="Arial" w:hAnsi="Arial"/>
                <w:sz w:val="16"/>
                <w:szCs w:val="16"/>
                <w:b w:val="1"/>
                <w:bCs w:val="1"/>
                <w:color w:val="auto"/>
              </w:rPr>
              <w:t>Level 3</w:t>
            </w:r>
          </w:p>
        </w:tc>
      </w:tr>
      <w:tr>
        <w:trPr>
          <w:trHeight w:val="209"/>
        </w:trPr>
        <w:tc>
          <w:tcPr>
            <w:tcW w:w="20" w:type="dxa"/>
            <w:vAlign w:val="bottom"/>
          </w:tcPr>
          <w:p>
            <w:pPr>
              <w:spacing w:after="0"/>
              <w:rPr>
                <w:sz w:val="18"/>
                <w:szCs w:val="18"/>
                <w:color w:val="auto"/>
              </w:rPr>
            </w:pPr>
          </w:p>
        </w:tc>
        <w:tc>
          <w:tcPr>
            <w:tcW w:w="44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 that fund deferred compensation</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400" w:type="dxa"/>
            <w:vAlign w:val="bottom"/>
            <w:gridSpan w:val="2"/>
          </w:tcPr>
          <w:p>
            <w:pPr>
              <w:ind w:left="140"/>
              <w:spacing w:after="0"/>
              <w:rPr>
                <w:sz w:val="20"/>
                <w:szCs w:val="20"/>
                <w:color w:val="auto"/>
              </w:rPr>
            </w:pPr>
            <w:r>
              <w:rPr>
                <w:rFonts w:ascii="Arial" w:cs="Arial" w:eastAsia="Arial" w:hAnsi="Arial"/>
                <w:sz w:val="16"/>
                <w:szCs w:val="16"/>
                <w:color w:val="auto"/>
              </w:rPr>
              <w:t>Domestic equity funds</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tcPr>
          <w:p>
            <w:pPr>
              <w:ind w:left="10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tcPr>
          <w:p>
            <w:pPr>
              <w:spacing w:after="0"/>
              <w:rPr>
                <w:sz w:val="19"/>
                <w:szCs w:val="19"/>
                <w:color w:val="auto"/>
              </w:rPr>
            </w:pPr>
          </w:p>
        </w:tc>
        <w:tc>
          <w:tcPr>
            <w:tcW w:w="44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International equity funds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20" w:type="dxa"/>
            <w:vAlign w:val="bottom"/>
          </w:tcPr>
          <w:p>
            <w:pPr>
              <w:spacing w:after="0"/>
              <w:rPr>
                <w:sz w:val="18"/>
                <w:szCs w:val="18"/>
                <w:color w:val="auto"/>
              </w:rPr>
            </w:pPr>
          </w:p>
        </w:tc>
        <w:tc>
          <w:tcPr>
            <w:tcW w:w="4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Fixed income funds</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0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0" w:type="dxa"/>
            <w:vAlign w:val="bottom"/>
          </w:tcPr>
          <w:p>
            <w:pPr>
              <w:spacing w:after="0"/>
              <w:rPr>
                <w:sz w:val="20"/>
                <w:szCs w:val="20"/>
                <w:color w:val="auto"/>
              </w:rPr>
            </w:pPr>
          </w:p>
        </w:tc>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assets at fair value</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that Fund Deferred Compensation</w:t>
      </w:r>
    </w:p>
    <w:p>
      <w:pPr>
        <w:spacing w:after="0" w:line="21"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These securities, used to fund the Executive Share Option Plan and the Executive Deferred Compensation Plan, are classified as Level 1 as they are traded in an active market for which closing stock prices are readily available. Refer to Note 10 of the Notes to the Consolidated Financial Statements included in Item 8 of Part II of our Annual Report on Form 10-K for the fiscal year ended August 28, 2021 for additional information regarding these plans.</w:t>
      </w:r>
    </w:p>
    <w:p>
      <w:pPr>
        <w:spacing w:after="0" w:line="23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proportion of the assets that will fund options which expire within a year are included in prepaid expenses and other assets on the Consolidated Balance Sheets. The remaining assets are classified as non-current and are included in other assets on the Consolidated Balance Sheets.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2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Contingent consideration represents the earnout liability related to the Barletta acquisition and is valued using a probability-weighted scenario analysis of projected EBITDA and gross profit results and discounted at a risk-free rate. The contingent consideration is classified as Level 3. Actual EBITDA and gross profit results may differ significantly from those used in the estimate above, which may affect future payments. Changes in future payments will be reflected in future operating results as they occur.</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13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Certain financial instruments are measured at fair value on a nonrecurring basis. These assets primarily include goodwill, intangible assets, property, plant and equipment, and right-of-use lease assets. These assets were originally recognized at amounts equal to the fair value determined at date of acquisition or purchase. If certain triggering events occur, or if an annual impairment test is required, we will evaluate the non-financial asset for impairment. If an impairment has occurred, the asset will be written down to its current estimated fair value. No impairments were recorded for non-financial assets in the three months ended November 27, 2021 or November 28, 2020.</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133"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Certain financial instruments are not measured at fair value but are recorded at carrying amounts approximating fair value based on their short-term nature. These financial instruments include cash and cash equivalents, receivables, accounts payable, other payables, and long-term debt. If these instruments were measured at fair value in the financial statements, they would be classified as Level 1 in the fair value hierarchy. The fair value of our long-term debt was determined using current quoted prices in active markets for our publicly traded debt obligations, which is classified as Level 1 in the fair value hierarchy. See Note 9 for the fair value of our long-term debt.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70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6"/>
        </w:trPr>
        <w:tc>
          <w:tcPr>
            <w:tcW w:w="7000" w:type="dxa"/>
            <w:vAlign w:val="bottom"/>
            <w:gridSpan w:val="2"/>
          </w:tcPr>
          <w:p>
            <w:pPr>
              <w:spacing w:after="0"/>
              <w:rPr>
                <w:sz w:val="20"/>
                <w:szCs w:val="20"/>
                <w:color w:val="auto"/>
              </w:rPr>
            </w:pPr>
            <w:r>
              <w:rPr>
                <w:rFonts w:ascii="Arial" w:cs="Arial" w:eastAsia="Arial" w:hAnsi="Arial"/>
                <w:sz w:val="16"/>
                <w:szCs w:val="16"/>
                <w:b w:val="1"/>
                <w:bCs w:val="1"/>
                <w:color w:val="auto"/>
              </w:rPr>
              <w:t>Note 5.  Inventories</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000" w:type="dxa"/>
            <w:vAlign w:val="bottom"/>
            <w:gridSpan w:val="2"/>
          </w:tcPr>
          <w:p>
            <w:pPr>
              <w:spacing w:after="0"/>
              <w:rPr>
                <w:sz w:val="20"/>
                <w:szCs w:val="20"/>
                <w:color w:val="auto"/>
              </w:rPr>
            </w:pPr>
            <w:r>
              <w:rPr>
                <w:rFonts w:ascii="Arial" w:cs="Arial" w:eastAsia="Arial" w:hAnsi="Arial"/>
                <w:sz w:val="16"/>
                <w:szCs w:val="16"/>
                <w:color w:val="auto"/>
              </w:rPr>
              <w:t>Inventories consist of the following:</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2"/>
          </w:tcPr>
          <w:p>
            <w:pPr>
              <w:jc w:val="center"/>
              <w:ind w:right="420"/>
              <w:spacing w:after="0" w:line="181" w:lineRule="exact"/>
              <w:rPr>
                <w:sz w:val="20"/>
                <w:szCs w:val="20"/>
                <w:color w:val="auto"/>
              </w:rPr>
            </w:pPr>
            <w:r>
              <w:rPr>
                <w:rFonts w:ascii="Arial" w:cs="Arial" w:eastAsia="Arial" w:hAnsi="Arial"/>
                <w:sz w:val="16"/>
                <w:szCs w:val="16"/>
                <w:b w:val="1"/>
                <w:bCs w:val="1"/>
                <w:color w:val="auto"/>
              </w:rPr>
              <w:t>November 27,</w:t>
            </w:r>
          </w:p>
        </w:tc>
        <w:tc>
          <w:tcPr>
            <w:tcW w:w="360" w:type="dxa"/>
            <w:vAlign w:val="bottom"/>
          </w:tcPr>
          <w:p>
            <w:pPr>
              <w:spacing w:after="0"/>
              <w:rPr>
                <w:sz w:val="15"/>
                <w:szCs w:val="15"/>
                <w:color w:val="auto"/>
              </w:rPr>
            </w:pPr>
          </w:p>
        </w:tc>
        <w:tc>
          <w:tcPr>
            <w:tcW w:w="1700" w:type="dxa"/>
            <w:vAlign w:val="bottom"/>
          </w:tcPr>
          <w:p>
            <w:pPr>
              <w:jc w:val="center"/>
              <w:ind w:right="279"/>
              <w:spacing w:after="0" w:line="181" w:lineRule="exact"/>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12,243</w:t>
            </w:r>
          </w:p>
        </w:tc>
        <w:tc>
          <w:tcPr>
            <w:tcW w:w="0" w:type="dxa"/>
            <w:vAlign w:val="bottom"/>
          </w:tcPr>
          <w:p>
            <w:pPr>
              <w:spacing w:after="0"/>
              <w:rPr>
                <w:sz w:val="1"/>
                <w:szCs w:val="1"/>
                <w:color w:val="auto"/>
              </w:rPr>
            </w:pPr>
          </w:p>
        </w:tc>
      </w:tr>
      <w:tr>
        <w:trPr>
          <w:trHeight w:val="213"/>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Work-in-process</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188,380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184,611</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271,579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183,583</w:t>
            </w:r>
          </w:p>
        </w:tc>
        <w:tc>
          <w:tcPr>
            <w:tcW w:w="0" w:type="dxa"/>
            <w:vAlign w:val="bottom"/>
          </w:tcPr>
          <w:p>
            <w:pPr>
              <w:spacing w:after="0"/>
              <w:rPr>
                <w:sz w:val="1"/>
                <w:szCs w:val="1"/>
                <w:color w:val="auto"/>
              </w:rPr>
            </w:pPr>
          </w:p>
        </w:tc>
      </w:tr>
      <w:tr>
        <w:trPr>
          <w:trHeight w:val="210"/>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Total</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472,226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380,437</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Less: Excess of FIFO over LIFO cost</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39,401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38,964</w:t>
            </w:r>
          </w:p>
        </w:tc>
        <w:tc>
          <w:tcPr>
            <w:tcW w:w="0" w:type="dxa"/>
            <w:vAlign w:val="bottom"/>
          </w:tcPr>
          <w:p>
            <w:pPr>
              <w:spacing w:after="0"/>
              <w:rPr>
                <w:sz w:val="1"/>
                <w:szCs w:val="1"/>
                <w:color w:val="auto"/>
              </w:rPr>
            </w:pPr>
          </w:p>
        </w:tc>
      </w:tr>
      <w:tr>
        <w:trPr>
          <w:trHeight w:val="213"/>
        </w:trPr>
        <w:tc>
          <w:tcPr>
            <w:tcW w:w="7000" w:type="dxa"/>
            <w:vAlign w:val="bottom"/>
            <w:gridSpan w:val="2"/>
          </w:tcPr>
          <w:p>
            <w:pPr>
              <w:ind w:left="140"/>
              <w:spacing w:after="0"/>
              <w:rPr>
                <w:sz w:val="20"/>
                <w:szCs w:val="20"/>
                <w:color w:val="auto"/>
              </w:rPr>
            </w:pPr>
            <w:r>
              <w:rPr>
                <w:rFonts w:ascii="Arial" w:cs="Arial" w:eastAsia="Arial" w:hAnsi="Arial"/>
                <w:sz w:val="16"/>
                <w:szCs w:val="16"/>
                <w:color w:val="auto"/>
              </w:rPr>
              <w:t>Inventories, net</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432,825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341,473</w:t>
            </w:r>
          </w:p>
        </w:tc>
        <w:tc>
          <w:tcPr>
            <w:tcW w:w="0" w:type="dxa"/>
            <w:vAlign w:val="bottom"/>
          </w:tcPr>
          <w:p>
            <w:pPr>
              <w:spacing w:after="0"/>
              <w:rPr>
                <w:sz w:val="1"/>
                <w:szCs w:val="1"/>
                <w:color w:val="auto"/>
              </w:rPr>
            </w:pPr>
          </w:p>
        </w:tc>
      </w:tr>
      <w:tr>
        <w:trPr>
          <w:trHeight w:val="21"/>
        </w:trPr>
        <w:tc>
          <w:tcPr>
            <w:tcW w:w="7000" w:type="dxa"/>
            <w:vAlign w:val="bottom"/>
            <w:gridSpan w:val="2"/>
            <w:vMerge w:val="restart"/>
          </w:tcPr>
          <w:p>
            <w:pPr>
              <w:spacing w:after="0"/>
              <w:rPr>
                <w:sz w:val="20"/>
                <w:szCs w:val="20"/>
                <w:color w:val="auto"/>
              </w:rPr>
            </w:pPr>
            <w:r>
              <w:rPr>
                <w:rFonts w:ascii="Arial" w:cs="Arial" w:eastAsia="Arial" w:hAnsi="Arial"/>
                <w:sz w:val="16"/>
                <w:szCs w:val="16"/>
                <w:color w:val="auto"/>
              </w:rPr>
              <w:t>Inventory valuation methods consist of the following:</w:t>
            </w: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70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2"/>
          </w:tcPr>
          <w:p>
            <w:pPr>
              <w:jc w:val="center"/>
              <w:ind w:right="420"/>
              <w:spacing w:after="0" w:line="181" w:lineRule="exact"/>
              <w:rPr>
                <w:sz w:val="20"/>
                <w:szCs w:val="20"/>
                <w:color w:val="auto"/>
              </w:rPr>
            </w:pPr>
            <w:r>
              <w:rPr>
                <w:rFonts w:ascii="Arial" w:cs="Arial" w:eastAsia="Arial" w:hAnsi="Arial"/>
                <w:sz w:val="16"/>
                <w:szCs w:val="16"/>
                <w:b w:val="1"/>
                <w:bCs w:val="1"/>
                <w:color w:val="auto"/>
              </w:rPr>
              <w:t>November 27,</w:t>
            </w:r>
          </w:p>
        </w:tc>
        <w:tc>
          <w:tcPr>
            <w:tcW w:w="360" w:type="dxa"/>
            <w:vAlign w:val="bottom"/>
          </w:tcPr>
          <w:p>
            <w:pPr>
              <w:spacing w:after="0"/>
              <w:rPr>
                <w:sz w:val="15"/>
                <w:szCs w:val="15"/>
                <w:color w:val="auto"/>
              </w:rPr>
            </w:pPr>
          </w:p>
        </w:tc>
        <w:tc>
          <w:tcPr>
            <w:tcW w:w="1700" w:type="dxa"/>
            <w:vAlign w:val="bottom"/>
          </w:tcPr>
          <w:p>
            <w:pPr>
              <w:jc w:val="center"/>
              <w:ind w:right="279"/>
              <w:spacing w:after="0" w:line="181" w:lineRule="exact"/>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6"/>
        </w:trPr>
        <w:tc>
          <w:tcPr>
            <w:tcW w:w="7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LIFO basis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139,544</w:t>
            </w:r>
          </w:p>
        </w:tc>
        <w:tc>
          <w:tcPr>
            <w:tcW w:w="0" w:type="dxa"/>
            <w:vAlign w:val="bottom"/>
          </w:tcPr>
          <w:p>
            <w:pPr>
              <w:spacing w:after="0"/>
              <w:rPr>
                <w:sz w:val="1"/>
                <w:szCs w:val="1"/>
                <w:color w:val="auto"/>
              </w:rPr>
            </w:pPr>
          </w:p>
        </w:tc>
      </w:tr>
      <w:tr>
        <w:trPr>
          <w:trHeight w:val="213"/>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First-in, first-out basis</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295,454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240,893</w:t>
            </w:r>
          </w:p>
        </w:tc>
        <w:tc>
          <w:tcPr>
            <w:tcW w:w="0" w:type="dxa"/>
            <w:vAlign w:val="bottom"/>
          </w:tcPr>
          <w:p>
            <w:pPr>
              <w:spacing w:after="0"/>
              <w:rPr>
                <w:sz w:val="1"/>
                <w:szCs w:val="1"/>
                <w:color w:val="auto"/>
              </w:rPr>
            </w:pPr>
          </w:p>
        </w:tc>
      </w:tr>
      <w:tr>
        <w:trPr>
          <w:trHeight w:val="238"/>
        </w:trPr>
        <w:tc>
          <w:tcPr>
            <w:tcW w:w="70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472,226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380,437</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 above inventory value, before reduction for the LIFO reserve, approximates replacement cost at the respective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482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0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906"/>
        </w:trPr>
        <w:tc>
          <w:tcPr>
            <w:tcW w:w="100" w:type="dxa"/>
            <w:vAlign w:val="bottom"/>
          </w:tcPr>
          <w:p>
            <w:pPr>
              <w:spacing w:after="0"/>
              <w:rPr>
                <w:sz w:val="24"/>
                <w:szCs w:val="24"/>
                <w:color w:val="auto"/>
              </w:rPr>
            </w:pPr>
          </w:p>
        </w:tc>
        <w:tc>
          <w:tcPr>
            <w:tcW w:w="4820" w:type="dxa"/>
            <w:vAlign w:val="bottom"/>
            <w:gridSpan w:val="2"/>
          </w:tcPr>
          <w:p>
            <w:pPr>
              <w:spacing w:after="0"/>
              <w:rPr>
                <w:sz w:val="20"/>
                <w:szCs w:val="20"/>
                <w:color w:val="auto"/>
              </w:rPr>
            </w:pPr>
            <w:r>
              <w:rPr>
                <w:rFonts w:ascii="Arial" w:cs="Arial" w:eastAsia="Arial" w:hAnsi="Arial"/>
                <w:sz w:val="16"/>
                <w:szCs w:val="16"/>
                <w:b w:val="1"/>
                <w:bCs w:val="1"/>
                <w:color w:val="auto"/>
              </w:rPr>
              <w:t>Note 6.  Property, Plant, and Equipment</w:t>
            </w:r>
          </w:p>
        </w:tc>
        <w:tc>
          <w:tcPr>
            <w:tcW w:w="20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51"/>
        </w:trPr>
        <w:tc>
          <w:tcPr>
            <w:tcW w:w="100" w:type="dxa"/>
            <w:vAlign w:val="bottom"/>
          </w:tcPr>
          <w:p>
            <w:pPr>
              <w:spacing w:after="0"/>
              <w:rPr>
                <w:sz w:val="24"/>
                <w:szCs w:val="24"/>
                <w:color w:val="auto"/>
              </w:rPr>
            </w:pPr>
          </w:p>
        </w:tc>
        <w:tc>
          <w:tcPr>
            <w:tcW w:w="8920" w:type="dxa"/>
            <w:vAlign w:val="bottom"/>
            <w:gridSpan w:val="5"/>
          </w:tcPr>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tc>
        <w:tc>
          <w:tcPr>
            <w:tcW w:w="2000" w:type="dxa"/>
            <w:vAlign w:val="bottom"/>
          </w:tcPr>
          <w:p>
            <w:pPr>
              <w:spacing w:after="0"/>
              <w:rPr>
                <w:sz w:val="24"/>
                <w:szCs w:val="24"/>
                <w:color w:val="auto"/>
              </w:rPr>
            </w:pPr>
          </w:p>
        </w:tc>
      </w:tr>
      <w:tr>
        <w:trPr>
          <w:trHeight w:val="181"/>
        </w:trPr>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100" w:type="dxa"/>
            <w:vAlign w:val="bottom"/>
            <w:gridSpan w:val="2"/>
          </w:tcPr>
          <w:p>
            <w:pPr>
              <w:ind w:left="300"/>
              <w:spacing w:after="0" w:line="181" w:lineRule="exact"/>
              <w:rPr>
                <w:sz w:val="20"/>
                <w:szCs w:val="20"/>
                <w:color w:val="auto"/>
              </w:rPr>
            </w:pPr>
            <w:r>
              <w:rPr>
                <w:rFonts w:ascii="Arial" w:cs="Arial" w:eastAsia="Arial" w:hAnsi="Arial"/>
                <w:sz w:val="16"/>
                <w:szCs w:val="16"/>
                <w:b w:val="1"/>
                <w:bCs w:val="1"/>
                <w:color w:val="auto"/>
              </w:rPr>
              <w:t>November 27,</w:t>
            </w:r>
          </w:p>
        </w:tc>
        <w:tc>
          <w:tcPr>
            <w:tcW w:w="2000" w:type="dxa"/>
            <w:vAlign w:val="bottom"/>
          </w:tcPr>
          <w:p>
            <w:pPr>
              <w:jc w:val="right"/>
              <w:ind w:right="679"/>
              <w:spacing w:after="0" w:line="181" w:lineRule="exact"/>
              <w:rPr>
                <w:sz w:val="20"/>
                <w:szCs w:val="20"/>
                <w:color w:val="auto"/>
              </w:rPr>
            </w:pPr>
            <w:r>
              <w:rPr>
                <w:rFonts w:ascii="Arial" w:cs="Arial" w:eastAsia="Arial" w:hAnsi="Arial"/>
                <w:sz w:val="16"/>
                <w:szCs w:val="16"/>
                <w:b w:val="1"/>
                <w:bCs w:val="1"/>
                <w:color w:val="auto"/>
              </w:rPr>
              <w:t>August 28,</w:t>
            </w:r>
          </w:p>
        </w:tc>
      </w:tr>
      <w:tr>
        <w:trPr>
          <w:trHeight w:val="216"/>
        </w:trPr>
        <w:tc>
          <w:tcPr>
            <w:tcW w:w="492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2000" w:type="dxa"/>
            <w:vAlign w:val="bottom"/>
          </w:tcPr>
          <w:p>
            <w:pPr>
              <w:spacing w:after="0"/>
              <w:rPr>
                <w:sz w:val="18"/>
                <w:szCs w:val="18"/>
                <w:color w:val="auto"/>
              </w:rPr>
            </w:pPr>
          </w:p>
        </w:tc>
        <w:tc>
          <w:tcPr>
            <w:tcW w:w="1980" w:type="dxa"/>
            <w:vAlign w:val="bottom"/>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000" w:type="dxa"/>
            <w:vAlign w:val="bottom"/>
          </w:tcPr>
          <w:p>
            <w:pPr>
              <w:jc w:val="right"/>
              <w:ind w:right="739"/>
              <w:spacing w:after="0"/>
              <w:rPr>
                <w:sz w:val="20"/>
                <w:szCs w:val="20"/>
                <w:color w:val="auto"/>
              </w:rPr>
            </w:pPr>
            <w:r>
              <w:rPr>
                <w:rFonts w:ascii="Arial" w:cs="Arial" w:eastAsia="Arial" w:hAnsi="Arial"/>
                <w:sz w:val="16"/>
                <w:szCs w:val="16"/>
                <w:b w:val="1"/>
                <w:bCs w:val="1"/>
                <w:color w:val="auto"/>
              </w:rPr>
              <w:t>2021</w:t>
            </w:r>
          </w:p>
        </w:tc>
      </w:tr>
      <w:tr>
        <w:trPr>
          <w:trHeight w:val="20"/>
        </w:trPr>
        <w:tc>
          <w:tcPr>
            <w:tcW w:w="100" w:type="dxa"/>
            <w:vAlign w:val="bottom"/>
          </w:tcPr>
          <w:p>
            <w:pPr>
              <w:spacing w:after="0" w:line="20" w:lineRule="exact"/>
              <w:rPr>
                <w:sz w:val="1"/>
                <w:szCs w:val="1"/>
                <w:color w:val="auto"/>
              </w:rPr>
            </w:pPr>
          </w:p>
        </w:tc>
        <w:tc>
          <w:tcPr>
            <w:tcW w:w="4820" w:type="dxa"/>
            <w:vAlign w:val="bottom"/>
            <w:gridSpan w:val="2"/>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203"/>
        </w:trPr>
        <w:tc>
          <w:tcPr>
            <w:tcW w:w="4920" w:type="dxa"/>
            <w:vAlign w:val="bottom"/>
            <w:gridSpan w:val="3"/>
          </w:tcPr>
          <w:p>
            <w:pPr>
              <w:spacing w:after="0"/>
              <w:rPr>
                <w:sz w:val="20"/>
                <w:szCs w:val="20"/>
                <w:color w:val="auto"/>
              </w:rPr>
            </w:pPr>
            <w:r>
              <w:rPr>
                <w:rFonts w:ascii="Arial" w:cs="Arial" w:eastAsia="Arial" w:hAnsi="Arial"/>
                <w:sz w:val="16"/>
                <w:szCs w:val="16"/>
                <w:color w:val="auto"/>
              </w:rPr>
              <w:t>nd</w:t>
            </w:r>
          </w:p>
        </w:tc>
        <w:tc>
          <w:tcPr>
            <w:tcW w:w="20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10,697$</w:t>
            </w:r>
          </w:p>
        </w:tc>
        <w:tc>
          <w:tcPr>
            <w:tcW w:w="1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9,111</w:t>
            </w:r>
          </w:p>
        </w:tc>
      </w:tr>
      <w:tr>
        <w:trPr>
          <w:trHeight w:val="219"/>
        </w:trPr>
        <w:tc>
          <w:tcPr>
            <w:tcW w:w="4920" w:type="dxa"/>
            <w:vAlign w:val="bottom"/>
            <w:gridSpan w:val="3"/>
          </w:tcPr>
          <w:p>
            <w:pPr>
              <w:spacing w:after="0"/>
              <w:rPr>
                <w:sz w:val="20"/>
                <w:szCs w:val="20"/>
                <w:color w:val="auto"/>
              </w:rPr>
            </w:pPr>
            <w:r>
              <w:rPr>
                <w:rFonts w:ascii="Arial" w:cs="Arial" w:eastAsia="Arial" w:hAnsi="Arial"/>
                <w:sz w:val="16"/>
                <w:szCs w:val="16"/>
                <w:color w:val="auto"/>
              </w:rPr>
              <w:t>ildings and building improvements</w:t>
            </w:r>
          </w:p>
        </w:tc>
        <w:tc>
          <w:tcPr>
            <w:tcW w:w="20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163,731</w:t>
            </w:r>
          </w:p>
        </w:tc>
        <w:tc>
          <w:tcPr>
            <w:tcW w:w="1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147,629</w:t>
            </w:r>
          </w:p>
        </w:tc>
      </w:tr>
      <w:tr>
        <w:trPr>
          <w:trHeight w:val="219"/>
        </w:trPr>
        <w:tc>
          <w:tcPr>
            <w:tcW w:w="100" w:type="dxa"/>
            <w:vAlign w:val="bottom"/>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chinery and equipment</w:t>
            </w:r>
          </w:p>
        </w:tc>
        <w:tc>
          <w:tcPr>
            <w:tcW w:w="20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126,093</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121,911</w:t>
            </w:r>
          </w:p>
        </w:tc>
      </w:tr>
      <w:tr>
        <w:trPr>
          <w:trHeight w:val="213"/>
        </w:trPr>
        <w:tc>
          <w:tcPr>
            <w:tcW w:w="4920" w:type="dxa"/>
            <w:vAlign w:val="bottom"/>
            <w:gridSpan w:val="3"/>
          </w:tcPr>
          <w:p>
            <w:pPr>
              <w:spacing w:after="0"/>
              <w:rPr>
                <w:sz w:val="20"/>
                <w:szCs w:val="20"/>
                <w:color w:val="auto"/>
              </w:rPr>
            </w:pPr>
            <w:r>
              <w:rPr>
                <w:rFonts w:ascii="Arial" w:cs="Arial" w:eastAsia="Arial" w:hAnsi="Arial"/>
                <w:sz w:val="16"/>
                <w:szCs w:val="16"/>
                <w:color w:val="auto"/>
              </w:rPr>
              <w:t>ftware</w:t>
            </w:r>
          </w:p>
        </w:tc>
        <w:tc>
          <w:tcPr>
            <w:tcW w:w="20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36,099</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36,815</w:t>
            </w:r>
          </w:p>
        </w:tc>
      </w:tr>
      <w:tr>
        <w:trPr>
          <w:trHeight w:val="219"/>
        </w:trPr>
        <w:tc>
          <w:tcPr>
            <w:tcW w:w="100" w:type="dxa"/>
            <w:vAlign w:val="bottom"/>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nsportation</w:t>
            </w:r>
          </w:p>
        </w:tc>
        <w:tc>
          <w:tcPr>
            <w:tcW w:w="20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5,972</w:t>
            </w:r>
          </w:p>
        </w:tc>
        <w:tc>
          <w:tcPr>
            <w:tcW w:w="1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5,335</w:t>
            </w:r>
          </w:p>
        </w:tc>
      </w:tr>
      <w:tr>
        <w:trPr>
          <w:trHeight w:val="213"/>
        </w:trPr>
        <w:tc>
          <w:tcPr>
            <w:tcW w:w="4920" w:type="dxa"/>
            <w:vAlign w:val="bottom"/>
            <w:gridSpan w:val="3"/>
          </w:tcPr>
          <w:p>
            <w:pPr>
              <w:ind w:left="20"/>
              <w:spacing w:after="0"/>
              <w:rPr>
                <w:sz w:val="20"/>
                <w:szCs w:val="20"/>
                <w:color w:val="auto"/>
              </w:rPr>
            </w:pPr>
            <w:r>
              <w:rPr>
                <w:rFonts w:ascii="Arial" w:cs="Arial" w:eastAsia="Arial" w:hAnsi="Arial"/>
                <w:sz w:val="16"/>
                <w:szCs w:val="16"/>
                <w:color w:val="auto"/>
              </w:rPr>
              <w:t>nstruction in progress</w:t>
            </w:r>
          </w:p>
        </w:tc>
        <w:tc>
          <w:tcPr>
            <w:tcW w:w="20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46,144</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31,137</w:t>
            </w:r>
          </w:p>
        </w:tc>
      </w:tr>
      <w:tr>
        <w:trPr>
          <w:trHeight w:val="213"/>
        </w:trPr>
        <w:tc>
          <w:tcPr>
            <w:tcW w:w="100" w:type="dxa"/>
            <w:vAlign w:val="bottom"/>
          </w:tcPr>
          <w:p>
            <w:pPr>
              <w:spacing w:after="0"/>
              <w:rPr>
                <w:sz w:val="18"/>
                <w:szCs w:val="18"/>
                <w:color w:val="auto"/>
              </w:rPr>
            </w:pPr>
          </w:p>
        </w:tc>
        <w:tc>
          <w:tcPr>
            <w:tcW w:w="4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roperty, plant, and equipment, gross</w:t>
            </w:r>
          </w:p>
        </w:tc>
        <w:tc>
          <w:tcPr>
            <w:tcW w:w="20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388,736</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351,938</w:t>
            </w:r>
          </w:p>
        </w:tc>
      </w:tr>
      <w:tr>
        <w:trPr>
          <w:trHeight w:val="213"/>
        </w:trPr>
        <w:tc>
          <w:tcPr>
            <w:tcW w:w="4920" w:type="dxa"/>
            <w:vAlign w:val="bottom"/>
            <w:gridSpan w:val="3"/>
          </w:tcPr>
          <w:p>
            <w:pPr>
              <w:spacing w:after="0"/>
              <w:rPr>
                <w:sz w:val="20"/>
                <w:szCs w:val="20"/>
                <w:color w:val="auto"/>
              </w:rPr>
            </w:pPr>
            <w:r>
              <w:rPr>
                <w:rFonts w:ascii="Arial" w:cs="Arial" w:eastAsia="Arial" w:hAnsi="Arial"/>
                <w:sz w:val="16"/>
                <w:szCs w:val="16"/>
                <w:color w:val="auto"/>
              </w:rPr>
              <w:t>ss: Accumulated depreciation</w:t>
            </w:r>
          </w:p>
        </w:tc>
        <w:tc>
          <w:tcPr>
            <w:tcW w:w="20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164,607</w:t>
            </w:r>
          </w:p>
        </w:tc>
        <w:tc>
          <w:tcPr>
            <w:tcW w:w="12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160,511</w:t>
            </w:r>
          </w:p>
        </w:tc>
      </w:tr>
      <w:tr>
        <w:trPr>
          <w:trHeight w:val="238"/>
        </w:trPr>
        <w:tc>
          <w:tcPr>
            <w:tcW w:w="100" w:type="dxa"/>
            <w:vAlign w:val="bottom"/>
          </w:tcPr>
          <w:p>
            <w:pPr>
              <w:spacing w:after="0"/>
              <w:rPr>
                <w:sz w:val="20"/>
                <w:szCs w:val="20"/>
                <w:color w:val="auto"/>
              </w:rPr>
            </w:pPr>
          </w:p>
        </w:tc>
        <w:tc>
          <w:tcPr>
            <w:tcW w:w="4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roperty, plant, and equipment, net</w:t>
            </w:r>
          </w:p>
        </w:tc>
        <w:tc>
          <w:tcPr>
            <w:tcW w:w="200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224,129$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191,427</w:t>
            </w:r>
          </w:p>
        </w:tc>
      </w:tr>
      <w:tr>
        <w:trPr>
          <w:trHeight w:val="20"/>
        </w:trPr>
        <w:tc>
          <w:tcPr>
            <w:tcW w:w="10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-1293495</wp:posOffset>
            </wp:positionV>
            <wp:extent cx="69265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6580" cy="145415"/>
                    </a:xfrm>
                    <a:prstGeom prst="rect">
                      <a:avLst/>
                    </a:prstGeom>
                    <a:noFill/>
                  </pic:spPr>
                </pic:pic>
              </a:graphicData>
            </a:graphic>
          </wp:anchor>
        </w:drawing>
      </w:r>
    </w:p>
    <w:p>
      <w:pPr>
        <w:spacing w:after="0" w:line="31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Depreciation expense was $5.3 million and $4.2 million for the three months ended November 27, 2021 and November 28, 2020, respectively.</w:t>
      </w:r>
    </w:p>
    <w:p>
      <w:pPr>
        <w:spacing w:after="0" w:line="228"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6"/>
          <w:szCs w:val="16"/>
          <w:b w:val="1"/>
          <w:bCs w:val="1"/>
          <w:color w:val="auto"/>
        </w:rPr>
        <w:t>Note 7.</w:t>
        <w:tab/>
        <w:t>Goodwill and Intangible Assets</w:t>
      </w:r>
    </w:p>
    <w:p>
      <w:pPr>
        <w:spacing w:after="0" w:line="268" w:lineRule="exact"/>
        <w:rPr>
          <w:sz w:val="20"/>
          <w:szCs w:val="20"/>
          <w:color w:val="auto"/>
        </w:rPr>
      </w:pPr>
    </w:p>
    <w:p>
      <w:pPr>
        <w:ind w:left="100" w:right="160"/>
        <w:spacing w:after="0" w:line="259" w:lineRule="auto"/>
        <w:rPr>
          <w:sz w:val="20"/>
          <w:szCs w:val="20"/>
          <w:color w:val="auto"/>
        </w:rPr>
      </w:pPr>
      <w:r>
        <w:rPr>
          <w:rFonts w:ascii="Arial" w:cs="Arial" w:eastAsia="Arial" w:hAnsi="Arial"/>
          <w:sz w:val="16"/>
          <w:szCs w:val="16"/>
          <w:color w:val="auto"/>
        </w:rPr>
        <w:t>The changes in the carrying amount of goodwill by reportable segment, with no accumulated impairment losses, for the three months ended November 27, 2021 and November 28, 2020 are as follows:</w:t>
      </w:r>
    </w:p>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221"/>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Towable</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Motorhome</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Marine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235"/>
        </w:trPr>
        <w:tc>
          <w:tcPr>
            <w:tcW w:w="486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Balances at August 29, 2020 and November 28, 2020</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August 28, 2021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348,058</w:t>
            </w:r>
          </w:p>
        </w:tc>
      </w:tr>
      <w:tr>
        <w:trPr>
          <w:trHeight w:val="216"/>
        </w:trPr>
        <w:tc>
          <w:tcPr>
            <w:tcW w:w="4860" w:type="dxa"/>
            <w:vAlign w:val="bottom"/>
          </w:tcPr>
          <w:p>
            <w:pPr>
              <w:ind w:left="140"/>
              <w:spacing w:after="0" w:line="216" w:lineRule="exact"/>
              <w:rPr>
                <w:sz w:val="20"/>
                <w:szCs w:val="20"/>
                <w:color w:val="auto"/>
              </w:rPr>
            </w:pPr>
            <w:r>
              <w:rPr>
                <w:rFonts w:ascii="Arial" w:cs="Arial" w:eastAsia="Arial" w:hAnsi="Arial"/>
                <w:sz w:val="16"/>
                <w:szCs w:val="16"/>
                <w:color w:val="auto"/>
              </w:rPr>
              <w:t>Acquisition of Barletta</w:t>
            </w:r>
            <w:r>
              <w:rPr>
                <w:rFonts w:ascii="Arial" w:cs="Arial" w:eastAsia="Arial" w:hAnsi="Arial"/>
                <w:sz w:val="21"/>
                <w:szCs w:val="21"/>
                <w:color w:val="auto"/>
                <w:vertAlign w:val="superscript"/>
              </w:rPr>
              <w:t>(2)</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136,118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136,118</w:t>
            </w:r>
          </w:p>
        </w:tc>
      </w:tr>
      <w:tr>
        <w:trPr>
          <w:trHeight w:val="234"/>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November 27, 2021</w:t>
            </w:r>
          </w:p>
        </w:tc>
        <w:tc>
          <w:tcPr>
            <w:tcW w:w="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484,176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400" w:hanging="292"/>
        <w:spacing w:after="0"/>
        <w:tabs>
          <w:tab w:leader="none" w:pos="400" w:val="left"/>
        </w:tabs>
        <w:numPr>
          <w:ilvl w:val="0"/>
          <w:numId w:val="2"/>
        </w:numPr>
        <w:rPr>
          <w:rFonts w:ascii="Arial" w:cs="Arial" w:eastAsia="Arial" w:hAnsi="Arial"/>
          <w:sz w:val="21"/>
          <w:szCs w:val="21"/>
          <w:color w:val="auto"/>
          <w:vertAlign w:val="superscript"/>
        </w:rPr>
      </w:pPr>
      <w:r>
        <w:rPr>
          <w:rFonts w:ascii="Arial" w:cs="Arial" w:eastAsia="Arial" w:hAnsi="Arial"/>
          <w:sz w:val="14"/>
          <w:szCs w:val="14"/>
          <w:color w:val="auto"/>
        </w:rPr>
        <w:t>There was no activity in the three months ended November 28, 2020.</w:t>
      </w:r>
    </w:p>
    <w:p>
      <w:pPr>
        <w:spacing w:after="0" w:line="43" w:lineRule="exact"/>
        <w:rPr>
          <w:rFonts w:ascii="Arial" w:cs="Arial" w:eastAsia="Arial" w:hAnsi="Arial"/>
          <w:sz w:val="21"/>
          <w:szCs w:val="21"/>
          <w:color w:val="auto"/>
          <w:vertAlign w:val="superscript"/>
        </w:rPr>
      </w:pPr>
    </w:p>
    <w:p>
      <w:pPr>
        <w:ind w:left="360" w:right="320" w:hanging="252"/>
        <w:spacing w:after="0" w:line="188" w:lineRule="auto"/>
        <w:tabs>
          <w:tab w:leader="none" w:pos="370" w:val="left"/>
        </w:tabs>
        <w:numPr>
          <w:ilvl w:val="0"/>
          <w:numId w:val="2"/>
        </w:numPr>
        <w:rPr>
          <w:rFonts w:ascii="Arial" w:cs="Arial" w:eastAsia="Arial" w:hAnsi="Arial"/>
          <w:sz w:val="23"/>
          <w:szCs w:val="23"/>
          <w:color w:val="auto"/>
          <w:vertAlign w:val="superscript"/>
        </w:rPr>
      </w:pPr>
      <w:r>
        <w:rPr>
          <w:rFonts w:ascii="Arial" w:cs="Arial" w:eastAsia="Arial" w:hAnsi="Arial"/>
          <w:sz w:val="14"/>
          <w:szCs w:val="14"/>
          <w:color w:val="auto"/>
        </w:rPr>
        <w:t>The change in marine activity is related to the acquisition of Barletta that occurred on August 31, 2021. See Note 2 to the Consolidated Financial Statements included in Item 1 of Part I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1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48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906"/>
        </w:trPr>
        <w:tc>
          <w:tcPr>
            <w:tcW w:w="7020" w:type="dxa"/>
            <w:vAlign w:val="bottom"/>
            <w:gridSpan w:val="5"/>
          </w:tcPr>
          <w:p>
            <w:pPr>
              <w:spacing w:after="0"/>
              <w:rPr>
                <w:sz w:val="20"/>
                <w:szCs w:val="20"/>
                <w:color w:val="auto"/>
              </w:rPr>
            </w:pPr>
            <w:r>
              <w:rPr>
                <w:rFonts w:ascii="Arial" w:cs="Arial" w:eastAsia="Arial" w:hAnsi="Arial"/>
                <w:sz w:val="16"/>
                <w:szCs w:val="16"/>
                <w:color w:val="auto"/>
              </w:rPr>
              <w:t>Other intangible assets, net of accumulated amortization, consist of the following:</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3"/>
        </w:trPr>
        <w:tc>
          <w:tcPr>
            <w:tcW w:w="12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November 27, 2021</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58"/>
        </w:trPr>
        <w:tc>
          <w:tcPr>
            <w:tcW w:w="12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6"/>
        </w:trPr>
        <w:tc>
          <w:tcPr>
            <w:tcW w:w="4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Gross Carrying Amount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r>
      <w:tr>
        <w:trPr>
          <w:trHeight w:val="20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352,250</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Dealer networks</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179,981</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49,367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130,614</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r>
      <w:tr>
        <w:trPr>
          <w:trHeight w:val="213"/>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971</w:t>
            </w:r>
          </w:p>
        </w:tc>
      </w:tr>
      <w:tr>
        <w:trPr>
          <w:trHeight w:val="238"/>
        </w:trPr>
        <w:tc>
          <w:tcPr>
            <w:tcW w:w="4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581,205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493,635</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322"/>
        </w:trPr>
        <w:tc>
          <w:tcPr>
            <w:tcW w:w="1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August 28, 2021</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59"/>
        </w:trPr>
        <w:tc>
          <w:tcPr>
            <w:tcW w:w="126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216"/>
        </w:trPr>
        <w:tc>
          <w:tcPr>
            <w:tcW w:w="4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Gross Carrying Amount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19"/>
              <w:spacing w:after="0"/>
              <w:rPr>
                <w:sz w:val="20"/>
                <w:szCs w:val="20"/>
                <w:color w:val="auto"/>
              </w:rPr>
            </w:pPr>
            <w:r>
              <w:rPr>
                <w:rFonts w:ascii="Arial" w:cs="Arial" w:eastAsia="Arial" w:hAnsi="Arial"/>
                <w:sz w:val="16"/>
                <w:szCs w:val="16"/>
                <w:b w:val="1"/>
                <w:bCs w:val="1"/>
                <w:color w:val="auto"/>
              </w:rPr>
              <w:t>Net Carrying Value</w:t>
            </w:r>
          </w:p>
        </w:tc>
      </w:tr>
      <w:tr>
        <w:trPr>
          <w:trHeight w:val="20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275,250</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Dealer networks</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159,581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45,652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113,929</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Backlog</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Non-compete agreements</w:t>
            </w:r>
          </w:p>
        </w:tc>
        <w:tc>
          <w:tcPr>
            <w:tcW w:w="1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w:t>
            </w:r>
          </w:p>
        </w:tc>
      </w:tr>
      <w:tr>
        <w:trPr>
          <w:trHeight w:val="237"/>
        </w:trPr>
        <w:tc>
          <w:tcPr>
            <w:tcW w:w="48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intangible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469,805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390,407</w:t>
            </w:r>
          </w:p>
        </w:tc>
      </w:tr>
      <w:tr>
        <w:trPr>
          <w:trHeight w:val="20"/>
        </w:trPr>
        <w:tc>
          <w:tcPr>
            <w:tcW w:w="4860" w:type="dxa"/>
            <w:vAlign w:val="bottom"/>
            <w:tcBorders>
              <w:top w:val="single" w:sz="8" w:color="CCEEFF"/>
            </w:tcBorders>
            <w:gridSpan w:val="2"/>
          </w:tcPr>
          <w:p>
            <w:pPr>
              <w:spacing w:after="0" w:line="20" w:lineRule="exact"/>
              <w:rPr>
                <w:sz w:val="1"/>
                <w:szCs w:val="1"/>
                <w:color w:val="auto"/>
              </w:rPr>
            </w:pPr>
          </w:p>
        </w:tc>
        <w:tc>
          <w:tcPr>
            <w:tcW w:w="2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9400" w:type="dxa"/>
            <w:vAlign w:val="bottom"/>
            <w:gridSpan w:val="9"/>
          </w:tcPr>
          <w:p>
            <w:pPr>
              <w:spacing w:after="0"/>
              <w:rPr>
                <w:sz w:val="20"/>
                <w:szCs w:val="20"/>
                <w:color w:val="auto"/>
              </w:rPr>
            </w:pPr>
            <w:r>
              <w:rPr>
                <w:rFonts w:ascii="Arial" w:cs="Arial" w:eastAsia="Arial" w:hAnsi="Arial"/>
                <w:sz w:val="16"/>
                <w:szCs w:val="16"/>
                <w:color w:val="auto"/>
              </w:rPr>
              <w:t>The weighted average remaining amortization period for intangible assets as of November 27, 2021 was approximately 13 years.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2"/>
        </w:trPr>
        <w:tc>
          <w:tcPr>
            <w:tcW w:w="7020" w:type="dxa"/>
            <w:vAlign w:val="bottom"/>
            <w:gridSpan w:val="5"/>
          </w:tcPr>
          <w:p>
            <w:pPr>
              <w:spacing w:after="0"/>
              <w:rPr>
                <w:sz w:val="20"/>
                <w:szCs w:val="20"/>
                <w:color w:val="auto"/>
              </w:rPr>
            </w:pPr>
            <w:r>
              <w:rPr>
                <w:rFonts w:ascii="Arial" w:cs="Arial" w:eastAsia="Arial" w:hAnsi="Arial"/>
                <w:sz w:val="16"/>
                <w:szCs w:val="16"/>
                <w:color w:val="auto"/>
              </w:rPr>
              <w:t>Estimated future amortization expense related to finite-lived intangible assets is as follows:</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6"/>
        </w:trPr>
        <w:tc>
          <w:tcPr>
            <w:tcW w:w="4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Amount</w:t>
            </w:r>
          </w:p>
        </w:tc>
      </w:tr>
      <w:tr>
        <w:trPr>
          <w:trHeight w:val="20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Remainder of Fiscal 2022</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21,247</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Fiscal 2023</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15,226</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15,124</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Fiscal 2025</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14,919</w:t>
            </w:r>
          </w:p>
        </w:tc>
      </w:tr>
      <w:tr>
        <w:trPr>
          <w:trHeight w:val="21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14,865</w:t>
            </w:r>
          </w:p>
        </w:tc>
      </w:tr>
      <w:tr>
        <w:trPr>
          <w:trHeight w:val="213"/>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Fiscal 2027</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14,865</w:t>
            </w:r>
          </w:p>
        </w:tc>
      </w:tr>
      <w:tr>
        <w:trPr>
          <w:trHeight w:val="216"/>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45,139</w:t>
            </w: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color w:val="auto"/>
              </w:rPr>
              <w:t>Total amortization expense remaining</w:t>
            </w: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141,385</w:t>
            </w:r>
          </w:p>
        </w:tc>
      </w:tr>
      <w:tr>
        <w:trPr>
          <w:trHeight w:val="20"/>
        </w:trPr>
        <w:tc>
          <w:tcPr>
            <w:tcW w:w="12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Note 8.</w:t>
        <w:tab/>
        <w:t>Product Warranties</w:t>
      </w:r>
    </w:p>
    <w:p>
      <w:pPr>
        <w:spacing w:after="0" w:line="26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We provide certain service and warranty on our products. From time to time, we also voluntarily incur costs for certain warranty-type expenses occurring after the normal warranty period expires to help protect the reputation of our products and maintain the goodwill of our customers. Estimated costs related to product warranty are accrued at the time of sale and are based upon historical warranty and service claims experience. Adjustments are made to accruals as claim data and cost experience becomes available.</w:t>
      </w:r>
    </w:p>
    <w:p>
      <w:pPr>
        <w:spacing w:after="0" w:line="229"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In addition to the costs associated with the contractual warranty coverage provided on products, we also occasionally incur costs as a result of additional service actions not covered by warranties, including product recalls and customer satisfaction actions. Although we estimate and reserve for the cost of these service actions when probable and estimable, there can be no assurance that expense levels will remain at current levels or such reserves will continue to be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70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906"/>
        </w:trPr>
        <w:tc>
          <w:tcPr>
            <w:tcW w:w="7000" w:type="dxa"/>
            <w:vAlign w:val="bottom"/>
            <w:gridSpan w:val="2"/>
          </w:tcPr>
          <w:p>
            <w:pPr>
              <w:spacing w:after="0"/>
              <w:rPr>
                <w:sz w:val="20"/>
                <w:szCs w:val="20"/>
                <w:color w:val="auto"/>
              </w:rPr>
            </w:pPr>
            <w:r>
              <w:rPr>
                <w:rFonts w:ascii="Arial" w:cs="Arial" w:eastAsia="Arial" w:hAnsi="Arial"/>
                <w:sz w:val="16"/>
                <w:szCs w:val="16"/>
                <w:color w:val="auto"/>
              </w:rPr>
              <w:t>Changes in the product warranty liability are as follows:</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2"/>
        </w:trPr>
        <w:tc>
          <w:tcPr>
            <w:tcW w:w="126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4"/>
          </w:tcPr>
          <w:p>
            <w:pPr>
              <w:jc w:val="right"/>
              <w:ind w:right="1239"/>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126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rPr>
              <w:t>November 27,</w:t>
            </w:r>
          </w:p>
        </w:tc>
        <w:tc>
          <w:tcPr>
            <w:tcW w:w="300" w:type="dxa"/>
            <w:vAlign w:val="bottom"/>
          </w:tcPr>
          <w:p>
            <w:pPr>
              <w:spacing w:after="0"/>
              <w:rPr>
                <w:sz w:val="13"/>
                <w:szCs w:val="13"/>
                <w:color w:val="auto"/>
              </w:rPr>
            </w:pPr>
          </w:p>
        </w:tc>
        <w:tc>
          <w:tcPr>
            <w:tcW w:w="1760" w:type="dxa"/>
            <w:vAlign w:val="bottom"/>
          </w:tcPr>
          <w:p>
            <w:pPr>
              <w:jc w:val="right"/>
              <w:ind w:right="419"/>
              <w:spacing w:after="0" w:line="158" w:lineRule="exact"/>
              <w:rPr>
                <w:sz w:val="20"/>
                <w:szCs w:val="20"/>
                <w:color w:val="auto"/>
              </w:rPr>
            </w:pPr>
            <w:r>
              <w:rPr>
                <w:rFonts w:ascii="Arial" w:cs="Arial" w:eastAsia="Arial" w:hAnsi="Arial"/>
                <w:sz w:val="16"/>
                <w:szCs w:val="16"/>
                <w:b w:val="1"/>
                <w:bCs w:val="1"/>
                <w:color w:val="auto"/>
              </w:rPr>
              <w:t>November 28,</w:t>
            </w:r>
          </w:p>
        </w:tc>
      </w:tr>
      <w:tr>
        <w:trPr>
          <w:trHeight w:val="216"/>
        </w:trPr>
        <w:tc>
          <w:tcPr>
            <w:tcW w:w="7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2020</w:t>
            </w:r>
          </w:p>
        </w:tc>
      </w:tr>
      <w:tr>
        <w:trPr>
          <w:trHeight w:val="209"/>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64,031</w:t>
            </w:r>
          </w:p>
        </w:tc>
      </w:tr>
      <w:tr>
        <w:trPr>
          <w:trHeight w:val="216"/>
        </w:trPr>
        <w:tc>
          <w:tcPr>
            <w:tcW w:w="700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Business acquisition</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4,656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0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Provision</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21,703</w:t>
            </w:r>
          </w:p>
        </w:tc>
      </w:tr>
      <w:tr>
        <w:trPr>
          <w:trHeight w:val="213"/>
        </w:trPr>
        <w:tc>
          <w:tcPr>
            <w:tcW w:w="700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Claims paid</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(19,513)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(15,232)</w:t>
            </w:r>
          </w:p>
        </w:tc>
      </w:tr>
      <w:tr>
        <w:trPr>
          <w:trHeight w:val="237"/>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70,502</w:t>
            </w: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left="260" w:right="180" w:hanging="252"/>
        <w:spacing w:after="0" w:line="199" w:lineRule="auto"/>
        <w:tabs>
          <w:tab w:leader="none" w:pos="305"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Relates to the acquisition of Barletta on August 31, 2021. See Note 2 to the Consolidated Financial Statements in Item 1 of Part I of this quarterly report on Form 10-Q for additional acquisition information.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b w:val="1"/>
                <w:bCs w:val="1"/>
                <w:color w:val="auto"/>
              </w:rPr>
              <w:t>Note 9.  Long-Term Debt</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432"/>
        </w:trPr>
        <w:tc>
          <w:tcPr>
            <w:tcW w:w="7000" w:type="dxa"/>
            <w:vAlign w:val="bottom"/>
          </w:tcPr>
          <w:p>
            <w:pPr>
              <w:spacing w:after="0"/>
              <w:rPr>
                <w:sz w:val="20"/>
                <w:szCs w:val="20"/>
                <w:color w:val="auto"/>
              </w:rPr>
            </w:pPr>
            <w:r>
              <w:rPr>
                <w:rFonts w:ascii="Arial" w:cs="Arial" w:eastAsia="Arial" w:hAnsi="Arial"/>
                <w:sz w:val="16"/>
                <w:szCs w:val="16"/>
                <w:color w:val="auto"/>
              </w:rPr>
              <w:t>Long-term debt consists of the following:</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81"/>
        </w:trPr>
        <w:tc>
          <w:tcPr>
            <w:tcW w:w="7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November 27,</w:t>
            </w:r>
          </w:p>
        </w:tc>
        <w:tc>
          <w:tcPr>
            <w:tcW w:w="360" w:type="dxa"/>
            <w:vAlign w:val="bottom"/>
          </w:tcPr>
          <w:p>
            <w:pPr>
              <w:spacing w:after="0"/>
              <w:rPr>
                <w:sz w:val="15"/>
                <w:szCs w:val="15"/>
                <w:color w:val="auto"/>
              </w:rPr>
            </w:pPr>
          </w:p>
        </w:tc>
        <w:tc>
          <w:tcPr>
            <w:tcW w:w="1700" w:type="dxa"/>
            <w:vAlign w:val="bottom"/>
          </w:tcPr>
          <w:p>
            <w:pPr>
              <w:jc w:val="right"/>
              <w:ind w:right="539"/>
              <w:spacing w:after="0" w:line="181" w:lineRule="exact"/>
              <w:rPr>
                <w:sz w:val="20"/>
                <w:szCs w:val="20"/>
                <w:color w:val="auto"/>
              </w:rPr>
            </w:pPr>
            <w:r>
              <w:rPr>
                <w:rFonts w:ascii="Arial" w:cs="Arial" w:eastAsia="Arial" w:hAnsi="Arial"/>
                <w:sz w:val="16"/>
                <w:szCs w:val="16"/>
                <w:b w:val="1"/>
                <w:bCs w:val="1"/>
                <w:color w:val="auto"/>
              </w:rPr>
              <w:t>August 28,</w:t>
            </w: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2021</w:t>
            </w: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ABL Credit Facility</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Senior Secured Notes</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209"/>
        </w:trPr>
        <w:tc>
          <w:tcPr>
            <w:tcW w:w="7000" w:type="dxa"/>
            <w:vAlign w:val="bottom"/>
          </w:tcPr>
          <w:p>
            <w:pPr>
              <w:ind w:left="140"/>
              <w:spacing w:after="0"/>
              <w:rPr>
                <w:sz w:val="20"/>
                <w:szCs w:val="20"/>
                <w:color w:val="auto"/>
              </w:rPr>
            </w:pPr>
            <w:r>
              <w:rPr>
                <w:rFonts w:ascii="Arial" w:cs="Arial" w:eastAsia="Arial" w:hAnsi="Arial"/>
                <w:sz w:val="16"/>
                <w:szCs w:val="16"/>
                <w:color w:val="auto"/>
              </w:rPr>
              <w:t>Long-term debt, gross</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 unamortized interest discount</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(60,366)</w:t>
            </w:r>
          </w:p>
        </w:tc>
      </w:tr>
      <w:tr>
        <w:trPr>
          <w:trHeight w:val="213"/>
        </w:trPr>
        <w:tc>
          <w:tcPr>
            <w:tcW w:w="70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Debt issuance costs, net</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(11,075)</w:t>
            </w:r>
          </w:p>
        </w:tc>
      </w:tr>
      <w:tr>
        <w:trPr>
          <w:trHeight w:val="23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532,739</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528,559</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Agreements</w:t>
      </w:r>
    </w:p>
    <w:p>
      <w:pPr>
        <w:spacing w:after="0" w:line="133"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July 8, 2020, we closed our private offering (the “Senior Secured Notes Offering”) of $300.0 million aggregate principal amount of 6.25% Senior Secured Notes due 2028 (the “Senior Secured Notes”). The Senior Secured Notes were issued in accordance with an Indenture dated as of July 8, 2020 (the “Indenture”). The Senior Secured Notes will mature on July 15, 2028 unless earlier redeemed or repurchased. Interest on the Senior Secured Notes accrues starting July 8, 2020 and is payable semi-annually in arrears on January 15 and July 15 of each year, which began on January 15, 2021.</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Debt issuance costs incurred and capitalized are amortized on a straight-line basis over the term of the associated debt agreement. If early principal payments are made on the Senior Secured Notes, a proportional amount of the unamortized debt issuance costs is expensed. As part of the Senior Secured Notes Offering, we capitalized $7.5 million in debt issuance costs that will be amortized over the eight-year term of the agreement.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On November 8, 2016, we entered into an asset-based revolving credit agreement ("ABL") and a loan agreement ("Term Loan") with JPMorgan Chase Bank,</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N.A. ("JPMorgan Chase"), as administrative agent and certain lenders from time to time party thereto. Under the ABL, we have a $192.5 million credit facility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that matures on October 22, 2024 (subject to certain factors which may accelerate the maturity date) on a revolving basis, subject to availability under 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borrowing base consisting of eligible accounts receivable and eligible inventory. The ABL is available for issuance of letters of credit to a specified limit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$19.3 million. We pay a commitment fee of 0.25% on the average daily amount of the facility available, but unused. We can elect to base the interest rate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various rates plus specific spreads depending on the amount of borrowings outstanding. If drawn, we would pay interest on ABL borrowings at a floating rate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based upon a spread between 1.25% and 1.75% plus LIBOR, depending on the usage of the facility during the most recent quarter. Based on current usage,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we would pay LIBOR plus 1.25%.</w:t>
      </w:r>
    </w:p>
    <w:p>
      <w:pPr>
        <w:spacing w:after="0" w:line="24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Refer to Note 9 of the Notes to the Consolidated Financial Statements included in Item 8 of Part II of our Annual Report on Form 10-K for the fiscal year ended August 28, 2021 for additional information regarding these credit agreements.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Notes</w:t>
      </w:r>
    </w:p>
    <w:p>
      <w:pPr>
        <w:spacing w:after="0" w:line="13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On November 1, 2019, we issued $300.0 million in aggregate principal amount of 1.5% unsecured convertible senior notes due 2025 (“Convertible Notes”). The net proceeds from the issuance of the Convertible Notes, after deducting the initial purchasers' transaction fees and offering expense payable by us, were approximately $290.2 million. The Convertible Notes bear interest at the annual rate of 1.5%, payable on April 1 and October 1 of each year, beginning on April 1, 2020, and will mature on April 1, 2025, unless earlier converted or repurchased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Convertible Notes will be convertible into cash, shares of our common stock or a combination thereof, at the election of us, at an initial conversion rate of 15.6906 shares of common stock per $1 thousand principal amount of Convertible Notes, which is equivalent to an initial conversion price of approximately $63.73 per share, as adjusted pursuant to the terms of the indenture governing the Convertible Notes. The Convertible Notes may be converted at any time on or after October 1, 2024, until the close of business on the second scheduled trading day immediately preceding the maturity date.</w:t>
      </w:r>
    </w:p>
    <w:p>
      <w:pPr>
        <w:spacing w:after="0" w:line="22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On October 29, 2019 and October 30, 2019, in connection with the offering of the Convertible Notes, we entered into privately negotiated convertible note hedge transactions (collectively, the “Hedge Transactions”) that cover, subject to customary anti-dilution adjustments, the number of shares of our common stock that initially underlie the Convertible Notes.</w:t>
      </w:r>
    </w:p>
    <w:p>
      <w:pPr>
        <w:spacing w:after="0" w:line="228" w:lineRule="exact"/>
        <w:rPr>
          <w:sz w:val="20"/>
          <w:szCs w:val="20"/>
          <w:color w:val="auto"/>
        </w:rPr>
      </w:pPr>
    </w:p>
    <w:p>
      <w:pPr>
        <w:jc w:val="both"/>
        <w:ind w:right="360"/>
        <w:spacing w:after="0" w:line="253" w:lineRule="auto"/>
        <w:rPr>
          <w:sz w:val="20"/>
          <w:szCs w:val="20"/>
          <w:color w:val="auto"/>
        </w:rPr>
      </w:pPr>
      <w:r>
        <w:rPr>
          <w:rFonts w:ascii="Arial" w:cs="Arial" w:eastAsia="Arial" w:hAnsi="Arial"/>
          <w:sz w:val="16"/>
          <w:szCs w:val="16"/>
          <w:color w:val="auto"/>
        </w:rPr>
        <w:t>On October 29, 2019 and October 30, 2019, we also entered into privately negotiated warrant transactions (collectively, the “Warrant Transactions” and, together with the Hedge Transactions, the “Call Spread Transactions”), whereby we sold warrants at a higher strike price relating to the same number of shares of our common stock that initially underlie the Convertible Notes, subject to customary anti-dilution adjustments.</w:t>
      </w:r>
    </w:p>
    <w:p>
      <w:pPr>
        <w:spacing w:after="0" w:line="17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Hedge Transactions and the Warrant Transactions are separate transactions, in each case, and are not part of the terms of the Convertible Notes and will not affect any holder’s rights under the Convertible Notes. Holders of the Convertible Notes will not have any rights with respect to the Call Spread Transactions.</w:t>
      </w:r>
    </w:p>
    <w:p>
      <w:pPr>
        <w:spacing w:after="0" w:line="22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Refer to Note 9 of the Notes to the Consolidated Financial Statements included in Item 8 of Part II of our Annual Report on Form 10-K for the fiscal year ended August 28, 2021 for additional information regarding the Convertible Notes and the Call Spread Transactions.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Treatment of the Convertible Notes and Related Hedge Transactions and Warrant Transactions</w:t>
      </w:r>
    </w:p>
    <w:p>
      <w:pPr>
        <w:spacing w:after="0" w:line="7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The Call Spread Transactions were classified as equity. We bifurcated the proceeds from the offering of the Convertible Notes between liability and equity components. On the date of issuance, the liability and equity components were calculated to be approximately $215.0 million and $85.0 million, respectively. The initial $215.0 million liability component was determined based on the fair value of similar debt instruments excluding the conversion feature assuming a hypothetical interest rate of 8%. The initial $85.0 million ($64.1 million net of tax) equity component represents the difference between the fair value of the initial $215.0 million in debt and the $300.0 million of gross proceeds. The related initial debt discount of $85.0 million is being amortized over the life of the Convertible Notes as non-cash interest expense using the effective interest method.</w:t>
      </w:r>
    </w:p>
    <w:p>
      <w:pPr>
        <w:spacing w:after="0" w:line="232"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In connection with the above-noted transactions, we incurred approximately $9.8 million of offering-related costs. These offering fees were allocated to the liability and equity components in proportion to the allocation of proceeds and accounted for as debt and equity issuance costs, respectively. We allocated $7.0 million of debt issuance costs to the liability component, which were capitalized as deferred financing costs within long-term debt on the Consolidated Balance Sheets. These costs are being amortized as interest expense over the term of the debt using the effective interest method. The remaining $2.8 million of transaction costs allocated to the equity component were recorded as a reduction of the equity component.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and Future Maturities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27, 2021 and August 28, 2021, the fair value of long-term debt, gross, was $727.4 million and $726.6 million,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4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Amount</w:t>
            </w:r>
          </w:p>
        </w:tc>
      </w:tr>
      <w:tr>
        <w:trPr>
          <w:trHeight w:val="210"/>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2022</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18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4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18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4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300,000</w:t>
            </w:r>
          </w:p>
        </w:tc>
      </w:tr>
      <w:tr>
        <w:trPr>
          <w:trHeight w:val="219"/>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4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9180" w:type="dxa"/>
            <w:vAlign w:val="bottom"/>
          </w:tcPr>
          <w:p>
            <w:pPr>
              <w:ind w:left="20"/>
              <w:spacing w:after="0"/>
              <w:rPr>
                <w:sz w:val="20"/>
                <w:szCs w:val="20"/>
                <w:color w:val="auto"/>
              </w:rPr>
            </w:pPr>
            <w:r>
              <w:rPr>
                <w:rFonts w:ascii="Arial" w:cs="Arial" w:eastAsia="Arial" w:hAnsi="Arial"/>
                <w:sz w:val="16"/>
                <w:szCs w:val="16"/>
                <w:color w:val="auto"/>
              </w:rPr>
              <w:t>Fiscal 2027</w:t>
            </w:r>
          </w:p>
        </w:tc>
        <w:tc>
          <w:tcPr>
            <w:tcW w:w="4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9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Thereafter</w:t>
            </w:r>
          </w:p>
        </w:tc>
        <w:tc>
          <w:tcPr>
            <w:tcW w:w="4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r>
      <w:tr>
        <w:trPr>
          <w:trHeight w:val="213"/>
        </w:trPr>
        <w:tc>
          <w:tcPr>
            <w:tcW w:w="9180" w:type="dxa"/>
            <w:vAlign w:val="bottom"/>
          </w:tcPr>
          <w:p>
            <w:pPr>
              <w:ind w:left="140"/>
              <w:spacing w:after="0"/>
              <w:rPr>
                <w:sz w:val="20"/>
                <w:szCs w:val="20"/>
                <w:color w:val="auto"/>
              </w:rPr>
            </w:pPr>
            <w:r>
              <w:rPr>
                <w:rFonts w:ascii="Arial" w:cs="Arial" w:eastAsia="Arial" w:hAnsi="Arial"/>
                <w:sz w:val="16"/>
                <w:szCs w:val="16"/>
                <w:color w:val="auto"/>
              </w:rPr>
              <w:t>Total Senior Secured Notes and Convertible Notes</w:t>
            </w: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600,000</w:t>
            </w:r>
          </w:p>
        </w:tc>
      </w:tr>
      <w:tr>
        <w:trPr>
          <w:trHeight w:val="20"/>
        </w:trPr>
        <w:tc>
          <w:tcPr>
            <w:tcW w:w="9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71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1260" w:type="dxa"/>
            <w:vAlign w:val="bottom"/>
            <w:shd w:val="clear" w:color="auto" w:fill="0000FF"/>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906"/>
        </w:trPr>
        <w:tc>
          <w:tcPr>
            <w:tcW w:w="7100" w:type="dxa"/>
            <w:vAlign w:val="bottom"/>
            <w:gridSpan w:val="2"/>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2"/>
        </w:trPr>
        <w:tc>
          <w:tcPr>
            <w:tcW w:w="7100" w:type="dxa"/>
            <w:vAlign w:val="bottom"/>
            <w:gridSpan w:val="2"/>
          </w:tcPr>
          <w:p>
            <w:pPr>
              <w:spacing w:after="0"/>
              <w:rPr>
                <w:sz w:val="20"/>
                <w:szCs w:val="20"/>
                <w:color w:val="auto"/>
              </w:rPr>
            </w:pPr>
            <w:r>
              <w:rPr>
                <w:rFonts w:ascii="Arial" w:cs="Arial" w:eastAsia="Arial" w:hAnsi="Arial"/>
                <w:sz w:val="16"/>
                <w:szCs w:val="16"/>
                <w:color w:val="auto"/>
              </w:rPr>
              <w:t>Deferred compensation liabilities are as follows:</w:t>
            </w: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82"/>
        </w:trPr>
        <w:tc>
          <w:tcPr>
            <w:tcW w:w="12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6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November 27,</w:t>
            </w:r>
          </w:p>
        </w:tc>
        <w:tc>
          <w:tcPr>
            <w:tcW w:w="340" w:type="dxa"/>
            <w:vAlign w:val="bottom"/>
          </w:tcPr>
          <w:p>
            <w:pPr>
              <w:spacing w:after="0"/>
              <w:rPr>
                <w:sz w:val="15"/>
                <w:szCs w:val="15"/>
                <w:color w:val="auto"/>
              </w:rPr>
            </w:pPr>
          </w:p>
        </w:tc>
        <w:tc>
          <w:tcPr>
            <w:tcW w:w="1620" w:type="dxa"/>
            <w:vAlign w:val="bottom"/>
          </w:tcPr>
          <w:p>
            <w:pPr>
              <w:jc w:val="right"/>
              <w:ind w:right="479"/>
              <w:spacing w:after="0" w:line="181" w:lineRule="exact"/>
              <w:rPr>
                <w:sz w:val="20"/>
                <w:szCs w:val="20"/>
                <w:color w:val="auto"/>
              </w:rPr>
            </w:pPr>
            <w:r>
              <w:rPr>
                <w:rFonts w:ascii="Arial" w:cs="Arial" w:eastAsia="Arial" w:hAnsi="Arial"/>
                <w:sz w:val="16"/>
                <w:szCs w:val="16"/>
                <w:b w:val="1"/>
                <w:bCs w:val="1"/>
                <w:color w:val="auto"/>
              </w:rPr>
              <w:t>August 28,</w:t>
            </w:r>
          </w:p>
        </w:tc>
      </w:tr>
      <w:tr>
        <w:trPr>
          <w:trHeight w:val="216"/>
        </w:trPr>
        <w:tc>
          <w:tcPr>
            <w:tcW w:w="7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r>
      <w:tr>
        <w:trPr>
          <w:trHeight w:val="209"/>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Non-qualified deferred compensation</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9,731</w:t>
            </w:r>
          </w:p>
        </w:tc>
      </w:tr>
      <w:tr>
        <w:trPr>
          <w:trHeight w:val="213"/>
        </w:trPr>
        <w:tc>
          <w:tcPr>
            <w:tcW w:w="7100" w:type="dxa"/>
            <w:vAlign w:val="bottom"/>
            <w:gridSpan w:val="2"/>
          </w:tcPr>
          <w:p>
            <w:pPr>
              <w:ind w:left="20"/>
              <w:spacing w:after="0"/>
              <w:rPr>
                <w:sz w:val="20"/>
                <w:szCs w:val="20"/>
                <w:color w:val="auto"/>
              </w:rPr>
            </w:pPr>
            <w:r>
              <w:rPr>
                <w:rFonts w:ascii="Arial" w:cs="Arial" w:eastAsia="Arial" w:hAnsi="Arial"/>
                <w:sz w:val="16"/>
                <w:szCs w:val="16"/>
                <w:color w:val="auto"/>
              </w:rPr>
              <w:t>Supplemental executive retirement plan</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1,615</w:t>
            </w:r>
          </w:p>
        </w:tc>
      </w:tr>
      <w:tr>
        <w:trPr>
          <w:trHeight w:val="216"/>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 plan</w:t>
            </w:r>
          </w:p>
        </w:tc>
        <w:tc>
          <w:tcPr>
            <w:tcW w:w="3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1,029</w:t>
            </w:r>
          </w:p>
        </w:tc>
      </w:tr>
      <w:tr>
        <w:trPr>
          <w:trHeight w:val="209"/>
        </w:trPr>
        <w:tc>
          <w:tcPr>
            <w:tcW w:w="7100" w:type="dxa"/>
            <w:vAlign w:val="bottom"/>
            <w:gridSpan w:val="2"/>
          </w:tcPr>
          <w:p>
            <w:pPr>
              <w:ind w:left="140"/>
              <w:spacing w:after="0"/>
              <w:rPr>
                <w:sz w:val="20"/>
                <w:szCs w:val="20"/>
                <w:color w:val="auto"/>
              </w:rPr>
            </w:pPr>
            <w:r>
              <w:rPr>
                <w:rFonts w:ascii="Arial" w:cs="Arial" w:eastAsia="Arial" w:hAnsi="Arial"/>
                <w:sz w:val="16"/>
                <w:szCs w:val="16"/>
                <w:color w:val="auto"/>
              </w:rPr>
              <w:t>Total deferred compensation benefits</w:t>
            </w:r>
          </w:p>
        </w:tc>
        <w:tc>
          <w:tcPr>
            <w:tcW w:w="3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12,512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12,375</w:t>
            </w:r>
          </w:p>
        </w:tc>
      </w:tr>
      <w:tr>
        <w:trPr>
          <w:trHeight w:val="219"/>
        </w:trPr>
        <w:tc>
          <w:tcPr>
            <w:tcW w:w="71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2,825</w:t>
            </w:r>
          </w:p>
        </w:tc>
      </w:tr>
      <w:tr>
        <w:trPr>
          <w:trHeight w:val="210"/>
        </w:trPr>
        <w:tc>
          <w:tcPr>
            <w:tcW w:w="7100" w:type="dxa"/>
            <w:vAlign w:val="bottom"/>
            <w:gridSpan w:val="2"/>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9,550</w:t>
            </w:r>
          </w:p>
        </w:tc>
      </w:tr>
      <w:tr>
        <w:trPr>
          <w:trHeight w:val="20"/>
        </w:trPr>
        <w:tc>
          <w:tcPr>
            <w:tcW w:w="126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160" w:hanging="152"/>
        <w:spacing w:after="0"/>
        <w:tabs>
          <w:tab w:leader="none" w:pos="160" w:val="left"/>
        </w:tabs>
        <w:numPr>
          <w:ilvl w:val="0"/>
          <w:numId w:val="4"/>
        </w:numPr>
        <w:rPr>
          <w:rFonts w:ascii="Arial" w:cs="Arial" w:eastAsia="Arial" w:hAnsi="Arial"/>
          <w:sz w:val="18"/>
          <w:szCs w:val="18"/>
          <w:color w:val="auto"/>
          <w:vertAlign w:val="superscript"/>
        </w:rPr>
      </w:pPr>
      <w:r>
        <w:rPr>
          <w:rFonts w:ascii="Arial" w:cs="Arial" w:eastAsia="Arial" w:hAnsi="Arial"/>
          <w:sz w:val="12"/>
          <w:szCs w:val="12"/>
          <w:color w:val="auto"/>
        </w:rPr>
        <w:t>Included in accrued compensation on the Consolidated Balance Sheets.</w:t>
      </w:r>
    </w:p>
    <w:p>
      <w:pPr>
        <w:spacing w:after="0" w:line="210"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11.</w:t>
        <w:tab/>
        <w:t>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13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Generally, manufacturers in the same industries as us enter into repurchase agreements with lending institutions which have provided wholesale floorplan financing to dealers. Most dealers are financed on a "floorplan" basis under which a bank or finance company lends the dealer all, or substantially all, of the purchase price, collateralized by a security interest in the units purchased.</w:t>
      </w:r>
    </w:p>
    <w:p>
      <w:pPr>
        <w:spacing w:after="0" w:line="228"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Our repurchase agreements generally provide that, in the event of default by the dealer on the agreement to pay the lending institution, we will repurchase the financed merchandise. The terms of these agreements, which generally can last up to 24 months, provide that our liability will be the lesser of remaining principal owed by the dealer to the lending institution, or dealer invoice less periodic reductions based on the time since the date of the original invoice. Our liability cannot exceed 100% of the dealer invoice. In certain instances, we also repurchase inventory from dealers due to state law or regulatory requirements that govern voluntary or involuntary relationship terminations. Although laws vary from state to state, some states have laws in place that require manufacturers of recreational vehicles or boats to repurchase current inventory if a dealership exits the business. The total contingent liability on all of our repurchase agreements was approximately $1,051.3 million and $727.7 million at November 27, 2021 and August 28, 2021, respectively.</w:t>
      </w:r>
    </w:p>
    <w:p>
      <w:pPr>
        <w:spacing w:after="0" w:line="23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Repurchased sales are not recorded as a revenue transaction, rather the net difference between the original repurchase price and the resale price is recorded against the loss reserve, which is a deduction from gross revenue. Our loss reserve for repurchase commitments contains uncertainties because the calculation requires management to make assumptions and apply judgment regarding a number of factors. 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period-end reporting date subject to a repurchase agreement, net of the greater of periodic reductions per the agreement or dealer principal payments. Based on these repurchase agreements and our historical loss experience, an associated loss reserve is established which is included in accrued expenses: other on the Consolidated Balance Sheets. Our repurchase accrual was $1.0 million and $0.9 million at November 27, 2021 and August 28, 2021, respectively. Repurchase risk is affected by the credit worthiness of our dealer network. We do not believe there is a reasonable likelihood that there will be a material change in the estimates or assumptions used to establish the loss reserve for repurchase commitments.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There was no material activity related to repurchase agreements during the three months ended November 27, 2021 and August 28, 2021.</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133"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are involved in various legal proceedings which are considered ordinary and routine litigation incidental to the business, some of which are covered in whole or in part by insurance. While we believe the ultimate disposition of litigation will not have a material adverse effect on our financial position, results of operations or liquidity, the possibility exists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our view of these matters may change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Revenue</w:t>
      </w:r>
    </w:p>
    <w:p>
      <w:pPr>
        <w:spacing w:after="0" w:line="268"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All operating revenue is generated from contracts with customers. Our primary revenue source is generated through the sale of manufactured non-motorized towable units, motorized units and marine units to our independent dealer network (our customers). The following table disaggregates revenue by reportable segment and product category: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1239"/>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7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rPr>
              <w:t>November 27,</w:t>
            </w:r>
          </w:p>
        </w:tc>
        <w:tc>
          <w:tcPr>
            <w:tcW w:w="300" w:type="dxa"/>
            <w:vAlign w:val="bottom"/>
          </w:tcPr>
          <w:p>
            <w:pPr>
              <w:spacing w:after="0"/>
              <w:rPr>
                <w:sz w:val="13"/>
                <w:szCs w:val="13"/>
                <w:color w:val="auto"/>
              </w:rPr>
            </w:pPr>
          </w:p>
        </w:tc>
        <w:tc>
          <w:tcPr>
            <w:tcW w:w="1760" w:type="dxa"/>
            <w:vAlign w:val="bottom"/>
          </w:tcPr>
          <w:p>
            <w:pPr>
              <w:jc w:val="right"/>
              <w:ind w:right="419"/>
              <w:spacing w:after="0" w:line="158" w:lineRule="exact"/>
              <w:rPr>
                <w:sz w:val="20"/>
                <w:szCs w:val="20"/>
                <w:color w:val="auto"/>
              </w:rPr>
            </w:pPr>
            <w:r>
              <w:rPr>
                <w:rFonts w:ascii="Arial" w:cs="Arial" w:eastAsia="Arial" w:hAnsi="Arial"/>
                <w:sz w:val="16"/>
                <w:szCs w:val="16"/>
                <w:b w:val="1"/>
                <w:bCs w:val="1"/>
                <w:color w:val="auto"/>
              </w:rPr>
              <w:t>November 28,</w:t>
            </w: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2020</w:t>
            </w:r>
          </w:p>
        </w:tc>
      </w:tr>
      <w:tr>
        <w:trPr>
          <w:trHeight w:val="20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Revenues</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Towable</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Fifth Wheel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240,448</w:t>
            </w: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Travel Trailer</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315,414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208,596</w:t>
            </w:r>
          </w:p>
        </w:tc>
      </w:tr>
      <w:tr>
        <w:trPr>
          <w:trHeight w:val="219"/>
        </w:trPr>
        <w:tc>
          <w:tcPr>
            <w:tcW w:w="70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5,857</w:t>
            </w:r>
          </w:p>
        </w:tc>
      </w:tr>
      <w:tr>
        <w:trPr>
          <w:trHeight w:val="207"/>
        </w:trPr>
        <w:tc>
          <w:tcPr>
            <w:tcW w:w="7000" w:type="dxa"/>
            <w:vAlign w:val="bottom"/>
          </w:tcPr>
          <w:p>
            <w:pPr>
              <w:ind w:left="220"/>
              <w:spacing w:after="0"/>
              <w:rPr>
                <w:sz w:val="20"/>
                <w:szCs w:val="20"/>
                <w:color w:val="auto"/>
              </w:rPr>
            </w:pPr>
            <w:r>
              <w:rPr>
                <w:rFonts w:ascii="Arial" w:cs="Arial" w:eastAsia="Arial" w:hAnsi="Arial"/>
                <w:sz w:val="16"/>
                <w:szCs w:val="16"/>
                <w:color w:val="auto"/>
              </w:rPr>
              <w:t>Total Towable</w:t>
            </w: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651,024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454,901</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Motorhome</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7000" w:type="dxa"/>
            <w:vAlign w:val="bottom"/>
          </w:tcPr>
          <w:p>
            <w:pPr>
              <w:ind w:left="140"/>
              <w:spacing w:after="0"/>
              <w:rPr>
                <w:sz w:val="20"/>
                <w:szCs w:val="20"/>
                <w:color w:val="auto"/>
              </w:rPr>
            </w:pPr>
            <w:r>
              <w:rPr>
                <w:rFonts w:ascii="Arial" w:cs="Arial" w:eastAsia="Arial" w:hAnsi="Arial"/>
                <w:sz w:val="16"/>
                <w:szCs w:val="16"/>
                <w:color w:val="auto"/>
              </w:rPr>
              <w:t>Class A</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195,297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134,166</w:t>
            </w:r>
          </w:p>
        </w:tc>
      </w:tr>
      <w:tr>
        <w:trPr>
          <w:trHeight w:val="219"/>
        </w:trPr>
        <w:tc>
          <w:tcPr>
            <w:tcW w:w="7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Class B</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109,287</w:t>
            </w:r>
          </w:p>
        </w:tc>
      </w:tr>
      <w:tr>
        <w:trPr>
          <w:trHeight w:val="216"/>
        </w:trPr>
        <w:tc>
          <w:tcPr>
            <w:tcW w:w="70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Class C and Other</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81,171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78,936</w:t>
            </w:r>
          </w:p>
        </w:tc>
      </w:tr>
      <w:tr>
        <w:trPr>
          <w:trHeight w:val="209"/>
        </w:trPr>
        <w:tc>
          <w:tcPr>
            <w:tcW w:w="7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Motorhome</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421,479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322,389</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Marine</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79,318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11,894</w:t>
            </w:r>
          </w:p>
        </w:tc>
      </w:tr>
      <w:tr>
        <w:trPr>
          <w:trHeight w:val="219"/>
        </w:trPr>
        <w:tc>
          <w:tcPr>
            <w:tcW w:w="70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Corporate / All Other</w:t>
            </w:r>
            <w:r>
              <w:rPr>
                <w:rFonts w:ascii="Arial" w:cs="Arial" w:eastAsia="Arial" w:hAnsi="Arial"/>
                <w:sz w:val="21"/>
                <w:szCs w:val="21"/>
                <w:color w:val="auto"/>
                <w:vertAlign w:val="superscript"/>
              </w:rPr>
              <w:t>(2)</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3,947</w:t>
            </w:r>
          </w:p>
        </w:tc>
      </w:tr>
      <w:tr>
        <w:trPr>
          <w:trHeight w:val="209"/>
        </w:trPr>
        <w:tc>
          <w:tcPr>
            <w:tcW w:w="7000" w:type="dxa"/>
            <w:vAlign w:val="bottom"/>
          </w:tcPr>
          <w:p>
            <w:pPr>
              <w:ind w:left="360"/>
              <w:spacing w:after="0"/>
              <w:rPr>
                <w:sz w:val="20"/>
                <w:szCs w:val="20"/>
                <w:color w:val="auto"/>
              </w:rPr>
            </w:pPr>
            <w:r>
              <w:rPr>
                <w:rFonts w:ascii="Arial" w:cs="Arial" w:eastAsia="Arial" w:hAnsi="Arial"/>
                <w:sz w:val="16"/>
                <w:szCs w:val="16"/>
                <w:color w:val="auto"/>
              </w:rPr>
              <w:t>Consolidated Net Revenues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1,155,740</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793,131</w:t>
            </w:r>
          </w:p>
        </w:tc>
      </w:tr>
      <w:tr>
        <w:trPr>
          <w:trHeight w:val="21"/>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ind w:left="300" w:hanging="292"/>
        <w:spacing w:after="0"/>
        <w:tabs>
          <w:tab w:leader="none" w:pos="30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Relates to parts, accessories, and services.</w:t>
      </w:r>
    </w:p>
    <w:p>
      <w:pPr>
        <w:ind w:left="300" w:hanging="292"/>
        <w:spacing w:after="0" w:line="189" w:lineRule="auto"/>
        <w:tabs>
          <w:tab w:leader="none" w:pos="300" w:val="left"/>
        </w:tabs>
        <w:numPr>
          <w:ilvl w:val="0"/>
          <w:numId w:val="5"/>
        </w:numPr>
        <w:rPr>
          <w:rFonts w:ascii="Arial" w:cs="Arial" w:eastAsia="Arial" w:hAnsi="Arial"/>
          <w:sz w:val="19"/>
          <w:szCs w:val="19"/>
          <w:color w:val="auto"/>
          <w:vertAlign w:val="superscript"/>
        </w:rPr>
      </w:pPr>
      <w:r>
        <w:rPr>
          <w:rFonts w:ascii="Arial" w:cs="Arial" w:eastAsia="Arial" w:hAnsi="Arial"/>
          <w:sz w:val="13"/>
          <w:szCs w:val="13"/>
          <w:color w:val="auto"/>
        </w:rPr>
        <w:t>Relates to specialty vehicle units, parts, accessories, and services.</w:t>
      </w:r>
    </w:p>
    <w:p>
      <w:pPr>
        <w:spacing w:after="0" w:line="230"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do not have material contract assets or liabilities. Allowances for uncollectible receivables are established based on historical collection trends, write-off history, consideration of current conditions and expectations for future economic conditions.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 single dealer organization accounted for more than 10% of net revenue for the three months ended November 27, 2021 or November 28, 2020.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Stock-Based Compensation</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December 11, 2018, our shareholders approved the Winnebago Industries, Inc. 2019 Omnibus Incentive Plan ("2019 Plan") as detailed in our Proxy Statement for the 2018 Annual Meeting of Shareholders. The 2019 Plan allows us to grant or issue non-qualified stock options, incentive stock options, restricted share units, and other equity compensation to key employees and to non-employee directors. The 2019 Plan replaces the 2014 Omnibus Equity, Performance Award, and Incentive Compensation Plan (as amended, the "2014 Plan"). The number of shares of our common stock that may be awarded and issued under the 2019 Plan is 4.1 million shares, plus the shares subject to any awards outstanding under the 2014 Plan and our predecessor plan, the 2004 Incentive Compensation Plan (the “2004 Plan”), on December 11, 2018 that subsequently expire, are forfeited or canceled, or are settled for cash. Until such time, awards under the 2014 Plan and the 2004 Plan, respectively, that were outstanding on December 11, 2018 will continue to be subject to the terms of the 2014 Plan or 2004 Plan, as applicable. Shares remaining available for future awards under the 2014 Plan were not carried over into the 2019 Plan.</w:t>
      </w:r>
    </w:p>
    <w:p>
      <w:pPr>
        <w:spacing w:after="0" w:line="234" w:lineRule="exact"/>
        <w:rPr>
          <w:sz w:val="20"/>
          <w:szCs w:val="20"/>
          <w:color w:val="auto"/>
        </w:rPr>
      </w:pPr>
    </w:p>
    <w:p>
      <w:pPr>
        <w:ind w:right="700"/>
        <w:spacing w:after="0" w:line="260" w:lineRule="auto"/>
        <w:rPr>
          <w:sz w:val="20"/>
          <w:szCs w:val="20"/>
          <w:color w:val="auto"/>
        </w:rPr>
      </w:pPr>
      <w:r>
        <w:rPr>
          <w:rFonts w:ascii="Arial" w:cs="Arial" w:eastAsia="Arial" w:hAnsi="Arial"/>
          <w:sz w:val="16"/>
          <w:szCs w:val="16"/>
          <w:color w:val="auto"/>
        </w:rPr>
        <w:t>Stock-based compensation expense was $2.7 million and $2.4 million during the three months ended November 27, 2021 and November 28, 2020, respectively. Compensation expense is recognized over the requisite service or performance period of the award.</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Income Taxes</w:t>
      </w:r>
    </w:p>
    <w:p>
      <w:pPr>
        <w:spacing w:after="0" w:line="26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effective tax rate was 23.2% and 23.4% for the three months ended November 27, 2021 and November 28, 2020, respectively. The decrease in tax rate for the three months ended November 27, 2021 compared to the three months ended November 28, 2020 was primarily driven by the impact of a net favorable benefit in the current year related to stock compensation, partially offset by an increase to the rate due to consistent tax credits year-over-year and increased income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As of November 27, 2021, our Federal returns from Fiscal 2018 to present are subject to review by the Internal Revenue Service. With limited exceptions, state returns from Fiscal 2017 to present continue to be subject to review by state taxing jurisdictions. We are currently under review by certain U.S. state tax authorities for Fiscal 2016 through Fiscal 2019. We believe we have adequately reserved for our exposure to potential additional payments for uncertain tax positions in our liability for unrecognized tax benefits.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20"/>
                <w:szCs w:val="20"/>
                <w:color w:val="auto"/>
              </w:rPr>
            </w:pPr>
            <w:r>
              <w:rPr>
                <w:rFonts w:ascii="Arial" w:cs="Arial" w:eastAsia="Arial" w:hAnsi="Arial"/>
                <w:sz w:val="16"/>
                <w:szCs w:val="16"/>
                <w:b w:val="1"/>
                <w:bCs w:val="1"/>
                <w:color w:val="auto"/>
              </w:rPr>
              <w:t>Note 15. Earnings Per Share</w:t>
            </w: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351"/>
        </w:trPr>
        <w:tc>
          <w:tcPr>
            <w:tcW w:w="7000" w:type="dxa"/>
            <w:vAlign w:val="bottom"/>
          </w:tcPr>
          <w:p>
            <w:pPr>
              <w:spacing w:after="0"/>
              <w:rPr>
                <w:sz w:val="20"/>
                <w:szCs w:val="20"/>
                <w:color w:val="auto"/>
              </w:rPr>
            </w:pPr>
            <w:r>
              <w:rPr>
                <w:rFonts w:ascii="Arial" w:cs="Arial" w:eastAsia="Arial" w:hAnsi="Arial"/>
                <w:sz w:val="16"/>
                <w:szCs w:val="16"/>
                <w:color w:val="auto"/>
              </w:rPr>
              <w:t>Basic and diluted earnings per share are calculated as follows:</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33"/>
        </w:trPr>
        <w:tc>
          <w:tcPr>
            <w:tcW w:w="7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4"/>
          </w:tcPr>
          <w:p>
            <w:pPr>
              <w:jc w:val="right"/>
              <w:ind w:right="1239"/>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7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80" w:type="dxa"/>
            <w:vAlign w:val="bottom"/>
            <w:gridSpan w:val="2"/>
          </w:tcPr>
          <w:p>
            <w:pPr>
              <w:ind w:left="200"/>
              <w:spacing w:after="0" w:line="158" w:lineRule="exact"/>
              <w:rPr>
                <w:sz w:val="20"/>
                <w:szCs w:val="20"/>
                <w:color w:val="auto"/>
              </w:rPr>
            </w:pPr>
            <w:r>
              <w:rPr>
                <w:rFonts w:ascii="Arial" w:cs="Arial" w:eastAsia="Arial" w:hAnsi="Arial"/>
                <w:sz w:val="16"/>
                <w:szCs w:val="16"/>
                <w:b w:val="1"/>
                <w:bCs w:val="1"/>
                <w:color w:val="auto"/>
              </w:rPr>
              <w:t>November 27,</w:t>
            </w:r>
          </w:p>
        </w:tc>
        <w:tc>
          <w:tcPr>
            <w:tcW w:w="300" w:type="dxa"/>
            <w:vAlign w:val="bottom"/>
          </w:tcPr>
          <w:p>
            <w:pPr>
              <w:spacing w:after="0"/>
              <w:rPr>
                <w:sz w:val="13"/>
                <w:szCs w:val="13"/>
                <w:color w:val="auto"/>
              </w:rPr>
            </w:pPr>
          </w:p>
        </w:tc>
        <w:tc>
          <w:tcPr>
            <w:tcW w:w="1760" w:type="dxa"/>
            <w:vAlign w:val="bottom"/>
          </w:tcPr>
          <w:p>
            <w:pPr>
              <w:jc w:val="right"/>
              <w:ind w:right="419"/>
              <w:spacing w:after="0" w:line="158" w:lineRule="exact"/>
              <w:rPr>
                <w:sz w:val="20"/>
                <w:szCs w:val="20"/>
                <w:color w:val="auto"/>
              </w:rPr>
            </w:pPr>
            <w:r>
              <w:rPr>
                <w:rFonts w:ascii="Arial" w:cs="Arial" w:eastAsia="Arial" w:hAnsi="Arial"/>
                <w:sz w:val="16"/>
                <w:szCs w:val="16"/>
                <w:b w:val="1"/>
                <w:bCs w:val="1"/>
                <w:color w:val="auto"/>
              </w:rPr>
              <w:t>November 28,</w:t>
            </w:r>
          </w:p>
        </w:tc>
      </w:tr>
      <w:tr>
        <w:trPr>
          <w:trHeight w:val="216"/>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data)</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2020</w:t>
            </w:r>
          </w:p>
        </w:tc>
      </w:tr>
      <w:tr>
        <w:trPr>
          <w:trHeight w:val="234"/>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99,630</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57,423</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7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33,609</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Dilutive impact of stock compensation awards</w:t>
            </w: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543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230</w:t>
            </w: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impact of convertible notes</w:t>
            </w: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assuming dilution</w:t>
            </w: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34,378</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33,839</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29"/>
        </w:trPr>
        <w:tc>
          <w:tcPr>
            <w:tcW w:w="7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r>
      <w:tr>
        <w:trPr>
          <w:trHeight w:val="177"/>
        </w:trPr>
        <w:tc>
          <w:tcPr>
            <w:tcW w:w="7000" w:type="dxa"/>
            <w:vAlign w:val="bottom"/>
          </w:tcPr>
          <w:p>
            <w:pPr>
              <w:ind w:left="20"/>
              <w:spacing w:after="0" w:line="178" w:lineRule="exact"/>
              <w:rPr>
                <w:sz w:val="20"/>
                <w:szCs w:val="20"/>
                <w:color w:val="auto"/>
              </w:rPr>
            </w:pPr>
            <w:r>
              <w:rPr>
                <w:rFonts w:ascii="Arial" w:cs="Arial" w:eastAsia="Arial" w:hAnsi="Arial"/>
                <w:sz w:val="16"/>
                <w:szCs w:val="16"/>
                <w:color w:val="auto"/>
              </w:rPr>
              <w:t>Anti-dilutive securities excluded from weighted average common shares outstanding, assuming</w:t>
            </w: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98"/>
        </w:trPr>
        <w:tc>
          <w:tcPr>
            <w:tcW w:w="7000" w:type="dxa"/>
            <w:vAlign w:val="bottom"/>
          </w:tcPr>
          <w:p>
            <w:pPr>
              <w:ind w:left="20"/>
              <w:spacing w:after="0"/>
              <w:rPr>
                <w:sz w:val="20"/>
                <w:szCs w:val="20"/>
                <w:color w:val="auto"/>
              </w:rPr>
            </w:pPr>
            <w:r>
              <w:rPr>
                <w:rFonts w:ascii="Arial" w:cs="Arial" w:eastAsia="Arial" w:hAnsi="Arial"/>
                <w:sz w:val="16"/>
                <w:szCs w:val="16"/>
                <w:color w:val="auto"/>
              </w:rPr>
              <w:t>dilution</w:t>
            </w: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165"/>
        </w:trPr>
        <w:tc>
          <w:tcPr>
            <w:tcW w:w="7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common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bl>
    <w:p>
      <w:pPr>
        <w:spacing w:after="0" w:line="339" w:lineRule="exact"/>
        <w:rPr>
          <w:sz w:val="20"/>
          <w:szCs w:val="20"/>
          <w:color w:val="auto"/>
        </w:rPr>
      </w:pPr>
    </w:p>
    <w:p>
      <w:pPr>
        <w:ind w:right="520"/>
        <w:spacing w:after="0" w:line="260" w:lineRule="auto"/>
        <w:rPr>
          <w:sz w:val="20"/>
          <w:szCs w:val="20"/>
          <w:color w:val="auto"/>
        </w:rPr>
      </w:pPr>
      <w:r>
        <w:rPr>
          <w:rFonts w:ascii="Arial" w:cs="Arial" w:eastAsia="Arial" w:hAnsi="Arial"/>
          <w:sz w:val="16"/>
          <w:szCs w:val="16"/>
          <w:color w:val="auto"/>
        </w:rPr>
        <w:t>Under the treasury stock method, shares associated with certain anti-dilutive securities have been excluded from the diluted weighted average shares outstanding calculation because the exercise of those options would lead to a net reduction in common shares outstanding or anti-dilution.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16. Accumulated Other Comprehensive Income (Loss)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("AOCI") by component, net of tax, were: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November 27, 2021</w:t>
            </w: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November 28, 2020</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2060" w:type="dxa"/>
            <w:vAlign w:val="bottom"/>
            <w:tcBorders>
              <w:top w:val="single" w:sz="8" w:color="auto"/>
            </w:tcBorders>
            <w:gridSpan w:val="2"/>
          </w:tcPr>
          <w:p>
            <w:pPr>
              <w:jc w:val="center"/>
              <w:spacing w:after="0" w:line="156" w:lineRule="exact"/>
              <w:rPr>
                <w:sz w:val="20"/>
                <w:szCs w:val="20"/>
                <w:color w:val="auto"/>
              </w:rPr>
            </w:pPr>
            <w:r>
              <w:rPr>
                <w:rFonts w:ascii="Arial" w:cs="Arial" w:eastAsia="Arial" w:hAnsi="Arial"/>
                <w:sz w:val="16"/>
                <w:szCs w:val="16"/>
                <w:b w:val="1"/>
                <w:bCs w:val="1"/>
                <w:color w:val="auto"/>
              </w:rPr>
              <w:t>Defined Benefit Pension</w:t>
            </w:r>
          </w:p>
        </w:tc>
        <w:tc>
          <w:tcPr>
            <w:tcW w:w="120" w:type="dxa"/>
            <w:vAlign w:val="bottom"/>
          </w:tcPr>
          <w:p>
            <w:pPr>
              <w:spacing w:after="0"/>
              <w:rPr>
                <w:sz w:val="13"/>
                <w:szCs w:val="13"/>
                <w:color w:val="auto"/>
              </w:rPr>
            </w:pPr>
          </w:p>
        </w:tc>
        <w:tc>
          <w:tcPr>
            <w:tcW w:w="2060" w:type="dxa"/>
            <w:vAlign w:val="bottom"/>
            <w:tcBorders>
              <w:top w:val="single" w:sz="8" w:color="auto"/>
            </w:tcBorders>
            <w:gridSpan w:val="2"/>
          </w:tcPr>
          <w:p>
            <w:pPr>
              <w:jc w:val="center"/>
              <w:spacing w:after="0" w:line="156" w:lineRule="exact"/>
              <w:rPr>
                <w:sz w:val="20"/>
                <w:szCs w:val="20"/>
                <w:color w:val="auto"/>
              </w:rPr>
            </w:pPr>
            <w:r>
              <w:rPr>
                <w:rFonts w:ascii="Arial" w:cs="Arial" w:eastAsia="Arial" w:hAnsi="Arial"/>
                <w:sz w:val="16"/>
                <w:szCs w:val="16"/>
                <w:b w:val="1"/>
                <w:bCs w:val="1"/>
                <w:color w:val="auto"/>
              </w:rPr>
              <w:t>Defined Benefit Pension</w:t>
            </w: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Items</w:t>
            </w:r>
          </w:p>
        </w:tc>
        <w:tc>
          <w:tcPr>
            <w:tcW w:w="1600" w:type="dxa"/>
            <w:vAlign w:val="bottom"/>
          </w:tcPr>
          <w:p>
            <w:pPr>
              <w:jc w:val="center"/>
              <w:ind w:left="379"/>
              <w:spacing w:after="0"/>
              <w:rPr>
                <w:sz w:val="20"/>
                <w:szCs w:val="20"/>
                <w:color w:val="auto"/>
              </w:rPr>
            </w:pPr>
            <w:r>
              <w:rPr>
                <w:rFonts w:ascii="Arial" w:cs="Arial" w:eastAsia="Arial" w:hAnsi="Arial"/>
                <w:sz w:val="16"/>
                <w:szCs w:val="16"/>
                <w:b w:val="1"/>
                <w:bCs w:val="1"/>
                <w:color w:val="auto"/>
              </w:rPr>
              <w:t>Items</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3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w:t>
            </w:r>
          </w:p>
        </w:tc>
        <w:tc>
          <w:tcPr>
            <w:tcW w:w="0" w:type="dxa"/>
            <w:vAlign w:val="bottom"/>
          </w:tcPr>
          <w:p>
            <w:pPr>
              <w:spacing w:after="0"/>
              <w:rPr>
                <w:sz w:val="1"/>
                <w:szCs w:val="1"/>
                <w:color w:val="auto"/>
              </w:rPr>
            </w:pPr>
          </w:p>
        </w:tc>
      </w:tr>
      <w:tr>
        <w:trPr>
          <w:trHeight w:val="213"/>
        </w:trPr>
        <w:tc>
          <w:tcPr>
            <w:tcW w:w="36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Amounts reclassified from AOCI</w:t>
            </w:r>
          </w:p>
        </w:tc>
        <w:tc>
          <w:tcPr>
            <w:tcW w:w="3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current-period OCI</w:t>
            </w:r>
          </w:p>
        </w:tc>
        <w:tc>
          <w:tcPr>
            <w:tcW w:w="3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362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3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18"/>
                <w:szCs w:val="18"/>
                <w:color w:val="auto"/>
              </w:rPr>
            </w:pPr>
          </w:p>
        </w:tc>
        <w:tc>
          <w:tcPr>
            <w:tcW w:w="1600" w:type="dxa"/>
            <w:vAlign w:val="bottom"/>
            <w:tcBorders>
              <w:bottom w:val="single" w:sz="8" w:color="auto"/>
            </w:tcBorders>
          </w:tcPr>
          <w:p>
            <w:pPr>
              <w:jc w:val="right"/>
              <w:ind w:right="141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Reclassifications out of AOCI, net of tax, were:</w:t>
            </w:r>
          </w:p>
        </w:tc>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4"/>
        </w:trPr>
        <w:tc>
          <w:tcPr>
            <w:tcW w:w="3620" w:type="dxa"/>
            <w:vAlign w:val="bottom"/>
            <w:vMerge w:val="continue"/>
          </w:tcPr>
          <w:p>
            <w:pPr>
              <w:spacing w:after="0"/>
              <w:rPr>
                <w:sz w:val="24"/>
                <w:szCs w:val="24"/>
                <w:color w:val="auto"/>
              </w:rPr>
            </w:pPr>
          </w:p>
        </w:tc>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3"/>
          </w:tcPr>
          <w:p>
            <w:pPr>
              <w:jc w:val="right"/>
              <w:ind w:right="77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3380" w:type="dxa"/>
            <w:vAlign w:val="bottom"/>
          </w:tcPr>
          <w:p>
            <w:pPr>
              <w:jc w:val="center"/>
              <w:ind w:left="39"/>
              <w:spacing w:after="0" w:line="161" w:lineRule="exact"/>
              <w:rPr>
                <w:sz w:val="20"/>
                <w:szCs w:val="20"/>
                <w:color w:val="auto"/>
              </w:rPr>
            </w:pPr>
            <w:r>
              <w:rPr>
                <w:rFonts w:ascii="Arial" w:cs="Arial" w:eastAsia="Arial" w:hAnsi="Arial"/>
                <w:sz w:val="16"/>
                <w:szCs w:val="16"/>
                <w:b w:val="1"/>
                <w:bCs w:val="1"/>
                <w:color w:val="auto"/>
              </w:rPr>
              <w:t>Location on Consolidated Statements</w:t>
            </w:r>
          </w:p>
        </w:tc>
        <w:tc>
          <w:tcPr>
            <w:tcW w:w="200" w:type="dxa"/>
            <w:vAlign w:val="bottom"/>
          </w:tcPr>
          <w:p>
            <w:pPr>
              <w:spacing w:after="0"/>
              <w:rPr>
                <w:sz w:val="14"/>
                <w:szCs w:val="14"/>
                <w:color w:val="auto"/>
              </w:rPr>
            </w:pPr>
          </w:p>
        </w:tc>
        <w:tc>
          <w:tcPr>
            <w:tcW w:w="1980" w:type="dxa"/>
            <w:vAlign w:val="bottom"/>
            <w:gridSpan w:val="2"/>
          </w:tcPr>
          <w:p>
            <w:pPr>
              <w:jc w:val="center"/>
              <w:ind w:right="320"/>
              <w:spacing w:after="0" w:line="161" w:lineRule="exact"/>
              <w:rPr>
                <w:sz w:val="20"/>
                <w:szCs w:val="20"/>
                <w:color w:val="auto"/>
              </w:rPr>
            </w:pPr>
            <w:r>
              <w:rPr>
                <w:rFonts w:ascii="Arial" w:cs="Arial" w:eastAsia="Arial" w:hAnsi="Arial"/>
                <w:sz w:val="16"/>
                <w:szCs w:val="16"/>
                <w:b w:val="1"/>
                <w:bCs w:val="1"/>
                <w:color w:val="auto"/>
              </w:rPr>
              <w:t>November 27,</w:t>
            </w:r>
          </w:p>
        </w:tc>
        <w:tc>
          <w:tcPr>
            <w:tcW w:w="1600" w:type="dxa"/>
            <w:vAlign w:val="bottom"/>
          </w:tcPr>
          <w:p>
            <w:pPr>
              <w:jc w:val="center"/>
              <w:ind w:left="379"/>
              <w:spacing w:after="0" w:line="161" w:lineRule="exact"/>
              <w:rPr>
                <w:sz w:val="20"/>
                <w:szCs w:val="20"/>
                <w:color w:val="auto"/>
              </w:rPr>
            </w:pPr>
            <w:r>
              <w:rPr>
                <w:rFonts w:ascii="Arial" w:cs="Arial" w:eastAsia="Arial" w:hAnsi="Arial"/>
                <w:sz w:val="16"/>
                <w:szCs w:val="16"/>
                <w:b w:val="1"/>
                <w:bCs w:val="1"/>
                <w:color w:val="auto"/>
              </w:rPr>
              <w:t>November 28,</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33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of Income and Comprehensive Income</w:t>
            </w:r>
          </w:p>
        </w:tc>
        <w:tc>
          <w:tcPr>
            <w:tcW w:w="2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net actuarial loss</w:t>
            </w:r>
          </w:p>
        </w:tc>
        <w:tc>
          <w:tcPr>
            <w:tcW w:w="338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rPr>
              <w:t>SG&amp;A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41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terms "Winnebago," "we," "us," and "our," unless the context otherwise requires, refer to Winnebago Industries, Inc. and its wholly-owned subsidiaries.</w:t>
      </w:r>
    </w:p>
    <w:p>
      <w:pPr>
        <w:spacing w:after="0" w:line="24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w:t>
      </w:r>
    </w:p>
    <w:p>
      <w:pPr>
        <w:spacing w:after="0" w:line="229"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Our MD&amp;A should be read in conjunction with the Consolidated Financial Statements and related Notes included in Item 1 of Part I of this Quarterly Report on Form 10-Q and our Annual Report on Form 10-K for the fiscal year ended August 28, 2021 (including the information presented therein under Risk Factors), as well as our reports on Forms 10-Q and 8-K and other publicly available information. All amounts herein are unaudited. All amounts are in thousands, except share and per share data, unless otherwise noted.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Winnebago Industries, Inc. is one of the leading North American manufacturers of recreation vehicles ("RV"s) and marine products with a diversified portfolio used primarily in leisure travel and outdoor recreational activities. We produce our motorhome units in Iowa and Indiana; our towable units in Indiana; and our marine units in Indiana and Florida. We distribute our RV and marine products primarily through independent dealers throughout the U.S. and Canada, who then retail the products to the end consumer. We also distribute our marine products internationally through independent dealers, who then retail the products to the end consumer.</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of Barletta</w:t>
      </w:r>
    </w:p>
    <w:p>
      <w:pPr>
        <w:spacing w:after="0" w:line="13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On August 31, 2021, we completed our acquisition of all the equity interests of Barletta for $286.3 million funded with cash payments of $240.1 million, $25.0 million in common stock issued to the sellers (subject to a 12% discount), and contingent consideration from earnout provisions. For further discussion regarding the acquisition, refer to Note 2 to the Notes to Consolidated Financial Statements, included in Item 1 of Part I in this Quarterly Report on Form 10-Q.</w:t>
      </w:r>
    </w:p>
    <w:p>
      <w:pPr>
        <w:spacing w:after="0" w:line="200" w:lineRule="exact"/>
        <w:rPr>
          <w:sz w:val="20"/>
          <w:szCs w:val="20"/>
          <w:color w:val="auto"/>
        </w:rPr>
      </w:pPr>
    </w:p>
    <w:p>
      <w:pPr>
        <w:spacing w:after="0" w:line="219"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The acquisition of Barletta resulted in a newly created Marine reportable segment effective for the first quarter of Fiscal 2022. The segment consists of Barletta and our existing Chris-Craft operating segment.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COVID-19 Pandemic</w:t>
      </w:r>
    </w:p>
    <w:p>
      <w:pPr>
        <w:spacing w:after="0" w:line="13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212529"/>
        </w:rPr>
        <w:t>We continue to monitor guidance from international and domestic authorities, including federal, state and local public health authorities, regarding the COVID-19 pandemic and may take additional actions based on their requirements and recommendations. In these circumstances, there may be developments outside our control requiring us to adjust our operating plan. Overall, t</w:t>
      </w:r>
      <w:r>
        <w:rPr>
          <w:rFonts w:ascii="Arial" w:cs="Arial" w:eastAsia="Arial" w:hAnsi="Arial"/>
          <w:sz w:val="16"/>
          <w:szCs w:val="16"/>
          <w:color w:val="000000"/>
        </w:rPr>
        <w:t>here has been strong retail demand by consumers of RVs as a safe</w:t>
      </w:r>
      <w:r>
        <w:rPr>
          <w:rFonts w:ascii="Arial" w:cs="Arial" w:eastAsia="Arial" w:hAnsi="Arial"/>
          <w:sz w:val="16"/>
          <w:szCs w:val="16"/>
          <w:color w:val="212529"/>
        </w:rPr>
        <w:t xml:space="preserve"> </w:t>
      </w:r>
      <w:r>
        <w:rPr>
          <w:rFonts w:ascii="Arial" w:cs="Arial" w:eastAsia="Arial" w:hAnsi="Arial"/>
          <w:sz w:val="16"/>
          <w:szCs w:val="16"/>
          <w:color w:val="000000"/>
        </w:rPr>
        <w:t xml:space="preserve">travel option, and of marine products as a safe way to experience the outdoors, during the COVID-19 pandemic. Our production has experienced certain supply shortages, and if supply shortages continue or there are additional disruptions in our supply chain, it could materially or adversely impact our operating results and financial condition. Despite certain supply shortages, we continue to actively manage through these temporary supply chain disruptions. </w:t>
      </w:r>
      <w:r>
        <w:rPr>
          <w:rFonts w:ascii="Arial" w:cs="Arial" w:eastAsia="Arial" w:hAnsi="Arial"/>
          <w:sz w:val="16"/>
          <w:szCs w:val="16"/>
          <w:color w:val="212529"/>
        </w:rPr>
        <w:t>Refer to the COVID-19 related risk factors disclosed in Item 1A of Part I in our Annual Report on Form 10-K for the fiscal year ended August 28,</w:t>
      </w:r>
      <w:r>
        <w:rPr>
          <w:rFonts w:ascii="Arial" w:cs="Arial" w:eastAsia="Arial" w:hAnsi="Arial"/>
          <w:sz w:val="16"/>
          <w:szCs w:val="16"/>
          <w:color w:val="000000"/>
        </w:rPr>
        <w:t xml:space="preserve"> </w:t>
      </w:r>
      <w:r>
        <w:rPr>
          <w:rFonts w:ascii="Arial" w:cs="Arial" w:eastAsia="Arial" w:hAnsi="Arial"/>
          <w:sz w:val="16"/>
          <w:szCs w:val="16"/>
          <w:color w:val="212529"/>
        </w:rPr>
        <w:t>2021.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33"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This MD&amp;A includes financial information prepared in accordance with generally accepted accounting principles ("GAAP"), as well as certain adjusted or non-GAAP financial measures such as EBITDA and Adjusted EBITDA.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w:t>
      </w:r>
    </w:p>
    <w:p>
      <w:pPr>
        <w:spacing w:after="0" w:line="22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These non-GAAP financial measures, which are not calculated or presented in accordance with GAAP, have been provided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may differ from similar measures used by other companies.</w:t>
      </w:r>
    </w:p>
    <w:p>
      <w:pPr>
        <w:spacing w:after="0" w:line="2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Included in "Results of Operations - Current Quarter Compared to the Comparable Prior Year Quarter" is a reconciliation of EBITDA and Adjusted EBITDA from net income, the nearest GAAP measure. We have included these non-GAAP performance measures as a comparable measure to illustrate the effect of non-recurring transactions that occurred during the reported periods and to improve comparability of our results from period to period. We believe Adjusted EBITDA provides meaningful supplemental information about our operating performance as this measure excludes amounts from net income that we do not consider part of our core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operating results when assessing our performance. Examples of items excluded from Adjusted EBITDA include acquisition-related costs, litigation reserves, restructuring expenses, gain or loss on sale of property, plant and equipment, contingent consideration fair value adjustment, and non-operating income or loss.</w:t>
      </w:r>
    </w:p>
    <w:p>
      <w:pPr>
        <w:spacing w:after="0" w:line="22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used by management in their assessment of performance and in forecasting; (d) to evaluate potential acquisitions; and (e) to ensure compliance with covenants and restricted activities under the terms of our ABL Credit Facility and outstanding notes, as further described in Note 9 to the Consolidated Financial Statements included in Item 1 of Part I of this Quarterly Report on Form 10-Q. We believe these non-GAAP financial measures are frequently used by securities analysts, investors and other interested parties to evaluate companies in the industry.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RV and marine industries continue to experience supply shortages and shipping delays of raw material components. While we continue to manage through these supply disruptions, they have impacted our ability to increase production to meet existing demand in the current fiscal year. If these shortages and delays worsen, we could experience a negative impact on our sales and earnings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 Current Quarter Compared to the Comparable Prior Year Quarter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Performance Summary</w:t>
      </w:r>
    </w:p>
    <w:p>
      <w:pPr>
        <w:spacing w:after="0" w:line="133"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The following is an analysis of changes in key items included in the Consolidated Statements of Income for the three months ended November 27, 2021 compared to the three months ended November 28,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58"/>
        </w:trPr>
        <w:tc>
          <w:tcPr>
            <w:tcW w:w="2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November 27,</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rPr>
              <w:t>November 28,</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4"/>
                <w:szCs w:val="14"/>
                <w:color w:val="auto"/>
              </w:rPr>
              <w:t>($ in thousands, except per share data)</w:t>
            </w:r>
          </w:p>
        </w:tc>
        <w:tc>
          <w:tcPr>
            <w:tcW w:w="140" w:type="dxa"/>
            <w:vAlign w:val="bottom"/>
          </w:tcPr>
          <w:p>
            <w:pPr>
              <w:spacing w:after="0"/>
              <w:rPr>
                <w:sz w:val="18"/>
                <w:szCs w:val="18"/>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420" w:type="dxa"/>
            <w:vAlign w:val="bottom"/>
            <w:gridSpan w:val="2"/>
          </w:tcPr>
          <w:p>
            <w:pPr>
              <w:ind w:left="20"/>
              <w:spacing w:after="0" w:line="216"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20" w:type="dxa"/>
            <w:vAlign w:val="bottom"/>
          </w:tcPr>
          <w:p>
            <w:pPr>
              <w:spacing w:after="0"/>
              <w:rPr>
                <w:sz w:val="18"/>
                <w:szCs w:val="18"/>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gridSpan w:val="2"/>
          </w:tcPr>
          <w:p>
            <w:pPr>
              <w:ind w:left="20"/>
              <w:spacing w:after="0" w:line="216"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2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1,155,740</w:t>
            </w:r>
          </w:p>
        </w:tc>
        <w:tc>
          <w:tcPr>
            <w:tcW w:w="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793,131</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362,609</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45.7 %</w:t>
            </w:r>
          </w:p>
        </w:tc>
      </w:tr>
      <w:tr>
        <w:trPr>
          <w:trHeight w:val="213"/>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926,328</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656,127</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270,201</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41.2 %</w:t>
            </w:r>
          </w:p>
        </w:tc>
      </w:tr>
      <w:tr>
        <w:trPr>
          <w:trHeight w:val="212"/>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229,412</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137,004</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17.3 %</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92,408</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67.4 %</w:t>
            </w:r>
          </w:p>
        </w:tc>
      </w:tr>
      <w:tr>
        <w:trPr>
          <w:trHeight w:val="157"/>
        </w:trPr>
        <w:tc>
          <w:tcPr>
            <w:tcW w:w="2720" w:type="dxa"/>
            <w:vAlign w:val="bottom"/>
          </w:tcPr>
          <w:p>
            <w:pPr>
              <w:ind w:left="20"/>
              <w:spacing w:after="0" w:line="158" w:lineRule="exact"/>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8"/>
        </w:trPr>
        <w:tc>
          <w:tcPr>
            <w:tcW w:w="2720" w:type="dxa"/>
            <w:vAlign w:val="bottom"/>
          </w:tcPr>
          <w:p>
            <w:pPr>
              <w:ind w:left="20"/>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74,870</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48,399</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6.1 %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26,471</w:t>
            </w:r>
          </w:p>
        </w:tc>
        <w:tc>
          <w:tcPr>
            <w:tcW w:w="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54.7 %</w:t>
            </w: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4,582</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127.6 %</w:t>
            </w:r>
          </w:p>
        </w:tc>
      </w:tr>
      <w:tr>
        <w:trPr>
          <w:trHeight w:val="209"/>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83,042</w:t>
            </w: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51,989</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6.6 %</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31,053</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59.7 %</w:t>
            </w:r>
          </w:p>
        </w:tc>
      </w:tr>
      <w:tr>
        <w:trPr>
          <w:trHeight w:val="213"/>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146,370</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85,015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61,355</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72.2 %</w:t>
            </w: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10,242</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0.9 %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9,941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loss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6,357</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(6,263)</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6,662.8 %</w:t>
            </w:r>
          </w:p>
        </w:tc>
      </w:tr>
      <w:tr>
        <w:trPr>
          <w:trHeight w:val="209"/>
        </w:trPr>
        <w:tc>
          <w:tcPr>
            <w:tcW w:w="27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129,771</w:t>
            </w:r>
          </w:p>
        </w:tc>
        <w:tc>
          <w:tcPr>
            <w:tcW w:w="12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11.2 %</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74,980</w:t>
            </w: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9.5 %</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54,791</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73.1 %</w:t>
            </w:r>
          </w:p>
        </w:tc>
      </w:tr>
      <w:tr>
        <w:trPr>
          <w:trHeight w:val="216"/>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30,141</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17,557</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12,584</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71.7 %</w:t>
            </w: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99,630</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57,423</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42,207</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73.5 %</w:t>
            </w: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70.6 %</w:t>
            </w:r>
          </w:p>
        </w:tc>
      </w:tr>
      <w:tr>
        <w:trPr>
          <w:trHeight w:val="180"/>
        </w:trPr>
        <w:tc>
          <w:tcPr>
            <w:tcW w:w="27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Diluted weighted average shares</w:t>
            </w: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01"/>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34,378</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33,839</w:t>
            </w: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bl>
    <w:p>
      <w:pPr>
        <w:spacing w:after="0" w:line="84" w:lineRule="exact"/>
        <w:rPr>
          <w:sz w:val="20"/>
          <w:szCs w:val="20"/>
          <w:color w:val="auto"/>
        </w:rPr>
      </w:pPr>
    </w:p>
    <w:p>
      <w:pPr>
        <w:ind w:left="300" w:hanging="292"/>
        <w:spacing w:after="0"/>
        <w:tabs>
          <w:tab w:leader="none" w:pos="300" w:val="left"/>
        </w:tabs>
        <w:numPr>
          <w:ilvl w:val="0"/>
          <w:numId w:val="6"/>
        </w:numPr>
        <w:rPr>
          <w:rFonts w:ascii="Arial" w:cs="Arial" w:eastAsia="Arial" w:hAnsi="Arial"/>
          <w:sz w:val="21"/>
          <w:szCs w:val="21"/>
          <w:b w:val="1"/>
          <w:bCs w:val="1"/>
          <w:color w:val="auto"/>
          <w:vertAlign w:val="superscript"/>
        </w:rPr>
      </w:pPr>
      <w:r>
        <w:rPr>
          <w:rFonts w:ascii="Arial" w:cs="Arial" w:eastAsia="Arial" w:hAnsi="Arial"/>
          <w:sz w:val="14"/>
          <w:szCs w:val="14"/>
          <w:color w:val="auto"/>
        </w:rPr>
        <w:t>Percentages may not add due to rounding differences.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unit growth and price increases.</w:t>
      </w:r>
    </w:p>
    <w:p>
      <w:pPr>
        <w:spacing w:after="0" w:line="2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Gross profit as a percentage of revenue increased primarily due to improved operating leverage on higher revenues, price increases, productivity initiatives, and favorable segment mix, partially offset by higher material and component costs.</w:t>
      </w:r>
    </w:p>
    <w:p>
      <w:pPr>
        <w:spacing w:after="0" w:line="222" w:lineRule="exact"/>
        <w:rPr>
          <w:sz w:val="20"/>
          <w:szCs w:val="20"/>
          <w:color w:val="auto"/>
        </w:rPr>
      </w:pPr>
    </w:p>
    <w:p>
      <w:pPr>
        <w:ind w:right="880"/>
        <w:spacing w:after="0" w:line="260" w:lineRule="auto"/>
        <w:rPr>
          <w:sz w:val="20"/>
          <w:szCs w:val="20"/>
          <w:color w:val="auto"/>
        </w:rPr>
      </w:pPr>
      <w:r>
        <w:rPr>
          <w:rFonts w:ascii="Arial" w:cs="Arial" w:eastAsia="Arial" w:hAnsi="Arial"/>
          <w:sz w:val="16"/>
          <w:szCs w:val="16"/>
          <w:color w:val="auto"/>
        </w:rPr>
        <w:t>Operating expenses increased primarily due to higher selling costs from improved operating performance, acquisition-related costs, incremental amortization, and normal operating expenses of Barletta.</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Non-operating loss increased due to the contingent consideration fair value adjustment related to the acquisition of Barletta.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effective tax rate was relatively flat in the first quarter of Fiscal 2022 compared to the first quarter of Fiscal 2021 primarily due</w:t>
      </w:r>
    </w:p>
    <w:p>
      <w:pPr>
        <w:sectPr>
          <w:pgSz w:w="11900" w:h="16838" w:orient="portrait"/>
          <w:cols w:equalWidth="0" w:num="1">
            <w:col w:w="11160"/>
          </w:cols>
          <w:pgMar w:left="320" w:top="14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 w:right="41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to the impact of a net favorable benefit in the current year related to stock compensation, offset by an increase to the rate due to consistent tax credits year-over-year and increased income in the current year.</w:t>
      </w:r>
    </w:p>
    <w:p>
      <w:pPr>
        <w:spacing w:after="0" w:line="22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Net income and diluted earnings per share increased primarily due to leverage gained on higher revenues, partially offset by increased operating expenses and higher income tax expense.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Reconciliation</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following table reconciles net income to consolidated EBITDA and Adjusted EBITDA for the three months ended November 27, 2021 and November 28,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Three Months Ended</w:t>
            </w:r>
          </w:p>
        </w:tc>
      </w:tr>
      <w:tr>
        <w:trPr>
          <w:trHeight w:val="212"/>
        </w:trPr>
        <w:tc>
          <w:tcPr>
            <w:tcW w:w="76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8"/>
                <w:szCs w:val="18"/>
                <w:color w:val="auto"/>
              </w:rPr>
            </w:pPr>
          </w:p>
        </w:tc>
        <w:tc>
          <w:tcPr>
            <w:tcW w:w="1720" w:type="dxa"/>
            <w:vAlign w:val="bottom"/>
            <w:gridSpan w:val="2"/>
          </w:tcPr>
          <w:p>
            <w:pPr>
              <w:spacing w:after="0"/>
              <w:rPr>
                <w:sz w:val="20"/>
                <w:szCs w:val="20"/>
                <w:color w:val="auto"/>
              </w:rPr>
            </w:pPr>
            <w:r>
              <w:rPr>
                <w:rFonts w:ascii="Arial" w:cs="Arial" w:eastAsia="Arial" w:hAnsi="Arial"/>
                <w:sz w:val="16"/>
                <w:szCs w:val="16"/>
                <w:b w:val="1"/>
                <w:bCs w:val="1"/>
                <w:color w:val="auto"/>
              </w:rPr>
              <w:t>November 27, 2021</w:t>
            </w:r>
          </w:p>
        </w:tc>
        <w:tc>
          <w:tcPr>
            <w:tcW w:w="120" w:type="dxa"/>
            <w:vAlign w:val="bottom"/>
          </w:tcPr>
          <w:p>
            <w:pPr>
              <w:spacing w:after="0"/>
              <w:rPr>
                <w:sz w:val="18"/>
                <w:szCs w:val="18"/>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b w:val="1"/>
                <w:bCs w:val="1"/>
                <w:color w:val="auto"/>
              </w:rPr>
              <w:t>November 28, 2020</w:t>
            </w:r>
          </w:p>
        </w:tc>
      </w:tr>
      <w:tr>
        <w:trPr>
          <w:trHeight w:val="209"/>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99,630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57,423</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10,242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9,941</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17,557</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5,306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4,160</w:t>
            </w:r>
          </w:p>
        </w:tc>
      </w:tr>
      <w:tr>
        <w:trPr>
          <w:trHeight w:val="216"/>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3,590</w:t>
            </w:r>
          </w:p>
        </w:tc>
      </w:tr>
      <w:tr>
        <w:trPr>
          <w:trHeight w:val="210"/>
        </w:trPr>
        <w:tc>
          <w:tcPr>
            <w:tcW w:w="7640" w:type="dxa"/>
            <w:vAlign w:val="bottom"/>
          </w:tcPr>
          <w:p>
            <w:pPr>
              <w:ind w:left="140"/>
              <w:spacing w:after="0"/>
              <w:rPr>
                <w:sz w:val="20"/>
                <w:szCs w:val="20"/>
                <w:color w:val="auto"/>
              </w:rPr>
            </w:pPr>
            <w:r>
              <w:rPr>
                <w:rFonts w:ascii="Arial" w:cs="Arial" w:eastAsia="Arial" w:hAnsi="Arial"/>
                <w:sz w:val="16"/>
                <w:szCs w:val="16"/>
                <w:color w:val="auto"/>
              </w:rPr>
              <w:t>EBITDA</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153,491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92,671</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Litigation reserves</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14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(3,565)</w:t>
            </w: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Restructuring expenses</w:t>
            </w:r>
          </w:p>
        </w:tc>
        <w:tc>
          <w:tcPr>
            <w:tcW w:w="1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 loss</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3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167,232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89,293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Reportable Segment Performance 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Towable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 for the three months ended November 27, 2021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November 28,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27,</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November 28,</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651,024</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454,901</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196,123</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112,077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17.2 %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63,143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13.9 %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48,934</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77.5 %</w:t>
            </w:r>
          </w:p>
        </w:tc>
        <w:tc>
          <w:tcPr>
            <w:tcW w:w="0" w:type="dxa"/>
            <w:vAlign w:val="bottom"/>
          </w:tcPr>
          <w:p>
            <w:pPr>
              <w:spacing w:after="0"/>
              <w:rPr>
                <w:sz w:val="1"/>
                <w:szCs w:val="1"/>
                <w:color w:val="auto"/>
              </w:rPr>
            </w:pPr>
          </w:p>
        </w:tc>
      </w:tr>
      <w:tr>
        <w:trPr>
          <w:trHeight w:val="260"/>
        </w:trPr>
        <w:tc>
          <w:tcPr>
            <w:tcW w:w="3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160" w:type="dxa"/>
            <w:vAlign w:val="bottom"/>
          </w:tcPr>
          <w:p>
            <w:pPr>
              <w:ind w:left="20"/>
              <w:spacing w:after="0"/>
              <w:rPr>
                <w:sz w:val="20"/>
                <w:szCs w:val="20"/>
                <w:color w:val="auto"/>
              </w:rPr>
            </w:pPr>
            <w:r>
              <w:rPr>
                <w:rFonts w:ascii="Arial" w:cs="Arial" w:eastAsia="Arial" w:hAnsi="Arial"/>
                <w:sz w:val="16"/>
                <w:szCs w:val="16"/>
                <w:color w:val="auto"/>
              </w:rPr>
              <w:t>Average Selling Price ("ASP")</w:t>
            </w:r>
            <w:r>
              <w:rPr>
                <w:rFonts w:ascii="Arial" w:cs="Arial" w:eastAsia="Arial" w:hAnsi="Arial"/>
                <w:sz w:val="21"/>
                <w:szCs w:val="21"/>
                <w:color w:val="auto"/>
                <w:vertAlign w:val="superscript"/>
              </w:rPr>
              <w:t>(1)</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39,237</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32,089</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7,148</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22.3 %</w:t>
            </w: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27,</w:t>
            </w: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rPr>
              <w:t>November 28,</w:t>
            </w:r>
          </w:p>
        </w:tc>
        <w:tc>
          <w:tcPr>
            <w:tcW w:w="1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 w:type="dxa"/>
            <w:vAlign w:val="bottom"/>
            <w:vMerge w:val="restart"/>
          </w:tcPr>
          <w:p>
            <w:pPr>
              <w:spacing w:after="0"/>
              <w:rPr>
                <w:sz w:val="13"/>
                <w:szCs w:val="13"/>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9"/>
              </w:rPr>
              <w:t>Unit Change</w:t>
            </w:r>
          </w:p>
        </w:tc>
        <w:tc>
          <w:tcPr>
            <w:tcW w:w="100" w:type="dxa"/>
            <w:vAlign w:val="bottom"/>
            <w:vMerge w:val="restart"/>
          </w:tcPr>
          <w:p>
            <w:pPr>
              <w:spacing w:after="0"/>
              <w:rPr>
                <w:sz w:val="13"/>
                <w:szCs w:val="13"/>
                <w:color w:val="auto"/>
              </w:rPr>
            </w:pP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67.8 %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64.4 %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21.6 %</w:t>
            </w:r>
          </w:p>
        </w:tc>
        <w:tc>
          <w:tcPr>
            <w:tcW w:w="0" w:type="dxa"/>
            <w:vAlign w:val="bottom"/>
          </w:tcPr>
          <w:p>
            <w:pPr>
              <w:spacing w:after="0"/>
              <w:rPr>
                <w:sz w:val="1"/>
                <w:szCs w:val="1"/>
                <w:color w:val="auto"/>
              </w:rPr>
            </w:pPr>
          </w:p>
        </w:tc>
      </w:tr>
      <w:tr>
        <w:trPr>
          <w:trHeight w:val="21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Fifth wheel</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5,288</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5,054</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35.6 %</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33"/>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towables</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14,214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15.6 %</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27,</w:t>
            </w: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November 28,</w:t>
            </w: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8"/>
              </w:rPr>
              <w:t>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48,759</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29,659</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19,100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64.4 %</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1,874,847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865,420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1,009,427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116.6 %</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15,344</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21.4 %</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80" w:hanging="272"/>
        <w:spacing w:after="0"/>
        <w:tabs>
          <w:tab w:leader="none" w:pos="280"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Average selling price excludes off-invoice dealer incentives.</w:t>
      </w:r>
    </w:p>
    <w:p>
      <w:pPr>
        <w:ind w:left="300" w:hanging="292"/>
        <w:spacing w:after="0" w:line="187" w:lineRule="auto"/>
        <w:tabs>
          <w:tab w:leader="none" w:pos="300" w:val="left"/>
        </w:tabs>
        <w:numPr>
          <w:ilvl w:val="0"/>
          <w:numId w:val="7"/>
        </w:numPr>
        <w:rPr>
          <w:rFonts w:ascii="Arial" w:cs="Arial" w:eastAsia="Arial" w:hAnsi="Arial"/>
          <w:sz w:val="18"/>
          <w:szCs w:val="18"/>
          <w:color w:val="auto"/>
          <w:vertAlign w:val="superscript"/>
        </w:rPr>
      </w:pPr>
      <w:r>
        <w:rPr>
          <w:rFonts w:ascii="Arial" w:cs="Arial" w:eastAsia="Arial" w:hAnsi="Arial"/>
          <w:sz w:val="12"/>
          <w:szCs w:val="12"/>
          <w:color w:val="auto"/>
        </w:rPr>
        <w:t>Percentages may not add due to rounding differences.</w:t>
      </w:r>
    </w:p>
    <w:p>
      <w:pPr>
        <w:ind w:left="260" w:right="160" w:hanging="252"/>
        <w:spacing w:after="0" w:line="199" w:lineRule="auto"/>
        <w:tabs>
          <w:tab w:leader="none" w:pos="305" w:val="left"/>
        </w:tabs>
        <w:numPr>
          <w:ilvl w:val="0"/>
          <w:numId w:val="7"/>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unit growth and price increases.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primarily due to operating leverage on an increase in unit sales, partially offset by higher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Motorhome</w:t>
      </w:r>
    </w:p>
    <w:p>
      <w:pPr>
        <w:spacing w:after="0" w:line="129"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auto"/>
        </w:rPr>
        <w:t>The following is an analysis of key changes in our Motorhome segment for the three months ended November 27, 2021 compared to the three months ended November 28,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27,</w:t>
            </w: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28,</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20"/>
              <w:spacing w:after="0"/>
              <w:rPr>
                <w:sz w:val="20"/>
                <w:szCs w:val="20"/>
                <w:color w:val="auto"/>
              </w:rPr>
            </w:pPr>
            <w:r>
              <w:rPr>
                <w:rFonts w:ascii="Arial" w:cs="Arial" w:eastAsia="Arial" w:hAnsi="Arial"/>
                <w:sz w:val="14"/>
                <w:szCs w:val="14"/>
                <w:color w:val="auto"/>
              </w:rPr>
              <w:t>(in thousands, except ASP and units)</w:t>
            </w:r>
          </w:p>
        </w:tc>
        <w:tc>
          <w:tcPr>
            <w:tcW w:w="16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6"/>
                <w:szCs w:val="16"/>
                <w:b w:val="1"/>
                <w:bCs w:val="1"/>
                <w:color w:val="auto"/>
              </w:rPr>
              <w:t>% of Revenues</w:t>
            </w:r>
          </w:p>
        </w:tc>
        <w:tc>
          <w:tcPr>
            <w:tcW w:w="14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180" w:type="dxa"/>
            <w:vAlign w:val="bottom"/>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421,479</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322,389</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99,090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50,153</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11.9 %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30,343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19,810</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65.3 %</w:t>
            </w:r>
          </w:p>
        </w:tc>
        <w:tc>
          <w:tcPr>
            <w:tcW w:w="0" w:type="dxa"/>
            <w:vAlign w:val="bottom"/>
          </w:tcPr>
          <w:p>
            <w:pPr>
              <w:spacing w:after="0"/>
              <w:rPr>
                <w:sz w:val="1"/>
                <w:szCs w:val="1"/>
                <w:color w:val="auto"/>
              </w:rPr>
            </w:pPr>
          </w:p>
        </w:tc>
      </w:tr>
      <w:tr>
        <w:trPr>
          <w:trHeight w:val="259"/>
        </w:trPr>
        <w:tc>
          <w:tcPr>
            <w:tcW w:w="3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160" w:type="dxa"/>
            <w:vAlign w:val="bottom"/>
          </w:tcPr>
          <w:p>
            <w:pPr>
              <w:ind w:left="20"/>
              <w:spacing w:after="0"/>
              <w:rPr>
                <w:sz w:val="20"/>
                <w:szCs w:val="20"/>
                <w:color w:val="auto"/>
              </w:rPr>
            </w:pPr>
            <w:r>
              <w:rPr>
                <w:rFonts w:ascii="Arial" w:cs="Arial" w:eastAsia="Arial" w:hAnsi="Arial"/>
                <w:sz w:val="16"/>
                <w:szCs w:val="16"/>
                <w:color w:val="auto"/>
              </w:rPr>
              <w:t>ASP</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152,550</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136,887</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15,663</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rPr>
                <w:sz w:val="1"/>
                <w:szCs w:val="1"/>
                <w:color w:val="auto"/>
              </w:rPr>
            </w:pPr>
          </w:p>
        </w:tc>
      </w:tr>
      <w:tr>
        <w:trPr>
          <w:trHeight w:val="310"/>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27,</w:t>
            </w:r>
          </w:p>
        </w:tc>
        <w:tc>
          <w:tcPr>
            <w:tcW w:w="10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rPr>
              <w:t>November 28,</w:t>
            </w:r>
          </w:p>
        </w:tc>
        <w:tc>
          <w:tcPr>
            <w:tcW w:w="10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(2)</w:t>
            </w:r>
          </w:p>
        </w:tc>
        <w:tc>
          <w:tcPr>
            <w:tcW w:w="100" w:type="dxa"/>
            <w:vAlign w:val="bottom"/>
            <w:vMerge w:val="restart"/>
          </w:tcPr>
          <w:p>
            <w:pPr>
              <w:spacing w:after="0"/>
              <w:rPr>
                <w:sz w:val="13"/>
                <w:szCs w:val="13"/>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vMerge w:val="restart"/>
          </w:tcPr>
          <w:p>
            <w:pPr>
              <w:spacing w:after="0"/>
              <w:rPr>
                <w:sz w:val="13"/>
                <w:szCs w:val="13"/>
                <w:color w:val="auto"/>
              </w:rPr>
            </w:pP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27.2 %</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1,447</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52.9 %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1,098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47.1 %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31.8 %</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19.9 %</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Total motorhomes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2,735</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2,330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17.4 %</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27,</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November 28,</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18,826</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13,217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5,609</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42.4 %</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Dollars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2,412,625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1,709,154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703,471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41.2 %</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80" w:hanging="272"/>
        <w:spacing w:after="0"/>
        <w:tabs>
          <w:tab w:leader="none" w:pos="280"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ind w:left="300" w:hanging="292"/>
        <w:spacing w:after="0" w:line="187" w:lineRule="auto"/>
        <w:tabs>
          <w:tab w:leader="none" w:pos="300" w:val="left"/>
        </w:tabs>
        <w:numPr>
          <w:ilvl w:val="0"/>
          <w:numId w:val="8"/>
        </w:numPr>
        <w:rPr>
          <w:rFonts w:ascii="Arial" w:cs="Arial" w:eastAsia="Arial" w:hAnsi="Arial"/>
          <w:sz w:val="18"/>
          <w:szCs w:val="18"/>
          <w:color w:val="auto"/>
          <w:vertAlign w:val="superscript"/>
        </w:rPr>
      </w:pPr>
      <w:r>
        <w:rPr>
          <w:rFonts w:ascii="Arial" w:cs="Arial" w:eastAsia="Arial" w:hAnsi="Arial"/>
          <w:sz w:val="12"/>
          <w:szCs w:val="12"/>
          <w:color w:val="auto"/>
        </w:rPr>
        <w:t>Percentages may not add due to rounding differences.</w:t>
      </w:r>
    </w:p>
    <w:p>
      <w:pPr>
        <w:ind w:left="260" w:right="160" w:hanging="252"/>
        <w:spacing w:after="0" w:line="199" w:lineRule="auto"/>
        <w:tabs>
          <w:tab w:leader="none" w:pos="305" w:val="left"/>
        </w:tabs>
        <w:numPr>
          <w:ilvl w:val="0"/>
          <w:numId w:val="8"/>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unit growth and price increases.</w:t>
      </w:r>
    </w:p>
    <w:p>
      <w:pPr>
        <w:spacing w:after="0" w:line="248"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Adjusted EBITDA increased primarily due to operating leverage on an increase in unit sales and productivity initiatives, partially offset by higher operating expenses.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 w:right="35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Marine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Marine segment for the three months ended November 27, 2021 compared to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November 28, 2020: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November 27,</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November 28,</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ASP and units)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Revenues</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 Change</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79,318</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11,894</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67,424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566.9 %</w:t>
            </w:r>
          </w:p>
        </w:tc>
        <w:tc>
          <w:tcPr>
            <w:tcW w:w="0" w:type="dxa"/>
            <w:vAlign w:val="bottom"/>
          </w:tcPr>
          <w:p>
            <w:pPr>
              <w:spacing w:after="0"/>
              <w:rPr>
                <w:sz w:val="1"/>
                <w:szCs w:val="1"/>
                <w:color w:val="auto"/>
              </w:rPr>
            </w:pPr>
          </w:p>
        </w:tc>
      </w:tr>
      <w:tr>
        <w:trPr>
          <w:trHeight w:val="213"/>
        </w:trPr>
        <w:tc>
          <w:tcPr>
            <w:tcW w:w="31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10,570</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854</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9,716</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1,137.7 %</w:t>
            </w:r>
          </w:p>
        </w:tc>
        <w:tc>
          <w:tcPr>
            <w:tcW w:w="0" w:type="dxa"/>
            <w:vAlign w:val="bottom"/>
          </w:tcPr>
          <w:p>
            <w:pPr>
              <w:spacing w:after="0"/>
              <w:rPr>
                <w:sz w:val="1"/>
                <w:szCs w:val="1"/>
                <w:color w:val="auto"/>
              </w:rPr>
            </w:pPr>
          </w:p>
        </w:tc>
      </w:tr>
      <w:tr>
        <w:trPr>
          <w:trHeight w:val="260"/>
        </w:trPr>
        <w:tc>
          <w:tcPr>
            <w:tcW w:w="3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73"/>
        </w:trPr>
        <w:tc>
          <w:tcPr>
            <w:tcW w:w="3160" w:type="dxa"/>
            <w:vAlign w:val="bottom"/>
          </w:tcPr>
          <w:p>
            <w:pPr>
              <w:ind w:left="20"/>
              <w:spacing w:after="0"/>
              <w:rPr>
                <w:sz w:val="20"/>
                <w:szCs w:val="20"/>
                <w:color w:val="auto"/>
              </w:rPr>
            </w:pPr>
            <w:r>
              <w:rPr>
                <w:rFonts w:ascii="Arial" w:cs="Arial" w:eastAsia="Arial" w:hAnsi="Arial"/>
                <w:sz w:val="32"/>
                <w:szCs w:val="32"/>
                <w:color w:val="auto"/>
                <w:vertAlign w:val="subscript"/>
              </w:rPr>
              <w:t>ASP</w:t>
            </w:r>
            <w:r>
              <w:rPr>
                <w:rFonts w:ascii="Arial" w:cs="Arial" w:eastAsia="Arial" w:hAnsi="Arial"/>
                <w:sz w:val="11"/>
                <w:szCs w:val="11"/>
                <w:color w:val="auto"/>
              </w:rPr>
              <w:t>(1)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69,935</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195,103</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(125,168)</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(64.2)%</w:t>
            </w: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November 27,</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rPr>
              <w:t>November 28,</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Unit 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1,135</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1,074</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1,760.7 %</w:t>
            </w:r>
          </w:p>
        </w:tc>
        <w:tc>
          <w:tcPr>
            <w:tcW w:w="0" w:type="dxa"/>
            <w:vAlign w:val="bottom"/>
          </w:tcPr>
          <w:p>
            <w:pPr>
              <w:spacing w:after="0"/>
              <w:rPr>
                <w:sz w:val="1"/>
                <w:szCs w:val="1"/>
                <w:color w:val="auto"/>
              </w:rPr>
            </w:pPr>
          </w:p>
        </w:tc>
      </w:tr>
      <w:tr>
        <w:trPr>
          <w:trHeight w:val="324"/>
        </w:trPr>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November 27,</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November 28,</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1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5"/>
        </w:trPr>
        <w:tc>
          <w:tcPr>
            <w:tcW w:w="3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(3)</w:t>
            </w: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60" w:type="dxa"/>
            <w:vAlign w:val="bottom"/>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3,002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2,685</w:t>
            </w: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847.0 %</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Dollars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257,248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61,848</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315.9 %</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1,291</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832.9 %</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280" w:hanging="272"/>
        <w:spacing w:after="0"/>
        <w:tabs>
          <w:tab w:leader="none" w:pos="2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ASP excludes off-invoice dealer incentives.</w:t>
      </w:r>
    </w:p>
    <w:p>
      <w:pPr>
        <w:ind w:left="300" w:hanging="292"/>
        <w:spacing w:after="0" w:line="187" w:lineRule="auto"/>
        <w:tabs>
          <w:tab w:leader="none" w:pos="300" w:val="left"/>
        </w:tabs>
        <w:numPr>
          <w:ilvl w:val="0"/>
          <w:numId w:val="9"/>
        </w:numPr>
        <w:rPr>
          <w:rFonts w:ascii="Arial" w:cs="Arial" w:eastAsia="Arial" w:hAnsi="Arial"/>
          <w:sz w:val="18"/>
          <w:szCs w:val="18"/>
          <w:color w:val="auto"/>
          <w:vertAlign w:val="superscript"/>
        </w:rPr>
      </w:pPr>
      <w:r>
        <w:rPr>
          <w:rFonts w:ascii="Arial" w:cs="Arial" w:eastAsia="Arial" w:hAnsi="Arial"/>
          <w:sz w:val="12"/>
          <w:szCs w:val="12"/>
          <w:color w:val="auto"/>
        </w:rPr>
        <w:t>Percentages may not add due to rounding differences.</w:t>
      </w:r>
    </w:p>
    <w:p>
      <w:pPr>
        <w:ind w:left="260" w:right="180" w:hanging="252"/>
        <w:spacing w:after="0" w:line="199" w:lineRule="auto"/>
        <w:tabs>
          <w:tab w:leader="none" w:pos="305"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Our backlog includes all accepted orders from dealers which generally have been requested to be shipped within the next six months. Orders in backlog generally can be cancelled or postponed at the option of the dealer at any time without penalty; therefore, backlog may not necessarily be an accurate measure of future sales.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Net revenues increased primarily due to the acquisition of Barletta at the beginning of the first quarter of Fiscal 2022.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 increased primarily due to the acquisition of Barletta at the beginning of the first quarter of Fiscal 2022.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cash flows from operations:</w:t>
      </w:r>
    </w:p>
    <w:p>
      <w:pPr>
        <w:spacing w:after="0" w:line="26"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Three Months Ended</w:t>
      </w:r>
    </w:p>
    <w:p>
      <w:pPr>
        <w:sectPr>
          <w:pgSz w:w="11900" w:h="16838" w:orient="portrait"/>
          <w:cols w:equalWidth="0" w:num="1">
            <w:col w:w="11240"/>
          </w:cols>
          <w:pgMar w:left="320" w:top="141" w:right="339" w:bottom="1440" w:gutter="0" w:footer="0" w:header="0"/>
        </w:sect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cash provided by (used in):</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Investing activities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2"/>
          </w:tcPr>
          <w:p>
            <w:pPr>
              <w:ind w:left="100"/>
              <w:spacing w:after="0" w:line="161" w:lineRule="exact"/>
              <w:rPr>
                <w:sz w:val="20"/>
                <w:szCs w:val="20"/>
                <w:color w:val="auto"/>
              </w:rPr>
            </w:pPr>
            <w:r>
              <w:rPr>
                <w:rFonts w:ascii="Arial" w:cs="Arial" w:eastAsia="Arial" w:hAnsi="Arial"/>
                <w:sz w:val="16"/>
                <w:szCs w:val="16"/>
                <w:b w:val="1"/>
                <w:bCs w:val="1"/>
                <w:color w:val="auto"/>
              </w:rPr>
              <w:t>November 27,</w:t>
            </w:r>
          </w:p>
        </w:tc>
        <w:tc>
          <w:tcPr>
            <w:tcW w:w="2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ind w:right="199"/>
              <w:spacing w:after="0" w:line="161" w:lineRule="exact"/>
              <w:rPr>
                <w:sz w:val="20"/>
                <w:szCs w:val="20"/>
                <w:color w:val="auto"/>
              </w:rPr>
            </w:pPr>
            <w:r>
              <w:rPr>
                <w:rFonts w:ascii="Arial" w:cs="Arial" w:eastAsia="Arial" w:hAnsi="Arial"/>
                <w:sz w:val="16"/>
                <w:szCs w:val="16"/>
                <w:b w:val="1"/>
                <w:bCs w:val="1"/>
                <w:color w:val="auto"/>
              </w:rPr>
              <w:t>November 28,</w:t>
            </w:r>
          </w:p>
        </w:tc>
      </w:tr>
      <w:tr>
        <w:trPr>
          <w:trHeight w:val="215"/>
        </w:trPr>
        <w:tc>
          <w:tcPr>
            <w:tcW w:w="200" w:type="dxa"/>
            <w:vAlign w:val="bottom"/>
          </w:tcPr>
          <w:p>
            <w:pPr>
              <w:spacing w:after="0"/>
              <w:rPr>
                <w:sz w:val="18"/>
                <w:szCs w:val="18"/>
                <w:color w:val="auto"/>
              </w:rPr>
            </w:pPr>
          </w:p>
        </w:tc>
        <w:tc>
          <w:tcPr>
            <w:tcW w:w="1440" w:type="dxa"/>
            <w:vAlign w:val="bottom"/>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420"/>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56,549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(2,670)</w:t>
            </w:r>
          </w:p>
        </w:tc>
      </w:tr>
      <w:tr>
        <w:trPr>
          <w:trHeight w:val="216"/>
        </w:trPr>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(251,410)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9"/>
        </w:trPr>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(28,318)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(15,818)</w:t>
            </w:r>
          </w:p>
        </w:tc>
      </w:tr>
      <w:tr>
        <w:trPr>
          <w:trHeight w:val="209"/>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(223,179)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(19,636)</w:t>
            </w:r>
          </w:p>
        </w:tc>
      </w:tr>
      <w:tr>
        <w:trPr>
          <w:trHeight w:val="24"/>
        </w:trPr>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140" w:space="720"/>
            <w:col w:w="3380"/>
          </w:cols>
          <w:pgMar w:left="320" w:top="141" w:right="3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29"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Cash provided by operating activities increased due to higher profitability, partially offset by investments in working capital to support current year revenue growth, including a $70.3 million increase in inventory to support customer demand, a $7.2 million increase in accounts receivable due to timing of invoicing/collections and a $17.7 million decrease in accounts payable due to timing of payments in the three months ended November 27, 2021.</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increased primarily due to our acquisition of Barletta during the first quarter of Fiscal 2022.</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Cash used in financing activities increased primarily due to an increase in stock repurchases in the first quarter of Fiscal 2022.</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Debt and Capital</w:t>
      </w:r>
    </w:p>
    <w:p>
      <w:pPr>
        <w:spacing w:after="0" w:line="133"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We maintain a $192.5 million asset-based revolving credit facility ("ABL Credit Facility") with a maturity date of October 22, 2024 subject to certain factors which may accelerate the maturity date. As of November 27, 2021, we had no borrowings against the ABL Credit Facility.</w:t>
      </w:r>
    </w:p>
    <w:p>
      <w:pPr>
        <w:spacing w:after="0" w:line="222" w:lineRule="exact"/>
        <w:rPr>
          <w:sz w:val="20"/>
          <w:szCs w:val="20"/>
          <w:color w:val="auto"/>
        </w:rPr>
      </w:pPr>
    </w:p>
    <w:p>
      <w:pPr>
        <w:ind w:right="680"/>
        <w:spacing w:after="0" w:line="260" w:lineRule="auto"/>
        <w:rPr>
          <w:sz w:val="20"/>
          <w:szCs w:val="20"/>
          <w:color w:val="auto"/>
        </w:rPr>
      </w:pPr>
      <w:r>
        <w:rPr>
          <w:rFonts w:ascii="Arial" w:cs="Arial" w:eastAsia="Arial" w:hAnsi="Arial"/>
          <w:sz w:val="16"/>
          <w:szCs w:val="16"/>
          <w:color w:val="auto"/>
        </w:rPr>
        <w:t>As of November 27, 2021, we had $211.4 million in cash and cash equivalents and $192.5 million in unused ABL Credit Facility. Our cash and cash equivalent balances consist of high quality, short-term money market instruments.</w:t>
      </w: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believe cash flow from operations, existing lines of credit, and access to debt and capital markets will be sufficient to meet our current liquidity needs, and we have committed liquidity and cash reserves in excess of our anticipated funding requirements. We evaluate the financial stability of the counterparties for the Convertible Notes, the Senior Secured Notes, and the ABL Credit Facility, and will continue to monitor counterparty risk on an on-going basis.</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Financial Measures</w:t>
      </w:r>
    </w:p>
    <w:p>
      <w:pPr>
        <w:spacing w:after="0" w:line="133"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Working capital at November 27, 2021 and August 28, 2021 was $502.5 million and $651.6 million, respectively. We currently expect cash on hand, funds generated from operations, and the borrowing available under our ABL Credit Facility to be sufficient to cover both short-term and long-term operating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Repurchases and Dividends</w:t>
      </w:r>
    </w:p>
    <w:p>
      <w:pPr>
        <w:spacing w:after="0" w:line="133"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We repurchase our common stock and pay dividends pursuant to programs approved by our Board of Directors. Our long-term capital allocation strategy is to first fund operations and investments in growth, maintain a debt leverage ratio within our targeted zone, maintain reasonable liquidity, and then return excess cash over time to shareholders through dividends and share repurchases.</w:t>
      </w:r>
    </w:p>
    <w:p>
      <w:pPr>
        <w:spacing w:after="0" w:line="228"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On October 13, 2021, our Board of Directors authorized a new share repurchase program in the amount of $200.0 million with no time restriction on the authorization, which took effect immediately and replaced the prior program. In the three months ended November 27, 2021, we repurchased 281,000 shares of our own common stock at a cost of $19.6 million under this authorization, and 55,000 shares at a cost of $4.1 million to satisfy tax obligations on employee equity awards vested. We continually evaluate if share repurchases reflect a prudent use of our capital and, subject to compliance with our ABL Credit Facility and Senior Secured Notes, we may purchase shares in the future. At November 27, 2021, we have $190.0 million remaining on our Board approved repurchase authorization.</w:t>
      </w:r>
    </w:p>
    <w:p>
      <w:pPr>
        <w:spacing w:after="0" w:line="232" w:lineRule="exact"/>
        <w:rPr>
          <w:sz w:val="20"/>
          <w:szCs w:val="20"/>
          <w:color w:val="auto"/>
        </w:rPr>
      </w:pPr>
    </w:p>
    <w:p>
      <w:pPr>
        <w:ind w:right="920"/>
        <w:spacing w:after="0" w:line="260" w:lineRule="auto"/>
        <w:rPr>
          <w:sz w:val="20"/>
          <w:szCs w:val="20"/>
          <w:color w:val="auto"/>
        </w:rPr>
      </w:pPr>
      <w:r>
        <w:rPr>
          <w:rFonts w:ascii="Arial" w:cs="Arial" w:eastAsia="Arial" w:hAnsi="Arial"/>
          <w:sz w:val="16"/>
          <w:szCs w:val="16"/>
          <w:color w:val="auto"/>
        </w:rPr>
        <w:t>On December 15, 2021, our Board of Directors approved a quarterly cash dividend of $0.18 per share payable on January 26, 2022, to common stockholders of record at the close of business on January 12, 2022.</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33"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There has been no material change in our contractual obligations since the end of Fiscal 2021. See our Annual Report on Form 10-K for the fiscal year ended August 28, 2021 for additional information regarding our contractual obligations and commercial commitments.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33"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describe our significant accounting policies in Note 1 to the Consolidated Financial Statements included in Item 8 of Part II of our Annual Report on Form 10-K for the fiscal year ended August 28, 2021. We discuss our critical accounting estimates in Item 7 of Part II of our Annual Report on Form 10-K for the fiscal year ended August 28, 2021. There have been no material changes to our significant accounting policies or critical accounting policies since the end of Fiscal 2021.</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3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For a summary of recently issued applicable accounting pronouncements, see Note 1 to the Consolidated Financial Statements included in Item 1 of Part I of this Quarterly Report on Form 10-Q.</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33"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Section 27A of the Securities Act of 1933, as amended (“Securities Act”), and Section 21E of the Securities Exchange Act of 1934, as amended (“Exchange Act”), provide a “safe harbor” for forward-looking statements to encourage companies to provide prospective information about their companies. With the exception of historical information, the matters discussed in this Quarterly Report on Form 10-Q are forward-looking statements and may be identified by the use of words such as "anticipate," "assume,"</w:t>
      </w:r>
    </w:p>
    <w:p>
      <w:pPr>
        <w:sectPr>
          <w:pgSz w:w="11900" w:h="16838" w:orient="portrait"/>
          <w:cols w:equalWidth="0" w:num="1">
            <w:col w:w="11240"/>
          </w:cols>
          <w:pgMar w:left="320" w:top="1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 w:right="3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"believe," "estimate," "expect," "guidance," "intend," "outlook," "plan," "project," and other words and terms of similar meaning. Such statements reflect our current views and estimates with respect to future market conditions, company performance and financial results, operational investments, business prospects, new strategies, the competitive environment, and other events. These statements are subject to certain risks and uncertainties that could cause actual results to differ materially from the potential results discussed in such forward-looking statements. Readers should review Item 1A of Part I of our Annual Report on Form 10-K for the fiscal year ended August 28, 2021, and Item 1A of Part II of this Quarterly Report on Form 10-Q, for a description of important factors that could cause our actual results to differ materially from those contemplated by the forward-looking statements made in this Quarterly Report on Form 10-Q. Among the factors that could cause actual results and outcomes to differ materially from those contained in such forward-looking statements are the following:</w:t>
      </w:r>
    </w:p>
    <w:p>
      <w:pPr>
        <w:spacing w:after="0" w:line="3"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Uncertainty surrounding the COVID-19 pandemic.</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economic uncertainty in key markets and a worsening of domestic economic conditions or low levels of economic growth.</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Availability of financing for RV and marine dealers.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innovate and commercialize new products.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manage our inventory to meet demand.</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Competition and new product introductions by competitors.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 related to cyclicality and seasonality of our business.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Significant increase in repurchase obligations.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Business or production disruptions.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Inadequate inventory and distribution channel management.</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retain relationships with our suppliers.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material and component costs, including availability and price of fuel and other raw materials.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integrate mergers and acquisitions.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attract and retain qualified personnel and changes in market compensation rates.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Exposure to warranty claims.</w:t>
      </w:r>
    </w:p>
    <w:p>
      <w:pPr>
        <w:spacing w:after="0" w:line="5" w:lineRule="exact"/>
        <w:rPr>
          <w:rFonts w:ascii="Arial" w:cs="Arial" w:eastAsia="Arial" w:hAnsi="Arial"/>
          <w:sz w:val="16"/>
          <w:szCs w:val="16"/>
          <w:color w:val="auto"/>
        </w:rPr>
      </w:pPr>
    </w:p>
    <w:p>
      <w:pPr>
        <w:ind w:left="660" w:right="240" w:hanging="328"/>
        <w:spacing w:after="0" w:line="24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protect our information technology systems from data security, cyberattacks, and network disruption risks and the ability to successfully upgrade and evolve our information technology systems.</w:t>
      </w: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Ability to retain brand reputation and related exposure to product liability claims.</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Governmental regulation, including for climate change.</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Impairment of goodwill.</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Risks related to our Convertible and Senior Secured Notes, including our ability to satisfy our obligations under these notes.</w:t>
      </w:r>
    </w:p>
    <w:p>
      <w:pPr>
        <w:spacing w:after="0" w:line="5"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We caution that the foregoing list of important factors is not complete. Any forward-looking statements speak only as of the date they are made, and we assume no obligation to update any forward-looking statement that we may make.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33"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3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As of November 27, 2021, we have no interest rate swaps outstanding and the Term Loan, that had been subject to variable interest rates, was repaid in the fourth quarter of Fiscal 2020 using the proceeds from the Senior Secured Notes. The ABL Credit Facility is our only floating rate debt instrument which remains undrawn as of November 27, 2021.</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129"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evaluated the effectiveness of the design and operation of our disclosure controls and procedures (as defined in Rule 13a-15(e) under the Securities Exchange Act of 1934, as amended (the "Exchange Act")), as of the end of the period covered by this report (the "Evaluation Date"). Based on this evaluation, the Chief Executive Officer and Chief Financial Officer concluded that our disclosure controls and procedures were effective as of the Evaluation Date.</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6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There were no changes in our internal control over financial reporting that occurred during the first quarter of Fiscal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33"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For a description of our legal proceedings, see Note 11 to the Consolidated Financial Statements included in Item 1 of Part I of this Quarterly Report on Form 10-Q.</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3"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There have been no material changes from the risk factors previously disclosed in Item 1A of Part I of our Annual Report on Form 10-K for the fiscal year ended August 28, 2021.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 Stock Repurchases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first quarter of Fiscal 2022 are as follows: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rPr>
              <w:t>Total Number of</w:t>
            </w:r>
          </w:p>
        </w:tc>
        <w:tc>
          <w:tcPr>
            <w:tcW w:w="1400" w:type="dxa"/>
            <w:vAlign w:val="bottom"/>
            <w:gridSpan w:val="2"/>
            <w:vMerge w:val="restart"/>
          </w:tcPr>
          <w:p>
            <w:pPr>
              <w:jc w:val="right"/>
              <w:ind w:right="79"/>
              <w:spacing w:after="0"/>
              <w:rPr>
                <w:sz w:val="20"/>
                <w:szCs w:val="20"/>
                <w:color w:val="auto"/>
              </w:rPr>
            </w:pPr>
            <w:r>
              <w:rPr>
                <w:rFonts w:ascii="Arial" w:cs="Arial" w:eastAsia="Arial" w:hAnsi="Arial"/>
                <w:sz w:val="16"/>
                <w:szCs w:val="16"/>
                <w:b w:val="1"/>
                <w:bCs w:val="1"/>
                <w:color w:val="auto"/>
              </w:rPr>
              <w:t>Average Price</w:t>
            </w:r>
          </w:p>
        </w:tc>
        <w:tc>
          <w:tcPr>
            <w:tcW w:w="2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Number of Shares Purchased as</w:t>
            </w:r>
          </w:p>
        </w:tc>
        <w:tc>
          <w:tcPr>
            <w:tcW w:w="140" w:type="dxa"/>
            <w:vAlign w:val="bottom"/>
          </w:tcPr>
          <w:p>
            <w:pPr>
              <w:spacing w:after="0"/>
              <w:rPr>
                <w:sz w:val="16"/>
                <w:szCs w:val="16"/>
                <w:color w:val="auto"/>
              </w:rPr>
            </w:pPr>
          </w:p>
        </w:tc>
        <w:tc>
          <w:tcPr>
            <w:tcW w:w="2620" w:type="dxa"/>
            <w:vAlign w:val="bottom"/>
          </w:tcPr>
          <w:p>
            <w:pPr>
              <w:jc w:val="right"/>
              <w:ind w:right="219"/>
              <w:spacing w:after="0"/>
              <w:rPr>
                <w:sz w:val="20"/>
                <w:szCs w:val="20"/>
                <w:color w:val="auto"/>
              </w:rPr>
            </w:pPr>
            <w:r>
              <w:rPr>
                <w:rFonts w:ascii="Arial" w:cs="Arial" w:eastAsia="Arial" w:hAnsi="Arial"/>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2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(1)</w:t>
            </w:r>
          </w:p>
        </w:tc>
        <w:tc>
          <w:tcPr>
            <w:tcW w:w="15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w:t>
            </w:r>
          </w:p>
        </w:tc>
        <w:tc>
          <w:tcPr>
            <w:tcW w:w="1400" w:type="dxa"/>
            <w:vAlign w:val="bottom"/>
            <w:gridSpan w:val="2"/>
            <w:vMerge w:val="continue"/>
          </w:tcPr>
          <w:p>
            <w:pPr>
              <w:spacing w:after="0"/>
              <w:rPr>
                <w:sz w:val="14"/>
                <w:szCs w:val="14"/>
                <w:color w:val="auto"/>
              </w:rPr>
            </w:pPr>
          </w:p>
        </w:tc>
        <w:tc>
          <w:tcPr>
            <w:tcW w:w="28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Part of Publicly Announced Plans</w:t>
            </w:r>
          </w:p>
        </w:tc>
        <w:tc>
          <w:tcPr>
            <w:tcW w:w="27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Shares That May Yet Be Purchased</w:t>
            </w:r>
          </w:p>
        </w:tc>
        <w:tc>
          <w:tcPr>
            <w:tcW w:w="0" w:type="dxa"/>
            <w:vAlign w:val="bottom"/>
          </w:tcPr>
          <w:p>
            <w:pPr>
              <w:spacing w:after="0"/>
              <w:rPr>
                <w:sz w:val="1"/>
                <w:szCs w:val="1"/>
                <w:color w:val="auto"/>
              </w:rPr>
            </w:pPr>
          </w:p>
        </w:tc>
      </w:tr>
      <w:tr>
        <w:trPr>
          <w:trHeight w:val="216"/>
        </w:trPr>
        <w:tc>
          <w:tcPr>
            <w:tcW w:w="26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7"/>
              </w:rPr>
              <w:t>Purchased</w:t>
            </w:r>
            <w:r>
              <w:rPr>
                <w:rFonts w:ascii="Arial" w:cs="Arial" w:eastAsia="Arial" w:hAnsi="Arial"/>
                <w:sz w:val="21"/>
                <w:szCs w:val="21"/>
                <w:b w:val="1"/>
                <w:bCs w:val="1"/>
                <w:color w:val="auto"/>
                <w:w w:val="97"/>
                <w:vertAlign w:val="superscript"/>
              </w:rPr>
              <w:t>(2)</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Paid per Share</w:t>
            </w:r>
          </w:p>
        </w:tc>
        <w:tc>
          <w:tcPr>
            <w:tcW w:w="2880" w:type="dxa"/>
            <w:vAlign w:val="bottom"/>
            <w:tcBorders>
              <w:bottom w:val="single" w:sz="8" w:color="auto"/>
            </w:tcBorders>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97"/>
              </w:rPr>
              <w:t>or Programs</w:t>
            </w:r>
            <w:r>
              <w:rPr>
                <w:rFonts w:ascii="Arial" w:cs="Arial" w:eastAsia="Arial" w:hAnsi="Arial"/>
                <w:sz w:val="21"/>
                <w:szCs w:val="21"/>
                <w:b w:val="1"/>
                <w:bCs w:val="1"/>
                <w:color w:val="auto"/>
                <w:w w:val="97"/>
                <w:vertAlign w:val="superscript"/>
              </w:rPr>
              <w:t>(2)</w:t>
            </w:r>
          </w:p>
        </w:tc>
        <w:tc>
          <w:tcPr>
            <w:tcW w:w="14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jc w:val="right"/>
              <w:ind w:right="119"/>
              <w:spacing w:after="0" w:line="216" w:lineRule="exact"/>
              <w:rPr>
                <w:sz w:val="20"/>
                <w:szCs w:val="20"/>
                <w:color w:val="auto"/>
              </w:rPr>
            </w:pPr>
            <w:r>
              <w:rPr>
                <w:rFonts w:ascii="Arial" w:cs="Arial" w:eastAsia="Arial" w:hAnsi="Arial"/>
                <w:sz w:val="16"/>
                <w:szCs w:val="16"/>
                <w:b w:val="1"/>
                <w:bCs w:val="1"/>
                <w:color w:val="auto"/>
              </w:rPr>
              <w:t>Under the Plans or Programs</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08/29/21 - 10/02/21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134,981</w:t>
            </w:r>
          </w:p>
        </w:tc>
        <w:tc>
          <w:tcPr>
            <w:tcW w:w="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71.12</w:t>
            </w:r>
          </w:p>
        </w:tc>
        <w:tc>
          <w:tcPr>
            <w:tcW w:w="2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13,761,000</w:t>
            </w:r>
          </w:p>
        </w:tc>
        <w:tc>
          <w:tcPr>
            <w:tcW w:w="0" w:type="dxa"/>
            <w:vAlign w:val="bottom"/>
          </w:tcPr>
          <w:p>
            <w:pPr>
              <w:spacing w:after="0"/>
              <w:rPr>
                <w:sz w:val="1"/>
                <w:szCs w:val="1"/>
                <w:color w:val="auto"/>
              </w:rPr>
            </w:pPr>
          </w:p>
        </w:tc>
      </w:tr>
      <w:tr>
        <w:trPr>
          <w:trHeight w:val="213"/>
        </w:trPr>
        <w:tc>
          <w:tcPr>
            <w:tcW w:w="2600" w:type="dxa"/>
            <w:vAlign w:val="bottom"/>
          </w:tcPr>
          <w:p>
            <w:pPr>
              <w:ind w:left="20"/>
              <w:spacing w:after="0"/>
              <w:rPr>
                <w:sz w:val="20"/>
                <w:szCs w:val="20"/>
                <w:color w:val="auto"/>
              </w:rPr>
            </w:pPr>
            <w:r>
              <w:rPr>
                <w:rFonts w:ascii="Arial" w:cs="Arial" w:eastAsia="Arial" w:hAnsi="Arial"/>
                <w:sz w:val="16"/>
                <w:szCs w:val="16"/>
                <w:color w:val="auto"/>
              </w:rPr>
              <w:t>10/03/21 - 10/30/21</w:t>
            </w:r>
          </w:p>
        </w:tc>
        <w:tc>
          <w:tcPr>
            <w:tcW w:w="1560" w:type="dxa"/>
            <w:vAlign w:val="bottom"/>
          </w:tcPr>
          <w:p>
            <w:pPr>
              <w:jc w:val="right"/>
              <w:spacing w:after="0"/>
              <w:rPr>
                <w:sz w:val="20"/>
                <w:szCs w:val="20"/>
                <w:color w:val="auto"/>
              </w:rPr>
            </w:pPr>
            <w:r>
              <w:rPr>
                <w:rFonts w:ascii="Arial" w:cs="Arial" w:eastAsia="Arial" w:hAnsi="Arial"/>
                <w:sz w:val="16"/>
                <w:szCs w:val="16"/>
                <w:color w:val="auto"/>
              </w:rPr>
              <w:t>144,977</w:t>
            </w:r>
          </w:p>
        </w:tc>
        <w:tc>
          <w:tcPr>
            <w:tcW w:w="52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69.78</w:t>
            </w:r>
          </w:p>
        </w:tc>
        <w:tc>
          <w:tcPr>
            <w:tcW w:w="2760" w:type="dxa"/>
            <w:vAlign w:val="bottom"/>
          </w:tcPr>
          <w:p>
            <w:pPr>
              <w:jc w:val="right"/>
              <w:spacing w:after="0"/>
              <w:rPr>
                <w:sz w:val="20"/>
                <w:szCs w:val="20"/>
                <w:color w:val="auto"/>
              </w:rPr>
            </w:pPr>
            <w:r>
              <w:rPr>
                <w:rFonts w:ascii="Arial" w:cs="Arial" w:eastAsia="Arial" w:hAnsi="Arial"/>
                <w:sz w:val="16"/>
                <w:szCs w:val="16"/>
                <w:color w:val="auto"/>
              </w:rPr>
              <w:t>89,986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20" w:type="dxa"/>
            <w:vAlign w:val="bottom"/>
          </w:tcPr>
          <w:p>
            <w:pPr>
              <w:jc w:val="right"/>
              <w:spacing w:after="0"/>
              <w:rPr>
                <w:sz w:val="20"/>
                <w:szCs w:val="20"/>
                <w:color w:val="auto"/>
              </w:rPr>
            </w:pPr>
            <w:r>
              <w:rPr>
                <w:rFonts w:ascii="Arial" w:cs="Arial" w:eastAsia="Arial" w:hAnsi="Arial"/>
                <w:sz w:val="16"/>
                <w:szCs w:val="16"/>
                <w:color w:val="auto"/>
              </w:rPr>
              <w:t>194,000,000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10/31/21 - 11/27/21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55,979</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71.46</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55,979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190,000,000</w:t>
            </w:r>
          </w:p>
        </w:tc>
        <w:tc>
          <w:tcPr>
            <w:tcW w:w="0" w:type="dxa"/>
            <w:vAlign w:val="bottom"/>
          </w:tcPr>
          <w:p>
            <w:pPr>
              <w:spacing w:after="0"/>
              <w:rPr>
                <w:sz w:val="1"/>
                <w:szCs w:val="1"/>
                <w:color w:val="auto"/>
              </w:rPr>
            </w:pPr>
          </w:p>
        </w:tc>
      </w:tr>
      <w:tr>
        <w:trPr>
          <w:trHeight w:val="213"/>
        </w:trPr>
        <w:tc>
          <w:tcPr>
            <w:tcW w:w="2600" w:type="dxa"/>
            <w:vAlign w:val="bottom"/>
          </w:tcPr>
          <w:p>
            <w:pPr>
              <w:ind w:left="14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335,937</w:t>
            </w:r>
          </w:p>
        </w:tc>
        <w:tc>
          <w:tcPr>
            <w:tcW w:w="520" w:type="dxa"/>
            <w:vAlign w:val="bottom"/>
          </w:tcPr>
          <w:p>
            <w:pPr>
              <w:ind w:left="1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70.60</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280,946</w:t>
            </w:r>
          </w:p>
        </w:tc>
        <w:tc>
          <w:tcPr>
            <w:tcW w:w="120" w:type="dxa"/>
            <w:vAlign w:val="bottom"/>
          </w:tcPr>
          <w:p>
            <w:pPr>
              <w:spacing w:after="0"/>
              <w:rPr>
                <w:sz w:val="18"/>
                <w:szCs w:val="18"/>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190,000,000</w:t>
            </w:r>
          </w:p>
        </w:tc>
        <w:tc>
          <w:tcPr>
            <w:tcW w:w="0" w:type="dxa"/>
            <w:vAlign w:val="bottom"/>
          </w:tcPr>
          <w:p>
            <w:pPr>
              <w:spacing w:after="0"/>
              <w:rPr>
                <w:sz w:val="1"/>
                <w:szCs w:val="1"/>
                <w:color w:val="auto"/>
              </w:rPr>
            </w:pPr>
          </w:p>
        </w:tc>
      </w:tr>
      <w:tr>
        <w:trPr>
          <w:trHeight w:val="21"/>
        </w:trPr>
        <w:tc>
          <w:tcPr>
            <w:tcW w:w="26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Number of shares in the table are shown in whole numbers.</w:t>
      </w:r>
    </w:p>
    <w:p>
      <w:pPr>
        <w:ind w:left="260" w:right="140" w:hanging="252"/>
        <w:spacing w:after="0" w:line="193" w:lineRule="auto"/>
        <w:tabs>
          <w:tab w:leader="none" w:pos="305"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Shares not purchased as part of a publicly announced program were repurchased from employees who vested in Company shares and elected to pay their payroll tax via the value of shares delivered as opposed to cash.</w:t>
      </w:r>
    </w:p>
    <w:p>
      <w:pPr>
        <w:ind w:left="260" w:right="140" w:hanging="252"/>
        <w:spacing w:after="0" w:line="199" w:lineRule="auto"/>
        <w:tabs>
          <w:tab w:leader="none" w:pos="305" w:val="left"/>
        </w:tabs>
        <w:numPr>
          <w:ilvl w:val="0"/>
          <w:numId w:val="11"/>
        </w:numPr>
        <w:rPr>
          <w:rFonts w:ascii="Arial" w:cs="Arial" w:eastAsia="Arial" w:hAnsi="Arial"/>
          <w:sz w:val="21"/>
          <w:szCs w:val="21"/>
          <w:color w:val="auto"/>
          <w:vertAlign w:val="superscript"/>
        </w:rPr>
      </w:pPr>
      <w:r>
        <w:rPr>
          <w:rFonts w:ascii="Arial" w:cs="Arial" w:eastAsia="Arial" w:hAnsi="Arial"/>
          <w:sz w:val="14"/>
          <w:szCs w:val="14"/>
          <w:color w:val="auto"/>
        </w:rPr>
        <w:t>Prior to October 13, 2021, pursuant to a $70 million share repurchase program authorized by our Board of Directors on October 18, 2017. On and after October 13, 2021, pursuant to a new $200.0 million share repurchase program authorized by our Board of Directors on October 13, 2021. There is no time restriction on the authorization.</w:t>
      </w:r>
    </w:p>
    <w:p>
      <w:pPr>
        <w:spacing w:after="0" w:line="23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Our Senior Secured Notes, as defined in Note 9 to the Consolidated Financial Statements included in Item 1 of Part I of this Quarterly Report on Form 10-Q, contains occurrence based restrictions that may limit our ability to make distributions or payments with respect to purchases of our common stock without consent of the lenders, except for limited purchases of our common stock from employees, in the event of a significant reduction in our EBITDA or in the event of a significant borrowing on our ABL Credit Facility.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 w:right="379" w:bottom="1440" w:gutter="0" w:footer="0" w:header="0"/>
        </w:sectPr>
      </w:pPr>
    </w:p>
    <w:bookmarkStart w:id="30" w:name="page31"/>
    <w:bookmarkEnd w:id="30"/>
    <w:p>
      <w:pPr>
        <w:ind w:left="100"/>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0"/>
        <w:spacing w:after="0"/>
        <w:tabs>
          <w:tab w:leader="none" w:pos="780" w:val="left"/>
        </w:tabs>
        <w:rPr>
          <w:sz w:val="20"/>
          <w:szCs w:val="20"/>
          <w:color w:val="auto"/>
        </w:rPr>
      </w:pPr>
      <w:r>
        <w:rPr>
          <w:rFonts w:ascii="Arial" w:cs="Arial" w:eastAsia="Arial" w:hAnsi="Arial"/>
          <w:sz w:val="16"/>
          <w:szCs w:val="16"/>
          <w:b w:val="1"/>
          <w:bCs w:val="1"/>
          <w:color w:val="auto"/>
        </w:rPr>
        <w:t>Item 6.</w:t>
        <w:tab/>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134620</wp:posOffset>
            </wp:positionV>
            <wp:extent cx="6532245" cy="2400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gridSpan w:val="4"/>
          </w:tcPr>
          <w:p>
            <w:pPr>
              <w:spacing w:after="0"/>
              <w:rPr>
                <w:rFonts w:ascii="Arial" w:cs="Arial" w:eastAsia="Arial" w:hAnsi="Arial"/>
                <w:sz w:val="16"/>
                <w:szCs w:val="16"/>
                <w:color w:val="0000FF"/>
              </w:rPr>
            </w:pPr>
            <w:hyperlink r:id="rId46">
              <w:r>
                <w:rPr>
                  <w:rFonts w:ascii="Arial" w:cs="Arial" w:eastAsia="Arial" w:hAnsi="Arial"/>
                  <w:sz w:val="16"/>
                  <w:szCs w:val="16"/>
                  <w:color w:val="0000FF"/>
                </w:rPr>
                <w:t>3c.</w:t>
              </w:r>
            </w:hyperlink>
          </w:p>
        </w:tc>
        <w:tc>
          <w:tcPr>
            <w:tcW w:w="60" w:type="dxa"/>
            <w:vAlign w:val="bottom"/>
            <w:vMerge w:val="restart"/>
          </w:tcPr>
          <w:p>
            <w:pPr>
              <w:spacing w:after="0"/>
              <w:rPr>
                <w:sz w:val="16"/>
                <w:szCs w:val="16"/>
                <w:color w:val="auto"/>
              </w:rPr>
            </w:pPr>
          </w:p>
        </w:tc>
        <w:tc>
          <w:tcPr>
            <w:tcW w:w="9860" w:type="dxa"/>
            <w:vAlign w:val="bottom"/>
            <w:gridSpan w:val="11"/>
            <w:vMerge w:val="restart"/>
          </w:tcPr>
          <w:p>
            <w:pPr>
              <w:spacing w:after="0"/>
              <w:rPr>
                <w:rFonts w:ascii="Arial" w:cs="Arial" w:eastAsia="Arial" w:hAnsi="Arial"/>
                <w:sz w:val="16"/>
                <w:szCs w:val="16"/>
                <w:color w:val="0000FF"/>
              </w:rPr>
            </w:pPr>
            <w:hyperlink r:id="rId46">
              <w:r>
                <w:rPr>
                  <w:rFonts w:ascii="Arial" w:cs="Arial" w:eastAsia="Arial" w:hAnsi="Arial"/>
                  <w:sz w:val="16"/>
                  <w:szCs w:val="16"/>
                  <w:color w:val="0000FF"/>
                </w:rPr>
                <w:t>Amended By-Laws of the Registrant effective December 1, 2021.</w:t>
              </w:r>
            </w:hyperlink>
          </w:p>
        </w:tc>
        <w:tc>
          <w:tcPr>
            <w:tcW w:w="0" w:type="dxa"/>
            <w:vAlign w:val="bottom"/>
          </w:tcPr>
          <w:p>
            <w:pPr>
              <w:spacing w:after="0"/>
              <w:rPr>
                <w:sz w:val="1"/>
                <w:szCs w:val="1"/>
                <w:color w:val="auto"/>
              </w:rPr>
            </w:pPr>
          </w:p>
        </w:tc>
      </w:tr>
      <w:tr>
        <w:trPr>
          <w:trHeight w:val="61"/>
        </w:trPr>
        <w:tc>
          <w:tcPr>
            <w:tcW w:w="10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9860" w:type="dxa"/>
            <w:vAlign w:val="bottom"/>
            <w:gridSpan w:val="11"/>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40" w:type="dxa"/>
            <w:vAlign w:val="bottom"/>
            <w:gridSpan w:val="3"/>
          </w:tcPr>
          <w:p>
            <w:pPr>
              <w:spacing w:after="0"/>
              <w:rPr>
                <w:rFonts w:ascii="Arial" w:cs="Arial" w:eastAsia="Arial" w:hAnsi="Arial"/>
                <w:sz w:val="16"/>
                <w:szCs w:val="16"/>
                <w:color w:val="0000FF"/>
                <w:w w:val="98"/>
              </w:rPr>
            </w:pPr>
            <w:hyperlink r:id="rId47">
              <w:r>
                <w:rPr>
                  <w:rFonts w:ascii="Arial" w:cs="Arial" w:eastAsia="Arial" w:hAnsi="Arial"/>
                  <w:sz w:val="16"/>
                  <w:szCs w:val="16"/>
                  <w:color w:val="0000FF"/>
                  <w:w w:val="98"/>
                </w:rPr>
                <w:t>4.</w:t>
              </w:r>
              <w:r>
                <w:rPr>
                  <w:rFonts w:ascii="Arial" w:cs="Arial" w:eastAsia="Arial" w:hAnsi="Arial"/>
                  <w:sz w:val="16"/>
                  <w:szCs w:val="16"/>
                  <w:u w:val="single" w:color="auto"/>
                  <w:color w:val="0000FF"/>
                  <w:w w:val="98"/>
                </w:rPr>
                <w:t>1</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60" w:type="dxa"/>
            <w:vAlign w:val="bottom"/>
            <w:gridSpan w:val="11"/>
          </w:tcPr>
          <w:p>
            <w:pPr>
              <w:spacing w:after="0"/>
              <w:rPr>
                <w:rFonts w:ascii="Arial" w:cs="Arial" w:eastAsia="Arial" w:hAnsi="Arial"/>
                <w:sz w:val="16"/>
                <w:szCs w:val="16"/>
                <w:color w:val="0000FF"/>
              </w:rPr>
            </w:pPr>
            <w:hyperlink r:id="rId47">
              <w:r>
                <w:rPr>
                  <w:rFonts w:ascii="Arial" w:cs="Arial" w:eastAsia="Arial" w:hAnsi="Arial"/>
                  <w:sz w:val="16"/>
                  <w:szCs w:val="16"/>
                  <w:color w:val="0000FF"/>
                </w:rPr>
                <w:t>Indenture, dated November 1, 2019, by and between Winnebago Industries, Inc. and U.S. Bank National Association (incorporated by</w:t>
              </w:r>
            </w:hyperlink>
          </w:p>
        </w:tc>
        <w:tc>
          <w:tcPr>
            <w:tcW w:w="0" w:type="dxa"/>
            <w:vAlign w:val="bottom"/>
          </w:tcPr>
          <w:p>
            <w:pPr>
              <w:spacing w:after="0"/>
              <w:rPr>
                <w:sz w:val="1"/>
                <w:szCs w:val="1"/>
                <w:color w:val="auto"/>
              </w:rPr>
            </w:pPr>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580" w:type="dxa"/>
            <w:vAlign w:val="bottom"/>
            <w:tcBorders>
              <w:top w:val="single" w:sz="8" w:color="0000FF"/>
            </w:tcBorders>
            <w:gridSpan w:val="10"/>
          </w:tcPr>
          <w:p>
            <w:pPr>
              <w:ind w:left="500"/>
              <w:spacing w:after="0" w:line="142" w:lineRule="exact"/>
              <w:rPr>
                <w:rFonts w:ascii="Arial" w:cs="Arial" w:eastAsia="Arial" w:hAnsi="Arial"/>
                <w:sz w:val="16"/>
                <w:szCs w:val="16"/>
                <w:color w:val="0000FF"/>
              </w:rPr>
            </w:pPr>
            <w:hyperlink r:id="rId47">
              <w:r>
                <w:rPr>
                  <w:rFonts w:ascii="Arial" w:cs="Arial" w:eastAsia="Arial" w:hAnsi="Arial"/>
                  <w:sz w:val="16"/>
                  <w:szCs w:val="16"/>
                  <w:color w:val="0000FF"/>
                </w:rPr>
                <w:t>reference from Exhibit 4.1 to the Registrant’s Current Report on Form 8-K dated October 29, 2019).</w:t>
              </w:r>
            </w:hyperlink>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tcBorders>
              <w:top w:val="single" w:sz="8" w:color="0000FF"/>
            </w:tcBorders>
          </w:tcPr>
          <w:p>
            <w:pPr>
              <w:spacing w:after="0"/>
              <w:rPr>
                <w:sz w:val="11"/>
                <w:szCs w:val="11"/>
                <w:color w:val="auto"/>
              </w:rPr>
            </w:pPr>
          </w:p>
        </w:tc>
        <w:tc>
          <w:tcPr>
            <w:tcW w:w="1360" w:type="dxa"/>
            <w:vAlign w:val="bottom"/>
            <w:tcBorders>
              <w:top w:val="single" w:sz="8" w:color="0000FF"/>
            </w:tcBorders>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280" w:type="dxa"/>
            <w:vAlign w:val="bottom"/>
            <w:tcBorders>
              <w:top w:val="single" w:sz="8" w:color="0000FF"/>
            </w:tcBorders>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rFonts w:ascii="Arial" w:cs="Arial" w:eastAsia="Arial" w:hAnsi="Arial"/>
                <w:sz w:val="13"/>
                <w:szCs w:val="13"/>
                <w:color w:val="0000FF"/>
                <w:w w:val="73"/>
              </w:rPr>
            </w:pPr>
            <w:hyperlink r:id="rId47">
              <w:r>
                <w:rPr>
                  <w:rFonts w:ascii="Arial" w:cs="Arial" w:eastAsia="Arial" w:hAnsi="Arial"/>
                  <w:sz w:val="13"/>
                  <w:szCs w:val="13"/>
                  <w:color w:val="0000FF"/>
                  <w:w w:val="73"/>
                </w:rPr>
                <w:t>4.</w:t>
              </w:r>
            </w:hyperlink>
          </w:p>
        </w:tc>
        <w:tc>
          <w:tcPr>
            <w:tcW w:w="140" w:type="dxa"/>
            <w:vAlign w:val="bottom"/>
            <w:gridSpan w:val="2"/>
            <w:shd w:val="clear" w:color="auto" w:fill="CCEEFF"/>
          </w:tcPr>
          <w:p>
            <w:pPr>
              <w:spacing w:after="0" w:line="175" w:lineRule="exact"/>
              <w:rPr>
                <w:rFonts w:ascii="Arial" w:cs="Arial" w:eastAsia="Arial" w:hAnsi="Arial"/>
                <w:sz w:val="16"/>
                <w:szCs w:val="16"/>
                <w:u w:val="single" w:color="auto"/>
                <w:color w:val="0000FF"/>
              </w:rPr>
            </w:pPr>
            <w:hyperlink r:id="rId47">
              <w:r>
                <w:rPr>
                  <w:rFonts w:ascii="Arial" w:cs="Arial" w:eastAsia="Arial" w:hAnsi="Arial"/>
                  <w:sz w:val="16"/>
                  <w:szCs w:val="16"/>
                  <w:u w:val="single" w:color="auto"/>
                  <w:color w:val="0000FF"/>
                </w:rPr>
                <w:t>2</w:t>
              </w:r>
            </w:hyperlink>
          </w:p>
        </w:tc>
        <w:tc>
          <w:tcPr>
            <w:tcW w:w="240" w:type="dxa"/>
            <w:vAlign w:val="bottom"/>
            <w:shd w:val="clear" w:color="auto" w:fill="CCEEFF"/>
          </w:tcPr>
          <w:p>
            <w:pPr>
              <w:spacing w:after="0"/>
              <w:rPr>
                <w:sz w:val="15"/>
                <w:szCs w:val="15"/>
                <w:color w:val="auto"/>
              </w:rPr>
            </w:pPr>
          </w:p>
        </w:tc>
        <w:tc>
          <w:tcPr>
            <w:tcW w:w="9920" w:type="dxa"/>
            <w:vAlign w:val="bottom"/>
            <w:gridSpan w:val="12"/>
            <w:shd w:val="clear" w:color="auto" w:fill="CCEEFF"/>
          </w:tcPr>
          <w:p>
            <w:pPr>
              <w:ind w:left="60"/>
              <w:spacing w:after="0" w:line="175" w:lineRule="exact"/>
              <w:rPr>
                <w:rFonts w:ascii="Arial" w:cs="Arial" w:eastAsia="Arial" w:hAnsi="Arial"/>
                <w:sz w:val="16"/>
                <w:szCs w:val="16"/>
                <w:color w:val="0000FF"/>
              </w:rPr>
            </w:pPr>
            <w:hyperlink r:id="rId47">
              <w:r>
                <w:rPr>
                  <w:rFonts w:ascii="Arial" w:cs="Arial" w:eastAsia="Arial" w:hAnsi="Arial"/>
                  <w:sz w:val="16"/>
                  <w:szCs w:val="16"/>
                  <w:color w:val="0000FF"/>
                </w:rPr>
                <w:t>Form of 1.50% Convertible Senior Note due 2025 (included in Exhibit 4.1).</w:t>
              </w:r>
            </w:hyperlink>
          </w:p>
        </w:tc>
        <w:tc>
          <w:tcPr>
            <w:tcW w:w="0" w:type="dxa"/>
            <w:vAlign w:val="bottom"/>
          </w:tcPr>
          <w:p>
            <w:pPr>
              <w:spacing w:after="0"/>
              <w:rPr>
                <w:sz w:val="1"/>
                <w:szCs w:val="1"/>
                <w:color w:val="auto"/>
              </w:rPr>
            </w:pPr>
          </w:p>
        </w:tc>
      </w:tr>
      <w:tr>
        <w:trPr>
          <w:trHeight w:val="183"/>
        </w:trPr>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0000FF"/>
            </w:tcBorders>
            <w:shd w:val="clear" w:color="auto" w:fill="CCEEFF"/>
          </w:tcPr>
          <w:p>
            <w:pPr>
              <w:spacing w:after="0"/>
              <w:rPr>
                <w:sz w:val="15"/>
                <w:szCs w:val="15"/>
                <w:color w:val="auto"/>
              </w:rPr>
            </w:pPr>
          </w:p>
        </w:tc>
        <w:tc>
          <w:tcPr>
            <w:tcW w:w="2800" w:type="dxa"/>
            <w:vAlign w:val="bottom"/>
            <w:tcBorders>
              <w:top w:val="single" w:sz="8" w:color="0000FF"/>
            </w:tcBorders>
            <w:shd w:val="clear" w:color="auto" w:fill="CCEEFF"/>
          </w:tcPr>
          <w:p>
            <w:pPr>
              <w:spacing w:after="0"/>
              <w:rPr>
                <w:sz w:val="15"/>
                <w:szCs w:val="15"/>
                <w:color w:val="auto"/>
              </w:rPr>
            </w:pPr>
          </w:p>
        </w:tc>
        <w:tc>
          <w:tcPr>
            <w:tcW w:w="1360" w:type="dxa"/>
            <w:vAlign w:val="bottom"/>
            <w:tcBorders>
              <w:top w:val="single" w:sz="8" w:color="0000FF"/>
            </w:tcBorders>
            <w:shd w:val="clear" w:color="auto" w:fill="CCEEFF"/>
          </w:tcPr>
          <w:p>
            <w:pPr>
              <w:spacing w:after="0"/>
              <w:rPr>
                <w:sz w:val="15"/>
                <w:szCs w:val="15"/>
                <w:color w:val="auto"/>
              </w:rPr>
            </w:pPr>
          </w:p>
        </w:tc>
        <w:tc>
          <w:tcPr>
            <w:tcW w:w="50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22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240" w:type="dxa"/>
            <w:vAlign w:val="bottom"/>
            <w:gridSpan w:val="3"/>
          </w:tcPr>
          <w:p>
            <w:pPr>
              <w:spacing w:after="0"/>
              <w:rPr>
                <w:rFonts w:ascii="Arial" w:cs="Arial" w:eastAsia="Arial" w:hAnsi="Arial"/>
                <w:sz w:val="16"/>
                <w:szCs w:val="16"/>
                <w:color w:val="0000FF"/>
                <w:w w:val="98"/>
              </w:rPr>
            </w:pPr>
            <w:hyperlink r:id="rId48">
              <w:r>
                <w:rPr>
                  <w:rFonts w:ascii="Arial" w:cs="Arial" w:eastAsia="Arial" w:hAnsi="Arial"/>
                  <w:sz w:val="16"/>
                  <w:szCs w:val="16"/>
                  <w:color w:val="0000FF"/>
                  <w:w w:val="98"/>
                </w:rPr>
                <w:t>4.</w:t>
              </w:r>
              <w:r>
                <w:rPr>
                  <w:rFonts w:ascii="Arial" w:cs="Arial" w:eastAsia="Arial" w:hAnsi="Arial"/>
                  <w:sz w:val="16"/>
                  <w:szCs w:val="16"/>
                  <w:u w:val="single" w:color="auto"/>
                  <w:color w:val="0000FF"/>
                  <w:w w:val="98"/>
                </w:rPr>
                <w:t>4</w:t>
              </w:r>
            </w:hyperlink>
          </w:p>
        </w:tc>
        <w:tc>
          <w:tcPr>
            <w:tcW w:w="240" w:type="dxa"/>
            <w:vAlign w:val="bottom"/>
          </w:tcPr>
          <w:p>
            <w:pPr>
              <w:spacing w:after="0"/>
              <w:rPr>
                <w:sz w:val="24"/>
                <w:szCs w:val="24"/>
                <w:color w:val="auto"/>
              </w:rPr>
            </w:pPr>
          </w:p>
        </w:tc>
        <w:tc>
          <w:tcPr>
            <w:tcW w:w="9920" w:type="dxa"/>
            <w:vAlign w:val="bottom"/>
            <w:gridSpan w:val="12"/>
          </w:tcPr>
          <w:p>
            <w:pPr>
              <w:ind w:left="60"/>
              <w:spacing w:after="0"/>
              <w:rPr>
                <w:rFonts w:ascii="Arial" w:cs="Arial" w:eastAsia="Arial" w:hAnsi="Arial"/>
                <w:sz w:val="16"/>
                <w:szCs w:val="16"/>
                <w:color w:val="0000FF"/>
              </w:rPr>
            </w:pPr>
            <w:hyperlink r:id="rId48">
              <w:r>
                <w:rPr>
                  <w:rFonts w:ascii="Arial" w:cs="Arial" w:eastAsia="Arial" w:hAnsi="Arial"/>
                  <w:sz w:val="16"/>
                  <w:szCs w:val="16"/>
                  <w:color w:val="0000FF"/>
                </w:rPr>
                <w:t>Form of 6.250% Senior Secured Note due 2028 (included in Exhibit 4.3)</w:t>
              </w:r>
            </w:hyperlink>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40" w:type="dxa"/>
            <w:vAlign w:val="bottom"/>
            <w:gridSpan w:val="3"/>
          </w:tcPr>
          <w:p>
            <w:pPr>
              <w:spacing w:after="0"/>
              <w:rPr>
                <w:rFonts w:ascii="Arial" w:cs="Arial" w:eastAsia="Arial" w:hAnsi="Arial"/>
                <w:sz w:val="16"/>
                <w:szCs w:val="16"/>
                <w:color w:val="0000FF"/>
                <w:w w:val="98"/>
              </w:rPr>
            </w:pPr>
            <w:hyperlink w:anchor="page33">
              <w:r>
                <w:rPr>
                  <w:rFonts w:ascii="Arial" w:cs="Arial" w:eastAsia="Arial" w:hAnsi="Arial"/>
                  <w:sz w:val="16"/>
                  <w:szCs w:val="16"/>
                  <w:color w:val="0000FF"/>
                  <w:w w:val="98"/>
                </w:rPr>
                <w:t>1.</w:t>
              </w:r>
              <w:r>
                <w:rPr>
                  <w:rFonts w:ascii="Arial" w:cs="Arial" w:eastAsia="Arial" w:hAnsi="Arial"/>
                  <w:sz w:val="16"/>
                  <w:szCs w:val="16"/>
                  <w:u w:val="single" w:color="auto"/>
                  <w:color w:val="0000FF"/>
                  <w:w w:val="98"/>
                </w:rPr>
                <w:t>1</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60" w:type="dxa"/>
            <w:vAlign w:val="bottom"/>
            <w:gridSpan w:val="11"/>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Certification by the Chief Executive Officer pursuant to Section 302 of the Sarbanes-Oxley Act of 2002 (filed herewith)</w:t>
              </w:r>
            </w:hyperlink>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466"/>
        </w:trPr>
        <w:tc>
          <w:tcPr>
            <w:tcW w:w="24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8"/>
              </w:rPr>
            </w:pPr>
            <w:hyperlink w:anchor="page34">
              <w:r>
                <w:rPr>
                  <w:rFonts w:ascii="Arial" w:cs="Arial" w:eastAsia="Arial" w:hAnsi="Arial"/>
                  <w:sz w:val="16"/>
                  <w:szCs w:val="16"/>
                  <w:color w:val="0000FF"/>
                  <w:w w:val="98"/>
                </w:rPr>
                <w:t>1.</w:t>
              </w:r>
              <w:r>
                <w:rPr>
                  <w:rFonts w:ascii="Arial" w:cs="Arial" w:eastAsia="Arial" w:hAnsi="Arial"/>
                  <w:sz w:val="16"/>
                  <w:szCs w:val="16"/>
                  <w:u w:val="single" w:color="auto"/>
                  <w:color w:val="0000FF"/>
                  <w:w w:val="98"/>
                </w:rPr>
                <w:t>2</w:t>
              </w:r>
            </w:hyperlink>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2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Certification by the Chief Financial Officer pursuant to Section 302 of the Sarbanes-Oxley Act of 2002 (filed herewith).</w:t>
              </w:r>
            </w:hyperlink>
          </w:p>
        </w:tc>
        <w:tc>
          <w:tcPr>
            <w:tcW w:w="14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480" w:type="dxa"/>
            <w:vAlign w:val="bottom"/>
            <w:gridSpan w:val="4"/>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2.</w:t>
              </w:r>
              <w:r>
                <w:rPr>
                  <w:rFonts w:ascii="Arial" w:cs="Arial" w:eastAsia="Arial" w:hAnsi="Arial"/>
                  <w:sz w:val="16"/>
                  <w:szCs w:val="16"/>
                  <w:u w:val="single" w:color="auto"/>
                  <w:color w:val="0000FF"/>
                </w:rPr>
                <w:t>1</w:t>
              </w:r>
            </w:hyperlink>
          </w:p>
        </w:tc>
        <w:tc>
          <w:tcPr>
            <w:tcW w:w="9920" w:type="dxa"/>
            <w:vAlign w:val="bottom"/>
            <w:gridSpan w:val="12"/>
          </w:tcPr>
          <w:p>
            <w:pPr>
              <w:ind w:left="60"/>
              <w:spacing w:after="0"/>
              <w:rPr>
                <w:rFonts w:ascii="Arial" w:cs="Arial" w:eastAsia="Arial" w:hAnsi="Arial"/>
                <w:sz w:val="16"/>
                <w:szCs w:val="16"/>
                <w:color w:val="0000FF"/>
              </w:rPr>
            </w:pPr>
            <w:hyperlink w:anchor="page35">
              <w:r>
                <w:rPr>
                  <w:rFonts w:ascii="Arial" w:cs="Arial" w:eastAsia="Arial" w:hAnsi="Arial"/>
                  <w:sz w:val="16"/>
                  <w:szCs w:val="16"/>
                  <w:color w:val="0000FF"/>
                </w:rPr>
                <w:t>Certification by the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520" w:type="dxa"/>
            <w:vAlign w:val="bottom"/>
            <w:tcBorders>
              <w:top w:val="single" w:sz="8" w:color="0000FF"/>
            </w:tcBorders>
            <w:gridSpan w:val="9"/>
          </w:tcPr>
          <w:p>
            <w:pPr>
              <w:ind w:left="500"/>
              <w:spacing w:after="0" w:line="142" w:lineRule="exact"/>
              <w:rPr>
                <w:rFonts w:ascii="Arial" w:cs="Arial" w:eastAsia="Arial" w:hAnsi="Arial"/>
                <w:sz w:val="16"/>
                <w:szCs w:val="16"/>
                <w:color w:val="0000FF"/>
              </w:rPr>
            </w:pPr>
            <w:hyperlink w:anchor="page35">
              <w:r>
                <w:rPr>
                  <w:rFonts w:ascii="Arial" w:cs="Arial" w:eastAsia="Arial" w:hAnsi="Arial"/>
                  <w:sz w:val="16"/>
                  <w:szCs w:val="16"/>
                  <w:color w:val="0000FF"/>
                </w:rPr>
                <w:t>Oxley Act of 2002 (furnished herewith).</w:t>
              </w:r>
            </w:hyperlink>
          </w:p>
        </w:tc>
        <w:tc>
          <w:tcPr>
            <w:tcW w:w="3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gridSpan w:val="4"/>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2.</w:t>
              </w:r>
              <w:r>
                <w:rPr>
                  <w:rFonts w:ascii="Arial" w:cs="Arial" w:eastAsia="Arial" w:hAnsi="Arial"/>
                  <w:sz w:val="16"/>
                  <w:szCs w:val="16"/>
                  <w:u w:val="single" w:color="auto"/>
                  <w:color w:val="0000FF"/>
                </w:rPr>
                <w:t>2</w:t>
              </w:r>
            </w:hyperlink>
          </w:p>
        </w:tc>
        <w:tc>
          <w:tcPr>
            <w:tcW w:w="9920" w:type="dxa"/>
            <w:vAlign w:val="bottom"/>
            <w:gridSpan w:val="12"/>
          </w:tcPr>
          <w:p>
            <w:pPr>
              <w:ind w:left="60"/>
              <w:spacing w:after="0"/>
              <w:rPr>
                <w:rFonts w:ascii="Arial" w:cs="Arial" w:eastAsia="Arial" w:hAnsi="Arial"/>
                <w:sz w:val="16"/>
                <w:szCs w:val="16"/>
                <w:color w:val="0000FF"/>
              </w:rPr>
            </w:pPr>
            <w:hyperlink w:anchor="page36">
              <w:r>
                <w:rPr>
                  <w:rFonts w:ascii="Arial" w:cs="Arial" w:eastAsia="Arial" w:hAnsi="Arial"/>
                  <w:sz w:val="16"/>
                  <w:szCs w:val="16"/>
                  <w:color w:val="0000FF"/>
                </w:rPr>
                <w:t>Certification by the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42"/>
        </w:trPr>
        <w:tc>
          <w:tcPr>
            <w:tcW w:w="1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60" w:type="dxa"/>
            <w:vAlign w:val="bottom"/>
            <w:tcBorders>
              <w:top w:val="single" w:sz="8" w:color="0000FF"/>
            </w:tcBorders>
            <w:gridSpan w:val="8"/>
          </w:tcPr>
          <w:p>
            <w:pPr>
              <w:ind w:left="500"/>
              <w:spacing w:after="0" w:line="142" w:lineRule="exact"/>
              <w:rPr>
                <w:rFonts w:ascii="Arial" w:cs="Arial" w:eastAsia="Arial" w:hAnsi="Arial"/>
                <w:sz w:val="16"/>
                <w:szCs w:val="16"/>
                <w:color w:val="0000FF"/>
              </w:rPr>
            </w:pPr>
            <w:hyperlink w:anchor="page36">
              <w:r>
                <w:rPr>
                  <w:rFonts w:ascii="Arial" w:cs="Arial" w:eastAsia="Arial" w:hAnsi="Arial"/>
                  <w:sz w:val="16"/>
                  <w:szCs w:val="16"/>
                  <w:color w:val="0000FF"/>
                </w:rPr>
                <w:t>Oxley Act of 2002 (furnished herewith).</w:t>
              </w:r>
            </w:hyperlink>
          </w:p>
        </w:tc>
        <w:tc>
          <w:tcPr>
            <w:tcW w:w="4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tcBorders>
              <w:top w:val="single" w:sz="8" w:color="0000FF"/>
            </w:tcBorders>
          </w:tcPr>
          <w:p>
            <w:pPr>
              <w:spacing w:after="0"/>
              <w:rPr>
                <w:sz w:val="11"/>
                <w:szCs w:val="11"/>
                <w:color w:val="auto"/>
              </w:rPr>
            </w:pPr>
          </w:p>
        </w:tc>
        <w:tc>
          <w:tcPr>
            <w:tcW w:w="1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20"/>
                <w:szCs w:val="20"/>
                <w:color w:val="auto"/>
              </w:rPr>
            </w:pPr>
            <w:r>
              <w:rPr>
                <w:rFonts w:ascii="Arial" w:cs="Arial" w:eastAsia="Arial" w:hAnsi="Arial"/>
                <w:sz w:val="13"/>
                <w:szCs w:val="13"/>
                <w:color w:val="auto"/>
                <w:w w:val="73"/>
              </w:rPr>
              <w:t>1.</w:t>
            </w:r>
          </w:p>
        </w:tc>
        <w:tc>
          <w:tcPr>
            <w:tcW w:w="38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INS</w:t>
            </w:r>
          </w:p>
        </w:tc>
        <w:tc>
          <w:tcPr>
            <w:tcW w:w="9920" w:type="dxa"/>
            <w:vAlign w:val="bottom"/>
            <w:gridSpan w:val="12"/>
            <w:shd w:val="clear" w:color="auto" w:fill="CCEEFF"/>
          </w:tcPr>
          <w:p>
            <w:pPr>
              <w:ind w:left="60"/>
              <w:spacing w:after="0" w:line="178"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60" w:type="dxa"/>
            <w:vAlign w:val="bottom"/>
            <w:gridSpan w:val="11"/>
            <w:shd w:val="clear" w:color="auto" w:fill="CCEEFF"/>
          </w:tcPr>
          <w:p>
            <w:pPr>
              <w:ind w:left="500"/>
              <w:spacing w:after="0"/>
              <w:rPr>
                <w:sz w:val="20"/>
                <w:szCs w:val="20"/>
                <w:color w:val="auto"/>
              </w:rPr>
            </w:pPr>
            <w:r>
              <w:rPr>
                <w:rFonts w:ascii="Arial" w:cs="Arial" w:eastAsia="Arial" w:hAnsi="Arial"/>
                <w:sz w:val="16"/>
                <w:szCs w:val="16"/>
                <w:color w:val="auto"/>
              </w:rPr>
              <w:t>within the Inline XBRL document (furnished herewith).</w:t>
            </w:r>
          </w:p>
        </w:tc>
        <w:tc>
          <w:tcPr>
            <w:tcW w:w="0" w:type="dxa"/>
            <w:vAlign w:val="bottom"/>
          </w:tcPr>
          <w:p>
            <w:pPr>
              <w:spacing w:after="0"/>
              <w:rPr>
                <w:sz w:val="1"/>
                <w:szCs w:val="1"/>
                <w:color w:val="auto"/>
              </w:rPr>
            </w:pPr>
          </w:p>
        </w:tc>
      </w:tr>
      <w:tr>
        <w:trPr>
          <w:trHeight w:val="318"/>
        </w:trPr>
        <w:tc>
          <w:tcPr>
            <w:tcW w:w="480" w:type="dxa"/>
            <w:vAlign w:val="bottom"/>
            <w:gridSpan w:val="4"/>
          </w:tcPr>
          <w:p>
            <w:pPr>
              <w:ind w:left="20"/>
              <w:spacing w:after="0"/>
              <w:rPr>
                <w:sz w:val="20"/>
                <w:szCs w:val="20"/>
                <w:color w:val="auto"/>
              </w:rPr>
            </w:pPr>
            <w:r>
              <w:rPr>
                <w:rFonts w:ascii="Arial" w:cs="Arial" w:eastAsia="Arial" w:hAnsi="Arial"/>
                <w:sz w:val="16"/>
                <w:szCs w:val="16"/>
                <w:color w:val="auto"/>
              </w:rPr>
              <w:t>.SCH</w:t>
            </w:r>
          </w:p>
        </w:tc>
        <w:tc>
          <w:tcPr>
            <w:tcW w:w="9920" w:type="dxa"/>
            <w:vAlign w:val="bottom"/>
            <w:gridSpan w:val="12"/>
          </w:tcPr>
          <w:p>
            <w:pPr>
              <w:ind w:left="60"/>
              <w:spacing w:after="0"/>
              <w:rPr>
                <w:sz w:val="20"/>
                <w:szCs w:val="20"/>
                <w:color w:val="auto"/>
              </w:rPr>
            </w:pPr>
            <w:r>
              <w:rPr>
                <w:rFonts w:ascii="Arial" w:cs="Arial" w:eastAsia="Arial" w:hAnsi="Arial"/>
                <w:sz w:val="16"/>
                <w:szCs w:val="16"/>
                <w:color w:val="auto"/>
              </w:rPr>
              <w:t>Inline XBRL Taxonomy Extension Schema Document (furnished herewith).</w:t>
            </w:r>
          </w:p>
        </w:tc>
        <w:tc>
          <w:tcPr>
            <w:tcW w:w="0" w:type="dxa"/>
            <w:vAlign w:val="bottom"/>
          </w:tcPr>
          <w:p>
            <w:pPr>
              <w:spacing w:after="0"/>
              <w:rPr>
                <w:sz w:val="1"/>
                <w:szCs w:val="1"/>
                <w:color w:val="auto"/>
              </w:rPr>
            </w:pPr>
          </w:p>
        </w:tc>
      </w:tr>
      <w:tr>
        <w:trPr>
          <w:trHeight w:val="114"/>
        </w:trPr>
        <w:tc>
          <w:tcPr>
            <w:tcW w:w="1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.CAL</w:t>
            </w:r>
          </w:p>
        </w:tc>
        <w:tc>
          <w:tcPr>
            <w:tcW w:w="9920" w:type="dxa"/>
            <w:vAlign w:val="bottom"/>
            <w:gridSpan w:val="12"/>
            <w:shd w:val="clear" w:color="auto" w:fill="CCEEFF"/>
          </w:tcPr>
          <w:p>
            <w:pPr>
              <w:ind w:left="60"/>
              <w:spacing w:after="0"/>
              <w:rPr>
                <w:sz w:val="20"/>
                <w:szCs w:val="20"/>
                <w:color w:val="auto"/>
              </w:rPr>
            </w:pPr>
            <w:r>
              <w:rPr>
                <w:rFonts w:ascii="Arial" w:cs="Arial" w:eastAsia="Arial" w:hAnsi="Arial"/>
                <w:sz w:val="16"/>
                <w:szCs w:val="16"/>
                <w:color w:val="auto"/>
              </w:rPr>
              <w:t>Inline XBRL Taxonomy Calculation Linkbase Document (furnished herewith).</w:t>
            </w:r>
          </w:p>
        </w:tc>
        <w:tc>
          <w:tcPr>
            <w:tcW w:w="0" w:type="dxa"/>
            <w:vAlign w:val="bottom"/>
          </w:tcPr>
          <w:p>
            <w:pPr>
              <w:spacing w:after="0"/>
              <w:rPr>
                <w:sz w:val="1"/>
                <w:szCs w:val="1"/>
                <w:color w:val="auto"/>
              </w:rPr>
            </w:pPr>
          </w:p>
        </w:tc>
      </w:tr>
      <w:tr>
        <w:trPr>
          <w:trHeight w:val="318"/>
        </w:trPr>
        <w:tc>
          <w:tcPr>
            <w:tcW w:w="480" w:type="dxa"/>
            <w:vAlign w:val="bottom"/>
            <w:gridSpan w:val="4"/>
          </w:tcPr>
          <w:p>
            <w:pPr>
              <w:ind w:left="20"/>
              <w:spacing w:after="0"/>
              <w:rPr>
                <w:sz w:val="20"/>
                <w:szCs w:val="20"/>
                <w:color w:val="auto"/>
              </w:rPr>
            </w:pPr>
            <w:r>
              <w:rPr>
                <w:rFonts w:ascii="Arial" w:cs="Arial" w:eastAsia="Arial" w:hAnsi="Arial"/>
                <w:sz w:val="16"/>
                <w:szCs w:val="16"/>
                <w:color w:val="auto"/>
              </w:rPr>
              <w:t>.DEF</w:t>
            </w:r>
          </w:p>
        </w:tc>
        <w:tc>
          <w:tcPr>
            <w:tcW w:w="9920" w:type="dxa"/>
            <w:vAlign w:val="bottom"/>
            <w:gridSpan w:val="12"/>
          </w:tcPr>
          <w:p>
            <w:pPr>
              <w:ind w:left="60"/>
              <w:spacing w:after="0"/>
              <w:rPr>
                <w:sz w:val="20"/>
                <w:szCs w:val="20"/>
                <w:color w:val="auto"/>
              </w:rPr>
            </w:pPr>
            <w:r>
              <w:rPr>
                <w:rFonts w:ascii="Arial" w:cs="Arial" w:eastAsia="Arial" w:hAnsi="Arial"/>
                <w:sz w:val="16"/>
                <w:szCs w:val="16"/>
                <w:color w:val="auto"/>
              </w:rPr>
              <w:t>Inline XBRL Taxonomy Extension Definition Linkbase Document (furnished herewith).</w:t>
            </w:r>
          </w:p>
        </w:tc>
        <w:tc>
          <w:tcPr>
            <w:tcW w:w="0" w:type="dxa"/>
            <w:vAlign w:val="bottom"/>
          </w:tcPr>
          <w:p>
            <w:pPr>
              <w:spacing w:after="0"/>
              <w:rPr>
                <w:sz w:val="1"/>
                <w:szCs w:val="1"/>
                <w:color w:val="auto"/>
              </w:rPr>
            </w:pPr>
          </w:p>
        </w:tc>
      </w:tr>
      <w:tr>
        <w:trPr>
          <w:trHeight w:val="114"/>
        </w:trPr>
        <w:tc>
          <w:tcPr>
            <w:tcW w:w="180" w:type="dxa"/>
            <w:vAlign w:val="bottom"/>
            <w:gridSpan w:val="2"/>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3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.LAB</w:t>
            </w:r>
          </w:p>
        </w:tc>
        <w:tc>
          <w:tcPr>
            <w:tcW w:w="9920" w:type="dxa"/>
            <w:vAlign w:val="bottom"/>
            <w:gridSpan w:val="12"/>
            <w:shd w:val="clear" w:color="auto" w:fill="CCEEFF"/>
          </w:tcPr>
          <w:p>
            <w:pPr>
              <w:ind w:left="60"/>
              <w:spacing w:after="0"/>
              <w:rPr>
                <w:sz w:val="20"/>
                <w:szCs w:val="20"/>
                <w:color w:val="auto"/>
              </w:rPr>
            </w:pPr>
            <w:r>
              <w:rPr>
                <w:rFonts w:ascii="Arial" w:cs="Arial" w:eastAsia="Arial" w:hAnsi="Arial"/>
                <w:sz w:val="16"/>
                <w:szCs w:val="16"/>
                <w:color w:val="auto"/>
              </w:rPr>
              <w:t>Inline XBRL Taxonomy Label Linkbase Document (furnished herewith).</w:t>
            </w:r>
          </w:p>
        </w:tc>
        <w:tc>
          <w:tcPr>
            <w:tcW w:w="0" w:type="dxa"/>
            <w:vAlign w:val="bottom"/>
          </w:tcPr>
          <w:p>
            <w:pPr>
              <w:spacing w:after="0"/>
              <w:rPr>
                <w:sz w:val="1"/>
                <w:szCs w:val="1"/>
                <w:color w:val="auto"/>
              </w:rPr>
            </w:pPr>
          </w:p>
        </w:tc>
      </w:tr>
      <w:tr>
        <w:trPr>
          <w:trHeight w:val="318"/>
        </w:trPr>
        <w:tc>
          <w:tcPr>
            <w:tcW w:w="480" w:type="dxa"/>
            <w:vAlign w:val="bottom"/>
            <w:gridSpan w:val="4"/>
          </w:tcPr>
          <w:p>
            <w:pPr>
              <w:ind w:left="20"/>
              <w:spacing w:after="0"/>
              <w:rPr>
                <w:sz w:val="20"/>
                <w:szCs w:val="20"/>
                <w:color w:val="auto"/>
              </w:rPr>
            </w:pPr>
            <w:r>
              <w:rPr>
                <w:rFonts w:ascii="Arial" w:cs="Arial" w:eastAsia="Arial" w:hAnsi="Arial"/>
                <w:sz w:val="16"/>
                <w:szCs w:val="16"/>
                <w:color w:val="auto"/>
              </w:rPr>
              <w:t>.PRE</w:t>
            </w:r>
          </w:p>
        </w:tc>
        <w:tc>
          <w:tcPr>
            <w:tcW w:w="9920" w:type="dxa"/>
            <w:vAlign w:val="bottom"/>
            <w:gridSpan w:val="12"/>
          </w:tcPr>
          <w:p>
            <w:pPr>
              <w:ind w:left="60"/>
              <w:spacing w:after="0"/>
              <w:rPr>
                <w:sz w:val="20"/>
                <w:szCs w:val="20"/>
                <w:color w:val="auto"/>
              </w:rPr>
            </w:pPr>
            <w:r>
              <w:rPr>
                <w:rFonts w:ascii="Arial" w:cs="Arial" w:eastAsia="Arial" w:hAnsi="Arial"/>
                <w:sz w:val="16"/>
                <w:szCs w:val="16"/>
                <w:color w:val="auto"/>
              </w:rPr>
              <w:t>Inline XBRL Taxonomy Presentation Linkbase Document (furnished herewith).</w:t>
            </w:r>
          </w:p>
        </w:tc>
        <w:tc>
          <w:tcPr>
            <w:tcW w:w="0" w:type="dxa"/>
            <w:vAlign w:val="bottom"/>
          </w:tcPr>
          <w:p>
            <w:pPr>
              <w:spacing w:after="0"/>
              <w:rPr>
                <w:sz w:val="1"/>
                <w:szCs w:val="1"/>
                <w:color w:val="auto"/>
              </w:rPr>
            </w:pPr>
          </w:p>
        </w:tc>
      </w:tr>
      <w:tr>
        <w:trPr>
          <w:trHeight w:val="324"/>
        </w:trPr>
        <w:tc>
          <w:tcPr>
            <w:tcW w:w="240" w:type="dxa"/>
            <w:vAlign w:val="bottom"/>
            <w:gridSpan w:val="3"/>
          </w:tcPr>
          <w:p>
            <w:pPr>
              <w:ind w:left="20"/>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24"/>
                <w:szCs w:val="24"/>
                <w:color w:val="auto"/>
              </w:rPr>
            </w:pPr>
          </w:p>
        </w:tc>
        <w:tc>
          <w:tcPr>
            <w:tcW w:w="9920" w:type="dxa"/>
            <w:vAlign w:val="bottom"/>
            <w:gridSpan w:val="12"/>
          </w:tcPr>
          <w:p>
            <w:pPr>
              <w:ind w:left="60"/>
              <w:spacing w:after="0"/>
              <w:rPr>
                <w:sz w:val="20"/>
                <w:szCs w:val="20"/>
                <w:color w:val="auto"/>
              </w:rPr>
            </w:pPr>
            <w:r>
              <w:rPr>
                <w:rFonts w:ascii="Arial" w:cs="Arial" w:eastAsia="Arial" w:hAnsi="Arial"/>
                <w:sz w:val="16"/>
                <w:szCs w:val="16"/>
                <w:color w:val="auto"/>
              </w:rPr>
              <w:t>Cover Page Interactive Data File (formatted in Inline XBRL and contained in Exhibit 101) (furnished 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-2704465</wp:posOffset>
            </wp:positionV>
            <wp:extent cx="6532245" cy="240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532245" cy="24003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-2087245</wp:posOffset>
            </wp:positionV>
            <wp:extent cx="6532245" cy="2400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532245" cy="24003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-132715</wp:posOffset>
            </wp:positionV>
            <wp:extent cx="6532245" cy="2400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53224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57785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220" w:top="141" w:right="127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66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WINNEBAGO INDUSTRIES, INC.</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140" w:type="dxa"/>
            <w:vAlign w:val="bottom"/>
          </w:tcPr>
          <w:p>
            <w:pPr>
              <w:ind w:left="160"/>
              <w:spacing w:after="0"/>
              <w:rPr>
                <w:sz w:val="20"/>
                <w:szCs w:val="20"/>
                <w:color w:val="auto"/>
              </w:rPr>
            </w:pPr>
            <w:r>
              <w:rPr>
                <w:rFonts w:ascii="Arial" w:cs="Arial" w:eastAsia="Arial" w:hAnsi="Arial"/>
                <w:sz w:val="16"/>
                <w:szCs w:val="16"/>
                <w:color w:val="auto"/>
              </w:rPr>
              <w:t>December 17, 2021</w:t>
            </w: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Michael J. Happe</w:t>
            </w:r>
          </w:p>
        </w:tc>
      </w:tr>
      <w:tr>
        <w:trPr>
          <w:trHeight w:val="261"/>
        </w:trPr>
        <w:tc>
          <w:tcPr>
            <w:tcW w:w="5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Michael J. Happe</w:t>
            </w:r>
          </w:p>
        </w:tc>
      </w:tr>
      <w:tr>
        <w:trPr>
          <w:trHeight w:val="270"/>
        </w:trPr>
        <w:tc>
          <w:tcPr>
            <w:tcW w:w="54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Chief Executive Officer, President</w:t>
            </w:r>
          </w:p>
        </w:tc>
      </w:tr>
      <w:tr>
        <w:trPr>
          <w:trHeight w:val="216"/>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435"/>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3140" w:type="dxa"/>
            <w:vAlign w:val="bottom"/>
          </w:tcPr>
          <w:p>
            <w:pPr>
              <w:ind w:left="160"/>
              <w:spacing w:after="0"/>
              <w:rPr>
                <w:sz w:val="20"/>
                <w:szCs w:val="20"/>
                <w:color w:val="auto"/>
              </w:rPr>
            </w:pPr>
            <w:r>
              <w:rPr>
                <w:rFonts w:ascii="Arial" w:cs="Arial" w:eastAsia="Arial" w:hAnsi="Arial"/>
                <w:sz w:val="16"/>
                <w:szCs w:val="16"/>
                <w:color w:val="auto"/>
              </w:rPr>
              <w:t>December 17, 2021</w:t>
            </w:r>
          </w:p>
        </w:tc>
        <w:tc>
          <w:tcPr>
            <w:tcW w:w="7240" w:type="dxa"/>
            <w:vAlign w:val="bottom"/>
            <w:gridSpan w:val="2"/>
          </w:tcPr>
          <w:p>
            <w:pPr>
              <w:ind w:left="15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i w:val="1"/>
                <w:iCs w:val="1"/>
                <w:color w:val="auto"/>
              </w:rPr>
              <w:t>/s/ Bryan L. Hughes</w:t>
            </w:r>
          </w:p>
        </w:tc>
      </w:tr>
      <w:tr>
        <w:trPr>
          <w:trHeight w:val="206"/>
        </w:trPr>
        <w:tc>
          <w:tcPr>
            <w:tcW w:w="54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52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Bryan L. Hughes</w:t>
            </w:r>
          </w:p>
        </w:tc>
      </w:tr>
      <w:tr>
        <w:trPr>
          <w:trHeight w:val="216"/>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Chief Financial Officer and Senior Vice President</w:t>
            </w:r>
          </w:p>
        </w:tc>
      </w:tr>
      <w:tr>
        <w:trPr>
          <w:trHeight w:val="216"/>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940"/>
          </w:cols>
          <w:pgMar w:left="320" w:top="141" w:right="6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Chief Executive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680"/>
        <w:spacing w:after="0"/>
        <w:tabs>
          <w:tab w:leader="none" w:pos="1560" w:val="left"/>
          <w:tab w:leader="none" w:pos="642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17, 2021</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20955</wp:posOffset>
            </wp:positionV>
            <wp:extent cx="25457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9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color w:val="auto"/>
        </w:rPr>
        <w:t>Exhibit 31.2</w:t>
      </w:r>
    </w:p>
    <w:p>
      <w:pPr>
        <w:spacing w:after="0" w:line="25"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5"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AS ADOPTED PURSUANT TO SECTION 302</w:t>
      </w:r>
    </w:p>
    <w:p>
      <w:pPr>
        <w:spacing w:after="0" w:line="5"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OF THE SARBANES-OXLEY ACT OF 2002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Chief Financial Officer of Winnebago Industries, Inc., certify that:</w:t>
      </w:r>
    </w:p>
    <w:p>
      <w:pPr>
        <w:spacing w:after="0" w:line="248"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248" w:lineRule="exact"/>
        <w:rPr>
          <w:rFonts w:ascii="Arial" w:cs="Arial" w:eastAsia="Arial" w:hAnsi="Arial"/>
          <w:sz w:val="16"/>
          <w:szCs w:val="16"/>
          <w:color w:val="auto"/>
        </w:rPr>
      </w:pPr>
    </w:p>
    <w:p>
      <w:pPr>
        <w:jc w:val="both"/>
        <w:ind w:left="340" w:right="440" w:hanging="332"/>
        <w:spacing w:after="0" w:line="25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2" w:lineRule="exact"/>
        <w:rPr>
          <w:rFonts w:ascii="Arial" w:cs="Arial" w:eastAsia="Arial" w:hAnsi="Arial"/>
          <w:sz w:val="16"/>
          <w:szCs w:val="16"/>
          <w:color w:val="auto"/>
        </w:rPr>
      </w:pPr>
    </w:p>
    <w:p>
      <w:pPr>
        <w:ind w:left="340" w:right="180" w:hanging="332"/>
        <w:spacing w:after="0" w:line="25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6"/>
          <w:szCs w:val="16"/>
          <w:color w:val="auto"/>
        </w:rPr>
      </w:pPr>
    </w:p>
    <w:p>
      <w:pPr>
        <w:ind w:left="660" w:right="300" w:hanging="328"/>
        <w:spacing w:after="0" w:line="253"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6"/>
          <w:szCs w:val="16"/>
          <w:color w:val="auto"/>
        </w:rPr>
      </w:pPr>
    </w:p>
    <w:p>
      <w:pPr>
        <w:ind w:left="660" w:right="20" w:hanging="328"/>
        <w:spacing w:after="0" w:line="253"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6"/>
          <w:szCs w:val="16"/>
          <w:color w:val="auto"/>
        </w:rPr>
      </w:pPr>
    </w:p>
    <w:p>
      <w:pPr>
        <w:jc w:val="both"/>
        <w:ind w:left="660" w:right="820" w:hanging="328"/>
        <w:spacing w:after="0" w:line="260" w:lineRule="auto"/>
        <w:tabs>
          <w:tab w:leader="none" w:pos="651"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2"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6"/>
          <w:szCs w:val="16"/>
          <w:color w:val="auto"/>
        </w:rPr>
      </w:pPr>
    </w:p>
    <w:p>
      <w:pPr>
        <w:ind w:left="340" w:right="440" w:hanging="332"/>
        <w:spacing w:after="0" w:line="260"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22" w:lineRule="exact"/>
        <w:rPr>
          <w:rFonts w:ascii="Arial" w:cs="Arial" w:eastAsia="Arial" w:hAnsi="Arial"/>
          <w:sz w:val="16"/>
          <w:szCs w:val="16"/>
          <w:color w:val="auto"/>
        </w:rPr>
      </w:pPr>
    </w:p>
    <w:p>
      <w:pPr>
        <w:ind w:left="660" w:right="60" w:hanging="328"/>
        <w:spacing w:after="0" w:line="260"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2" w:lineRule="exact"/>
        <w:rPr>
          <w:rFonts w:ascii="Arial" w:cs="Arial" w:eastAsia="Arial" w:hAnsi="Arial"/>
          <w:sz w:val="16"/>
          <w:szCs w:val="16"/>
          <w:color w:val="auto"/>
        </w:rPr>
      </w:pPr>
    </w:p>
    <w:p>
      <w:pPr>
        <w:ind w:left="660" w:right="360" w:hanging="328"/>
        <w:spacing w:after="0" w:line="260"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47" w:lineRule="exact"/>
        <w:rPr>
          <w:sz w:val="20"/>
          <w:szCs w:val="20"/>
          <w:color w:val="auto"/>
        </w:rPr>
      </w:pPr>
    </w:p>
    <w:p>
      <w:pPr>
        <w:ind w:left="1140"/>
        <w:spacing w:after="0"/>
        <w:tabs>
          <w:tab w:leader="none" w:pos="1760" w:val="left"/>
          <w:tab w:leader="none" w:pos="6480" w:val="left"/>
        </w:tabs>
        <w:rPr>
          <w:sz w:val="20"/>
          <w:szCs w:val="20"/>
          <w:color w:val="auto"/>
        </w:rPr>
      </w:pPr>
      <w:r>
        <w:rPr>
          <w:rFonts w:ascii="Arial" w:cs="Arial" w:eastAsia="Arial" w:hAnsi="Arial"/>
          <w:sz w:val="16"/>
          <w:szCs w:val="16"/>
          <w:color w:val="auto"/>
        </w:rPr>
        <w:t>Date:</w:t>
        <w:tab/>
        <w:t>December 17, 2021</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20955</wp:posOffset>
            </wp:positionV>
            <wp:extent cx="24599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4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Senior Vice President, Chief Financial Officer</w:t>
      </w:r>
    </w:p>
    <w:p>
      <w:pPr>
        <w:sectPr>
          <w:pgSz w:w="11900" w:h="16838" w:orient="portrait"/>
          <w:cols w:equalWidth="0" w:num="1">
            <w:col w:w="11240"/>
          </w:cols>
          <w:pgMar w:left="320" w:top="89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Michael J. Happe, Chief Executive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700" w:hanging="328"/>
        <w:spacing w:after="0" w:line="260"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November 27, 2021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73" w:lineRule="exact"/>
        <w:rPr>
          <w:sz w:val="20"/>
          <w:szCs w:val="20"/>
          <w:color w:val="auto"/>
        </w:rPr>
      </w:pPr>
    </w:p>
    <w:p>
      <w:pPr>
        <w:ind w:left="720"/>
        <w:spacing w:after="0"/>
        <w:tabs>
          <w:tab w:leader="none" w:pos="1540" w:val="left"/>
          <w:tab w:leader="none" w:pos="6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17, 2021</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20955</wp:posOffset>
            </wp:positionV>
            <wp:extent cx="27006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700655" cy="8255"/>
                    </a:xfrm>
                    <a:prstGeom prst="rect">
                      <a:avLst/>
                    </a:prstGeom>
                    <a:noFill/>
                  </pic:spPr>
                </pic:pic>
              </a:graphicData>
            </a:graphic>
          </wp:anchor>
        </w:drawing>
      </w:r>
    </w:p>
    <w:p>
      <w:pPr>
        <w:spacing w:after="0" w:line="9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CERTIFICATION BY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Pursuant to 18 U.S.C. Section 1350, as adopted pursuant to Section 906 of the Sarbanes-Oxley Act of 2002, I, Bryan L. Hughes, Chief Financial Officer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 (the "Company"), hereby certify that to my knowledge:</w:t>
      </w:r>
    </w:p>
    <w:p>
      <w:pPr>
        <w:spacing w:after="0" w:line="248" w:lineRule="exact"/>
        <w:rPr>
          <w:sz w:val="20"/>
          <w:szCs w:val="20"/>
          <w:color w:val="auto"/>
        </w:rPr>
      </w:pPr>
    </w:p>
    <w:p>
      <w:pPr>
        <w:ind w:left="660" w:right="700" w:hanging="328"/>
        <w:spacing w:after="0" w:line="260"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Quarterly Report on Form 10-Q for the fiscal quarter ended November 27, 2021 (the "Report") of the Company, fully complies with the requirements of Section 13(a) or 15(d) of the Securities Exchange Act of 1934, and</w:t>
      </w:r>
    </w:p>
    <w:p>
      <w:pPr>
        <w:spacing w:after="0" w:line="222"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this Report fairly presents, in all material respects, the financial condition and results of operations of the Company.</w:t>
      </w:r>
    </w:p>
    <w:p>
      <w:pPr>
        <w:spacing w:after="0" w:line="273" w:lineRule="exact"/>
        <w:rPr>
          <w:sz w:val="20"/>
          <w:szCs w:val="20"/>
          <w:color w:val="auto"/>
        </w:rPr>
      </w:pPr>
    </w:p>
    <w:p>
      <w:pPr>
        <w:ind w:left="700"/>
        <w:spacing w:after="0"/>
        <w:tabs>
          <w:tab w:leader="none" w:pos="1400" w:val="left"/>
          <w:tab w:leader="none" w:pos="65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December 17, 2021</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20955</wp:posOffset>
            </wp:positionV>
            <wp:extent cx="2691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4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Bryan L. Hughes</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Senior Vice President, 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6" Type="http://schemas.openxmlformats.org/officeDocument/2006/relationships/hyperlink" Target="https://www.sec.gov/Archives/edgar/data/107687/000010768721000035/winnebagoindustriesinc-byl.htm" TargetMode="External"/><Relationship Id="rId47" Type="http://schemas.openxmlformats.org/officeDocument/2006/relationships/hyperlink" Target="http://www.sec.gov/Archives/edgar/data/107687/000110465919059604/a19-21005_2ex4d1.htm" TargetMode="External"/><Relationship Id="rId48" Type="http://schemas.openxmlformats.org/officeDocument/2006/relationships/hyperlink" Target="https://www.sec.gov/Archives/edgar/data/107687/000110465920082433/tm2024371d1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2021-12-17T15:22:11Z</dcterms:created>
  <dcterms:modified xsi:type="dcterms:W3CDTF">2021-12-17T15:22:11Z</dcterms:modified>
</cp:coreProperties>
</file>