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As filed with the Securities and Exchange Commission on March 28,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3049270</wp:posOffset>
            </wp:positionH>
            <wp:positionV relativeFrom="paragraph">
              <wp:posOffset>92075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35" w:lineRule="exact"/>
        <w:rPr>
          <w:sz w:val="24"/>
          <w:szCs w:val="24"/>
          <w:color w:val="auto"/>
        </w:rPr>
      </w:pPr>
    </w:p>
    <w:p>
      <w:pPr>
        <w:jc w:val="center"/>
        <w:ind w:right="100"/>
        <w:spacing w:after="0"/>
        <w:rPr>
          <w:sz w:val="20"/>
          <w:szCs w:val="20"/>
          <w:color w:val="auto"/>
        </w:rPr>
      </w:pPr>
      <w:r>
        <w:rPr>
          <w:rFonts w:ascii="Arial" w:cs="Arial" w:eastAsia="Arial" w:hAnsi="Arial"/>
          <w:sz w:val="25"/>
          <w:szCs w:val="25"/>
          <w:b w:val="1"/>
          <w:bCs w:val="1"/>
          <w:color w:val="auto"/>
        </w:rPr>
        <w:t>FORM S-8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3049270</wp:posOffset>
            </wp:positionH>
            <wp:positionV relativeFrom="paragraph">
              <wp:posOffset>42545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2492375</wp:posOffset>
            </wp:positionH>
            <wp:positionV relativeFrom="paragraph">
              <wp:posOffset>31750</wp:posOffset>
            </wp:positionV>
            <wp:extent cx="2272665" cy="909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72665" cy="909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100" w:type="dxa"/>
        <w:tblCellMar>
          <w:top w:w="0" w:type="dxa"/>
          <w:left w:w="0" w:type="dxa"/>
          <w:bottom w:w="0" w:type="dxa"/>
          <w:right w:w="0" w:type="dxa"/>
        </w:tblCellMar>
      </w:tblPr>
      <w:tr>
        <w:trPr>
          <w:trHeight w:val="228"/>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580" w:type="dxa"/>
            <w:vAlign w:val="bottom"/>
          </w:tcPr>
          <w:p>
            <w:pPr>
              <w:spacing w:after="0"/>
              <w:rPr>
                <w:sz w:val="19"/>
                <w:szCs w:val="19"/>
                <w:color w:val="auto"/>
              </w:rPr>
            </w:pPr>
          </w:p>
        </w:tc>
        <w:tc>
          <w:tcPr>
            <w:tcW w:w="434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b w:val="1"/>
                <w:bCs w:val="1"/>
                <w:color w:val="auto"/>
              </w:rPr>
              <w:t>42-0802678</w:t>
            </w:r>
          </w:p>
        </w:tc>
      </w:tr>
      <w:tr>
        <w:trPr>
          <w:trHeight w:val="237"/>
        </w:trPr>
        <w:tc>
          <w:tcPr>
            <w:tcW w:w="490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80"/>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580" w:type="dxa"/>
            <w:vAlign w:val="bottom"/>
          </w:tcPr>
          <w:p>
            <w:pPr>
              <w:spacing w:after="0"/>
              <w:rPr>
                <w:sz w:val="24"/>
                <w:szCs w:val="24"/>
                <w:color w:val="auto"/>
              </w:rPr>
            </w:pPr>
          </w:p>
        </w:tc>
        <w:tc>
          <w:tcPr>
            <w:tcW w:w="4340" w:type="dxa"/>
            <w:vAlign w:val="bottom"/>
            <w:tcBorders>
              <w:bottom w:val="single" w:sz="8" w:color="auto"/>
            </w:tcBorders>
          </w:tcPr>
          <w:p>
            <w:pPr>
              <w:jc w:val="right"/>
              <w:ind w:right="1879"/>
              <w:spacing w:after="0"/>
              <w:rPr>
                <w:sz w:val="20"/>
                <w:szCs w:val="20"/>
                <w:color w:val="auto"/>
              </w:rPr>
            </w:pPr>
            <w:r>
              <w:rPr>
                <w:rFonts w:ascii="Arial" w:cs="Arial" w:eastAsia="Arial" w:hAnsi="Arial"/>
                <w:sz w:val="16"/>
                <w:szCs w:val="16"/>
                <w:b w:val="1"/>
                <w:bCs w:val="1"/>
                <w:color w:val="auto"/>
              </w:rPr>
              <w:t>50436</w:t>
            </w:r>
          </w:p>
        </w:tc>
      </w:tr>
      <w:tr>
        <w:trPr>
          <w:trHeight w:val="237"/>
        </w:trPr>
        <w:tc>
          <w:tcPr>
            <w:tcW w:w="4900" w:type="dxa"/>
            <w:vAlign w:val="bottom"/>
            <w:gridSpan w:val="2"/>
          </w:tcPr>
          <w:p>
            <w:pPr>
              <w:jc w:val="center"/>
              <w:ind w:right="600"/>
              <w:spacing w:after="0"/>
              <w:rPr>
                <w:sz w:val="20"/>
                <w:szCs w:val="20"/>
                <w:color w:val="auto"/>
              </w:rPr>
            </w:pPr>
            <w:r>
              <w:rPr>
                <w:rFonts w:ascii="Arial" w:cs="Arial" w:eastAsia="Arial" w:hAnsi="Arial"/>
                <w:sz w:val="16"/>
                <w:szCs w:val="16"/>
                <w:color w:val="auto"/>
              </w:rPr>
              <w:t>(Address of principal executive offices)</w:t>
            </w:r>
          </w:p>
        </w:tc>
        <w:tc>
          <w:tcPr>
            <w:tcW w:w="4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29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2014 OMNIBUS EQUITY, PERFORMANCE AWARD, AND INCENTIVE COMPENSATION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31750</wp:posOffset>
            </wp:positionV>
            <wp:extent cx="58661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(Full title of plan)</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Scott C. Folkers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Vice President, General Counsel and Secretary</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Winnebago Industries, Inc.</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P.O. Box 152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Forest City, Iowa 50436</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(641) 585-6809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address, and telephone number of agent for service)</w:t>
      </w:r>
    </w:p>
    <w:p>
      <w:pPr>
        <w:spacing w:after="0" w:line="194" w:lineRule="exact"/>
        <w:rPr>
          <w:sz w:val="24"/>
          <w:szCs w:val="24"/>
          <w:color w:val="auto"/>
        </w:rPr>
      </w:pPr>
    </w:p>
    <w:p>
      <w:pPr>
        <w:ind w:right="20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ind w:left="40"/>
              <w:spacing w:after="0"/>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8"/>
                <w:szCs w:val="18"/>
                <w:color w:val="auto"/>
              </w:rPr>
              <w:t>o</w:t>
            </w:r>
          </w:p>
        </w:tc>
        <w:tc>
          <w:tcPr>
            <w:tcW w:w="2080" w:type="dxa"/>
            <w:vAlign w:val="bottom"/>
          </w:tcPr>
          <w:p>
            <w:pPr>
              <w:jc w:val="right"/>
              <w:ind w:right="619"/>
              <w:spacing w:after="0"/>
              <w:rPr>
                <w:sz w:val="20"/>
                <w:szCs w:val="20"/>
                <w:color w:val="auto"/>
              </w:rPr>
            </w:pPr>
            <w:r>
              <w:rPr>
                <w:rFonts w:ascii="Arial" w:cs="Arial" w:eastAsia="Arial" w:hAnsi="Arial"/>
                <w:sz w:val="16"/>
                <w:szCs w:val="16"/>
                <w:color w:val="auto"/>
              </w:rPr>
              <w:t xml:space="preserve">Accelerated filer </w:t>
            </w:r>
            <w:r>
              <w:rPr>
                <w:rFonts w:ascii="Arial" w:cs="Arial" w:eastAsia="Arial" w:hAnsi="Arial"/>
                <w:sz w:val="18"/>
                <w:szCs w:val="18"/>
                <w:color w:val="auto"/>
              </w:rPr>
              <w:t>x</w:t>
            </w:r>
          </w:p>
        </w:tc>
        <w:tc>
          <w:tcPr>
            <w:tcW w:w="2460" w:type="dxa"/>
            <w:vAlign w:val="bottom"/>
            <w:gridSpan w:val="2"/>
          </w:tcPr>
          <w:p>
            <w:pPr>
              <w:ind w:left="240"/>
              <w:spacing w:after="0"/>
              <w:rPr>
                <w:sz w:val="20"/>
                <w:szCs w:val="20"/>
                <w:color w:val="auto"/>
              </w:rPr>
            </w:pPr>
            <w:r>
              <w:rPr>
                <w:rFonts w:ascii="Arial" w:cs="Arial" w:eastAsia="Arial" w:hAnsi="Arial"/>
                <w:sz w:val="16"/>
                <w:szCs w:val="16"/>
                <w:color w:val="auto"/>
              </w:rPr>
              <w:t xml:space="preserve">Non-accelerated filer </w:t>
            </w:r>
            <w:r>
              <w:rPr>
                <w:rFonts w:ascii="Arial" w:cs="Arial" w:eastAsia="Arial" w:hAnsi="Arial"/>
                <w:sz w:val="18"/>
                <w:szCs w:val="18"/>
                <w:color w:val="auto"/>
              </w:rPr>
              <w:t>o</w:t>
            </w:r>
          </w:p>
        </w:tc>
        <w:tc>
          <w:tcPr>
            <w:tcW w:w="2780" w:type="dxa"/>
            <w:vAlign w:val="bottom"/>
          </w:tcPr>
          <w:p>
            <w:pPr>
              <w:ind w:left="20"/>
              <w:spacing w:after="0"/>
              <w:rPr>
                <w:sz w:val="20"/>
                <w:szCs w:val="20"/>
                <w:color w:val="auto"/>
              </w:rPr>
            </w:pPr>
            <w:r>
              <w:rPr>
                <w:rFonts w:ascii="Arial" w:cs="Arial" w:eastAsia="Arial" w:hAnsi="Arial"/>
                <w:sz w:val="16"/>
                <w:szCs w:val="16"/>
                <w:color w:val="auto"/>
              </w:rPr>
              <w:t xml:space="preserve">Smaller Reporting Company </w:t>
            </w:r>
            <w:r>
              <w:rPr>
                <w:rFonts w:ascii="Arial" w:cs="Arial" w:eastAsia="Arial" w:hAnsi="Arial"/>
                <w:sz w:val="18"/>
                <w:szCs w:val="18"/>
                <w:color w:val="auto"/>
              </w:rPr>
              <w:t>o</w:t>
            </w:r>
          </w:p>
        </w:tc>
        <w:tc>
          <w:tcPr>
            <w:tcW w:w="1860" w:type="dxa"/>
            <w:vAlign w:val="bottom"/>
          </w:tcPr>
          <w:p>
            <w:pPr>
              <w:spacing w:after="0"/>
              <w:rPr>
                <w:sz w:val="20"/>
                <w:szCs w:val="20"/>
                <w:color w:val="auto"/>
              </w:rPr>
            </w:pPr>
          </w:p>
        </w:tc>
      </w:tr>
      <w:tr>
        <w:trPr>
          <w:trHeight w:val="426"/>
        </w:trPr>
        <w:tc>
          <w:tcPr>
            <w:tcW w:w="2240" w:type="dxa"/>
            <w:vAlign w:val="bottom"/>
          </w:tcPr>
          <w:p>
            <w:pPr>
              <w:spacing w:after="0"/>
              <w:rPr>
                <w:sz w:val="24"/>
                <w:szCs w:val="24"/>
                <w:color w:val="auto"/>
              </w:rPr>
            </w:pPr>
          </w:p>
        </w:tc>
        <w:tc>
          <w:tcPr>
            <w:tcW w:w="7320" w:type="dxa"/>
            <w:vAlign w:val="bottom"/>
            <w:gridSpan w:val="4"/>
          </w:tcPr>
          <w:p>
            <w:pPr>
              <w:ind w:left="1960"/>
              <w:spacing w:after="0"/>
              <w:rPr>
                <w:sz w:val="20"/>
                <w:szCs w:val="20"/>
                <w:color w:val="auto"/>
              </w:rPr>
            </w:pPr>
            <w:r>
              <w:rPr>
                <w:rFonts w:ascii="Arial" w:cs="Arial" w:eastAsia="Arial" w:hAnsi="Arial"/>
                <w:sz w:val="16"/>
                <w:szCs w:val="16"/>
                <w:b w:val="1"/>
                <w:bCs w:val="1"/>
                <w:color w:val="auto"/>
              </w:rPr>
              <w:t>CALCULATION OF REGISTRATION FEE</w:t>
            </w:r>
          </w:p>
        </w:tc>
        <w:tc>
          <w:tcPr>
            <w:tcW w:w="1860" w:type="dxa"/>
            <w:vAlign w:val="bottom"/>
          </w:tcPr>
          <w:p>
            <w:pPr>
              <w:spacing w:after="0"/>
              <w:rPr>
                <w:sz w:val="24"/>
                <w:szCs w:val="24"/>
                <w:color w:val="auto"/>
              </w:rPr>
            </w:pPr>
          </w:p>
        </w:tc>
      </w:tr>
      <w:tr>
        <w:trPr>
          <w:trHeight w:val="128"/>
        </w:trPr>
        <w:tc>
          <w:tcPr>
            <w:tcW w:w="224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4180" w:type="dxa"/>
            <w:vAlign w:val="bottom"/>
            <w:tcBorders>
              <w:bottom w:val="single" w:sz="8" w:color="auto"/>
            </w:tcBorders>
            <w:gridSpan w:val="2"/>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r>
      <w:tr>
        <w:trPr>
          <w:trHeight w:val="211"/>
        </w:trPr>
        <w:tc>
          <w:tcPr>
            <w:tcW w:w="2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180" w:type="dxa"/>
            <w:vAlign w:val="bottom"/>
            <w:gridSpan w:val="2"/>
          </w:tcPr>
          <w:p>
            <w:pPr>
              <w:jc w:val="center"/>
              <w:ind w:right="2299"/>
              <w:spacing w:after="0"/>
              <w:rPr>
                <w:sz w:val="20"/>
                <w:szCs w:val="20"/>
                <w:color w:val="auto"/>
              </w:rPr>
            </w:pPr>
            <w:r>
              <w:rPr>
                <w:rFonts w:ascii="Arial" w:cs="Arial" w:eastAsia="Arial" w:hAnsi="Arial"/>
                <w:sz w:val="16"/>
                <w:szCs w:val="16"/>
                <w:color w:val="auto"/>
              </w:rPr>
              <w:t>Proposed maximum</w:t>
            </w:r>
          </w:p>
        </w:tc>
        <w:tc>
          <w:tcPr>
            <w:tcW w:w="1860" w:type="dxa"/>
            <w:vAlign w:val="bottom"/>
          </w:tcPr>
          <w:p>
            <w:pPr>
              <w:spacing w:after="0"/>
              <w:rPr>
                <w:sz w:val="18"/>
                <w:szCs w:val="18"/>
                <w:color w:val="auto"/>
              </w:rPr>
            </w:pPr>
          </w:p>
        </w:tc>
      </w:tr>
      <w:tr>
        <w:trPr>
          <w:trHeight w:val="184"/>
        </w:trPr>
        <w:tc>
          <w:tcPr>
            <w:tcW w:w="2240" w:type="dxa"/>
            <w:vAlign w:val="bottom"/>
          </w:tcPr>
          <w:p>
            <w:pPr>
              <w:jc w:val="center"/>
              <w:ind w:left="899"/>
              <w:spacing w:after="0"/>
              <w:rPr>
                <w:sz w:val="20"/>
                <w:szCs w:val="20"/>
                <w:color w:val="auto"/>
              </w:rPr>
            </w:pPr>
            <w:r>
              <w:rPr>
                <w:rFonts w:ascii="Arial" w:cs="Arial" w:eastAsia="Arial" w:hAnsi="Arial"/>
                <w:sz w:val="16"/>
                <w:szCs w:val="16"/>
                <w:color w:val="auto"/>
              </w:rPr>
              <w:t>Title of securities</w:t>
            </w:r>
          </w:p>
        </w:tc>
        <w:tc>
          <w:tcPr>
            <w:tcW w:w="2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0" w:type="dxa"/>
            <w:vAlign w:val="bottom"/>
          </w:tcPr>
          <w:p>
            <w:pPr>
              <w:jc w:val="center"/>
              <w:ind w:left="339"/>
              <w:spacing w:after="0"/>
              <w:rPr>
                <w:sz w:val="20"/>
                <w:szCs w:val="20"/>
                <w:color w:val="auto"/>
              </w:rPr>
            </w:pPr>
            <w:r>
              <w:rPr>
                <w:rFonts w:ascii="Arial" w:cs="Arial" w:eastAsia="Arial" w:hAnsi="Arial"/>
                <w:sz w:val="16"/>
                <w:szCs w:val="16"/>
                <w:color w:val="auto"/>
              </w:rPr>
              <w:t>offering price</w:t>
            </w:r>
          </w:p>
        </w:tc>
        <w:tc>
          <w:tcPr>
            <w:tcW w:w="2780" w:type="dxa"/>
            <w:vAlign w:val="bottom"/>
          </w:tcPr>
          <w:p>
            <w:pPr>
              <w:jc w:val="center"/>
              <w:ind w:left="259"/>
              <w:spacing w:after="0"/>
              <w:rPr>
                <w:sz w:val="20"/>
                <w:szCs w:val="20"/>
                <w:color w:val="auto"/>
              </w:rPr>
            </w:pPr>
            <w:r>
              <w:rPr>
                <w:rFonts w:ascii="Arial" w:cs="Arial" w:eastAsia="Arial" w:hAnsi="Arial"/>
                <w:sz w:val="16"/>
                <w:szCs w:val="16"/>
                <w:color w:val="auto"/>
              </w:rPr>
              <w:t>Proposed maximum</w:t>
            </w:r>
          </w:p>
        </w:tc>
        <w:tc>
          <w:tcPr>
            <w:tcW w:w="1860" w:type="dxa"/>
            <w:vAlign w:val="bottom"/>
          </w:tcPr>
          <w:p>
            <w:pPr>
              <w:jc w:val="center"/>
              <w:ind w:right="119"/>
              <w:spacing w:after="0"/>
              <w:rPr>
                <w:sz w:val="20"/>
                <w:szCs w:val="20"/>
                <w:color w:val="auto"/>
              </w:rPr>
            </w:pPr>
            <w:r>
              <w:rPr>
                <w:rFonts w:ascii="Arial" w:cs="Arial" w:eastAsia="Arial" w:hAnsi="Arial"/>
                <w:sz w:val="16"/>
                <w:szCs w:val="16"/>
                <w:color w:val="auto"/>
              </w:rPr>
              <w:t>Amount of</w:t>
            </w:r>
          </w:p>
        </w:tc>
      </w:tr>
      <w:tr>
        <w:trPr>
          <w:trHeight w:val="219"/>
        </w:trPr>
        <w:tc>
          <w:tcPr>
            <w:tcW w:w="2240" w:type="dxa"/>
            <w:vAlign w:val="bottom"/>
            <w:tcBorders>
              <w:bottom w:val="single" w:sz="8" w:color="auto"/>
            </w:tcBorders>
          </w:tcPr>
          <w:p>
            <w:pPr>
              <w:jc w:val="center"/>
              <w:ind w:left="899"/>
              <w:spacing w:after="0"/>
              <w:rPr>
                <w:sz w:val="20"/>
                <w:szCs w:val="20"/>
                <w:color w:val="auto"/>
              </w:rPr>
            </w:pPr>
            <w:r>
              <w:rPr>
                <w:rFonts w:ascii="Arial" w:cs="Arial" w:eastAsia="Arial" w:hAnsi="Arial"/>
                <w:sz w:val="16"/>
                <w:szCs w:val="16"/>
                <w:color w:val="auto"/>
              </w:rPr>
              <w:t>to be registered</w:t>
            </w:r>
          </w:p>
        </w:tc>
        <w:tc>
          <w:tcPr>
            <w:tcW w:w="3140" w:type="dxa"/>
            <w:vAlign w:val="bottom"/>
            <w:tcBorders>
              <w:bottom w:val="single" w:sz="8" w:color="auto"/>
            </w:tcBorders>
            <w:gridSpan w:val="2"/>
          </w:tcPr>
          <w:p>
            <w:pPr>
              <w:ind w:left="1060"/>
              <w:spacing w:after="0" w:line="219" w:lineRule="exact"/>
              <w:rPr>
                <w:sz w:val="20"/>
                <w:szCs w:val="20"/>
                <w:color w:val="auto"/>
              </w:rPr>
            </w:pPr>
            <w:r>
              <w:rPr>
                <w:rFonts w:ascii="Arial" w:cs="Arial" w:eastAsia="Arial" w:hAnsi="Arial"/>
                <w:sz w:val="16"/>
                <w:szCs w:val="16"/>
                <w:color w:val="auto"/>
              </w:rPr>
              <w:t xml:space="preserve">Amount to be registered </w:t>
            </w:r>
            <w:r>
              <w:rPr>
                <w:rFonts w:ascii="Arial" w:cs="Arial" w:eastAsia="Arial" w:hAnsi="Arial"/>
                <w:sz w:val="21"/>
                <w:szCs w:val="21"/>
                <w:color w:val="auto"/>
                <w:vertAlign w:val="superscript"/>
              </w:rPr>
              <w:t>(1)</w:t>
            </w:r>
          </w:p>
        </w:tc>
        <w:tc>
          <w:tcPr>
            <w:tcW w:w="1400" w:type="dxa"/>
            <w:vAlign w:val="bottom"/>
            <w:tcBorders>
              <w:bottom w:val="single" w:sz="8" w:color="auto"/>
            </w:tcBorders>
          </w:tcPr>
          <w:p>
            <w:pPr>
              <w:jc w:val="center"/>
              <w:ind w:left="339"/>
              <w:spacing w:after="0" w:line="219" w:lineRule="exact"/>
              <w:rPr>
                <w:sz w:val="20"/>
                <w:szCs w:val="20"/>
                <w:color w:val="auto"/>
              </w:rPr>
            </w:pPr>
            <w:r>
              <w:rPr>
                <w:rFonts w:ascii="Arial" w:cs="Arial" w:eastAsia="Arial" w:hAnsi="Arial"/>
                <w:sz w:val="16"/>
                <w:szCs w:val="16"/>
                <w:color w:val="auto"/>
                <w:w w:val="96"/>
              </w:rPr>
              <w:t xml:space="preserve">per share </w:t>
            </w:r>
            <w:r>
              <w:rPr>
                <w:rFonts w:ascii="Arial" w:cs="Arial" w:eastAsia="Arial" w:hAnsi="Arial"/>
                <w:sz w:val="21"/>
                <w:szCs w:val="21"/>
                <w:color w:val="auto"/>
                <w:w w:val="96"/>
                <w:vertAlign w:val="superscript"/>
              </w:rPr>
              <w:t>(2)</w:t>
            </w:r>
          </w:p>
        </w:tc>
        <w:tc>
          <w:tcPr>
            <w:tcW w:w="2780" w:type="dxa"/>
            <w:vAlign w:val="bottom"/>
            <w:tcBorders>
              <w:bottom w:val="single" w:sz="8" w:color="auto"/>
            </w:tcBorders>
          </w:tcPr>
          <w:p>
            <w:pPr>
              <w:jc w:val="center"/>
              <w:ind w:left="259"/>
              <w:spacing w:after="0" w:line="219" w:lineRule="exact"/>
              <w:rPr>
                <w:sz w:val="20"/>
                <w:szCs w:val="20"/>
                <w:color w:val="auto"/>
              </w:rPr>
            </w:pPr>
            <w:r>
              <w:rPr>
                <w:rFonts w:ascii="Arial" w:cs="Arial" w:eastAsia="Arial" w:hAnsi="Arial"/>
                <w:sz w:val="16"/>
                <w:szCs w:val="16"/>
                <w:color w:val="auto"/>
                <w:w w:val="98"/>
              </w:rPr>
              <w:t xml:space="preserve">aggregate offering price </w:t>
            </w:r>
            <w:r>
              <w:rPr>
                <w:rFonts w:ascii="Arial" w:cs="Arial" w:eastAsia="Arial" w:hAnsi="Arial"/>
                <w:sz w:val="21"/>
                <w:szCs w:val="21"/>
                <w:color w:val="auto"/>
                <w:w w:val="98"/>
                <w:vertAlign w:val="superscript"/>
              </w:rPr>
              <w:t>(2)</w:t>
            </w:r>
          </w:p>
        </w:tc>
        <w:tc>
          <w:tcPr>
            <w:tcW w:w="18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registration fee</w:t>
            </w:r>
          </w:p>
        </w:tc>
      </w:tr>
      <w:tr>
        <w:trPr>
          <w:trHeight w:val="211"/>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w:t>
            </w:r>
          </w:p>
        </w:tc>
        <w:tc>
          <w:tcPr>
            <w:tcW w:w="20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08"/>
        </w:trPr>
        <w:tc>
          <w:tcPr>
            <w:tcW w:w="2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par value $.50 per share</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3,600,000</w:t>
            </w:r>
          </w:p>
        </w:tc>
        <w:tc>
          <w:tcPr>
            <w:tcW w:w="10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shares</w:t>
            </w:r>
          </w:p>
        </w:tc>
        <w:tc>
          <w:tcPr>
            <w:tcW w:w="1400" w:type="dxa"/>
            <w:vAlign w:val="bottom"/>
            <w:tcBorders>
              <w:bottom w:val="single" w:sz="8" w:color="auto"/>
            </w:tcBorders>
            <w:shd w:val="clear" w:color="auto" w:fill="CCEEFF"/>
          </w:tcPr>
          <w:p>
            <w:pPr>
              <w:jc w:val="center"/>
              <w:ind w:left="339"/>
              <w:spacing w:after="0"/>
              <w:rPr>
                <w:sz w:val="20"/>
                <w:szCs w:val="20"/>
                <w:color w:val="auto"/>
              </w:rPr>
            </w:pPr>
            <w:r>
              <w:rPr>
                <w:rFonts w:ascii="Arial" w:cs="Arial" w:eastAsia="Arial" w:hAnsi="Arial"/>
                <w:sz w:val="16"/>
                <w:szCs w:val="16"/>
                <w:color w:val="auto"/>
              </w:rPr>
              <w:t>$27.03</w:t>
            </w:r>
          </w:p>
        </w:tc>
        <w:tc>
          <w:tcPr>
            <w:tcW w:w="2780" w:type="dxa"/>
            <w:vAlign w:val="bottom"/>
            <w:tcBorders>
              <w:bottom w:val="single" w:sz="8" w:color="auto"/>
            </w:tcBorders>
            <w:shd w:val="clear" w:color="auto" w:fill="CCEEFF"/>
          </w:tcPr>
          <w:p>
            <w:pPr>
              <w:jc w:val="center"/>
              <w:ind w:left="279"/>
              <w:spacing w:after="0"/>
              <w:rPr>
                <w:sz w:val="20"/>
                <w:szCs w:val="20"/>
                <w:color w:val="auto"/>
              </w:rPr>
            </w:pPr>
            <w:r>
              <w:rPr>
                <w:rFonts w:ascii="Arial" w:cs="Arial" w:eastAsia="Arial" w:hAnsi="Arial"/>
                <w:sz w:val="16"/>
                <w:szCs w:val="16"/>
                <w:color w:val="auto"/>
              </w:rPr>
              <w:t>$97,308,000</w:t>
            </w:r>
          </w:p>
        </w:tc>
        <w:tc>
          <w:tcPr>
            <w:tcW w:w="1860" w:type="dxa"/>
            <w:vAlign w:val="bottom"/>
            <w:tcBorders>
              <w:bottom w:val="single" w:sz="8" w:color="auto"/>
            </w:tcBorders>
            <w:shd w:val="clear" w:color="auto" w:fill="CCEEFF"/>
          </w:tcPr>
          <w:p>
            <w:pPr>
              <w:jc w:val="center"/>
              <w:ind w:right="119"/>
              <w:spacing w:after="0"/>
              <w:rPr>
                <w:sz w:val="20"/>
                <w:szCs w:val="20"/>
                <w:color w:val="auto"/>
              </w:rPr>
            </w:pPr>
            <w:r>
              <w:rPr>
                <w:rFonts w:ascii="Arial" w:cs="Arial" w:eastAsia="Arial" w:hAnsi="Arial"/>
                <w:sz w:val="16"/>
                <w:szCs w:val="16"/>
                <w:color w:val="auto"/>
              </w:rPr>
              <w:t>$12,533.27</w:t>
            </w:r>
          </w:p>
        </w:tc>
      </w:tr>
    </w:tbl>
    <w:p>
      <w:pPr>
        <w:spacing w:after="0" w:line="191" w:lineRule="exact"/>
        <w:rPr>
          <w:sz w:val="24"/>
          <w:szCs w:val="24"/>
          <w:color w:val="auto"/>
        </w:rPr>
      </w:pPr>
    </w:p>
    <w:p>
      <w:pPr>
        <w:ind w:left="480" w:right="40" w:hanging="472"/>
        <w:spacing w:after="0" w:line="246" w:lineRule="auto"/>
        <w:tabs>
          <w:tab w:leader="none" w:pos="156" w:val="left"/>
        </w:tabs>
        <w:numPr>
          <w:ilvl w:val="0"/>
          <w:numId w:val="1"/>
        </w:numPr>
        <w:rPr>
          <w:rFonts w:ascii="Arial" w:cs="Arial" w:eastAsia="Arial" w:hAnsi="Arial"/>
          <w:sz w:val="16"/>
          <w:szCs w:val="16"/>
          <w:color w:val="auto"/>
        </w:rPr>
      </w:pPr>
      <w:r>
        <w:rPr>
          <w:rFonts w:ascii="Arial" w:cs="Arial" w:eastAsia="Arial" w:hAnsi="Arial"/>
          <w:sz w:val="16"/>
          <w:szCs w:val="16"/>
          <w:color w:val="auto"/>
        </w:rPr>
        <w:t>Any additional shares to be issued as a result of stock dividends, stock splits or similar transactions prior to the termination of this registration statement shall be covered by this registration statement as provided in Rule 416.</w:t>
      </w:r>
    </w:p>
    <w:p>
      <w:pPr>
        <w:ind w:left="480" w:right="80" w:hanging="472"/>
        <w:spacing w:after="0" w:line="253" w:lineRule="auto"/>
        <w:tabs>
          <w:tab w:leader="none" w:pos="156"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457(c) and (d) the maximum offering price per share and maximum aggregate offering price and amount of registration fee are calculated upon a price of $27.03, the average of the high and low prices for the shares of Winnebago Industries, Inc. Common Stock as reported by the New York Stock Exchange, Inc. on March 26,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69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Introduction</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Registration Statement on Form S-8 is filed by Winnebago Industries, Inc. an Iowa corporation ("Winnebago" or the "Company") to register 3,600,000 shares of its common stock issuable under the Winnebago 2014 Omnibus Equity, Performance Award, and Incentive Compensation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INFORMATION REQUIRED IN THE SECTION 10(a) PROSPECTUS</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Pursuant to the note of Part I of Form S-8, the information required by Items 1 and 2 of Form S-8 is not filed as part of this Registration Statement on Form S-8 and documents containing the information specified such Part I have been or will be delivered to participants as specified by Rule 428(b)(1) under the Securities Act of 1933. These documents and the documents incorporated by reference in this Registration Statement pursuant to Item 3 of Part II, taken together, constitute a prospectus that meets the requirements of Section 10(a) of the Securities Act of 1933.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4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following documents which have been filed with the Securities and Exchange Commission (the "Commission") by Winnebago Industries, Inc. ("Winnebago" or the "Registrant") pursuant to the Securities Exchange Act of 1934 ("1934 Act") are incorporated herein by reference:</w:t>
      </w:r>
    </w:p>
    <w:p>
      <w:pPr>
        <w:spacing w:after="0" w:line="196" w:lineRule="exact"/>
        <w:rPr>
          <w:sz w:val="20"/>
          <w:szCs w:val="20"/>
          <w:color w:val="auto"/>
        </w:rPr>
      </w:pPr>
    </w:p>
    <w:p>
      <w:pPr>
        <w:ind w:left="600" w:hanging="268"/>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August 31, 2013 of Winnebago; and</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Reports on Form 10-Q for the quarters ended November 30, 2013 and March 1, 2014 of Winnebago; and</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Reports on Form 8-K filed December 6, 2013, December 10, 2013, December 18, 2013, and December 19, 2013;</w:t>
      </w:r>
    </w:p>
    <w:p>
      <w:pPr>
        <w:spacing w:after="0" w:line="225" w:lineRule="exact"/>
        <w:rPr>
          <w:rFonts w:ascii="Arial" w:cs="Arial" w:eastAsia="Arial" w:hAnsi="Arial"/>
          <w:sz w:val="18"/>
          <w:szCs w:val="18"/>
          <w:color w:val="auto"/>
        </w:rPr>
      </w:pPr>
    </w:p>
    <w:p>
      <w:pPr>
        <w:ind w:left="340" w:right="140" w:hanging="8"/>
        <w:spacing w:after="0" w:line="262" w:lineRule="auto"/>
        <w:tabs>
          <w:tab w:leader="none" w:pos="61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Notice of Annual Meeting of Shareholders to be Held December 17, 2013 and Proxy Statement, filed October 29, 2013 and December 6, 2013; and</w:t>
      </w:r>
    </w:p>
    <w:p>
      <w:pPr>
        <w:spacing w:after="0" w:line="196" w:lineRule="exact"/>
        <w:rPr>
          <w:rFonts w:ascii="Arial" w:cs="Arial" w:eastAsia="Arial" w:hAnsi="Arial"/>
          <w:sz w:val="18"/>
          <w:szCs w:val="18"/>
          <w:color w:val="auto"/>
        </w:rPr>
      </w:pPr>
    </w:p>
    <w:p>
      <w:pPr>
        <w:ind w:left="340" w:right="20" w:hanging="8"/>
        <w:spacing w:after="0" w:line="262" w:lineRule="auto"/>
        <w:tabs>
          <w:tab w:leader="none" w:pos="61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Winnebago's Common Stock which is contained in the Forms 8-A pursuant to Section 12(b) of the 1934 Act filed with the Commission on June 18, 1969 and June 16, 1971 (1934 Act File No. 1-6403).</w:t>
      </w:r>
    </w:p>
    <w:p>
      <w:pPr>
        <w:spacing w:after="0" w:line="1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All documents subsequently filed by Winnebago pursuant to Sections 13(a), 13(c), 14 and 15(d) of the 1934 Act, as amended, prior to the filing of the post-effective amendment which indicates that all securities offered hereby have been sold or which deregisters all such securities then remaining unsold, shall be deemed to be incorporated by reference herein and to be a part hereof from the date of filing of such reports and documents.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Description of Securities. </w:t>
      </w: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Interests of Named Experts and Counsel. </w:t>
      </w: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Sections 490.851 of the Iowa Business Corporation Act gives Iowa corporations the power to indemnify present and former directors under certain circumstances. The Amended and Restated Articles of Incorporation of Winnebago provide for indemnification by Winnebago of directors against all expenses, liabilities and loss (including attorney’s fees, judgments, fines or penalties and amounts paid or to be paid in settlement) actually incurred by such person relating to his or her conduct as a director of Winnebago, except that the aforesaid mandatory indemnification shall not apply (i) to a breach of a director’s duty of loyalty to the corporation or its shareholders, (ii) for acts or omissions not in good faith or which involve intentional misconduct or knowing violation of the law, (iii) for a transaction from which a director derived an improper personal benefit, (iv) under Section 496A.44 of the Iowa Business Corporation Act, or (v) against judgments, penalties, fines and settlements arising from any proceeding by or in the right of the</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00"/>
          </w:cols>
          <w:pgMar w:left="240" w:top="576" w:right="259" w:bottom="1440" w:gutter="0" w:footer="0" w:header="0"/>
        </w:sectPr>
      </w:pPr>
    </w:p>
    <w:bookmarkStart w:id="2" w:name="page3"/>
    <w:bookmarkEnd w:id="2"/>
    <w:p>
      <w:pPr>
        <w:ind w:right="40"/>
        <w:spacing w:after="0" w:line="256" w:lineRule="auto"/>
        <w:rPr>
          <w:sz w:val="20"/>
          <w:szCs w:val="20"/>
          <w:color w:val="auto"/>
        </w:rPr>
      </w:pPr>
      <w:r>
        <w:rPr>
          <w:rFonts w:ascii="Arial" w:cs="Arial" w:eastAsia="Arial" w:hAnsi="Arial"/>
          <w:sz w:val="18"/>
          <w:szCs w:val="18"/>
          <w:color w:val="auto"/>
        </w:rPr>
        <w:t>corporation, or against expenses in any such case where such director shall be adjudged liable to the corporation. The Amended and Restated Articles of Incorporation further provide that the indemnification provided thereunder shall not be exclusive of any other rights to which those indemnified may be entitled under any bylaw, agreement, vote of stockholders or disinterested directors or otherwise.</w:t>
      </w:r>
    </w:p>
    <w:p>
      <w:pPr>
        <w:spacing w:after="0" w:line="202"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In addition, Winnebago maintains a directors’ and officers’ liability insurance policy to insure its liability under the above-described provision of its Amended and Restated Articles of Incorporation and to insure its individual directors and officers against certain obligations not covered by such provisions.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Exemption from Registrations Claimed. </w:t>
      </w: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47" w:lineRule="exact"/>
        <w:rPr>
          <w:sz w:val="20"/>
          <w:szCs w:val="20"/>
          <w:color w:val="auto"/>
        </w:rPr>
      </w:pPr>
    </w:p>
    <w:p>
      <w:pPr>
        <w:ind w:left="660" w:right="720" w:hanging="65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2014 Omnibus Equity, Performance Award, and Incentive Compensation Plan (incorporated by reference to Appendix B to the Company's Definitive Proxy Statement and Additional Proxy Materials filed October 29, and December 6, 2013.</w:t>
      </w:r>
    </w:p>
    <w:p>
      <w:pPr>
        <w:spacing w:after="0" w:line="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Opinion and consent of Lindquist and Vennum LLP regarding the legality of the securities being registered.</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23.1</w:t>
        <w:tab/>
        <w:t>Consent of Independent Registered Public Accounting Firm</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7"/>
          <w:szCs w:val="17"/>
          <w:color w:val="auto"/>
        </w:rPr>
        <w:t>Consent of Lindquist and Vennum LLP (included in Exhibit 5.1).</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7"/>
          <w:szCs w:val="17"/>
          <w:color w:val="auto"/>
        </w:rPr>
        <w:t>Power of Attorney (included on signature page)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920" w:hanging="264"/>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right="40" w:firstLine="1305"/>
        <w:spacing w:after="0" w:line="256" w:lineRule="auto"/>
        <w:tabs>
          <w:tab w:leader="none" w:pos="1546"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201" w:lineRule="exact"/>
        <w:rPr>
          <w:rFonts w:ascii="Arial" w:cs="Arial" w:eastAsia="Arial" w:hAnsi="Arial"/>
          <w:sz w:val="18"/>
          <w:szCs w:val="18"/>
          <w:color w:val="auto"/>
        </w:rPr>
      </w:pPr>
    </w:p>
    <w:p>
      <w:pPr>
        <w:ind w:right="540" w:firstLine="1305"/>
        <w:spacing w:after="0" w:line="250" w:lineRule="auto"/>
        <w:tabs>
          <w:tab w:leader="none" w:pos="1586"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54" w:lineRule="auto"/>
        <w:rPr>
          <w:rFonts w:ascii="Arial" w:cs="Arial" w:eastAsia="Arial" w:hAnsi="Arial"/>
          <w:sz w:val="18"/>
          <w:szCs w:val="18"/>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and (A)(1)(ii) do not apply if the Registration Statement is on Form S-3, Form S-8 or Form F-3,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information required to be included in a post-effective amendment by those paragraphs is contained in periodic reports filed with or furnished to the Commission by the Registrant pursuant to Section 13 or 15(d) of the Securities Exchange Act of 1934 that are incorporated by reference in the Registration Statement.</w:t>
      </w:r>
    </w:p>
    <w:p>
      <w:pPr>
        <w:spacing w:after="0" w:line="204" w:lineRule="exact"/>
        <w:rPr>
          <w:rFonts w:ascii="Arial" w:cs="Arial" w:eastAsia="Arial" w:hAnsi="Arial"/>
          <w:sz w:val="18"/>
          <w:szCs w:val="18"/>
          <w:color w:val="auto"/>
        </w:rPr>
      </w:pPr>
    </w:p>
    <w:p>
      <w:pPr>
        <w:jc w:val="both"/>
        <w:ind w:right="360" w:firstLine="656"/>
        <w:spacing w:after="0" w:line="256" w:lineRule="auto"/>
        <w:tabs>
          <w:tab w:leader="none" w:pos="918" w:val="left"/>
        </w:tabs>
        <w:numPr>
          <w:ilvl w:val="1"/>
          <w:numId w:val="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1" w:lineRule="exact"/>
        <w:rPr>
          <w:rFonts w:ascii="Arial" w:cs="Arial" w:eastAsia="Arial" w:hAnsi="Arial"/>
          <w:sz w:val="18"/>
          <w:szCs w:val="18"/>
          <w:color w:val="auto"/>
        </w:rPr>
      </w:pPr>
    </w:p>
    <w:p>
      <w:pPr>
        <w:ind w:right="100" w:firstLine="656"/>
        <w:spacing w:after="0" w:line="262" w:lineRule="auto"/>
        <w:tabs>
          <w:tab w:leader="none" w:pos="918"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6" w:lineRule="exact"/>
        <w:rPr>
          <w:rFonts w:ascii="Arial" w:cs="Arial" w:eastAsia="Arial" w:hAnsi="Arial"/>
          <w:sz w:val="18"/>
          <w:szCs w:val="18"/>
          <w:color w:val="auto"/>
        </w:rPr>
      </w:pPr>
    </w:p>
    <w:p>
      <w:pPr>
        <w:ind w:right="20" w:firstLine="8"/>
        <w:spacing w:after="0" w:line="253"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the purpose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5" w:lineRule="exact"/>
        <w:rPr>
          <w:rFonts w:ascii="Arial" w:cs="Arial" w:eastAsia="Arial" w:hAnsi="Arial"/>
          <w:sz w:val="18"/>
          <w:szCs w:val="18"/>
          <w:color w:val="auto"/>
        </w:rPr>
      </w:pPr>
    </w:p>
    <w:p>
      <w:pPr>
        <w:ind w:left="240" w:hanging="232"/>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00"/>
          </w:cols>
          <w:pgMar w:left="240" w:top="598" w:right="259" w:bottom="1440" w:gutter="0" w:footer="0" w:header="0"/>
        </w:sectPr>
      </w:pPr>
    </w:p>
    <w:bookmarkStart w:id="3" w:name="page4"/>
    <w:bookmarkEnd w:id="3"/>
    <w:p>
      <w:pPr>
        <w:spacing w:after="0" w:line="252" w:lineRule="auto"/>
        <w:rPr>
          <w:sz w:val="20"/>
          <w:szCs w:val="20"/>
          <w:color w:val="auto"/>
        </w:rPr>
      </w:pPr>
      <w:r>
        <w:rPr>
          <w:rFonts w:ascii="Arial" w:cs="Arial" w:eastAsia="Arial" w:hAnsi="Arial"/>
          <w:sz w:val="18"/>
          <w:szCs w:val="18"/>
          <w:color w:val="auto"/>
        </w:rPr>
        <w:t>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380"/>
          </w:cols>
          <w:pgMar w:left="240" w:top="598"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440" w:firstLine="648"/>
        <w:spacing w:after="0" w:line="256"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the requirements for filing on Form S-8 and has duly caused this Registration Statement to be signed on its behalf by the undersigned, thereunto duly authorized, in Forest City, Iowa on March 28, 2014.</w:t>
      </w:r>
    </w:p>
    <w:p>
      <w:pPr>
        <w:spacing w:after="0" w:line="16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WINNEBAGO INDUSTRIES, INC.</w:t>
      </w:r>
    </w:p>
    <w:p>
      <w:pPr>
        <w:spacing w:after="0" w:line="63" w:lineRule="exact"/>
        <w:rPr>
          <w:sz w:val="20"/>
          <w:szCs w:val="20"/>
          <w:color w:val="auto"/>
        </w:rPr>
      </w:pPr>
    </w:p>
    <w:p>
      <w:pPr>
        <w:ind w:left="2060"/>
        <w:spacing w:after="0"/>
        <w:tabs>
          <w:tab w:leader="none" w:pos="2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14605</wp:posOffset>
            </wp:positionV>
            <wp:extent cx="38334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3"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Randy J. Potts</w:t>
      </w:r>
    </w:p>
    <w:p>
      <w:pPr>
        <w:spacing w:after="0" w:line="63"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Chairman of the Board, Chief Executive Officer and President</w:t>
      </w:r>
    </w:p>
    <w:p>
      <w:pPr>
        <w:spacing w:after="0" w:line="2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Each person whose signature appears below hereby constitutes and appoints Randy J. Potts and Sarah N. Nielsen as such person's true and lawful attorneys-in-fact and agents with full power to any of them, and to each of them singly, to sign for us and in our names in the capacities indicated below, any and all amendments and post-effective amendments (including post-effective amendments) to this Registration Statement, and to file the same, with all exhibits thereto and other documents in connection therewith, with the Securities and Exchange Commission, and generally to do all such things in our name and behalf in our capacities as officers and directors to enable Winnebago to comply with the provisions of the Securities Act of 1933, as amended, and all requirements of the Securities and Exchange Commission, hereby ratifying and confirming our signatures as they may be signed by our said attorneys-in-fact, or any of them, to said Registration Statement and and all amendments thereof.</w:t>
      </w:r>
    </w:p>
    <w:p>
      <w:pPr>
        <w:spacing w:after="0" w:line="206"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on March 28, 2014, by the following persons in the capacities indicated.</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00"/>
          </w:cols>
          <w:pgMar w:left="240" w:top="576" w:right="2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8"/>
                <w:szCs w:val="18"/>
                <w:b w:val="1"/>
                <w:bCs w:val="1"/>
                <w:color w:val="auto"/>
                <w:w w:val="98"/>
              </w:rPr>
              <w:t>SIGNATURE</w:t>
            </w:r>
          </w:p>
        </w:tc>
        <w:tc>
          <w:tcPr>
            <w:tcW w:w="2280" w:type="dxa"/>
            <w:vAlign w:val="bottom"/>
          </w:tcPr>
          <w:p>
            <w:pPr>
              <w:spacing w:after="0"/>
              <w:rPr>
                <w:sz w:val="17"/>
                <w:szCs w:val="17"/>
                <w:color w:val="auto"/>
              </w:rPr>
            </w:pPr>
          </w:p>
        </w:tc>
        <w:tc>
          <w:tcPr>
            <w:tcW w:w="5300" w:type="dxa"/>
            <w:vAlign w:val="bottom"/>
            <w:gridSpan w:val="3"/>
          </w:tcPr>
          <w:p>
            <w:pPr>
              <w:ind w:left="2820"/>
              <w:spacing w:after="0"/>
              <w:rPr>
                <w:sz w:val="20"/>
                <w:szCs w:val="20"/>
                <w:color w:val="auto"/>
              </w:rPr>
            </w:pPr>
            <w:r>
              <w:rPr>
                <w:rFonts w:ascii="Arial" w:cs="Arial" w:eastAsia="Arial" w:hAnsi="Arial"/>
                <w:sz w:val="18"/>
                <w:szCs w:val="18"/>
                <w:b w:val="1"/>
                <w:bCs w:val="1"/>
                <w:color w:val="auto"/>
              </w:rPr>
              <w:t>TITLE</w:t>
            </w:r>
          </w:p>
        </w:tc>
      </w:tr>
      <w:tr>
        <w:trPr>
          <w:trHeight w:val="298"/>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Randy J. Potts</w:t>
            </w:r>
          </w:p>
        </w:tc>
        <w:tc>
          <w:tcPr>
            <w:tcW w:w="1060" w:type="dxa"/>
            <w:vAlign w:val="bottom"/>
            <w:tcBorders>
              <w:top w:val="single" w:sz="8" w:color="auto"/>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980" w:type="dxa"/>
            <w:vAlign w:val="bottom"/>
          </w:tcPr>
          <w:p>
            <w:pPr>
              <w:spacing w:after="0"/>
              <w:rPr>
                <w:sz w:val="24"/>
                <w:szCs w:val="24"/>
                <w:color w:val="auto"/>
              </w:rPr>
            </w:pPr>
          </w:p>
        </w:tc>
      </w:tr>
      <w:tr>
        <w:trPr>
          <w:trHeight w:val="215"/>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Randy J. Potts</w:t>
            </w:r>
          </w:p>
        </w:tc>
        <w:tc>
          <w:tcPr>
            <w:tcW w:w="5300" w:type="dxa"/>
            <w:vAlign w:val="bottom"/>
            <w:gridSpan w:val="3"/>
          </w:tcPr>
          <w:p>
            <w:pPr>
              <w:ind w:left="360"/>
              <w:spacing w:after="0"/>
              <w:rPr>
                <w:sz w:val="20"/>
                <w:szCs w:val="20"/>
                <w:color w:val="auto"/>
              </w:rPr>
            </w:pPr>
            <w:r>
              <w:rPr>
                <w:rFonts w:ascii="Arial" w:cs="Arial" w:eastAsia="Arial" w:hAnsi="Arial"/>
                <w:sz w:val="18"/>
                <w:szCs w:val="18"/>
                <w:color w:val="auto"/>
                <w:w w:val="99"/>
              </w:rPr>
              <w:t>Chairman of the Board, Chief Executive Officer, President and</w:t>
            </w:r>
          </w:p>
        </w:tc>
      </w:tr>
      <w:tr>
        <w:trPr>
          <w:trHeight w:val="217"/>
        </w:trPr>
        <w:tc>
          <w:tcPr>
            <w:tcW w:w="2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gridSpan w:val="3"/>
          </w:tcPr>
          <w:p>
            <w:pPr>
              <w:ind w:left="360"/>
              <w:spacing w:after="0"/>
              <w:rPr>
                <w:sz w:val="20"/>
                <w:szCs w:val="20"/>
                <w:color w:val="auto"/>
              </w:rPr>
            </w:pPr>
            <w:r>
              <w:rPr>
                <w:rFonts w:ascii="Arial" w:cs="Arial" w:eastAsia="Arial" w:hAnsi="Arial"/>
                <w:sz w:val="18"/>
                <w:szCs w:val="18"/>
                <w:color w:val="auto"/>
              </w:rPr>
              <w:t>Director (Principal Executive Officer)</w:t>
            </w:r>
          </w:p>
        </w:tc>
      </w:tr>
      <w:tr>
        <w:trPr>
          <w:trHeight w:val="277"/>
        </w:trPr>
        <w:tc>
          <w:tcPr>
            <w:tcW w:w="56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Sarah N. Nielsen</w:t>
            </w:r>
          </w:p>
        </w:tc>
        <w:tc>
          <w:tcPr>
            <w:tcW w:w="2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04"/>
        </w:trPr>
        <w:tc>
          <w:tcPr>
            <w:tcW w:w="5620" w:type="dxa"/>
            <w:vAlign w:val="bottom"/>
            <w:gridSpan w:val="3"/>
          </w:tcPr>
          <w:p>
            <w:pPr>
              <w:ind w:left="40"/>
              <w:spacing w:after="0" w:line="205" w:lineRule="exact"/>
              <w:rPr>
                <w:sz w:val="20"/>
                <w:szCs w:val="20"/>
                <w:color w:val="auto"/>
              </w:rPr>
            </w:pPr>
            <w:r>
              <w:rPr>
                <w:rFonts w:ascii="Arial" w:cs="Arial" w:eastAsia="Arial" w:hAnsi="Arial"/>
                <w:sz w:val="18"/>
                <w:szCs w:val="18"/>
                <w:color w:val="auto"/>
              </w:rPr>
              <w:t>Sarah N. Nielsen</w:t>
            </w:r>
          </w:p>
        </w:tc>
        <w:tc>
          <w:tcPr>
            <w:tcW w:w="5300" w:type="dxa"/>
            <w:vAlign w:val="bottom"/>
            <w:gridSpan w:val="3"/>
          </w:tcPr>
          <w:p>
            <w:pPr>
              <w:ind w:left="360"/>
              <w:spacing w:after="0"/>
              <w:rPr>
                <w:sz w:val="20"/>
                <w:szCs w:val="20"/>
                <w:color w:val="auto"/>
              </w:rPr>
            </w:pPr>
            <w:r>
              <w:rPr>
                <w:rFonts w:ascii="Arial" w:cs="Arial" w:eastAsia="Arial" w:hAnsi="Arial"/>
                <w:sz w:val="16"/>
                <w:szCs w:val="16"/>
                <w:color w:val="auto"/>
              </w:rPr>
              <w:t>Vice President, Chief Financial Officer</w:t>
            </w:r>
          </w:p>
        </w:tc>
      </w:tr>
      <w:tr>
        <w:trPr>
          <w:trHeight w:val="195"/>
        </w:trPr>
        <w:tc>
          <w:tcPr>
            <w:tcW w:w="2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300" w:type="dxa"/>
            <w:vAlign w:val="bottom"/>
            <w:gridSpan w:val="3"/>
          </w:tcPr>
          <w:p>
            <w:pPr>
              <w:ind w:left="360"/>
              <w:spacing w:after="0"/>
              <w:rPr>
                <w:sz w:val="20"/>
                <w:szCs w:val="20"/>
                <w:color w:val="auto"/>
              </w:rPr>
            </w:pPr>
            <w:r>
              <w:rPr>
                <w:rFonts w:ascii="Arial" w:cs="Arial" w:eastAsia="Arial" w:hAnsi="Arial"/>
                <w:sz w:val="16"/>
                <w:szCs w:val="16"/>
                <w:color w:val="auto"/>
              </w:rPr>
              <w:t>(Principal Financial and Accounting Officer)</w:t>
            </w:r>
          </w:p>
        </w:tc>
      </w:tr>
      <w:tr>
        <w:trPr>
          <w:trHeight w:val="283"/>
        </w:trPr>
        <w:tc>
          <w:tcPr>
            <w:tcW w:w="56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Irvin E. Aal</w:t>
            </w:r>
          </w:p>
        </w:tc>
        <w:tc>
          <w:tcPr>
            <w:tcW w:w="2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Irvin E. Aal</w:t>
            </w:r>
          </w:p>
        </w:tc>
        <w:tc>
          <w:tcPr>
            <w:tcW w:w="53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r>
      <w:tr>
        <w:trPr>
          <w:trHeight w:val="277"/>
        </w:trPr>
        <w:tc>
          <w:tcPr>
            <w:tcW w:w="56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Robert M. Chiusano</w:t>
            </w:r>
          </w:p>
        </w:tc>
        <w:tc>
          <w:tcPr>
            <w:tcW w:w="2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Robert M. Chiusano</w:t>
            </w:r>
          </w:p>
        </w:tc>
        <w:tc>
          <w:tcPr>
            <w:tcW w:w="53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r>
      <w:tr>
        <w:trPr>
          <w:trHeight w:val="277"/>
        </w:trPr>
        <w:tc>
          <w:tcPr>
            <w:tcW w:w="56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Jerry N. Currie</w:t>
            </w:r>
          </w:p>
        </w:tc>
        <w:tc>
          <w:tcPr>
            <w:tcW w:w="2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Jerry N. Currie</w:t>
            </w:r>
          </w:p>
        </w:tc>
        <w:tc>
          <w:tcPr>
            <w:tcW w:w="53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r>
      <w:tr>
        <w:trPr>
          <w:trHeight w:val="277"/>
        </w:trPr>
        <w:tc>
          <w:tcPr>
            <w:tcW w:w="56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Lawrence A. Erickson</w:t>
            </w:r>
          </w:p>
        </w:tc>
        <w:tc>
          <w:tcPr>
            <w:tcW w:w="2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Lawrence A. Erickson</w:t>
            </w:r>
          </w:p>
        </w:tc>
        <w:tc>
          <w:tcPr>
            <w:tcW w:w="53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r>
      <w:tr>
        <w:trPr>
          <w:trHeight w:val="277"/>
        </w:trPr>
        <w:tc>
          <w:tcPr>
            <w:tcW w:w="56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Robert J. Olson</w:t>
            </w:r>
          </w:p>
        </w:tc>
        <w:tc>
          <w:tcPr>
            <w:tcW w:w="2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Robert J. Olson</w:t>
            </w:r>
          </w:p>
        </w:tc>
        <w:tc>
          <w:tcPr>
            <w:tcW w:w="53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r>
      <w:tr>
        <w:trPr>
          <w:trHeight w:val="277"/>
        </w:trPr>
        <w:tc>
          <w:tcPr>
            <w:tcW w:w="56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Martha T. Rodamaker</w:t>
            </w:r>
          </w:p>
        </w:tc>
        <w:tc>
          <w:tcPr>
            <w:tcW w:w="2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Martha T. Rodamaker</w:t>
            </w:r>
          </w:p>
        </w:tc>
        <w:tc>
          <w:tcPr>
            <w:tcW w:w="53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r>
      <w:tr>
        <w:trPr>
          <w:trHeight w:val="277"/>
        </w:trPr>
        <w:tc>
          <w:tcPr>
            <w:tcW w:w="56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Mark T. Schroepfer</w:t>
            </w:r>
          </w:p>
        </w:tc>
        <w:tc>
          <w:tcPr>
            <w:tcW w:w="2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Mark T. Schroepfer</w:t>
            </w:r>
          </w:p>
        </w:tc>
        <w:tc>
          <w:tcPr>
            <w:tcW w:w="530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r>
      <w:tr>
        <w:trPr>
          <w:trHeight w:val="858"/>
        </w:trPr>
        <w:tc>
          <w:tcPr>
            <w:tcW w:w="2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20" w:type="dxa"/>
            <w:vAlign w:val="bottom"/>
          </w:tcPr>
          <w:p>
            <w:pPr>
              <w:ind w:left="40"/>
              <w:spacing w:after="0"/>
              <w:rPr>
                <w:sz w:val="20"/>
                <w:szCs w:val="20"/>
                <w:color w:val="auto"/>
              </w:rPr>
            </w:pPr>
            <w:r>
              <w:rPr>
                <w:rFonts w:ascii="Arial" w:cs="Arial" w:eastAsia="Arial" w:hAnsi="Arial"/>
                <w:sz w:val="16"/>
                <w:szCs w:val="16"/>
                <w:color w:val="auto"/>
              </w:rPr>
              <w:t>6</w:t>
            </w: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0920"/>
          </w:cols>
          <w:pgMar w:left="240" w:top="743" w:right="739" w:bottom="1440" w:gutter="0" w:footer="0" w:header="0"/>
        </w:sectPr>
      </w:pPr>
    </w:p>
    <w:bookmarkStart w:id="6" w:name="page7"/>
    <w:bookmarkEnd w:id="6"/>
    <w:p>
      <w:pPr>
        <w:ind w:left="6500"/>
        <w:spacing w:after="0"/>
        <w:rPr>
          <w:sz w:val="20"/>
          <w:szCs w:val="20"/>
          <w:color w:val="auto"/>
        </w:rPr>
      </w:pPr>
      <w:r>
        <w:rPr>
          <w:rFonts w:ascii="Arial" w:cs="Arial" w:eastAsia="Arial" w:hAnsi="Arial"/>
          <w:sz w:val="17"/>
          <w:szCs w:val="17"/>
          <w:color w:val="auto"/>
        </w:rPr>
        <w:t>Exhibit 5.1</w:t>
      </w:r>
    </w:p>
    <w:p>
      <w:pPr>
        <w:sectPr>
          <w:pgSz w:w="11900" w:h="16838" w:orient="portrait"/>
          <w:cols w:equalWidth="0" w:num="1">
            <w:col w:w="11360"/>
          </w:cols>
          <w:pgMar w:left="240" w:top="584" w:right="29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P.O. Box 152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City, IA 50436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Date: March 28, 2014</w:t>
      </w:r>
    </w:p>
    <w:p>
      <w:pPr>
        <w:spacing w:after="0" w:line="669" w:lineRule="exact"/>
        <w:rPr>
          <w:sz w:val="20"/>
          <w:szCs w:val="20"/>
          <w:color w:val="auto"/>
        </w:rPr>
      </w:pPr>
    </w:p>
    <w:p>
      <w:pPr>
        <w:sectPr>
          <w:pgSz w:w="11900" w:h="16838" w:orient="portrait"/>
          <w:cols w:equalWidth="0" w:num="2">
            <w:col w:w="2680" w:space="720"/>
            <w:col w:w="7960"/>
          </w:cols>
          <w:pgMar w:left="240" w:top="584" w:right="299" w:bottom="1440" w:gutter="0" w:footer="0" w:header="0"/>
          <w:type w:val="continuous"/>
        </w:sectPr>
      </w:pPr>
    </w:p>
    <w:p>
      <w:pPr>
        <w:spacing w:after="0" w:line="227" w:lineRule="exact"/>
        <w:rPr>
          <w:sz w:val="20"/>
          <w:szCs w:val="20"/>
          <w:color w:val="auto"/>
        </w:rPr>
      </w:pPr>
    </w:p>
    <w:p>
      <w:pPr>
        <w:ind w:left="3240"/>
        <w:spacing w:after="0"/>
        <w:tabs>
          <w:tab w:leader="none" w:pos="3700" w:val="left"/>
        </w:tabs>
        <w:rPr>
          <w:sz w:val="20"/>
          <w:szCs w:val="20"/>
          <w:color w:val="auto"/>
        </w:rPr>
      </w:pPr>
      <w:r>
        <w:rPr>
          <w:rFonts w:ascii="Arial" w:cs="Arial" w:eastAsia="Arial" w:hAnsi="Arial"/>
          <w:sz w:val="17"/>
          <w:szCs w:val="17"/>
          <w:color w:val="auto"/>
        </w:rPr>
        <w:t>Re:</w:t>
        <w:tab/>
        <w:t>Winnebago Industries, Inc.</w:t>
      </w:r>
    </w:p>
    <w:p>
      <w:pPr>
        <w:spacing w:after="0" w:line="3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Form S-8 Registration Statement</w:t>
      </w:r>
    </w:p>
    <w:p>
      <w:pPr>
        <w:sectPr>
          <w:pgSz w:w="11900" w:h="16838" w:orient="portrait"/>
          <w:cols w:equalWidth="0" w:num="1">
            <w:col w:w="11360"/>
          </w:cols>
          <w:pgMar w:left="240" w:top="584"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have acted as special counsel for Winnebago Industries, Inc. ("WINNEBAGO"), in connection with the Registration Statement on Form S-8 (the 'REGISTRATION STATEMENT") of Winnebago which is being filed with the Securities and Exchange Commission on March 28, 2014 covering up to 3,600,000 shares of Winnebago's Common Stock, $.50 par value (the "COMMON STOCK"), issuable to eligible participants in the Winnebago Industries, Inc. 2014 Omnibus Equity, Performance Award, and Incentive Compensation Plan (the "2014 OMNIBUS PLAN").</w:t>
      </w:r>
    </w:p>
    <w:p>
      <w:pPr>
        <w:spacing w:after="0" w:line="171"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As such counsel, we have examined the Articles of Incorporation and By-laws of Winnebago, the 2014 Omnibus Equity, Performance Award, and Incentive Compensation Plan, the Registration Statement and such other corporate documents and records and have made such other inquiries as we have deemed necessary or advisable in order to enable us to render the opinions hereinafter set forth.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on the foregoing, we are of the opinion that:</w:t>
      </w:r>
    </w:p>
    <w:p>
      <w:pPr>
        <w:spacing w:after="0" w:line="225" w:lineRule="exact"/>
        <w:rPr>
          <w:sz w:val="20"/>
          <w:szCs w:val="20"/>
          <w:color w:val="auto"/>
        </w:rPr>
      </w:pPr>
    </w:p>
    <w:p>
      <w:pPr>
        <w:ind w:right="160" w:firstLine="656"/>
        <w:spacing w:after="0" w:line="264"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shares of Common Stock when sold, issued and delivered in the manner and for consideration pursuant to the 2014 Omnibus Equity, Performance Award, and Incentive Compensation Plan and as contemplated by the Registration Statement will be validly issued and outstanding, fully paid and non-assessable shares of Common Stock of Winnebago.</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hereby consent to the filing of this opinion as an exhibit to the Registration Statement.</w:t>
      </w:r>
    </w:p>
    <w:p>
      <w:pPr>
        <w:spacing w:after="0" w:line="200" w:lineRule="exact"/>
        <w:rPr>
          <w:sz w:val="20"/>
          <w:szCs w:val="20"/>
          <w:color w:val="auto"/>
        </w:rPr>
      </w:pPr>
    </w:p>
    <w:p>
      <w:pPr>
        <w:spacing w:after="0" w:line="24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by: /s/Lindquist &amp; Vennum, PLLP</w:t>
      </w:r>
    </w:p>
    <w:p>
      <w:pPr>
        <w:sectPr>
          <w:pgSz w:w="11900" w:h="16838" w:orient="portrait"/>
          <w:cols w:equalWidth="0" w:num="1">
            <w:col w:w="11360"/>
          </w:cols>
          <w:pgMar w:left="240" w:top="584" w:right="29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6"/>
          <w:szCs w:val="16"/>
          <w:color w:val="auto"/>
        </w:rPr>
        <w:t>Exhibit 23.1</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1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We consent to the incorporation by reference in this Registration Statement on Form S-8 of our reports relating to the consolidated financial statements of Winnebago Industries, Inc. (the “Company”) and the effectiveness of the Company’s internal control over financial reporting dated October 29, 2013, appearing in the Annual Report on Form 10-K of Winnebago Industries, Inc. for the year ended August 31, 2013.</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DELOITTE &amp; TOUCHE LLP</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March 28, 2014</w:t>
      </w:r>
    </w:p>
    <w:sectPr>
      <w:pgSz w:w="11900" w:h="16838" w:orient="portrait"/>
      <w:cols w:equalWidth="0" w:num="1">
        <w:col w:w="11420"/>
      </w:cols>
      <w:pgMar w:left="240" w:top="60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4"/>
      <w:numFmt w:val="bullet"/>
      <w:start w:val="1"/>
    </w:lvl>
  </w:abstractNum>
  <w:abstractNum w:abstractNumId="3">
    <w:nsid w:val="46E87CCD"/>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4">
    <w:nsid w:val="3D1B58BA"/>
    <w:multiLevelType w:val="hybridMultilevel"/>
    <w:lvl w:ilvl="0">
      <w:lvlJc w:val="left"/>
      <w:lvlText w:val="%1."/>
      <w:numFmt w:val="upperLetter"/>
      <w:start w:val="2"/>
    </w:lvl>
    <w:lvl w:ilvl="1">
      <w:lvlJc w:val="left"/>
      <w:lvlText w:val="%2"/>
      <w:numFmt w:val="decimal"/>
      <w:start w:val="1"/>
    </w:lvl>
    <w:lvl w:ilvl="2">
      <w:lvlJc w:val="left"/>
      <w:lvlText w:val="%3"/>
      <w:numFmt w:val="lowerRoman"/>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2019-12-05T15:59:43Z</dcterms:created>
  <dcterms:modified xsi:type="dcterms:W3CDTF">2019-12-05T15:59:43Z</dcterms:modified>
</cp:coreProperties>
</file>