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__X__ QUARTERLY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November 26, 1994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 TRANSITION REPORT PURSUANT TO SECTION 13 OR 15(d) OF THE SECURITIES</w:t>
      </w:r>
    </w:p>
    <w:p>
      <w:pPr>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_____________________ to __________________</w:t>
      </w: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w w:val="92"/>
              </w:rPr>
              <w:t>IOWA</w:t>
            </w:r>
          </w:p>
        </w:tc>
        <w:tc>
          <w:tcPr>
            <w:tcW w:w="5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42-0802678</w:t>
            </w:r>
          </w:p>
        </w:tc>
      </w:tr>
      <w:tr>
        <w:trPr>
          <w:trHeight w:val="203"/>
        </w:trPr>
        <w:tc>
          <w:tcPr>
            <w:tcW w:w="5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or</w:t>
            </w:r>
          </w:p>
        </w:tc>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5960" w:type="dxa"/>
            <w:vAlign w:val="bottom"/>
            <w:gridSpan w:val="4"/>
          </w:tcPr>
          <w:p>
            <w:pPr>
              <w:spacing w:after="0"/>
              <w:rPr>
                <w:sz w:val="20"/>
                <w:szCs w:val="20"/>
                <w:color w:val="auto"/>
              </w:rPr>
            </w:pPr>
            <w:r>
              <w:rPr>
                <w:rFonts w:ascii="Courier New" w:cs="Courier New" w:eastAsia="Courier New" w:hAnsi="Courier New"/>
                <w:sz w:val="18"/>
                <w:szCs w:val="18"/>
                <w:color w:val="auto"/>
              </w:rPr>
              <w:t>P. O. Box 152, Forest City, Iowa</w:t>
            </w:r>
          </w:p>
        </w:tc>
        <w:tc>
          <w:tcPr>
            <w:tcW w:w="2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2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2380" w:type="dxa"/>
            <w:vAlign w:val="bottom"/>
            <w:gridSpan w:val="3"/>
          </w:tcPr>
          <w:p>
            <w:pPr>
              <w:spacing w:after="0"/>
              <w:rPr>
                <w:sz w:val="20"/>
                <w:szCs w:val="20"/>
                <w:color w:val="auto"/>
              </w:rPr>
            </w:pPr>
            <w:r>
              <w:rPr>
                <w:rFonts w:ascii="Courier New" w:cs="Courier New" w:eastAsia="Courier New" w:hAnsi="Courier New"/>
                <w:sz w:val="18"/>
                <w:szCs w:val="18"/>
                <w:color w:val="auto"/>
                <w:w w:val="99"/>
              </w:rPr>
              <w:t>Registrant's telephone</w:t>
            </w:r>
          </w:p>
        </w:tc>
        <w:tc>
          <w:tcPr>
            <w:tcW w:w="6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number, including area code: (515) 582-3535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check mark</w:t>
            </w:r>
          </w:p>
        </w:tc>
        <w:tc>
          <w:tcPr>
            <w:tcW w:w="6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whether the registrant (1) has filed all reports required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by Section</w:t>
            </w:r>
          </w:p>
        </w:tc>
        <w:tc>
          <w:tcPr>
            <w:tcW w:w="6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13 or 15(d) of the Securities Exchange Act of 1934 during</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preceding 12</w:t>
            </w:r>
          </w:p>
        </w:tc>
        <w:tc>
          <w:tcPr>
            <w:tcW w:w="6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months (or for such shorter period that the registrant was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w:t>
            </w:r>
          </w:p>
        </w:tc>
        <w:tc>
          <w:tcPr>
            <w:tcW w:w="6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such reports), and (2) has been subject to such filing</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requirements for</w:t>
            </w:r>
          </w:p>
        </w:tc>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past 90 days. Yes __X__ No ____.</w:t>
            </w:r>
          </w:p>
        </w:tc>
        <w:tc>
          <w:tcPr>
            <w:tcW w:w="2480" w:type="dxa"/>
            <w:vAlign w:val="bottom"/>
          </w:tcPr>
          <w:p>
            <w:pPr>
              <w:spacing w:after="0"/>
              <w:rPr>
                <w:sz w:val="17"/>
                <w:szCs w:val="17"/>
                <w:color w:val="auto"/>
              </w:rPr>
            </w:pPr>
          </w:p>
        </w:tc>
      </w:tr>
    </w:tbl>
    <w:p>
      <w:pPr>
        <w:spacing w:after="0" w:line="207"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25,242,203 shares of $.50 par value common stock outstanding on January 6, 1995.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INDEX TO REPORT ON FORM 10-Q</w:t>
      </w:r>
    </w:p>
    <w:p>
      <w:pPr>
        <w:spacing w:after="0" w:line="200" w:lineRule="exact"/>
        <w:rPr>
          <w:sz w:val="24"/>
          <w:szCs w:val="24"/>
          <w:color w:val="auto"/>
        </w:rPr>
      </w:pPr>
    </w:p>
    <w:p>
      <w:pPr>
        <w:spacing w:after="0" w:line="20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Number</w:t>
      </w:r>
    </w:p>
    <w:p>
      <w:pPr>
        <w:spacing w:after="0" w:line="201"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PART I.</w:t>
            </w:r>
          </w:p>
        </w:tc>
        <w:tc>
          <w:tcPr>
            <w:tcW w:w="66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8"/>
              </w:rPr>
              <w:t>FINANCIAL INFORMATION: (Interim period information unaudited)</w:t>
            </w:r>
          </w:p>
        </w:tc>
        <w:tc>
          <w:tcPr>
            <w:tcW w:w="38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6320" w:type="dxa"/>
            <w:vAlign w:val="bottom"/>
          </w:tcPr>
          <w:p>
            <w:pPr>
              <w:ind w:left="200"/>
              <w:spacing w:after="0"/>
              <w:rPr>
                <w:sz w:val="20"/>
                <w:szCs w:val="20"/>
                <w:color w:val="auto"/>
              </w:rPr>
            </w:pPr>
            <w:r>
              <w:rPr>
                <w:rFonts w:ascii="Courier New" w:cs="Courier New" w:eastAsia="Courier New" w:hAnsi="Courier New"/>
                <w:sz w:val="18"/>
                <w:szCs w:val="18"/>
                <w:color w:val="auto"/>
              </w:rPr>
              <w:t>Consolidated Balance Sheets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&amp; 2</w:t>
            </w:r>
          </w:p>
        </w:tc>
      </w:tr>
      <w:tr>
        <w:trPr>
          <w:trHeight w:val="405"/>
        </w:trPr>
        <w:tc>
          <w:tcPr>
            <w:tcW w:w="1060" w:type="dxa"/>
            <w:vAlign w:val="bottom"/>
          </w:tcPr>
          <w:p>
            <w:pPr>
              <w:spacing w:after="0"/>
              <w:rPr>
                <w:sz w:val="24"/>
                <w:szCs w:val="24"/>
                <w:color w:val="auto"/>
              </w:rPr>
            </w:pPr>
          </w:p>
        </w:tc>
        <w:tc>
          <w:tcPr>
            <w:tcW w:w="6320" w:type="dxa"/>
            <w:vAlign w:val="bottom"/>
          </w:tcPr>
          <w:p>
            <w:pPr>
              <w:ind w:left="200"/>
              <w:spacing w:after="0"/>
              <w:rPr>
                <w:sz w:val="20"/>
                <w:szCs w:val="20"/>
                <w:color w:val="auto"/>
              </w:rPr>
            </w:pPr>
            <w:r>
              <w:rPr>
                <w:rFonts w:ascii="Courier New" w:cs="Courier New" w:eastAsia="Courier New" w:hAnsi="Courier New"/>
                <w:sz w:val="18"/>
                <w:szCs w:val="18"/>
                <w:color w:val="auto"/>
              </w:rPr>
              <w:t>Unaudited Consolidated Statements of Operations</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1060" w:type="dxa"/>
            <w:vAlign w:val="bottom"/>
          </w:tcPr>
          <w:p>
            <w:pPr>
              <w:spacing w:after="0"/>
              <w:rPr>
                <w:sz w:val="24"/>
                <w:szCs w:val="24"/>
                <w:color w:val="auto"/>
              </w:rPr>
            </w:pPr>
          </w:p>
        </w:tc>
        <w:tc>
          <w:tcPr>
            <w:tcW w:w="6320" w:type="dxa"/>
            <w:vAlign w:val="bottom"/>
          </w:tcPr>
          <w:p>
            <w:pPr>
              <w:ind w:left="200"/>
              <w:spacing w:after="0"/>
              <w:rPr>
                <w:sz w:val="20"/>
                <w:szCs w:val="20"/>
                <w:color w:val="auto"/>
              </w:rPr>
            </w:pPr>
            <w:r>
              <w:rPr>
                <w:rFonts w:ascii="Courier New" w:cs="Courier New" w:eastAsia="Courier New" w:hAnsi="Courier New"/>
                <w:sz w:val="18"/>
                <w:szCs w:val="18"/>
                <w:color w:val="auto"/>
                <w:w w:val="99"/>
              </w:rPr>
              <w:t>Unaudited Consolidated Condensed Statements of Cash Flows</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1060" w:type="dxa"/>
            <w:vAlign w:val="bottom"/>
          </w:tcPr>
          <w:p>
            <w:pPr>
              <w:spacing w:after="0"/>
              <w:rPr>
                <w:sz w:val="24"/>
                <w:szCs w:val="24"/>
                <w:color w:val="auto"/>
              </w:rPr>
            </w:pPr>
          </w:p>
        </w:tc>
        <w:tc>
          <w:tcPr>
            <w:tcW w:w="6320" w:type="dxa"/>
            <w:vAlign w:val="bottom"/>
          </w:tcPr>
          <w:p>
            <w:pPr>
              <w:ind w:left="200"/>
              <w:spacing w:after="0"/>
              <w:rPr>
                <w:sz w:val="20"/>
                <w:szCs w:val="20"/>
                <w:color w:val="auto"/>
              </w:rPr>
            </w:pPr>
            <w:r>
              <w:rPr>
                <w:rFonts w:ascii="Courier New" w:cs="Courier New" w:eastAsia="Courier New" w:hAnsi="Courier New"/>
                <w:sz w:val="18"/>
                <w:szCs w:val="18"/>
                <w:color w:val="auto"/>
              </w:rPr>
              <w:t>Unaudited Condensed Notes to Consolidated Financial</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6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Statements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&amp; 6</w:t>
            </w:r>
          </w:p>
        </w:tc>
      </w:tr>
      <w:tr>
        <w:trPr>
          <w:trHeight w:val="405"/>
        </w:trPr>
        <w:tc>
          <w:tcPr>
            <w:tcW w:w="1060" w:type="dxa"/>
            <w:vAlign w:val="bottom"/>
          </w:tcPr>
          <w:p>
            <w:pPr>
              <w:spacing w:after="0"/>
              <w:rPr>
                <w:sz w:val="24"/>
                <w:szCs w:val="24"/>
                <w:color w:val="auto"/>
              </w:rPr>
            </w:pPr>
          </w:p>
        </w:tc>
        <w:tc>
          <w:tcPr>
            <w:tcW w:w="6320" w:type="dxa"/>
            <w:vAlign w:val="bottom"/>
          </w:tcPr>
          <w:p>
            <w:pPr>
              <w:ind w:left="20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6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Condition and Results of Operations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&amp; 8</w:t>
            </w:r>
          </w:p>
        </w:tc>
      </w:tr>
      <w:tr>
        <w:trPr>
          <w:trHeight w:val="405"/>
        </w:trPr>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PART II.</w:t>
            </w:r>
          </w:p>
        </w:tc>
        <w:tc>
          <w:tcPr>
            <w:tcW w:w="6320" w:type="dxa"/>
            <w:vAlign w:val="bottom"/>
          </w:tcPr>
          <w:p>
            <w:pPr>
              <w:ind w:left="200"/>
              <w:spacing w:after="0"/>
              <w:rPr>
                <w:sz w:val="20"/>
                <w:szCs w:val="20"/>
                <w:color w:val="auto"/>
              </w:rPr>
            </w:pPr>
            <w:r>
              <w:rPr>
                <w:rFonts w:ascii="Courier New" w:cs="Courier New" w:eastAsia="Courier New" w:hAnsi="Courier New"/>
                <w:sz w:val="18"/>
                <w:szCs w:val="18"/>
                <w:color w:val="auto"/>
              </w:rPr>
              <w:t>OTHER INFORMATION</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 &amp; 10</w:t>
            </w:r>
          </w:p>
        </w:tc>
      </w:tr>
    </w:tbl>
    <w:p>
      <w:pPr>
        <w:sectPr>
          <w:pgSz w:w="11900" w:h="16838" w:orient="portrait"/>
          <w:cols w:equalWidth="0" w:num="1">
            <w:col w:w="10219"/>
          </w:cols>
          <w:pgMar w:left="240" w:top="447" w:right="1440" w:bottom="0" w:gutter="0" w:footer="0" w:header="0"/>
        </w:sectPr>
      </w:pPr>
    </w:p>
    <w:bookmarkStart w:id="1" w:name="page2"/>
    <w:bookmarkEnd w:id="1"/>
    <w:p>
      <w:pPr>
        <w:ind w:left="2740"/>
        <w:spacing w:after="0"/>
        <w:rPr>
          <w:sz w:val="20"/>
          <w:szCs w:val="20"/>
          <w:color w:val="auto"/>
        </w:rPr>
      </w:pPr>
      <w:r>
        <w:rPr>
          <w:rFonts w:ascii="Courier New" w:cs="Courier New" w:eastAsia="Courier New" w:hAnsi="Courier New"/>
          <w:sz w:val="18"/>
          <w:szCs w:val="18"/>
          <w:color w:val="auto"/>
        </w:rPr>
        <w:t>PART I FINANCIAL INFORMATION</w:t>
      </w:r>
    </w:p>
    <w:p>
      <w:pPr>
        <w:ind w:left="1900"/>
        <w:spacing w:after="0" w:line="238" w:lineRule="auto"/>
        <w:rPr>
          <w:sz w:val="20"/>
          <w:szCs w:val="20"/>
          <w:color w:val="auto"/>
        </w:rPr>
      </w:pPr>
      <w:r>
        <w:rPr>
          <w:rFonts w:ascii="Courier New" w:cs="Courier New" w:eastAsia="Courier New" w:hAnsi="Courier New"/>
          <w:sz w:val="18"/>
          <w:szCs w:val="18"/>
          <w:color w:val="auto"/>
        </w:rPr>
        <w:t>WINNEBAGO INDUSTRIES, INC. AND SUBSIDIARIES</w:t>
      </w: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68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November 26,</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27,</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6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56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9,301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2,979</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3,301</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accounts ($1,585 and $1,545, respectively)</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36,506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36,602</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for doubtful accounts ($313 and $279, respectively)</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9,910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8,565</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54,149</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55,450</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3,883</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3,870</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2,252</w:t>
            </w:r>
          </w:p>
        </w:tc>
      </w:tr>
      <w:tr>
        <w:trPr>
          <w:trHeight w:val="405"/>
        </w:trPr>
        <w:tc>
          <w:tcPr>
            <w:tcW w:w="5680" w:type="dxa"/>
            <w:vAlign w:val="bottom"/>
          </w:tcPr>
          <w:p>
            <w:pPr>
              <w:ind w:left="200"/>
              <w:spacing w:after="0"/>
              <w:rPr>
                <w:sz w:val="20"/>
                <w:szCs w:val="20"/>
                <w:color w:val="auto"/>
              </w:rPr>
            </w:pPr>
            <w:r>
              <w:rPr>
                <w:rFonts w:ascii="Courier New" w:cs="Courier New" w:eastAsia="Courier New" w:hAnsi="Courier New"/>
                <w:sz w:val="18"/>
                <w:szCs w:val="18"/>
                <w:color w:val="auto"/>
              </w:rPr>
              <w:t>Total current assets</w:t>
            </w:r>
          </w:p>
        </w:tc>
        <w:tc>
          <w:tcPr>
            <w:tcW w:w="5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118,980</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110,887</w:t>
            </w:r>
          </w:p>
        </w:tc>
      </w:tr>
      <w:tr>
        <w:trPr>
          <w:trHeight w:val="405"/>
        </w:trPr>
        <w:tc>
          <w:tcPr>
            <w:tcW w:w="568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1,539</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41,102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40,905</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75,592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75,139</w:t>
            </w:r>
          </w:p>
        </w:tc>
      </w:tr>
      <w:tr>
        <w:trPr>
          <w:trHeight w:val="203"/>
        </w:trPr>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7,926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7,985</w:t>
            </w:r>
          </w:p>
        </w:tc>
      </w:tr>
      <w:tr>
        <w:trPr>
          <w:trHeight w:val="203"/>
        </w:trPr>
        <w:tc>
          <w:tcPr>
            <w:tcW w:w="5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126,156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125,568</w:t>
            </w:r>
          </w:p>
        </w:tc>
      </w:tr>
      <w:tr>
        <w:trPr>
          <w:trHeight w:val="203"/>
        </w:trPr>
        <w:tc>
          <w:tcPr>
            <w:tcW w:w="5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84,618</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83,970</w:t>
            </w:r>
          </w:p>
        </w:tc>
      </w:tr>
      <w:tr>
        <w:trPr>
          <w:trHeight w:val="405"/>
        </w:trPr>
        <w:tc>
          <w:tcPr>
            <w:tcW w:w="5680" w:type="dxa"/>
            <w:vAlign w:val="bottom"/>
          </w:tcPr>
          <w:p>
            <w:pPr>
              <w:ind w:left="200"/>
              <w:spacing w:after="0"/>
              <w:rPr>
                <w:sz w:val="20"/>
                <w:szCs w:val="20"/>
                <w:color w:val="auto"/>
              </w:rPr>
            </w:pPr>
            <w:r>
              <w:rPr>
                <w:rFonts w:ascii="Courier New" w:cs="Courier New" w:eastAsia="Courier New" w:hAnsi="Courier New"/>
                <w:sz w:val="18"/>
                <w:szCs w:val="18"/>
                <w:color w:val="auto"/>
              </w:rPr>
              <w:t>Total property and equipment, net</w:t>
            </w:r>
          </w:p>
        </w:tc>
        <w:tc>
          <w:tcPr>
            <w:tcW w:w="5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41,538</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41,598</w:t>
            </w:r>
          </w:p>
        </w:tc>
      </w:tr>
      <w:tr>
        <w:trPr>
          <w:trHeight w:val="405"/>
        </w:trPr>
        <w:tc>
          <w:tcPr>
            <w:tcW w:w="5680" w:type="dxa"/>
            <w:vAlign w:val="bottom"/>
          </w:tcPr>
          <w:p>
            <w:pPr>
              <w:spacing w:after="0"/>
              <w:rPr>
                <w:sz w:val="20"/>
                <w:szCs w:val="20"/>
                <w:color w:val="auto"/>
              </w:rPr>
            </w:pPr>
            <w:r>
              <w:rPr>
                <w:rFonts w:ascii="Courier New" w:cs="Courier New" w:eastAsia="Courier New" w:hAnsi="Courier New"/>
                <w:sz w:val="18"/>
                <w:szCs w:val="18"/>
                <w:color w:val="auto"/>
              </w:rPr>
              <w:t>LONG-TERM NOTES RECEIVABLE, less allowances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($1,110 and $2,024, respectively)</w:t>
            </w:r>
          </w:p>
        </w:tc>
        <w:tc>
          <w:tcPr>
            <w:tcW w:w="5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4,884</w:t>
            </w:r>
          </w:p>
        </w:tc>
      </w:tr>
      <w:tr>
        <w:trPr>
          <w:trHeight w:val="405"/>
        </w:trPr>
        <w:tc>
          <w:tcPr>
            <w:tcW w:w="568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5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15,569</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15,479</w:t>
            </w:r>
          </w:p>
        </w:tc>
      </w:tr>
      <w:tr>
        <w:trPr>
          <w:trHeight w:val="405"/>
        </w:trPr>
        <w:tc>
          <w:tcPr>
            <w:tcW w:w="5680" w:type="dxa"/>
            <w:vAlign w:val="bottom"/>
          </w:tcPr>
          <w:p>
            <w:pPr>
              <w:spacing w:after="0"/>
              <w:rPr>
                <w:sz w:val="20"/>
                <w:szCs w:val="20"/>
                <w:color w:val="auto"/>
              </w:rPr>
            </w:pPr>
            <w:r>
              <w:rPr>
                <w:rFonts w:ascii="Courier New" w:cs="Courier New" w:eastAsia="Courier New" w:hAnsi="Courier New"/>
                <w:sz w:val="18"/>
                <w:szCs w:val="18"/>
                <w:color w:val="auto"/>
              </w:rPr>
              <w:t>NET DEFERRED INCOME TAXES</w:t>
            </w:r>
          </w:p>
        </w:tc>
        <w:tc>
          <w:tcPr>
            <w:tcW w:w="5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4,049</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4,049</w:t>
            </w:r>
          </w:p>
        </w:tc>
      </w:tr>
      <w:tr>
        <w:trPr>
          <w:trHeight w:val="405"/>
        </w:trPr>
        <w:tc>
          <w:tcPr>
            <w:tcW w:w="56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5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4,667</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4,851</w:t>
            </w:r>
          </w:p>
        </w:tc>
      </w:tr>
      <w:tr>
        <w:trPr>
          <w:trHeight w:val="405"/>
        </w:trPr>
        <w:tc>
          <w:tcPr>
            <w:tcW w:w="568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189,869</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181,748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WINNEBAGO INDUSTRIES, INC. AND SUBSIDIARIES</w:t>
      </w:r>
    </w:p>
    <w:tbl>
      <w:tblPr>
        <w:tblLayout w:type="fixed"/>
        <w:tblInd w:w="0" w:type="dxa"/>
        <w:tblCellMar>
          <w:top w:w="0" w:type="dxa"/>
          <w:left w:w="0" w:type="dxa"/>
          <w:bottom w:w="0" w:type="dxa"/>
          <w:right w:w="0" w:type="dxa"/>
        </w:tblCellMar>
      </w:tblPr>
      <w:tr>
        <w:trPr>
          <w:trHeight w:val="203"/>
        </w:trPr>
        <w:tc>
          <w:tcPr>
            <w:tcW w:w="674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08"/>
        </w:trPr>
        <w:tc>
          <w:tcPr>
            <w:tcW w:w="46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1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November 26,</w:t>
            </w:r>
          </w:p>
        </w:tc>
        <w:tc>
          <w:tcPr>
            <w:tcW w:w="5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August 27,</w:t>
            </w:r>
          </w:p>
        </w:tc>
      </w:tr>
      <w:tr>
        <w:trPr>
          <w:trHeight w:val="203"/>
        </w:trPr>
        <w:tc>
          <w:tcPr>
            <w:tcW w:w="4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2,275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2,300</w:t>
            </w:r>
          </w:p>
        </w:tc>
        <w:tc>
          <w:tcPr>
            <w:tcW w:w="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25,515</w:t>
            </w:r>
          </w:p>
        </w:tc>
        <w:tc>
          <w:tcPr>
            <w:tcW w:w="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24,985</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Insurance</w:t>
            </w: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4,471</w:t>
            </w:r>
          </w:p>
        </w:tc>
        <w:tc>
          <w:tcPr>
            <w:tcW w:w="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4,175</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3,608</w:t>
            </w:r>
          </w:p>
        </w:tc>
        <w:tc>
          <w:tcPr>
            <w:tcW w:w="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3,557</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3,467</w:t>
            </w:r>
          </w:p>
        </w:tc>
        <w:tc>
          <w:tcPr>
            <w:tcW w:w="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3,241</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Promotional</w:t>
            </w: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2,960</w:t>
            </w:r>
          </w:p>
        </w:tc>
        <w:tc>
          <w:tcPr>
            <w:tcW w:w="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2,111</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7,902</w:t>
            </w:r>
          </w:p>
        </w:tc>
        <w:tc>
          <w:tcPr>
            <w:tcW w:w="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9,491</w:t>
            </w:r>
          </w:p>
        </w:tc>
      </w:tr>
      <w:tr>
        <w:trPr>
          <w:trHeight w:val="405"/>
        </w:trPr>
        <w:tc>
          <w:tcPr>
            <w:tcW w:w="4600" w:type="dxa"/>
            <w:vAlign w:val="bottom"/>
          </w:tcPr>
          <w:p>
            <w:pPr>
              <w:ind w:left="420"/>
              <w:spacing w:after="0"/>
              <w:rPr>
                <w:sz w:val="20"/>
                <w:szCs w:val="20"/>
                <w:color w:val="auto"/>
              </w:rPr>
            </w:pPr>
            <w:r>
              <w:rPr>
                <w:rFonts w:ascii="Courier New" w:cs="Courier New" w:eastAsia="Courier New" w:hAnsi="Courier New"/>
                <w:sz w:val="18"/>
                <w:szCs w:val="18"/>
                <w:color w:val="auto"/>
              </w:rPr>
              <w:t>Total current liabilities</w:t>
            </w:r>
          </w:p>
        </w:tc>
        <w:tc>
          <w:tcPr>
            <w:tcW w:w="5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52,498</w:t>
            </w:r>
          </w:p>
        </w:tc>
        <w:tc>
          <w:tcPr>
            <w:tcW w:w="5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52,364</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LT DEBT AND CAPITAL LEASE OBLIGATIONS</w:t>
            </w:r>
          </w:p>
        </w:tc>
        <w:tc>
          <w:tcPr>
            <w:tcW w:w="5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3,754</w:t>
            </w:r>
          </w:p>
        </w:tc>
        <w:tc>
          <w:tcPr>
            <w:tcW w:w="5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4,140</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5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43,980</w:t>
            </w:r>
          </w:p>
        </w:tc>
        <w:tc>
          <w:tcPr>
            <w:tcW w:w="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43,39</w:t>
            </w:r>
          </w:p>
        </w:tc>
      </w:tr>
    </w:tbl>
    <w:p>
      <w:pPr>
        <w:sectPr>
          <w:pgSz w:w="11900" w:h="16838" w:orient="portrait"/>
          <w:cols w:equalWidth="0" w:num="1">
            <w:col w:w="10219"/>
          </w:cols>
          <w:pgMar w:left="240" w:top="1149"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SUBSIDIARY</w:t>
            </w:r>
          </w:p>
        </w:tc>
        <w:tc>
          <w:tcPr>
            <w:tcW w:w="520" w:type="dxa"/>
            <w:vAlign w:val="bottom"/>
          </w:tcPr>
          <w:p>
            <w:pPr>
              <w:spacing w:after="0"/>
              <w:rPr>
                <w:sz w:val="17"/>
                <w:szCs w:val="17"/>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2,289</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2,143</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60,000,000 shares</w:t>
            </w:r>
          </w:p>
        </w:tc>
        <w:tc>
          <w:tcPr>
            <w:tcW w:w="5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12,913</w:t>
            </w:r>
          </w:p>
        </w:tc>
        <w:tc>
          <w:tcPr>
            <w:tcW w:w="7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12,911</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5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24,202</w:t>
            </w:r>
          </w:p>
        </w:tc>
        <w:tc>
          <w:tcPr>
            <w:tcW w:w="7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24,175</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5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56,879</w:t>
            </w:r>
          </w:p>
        </w:tc>
        <w:tc>
          <w:tcPr>
            <w:tcW w:w="7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49,270</w:t>
            </w:r>
          </w:p>
        </w:tc>
      </w:tr>
      <w:tr>
        <w:trPr>
          <w:trHeight w:val="203"/>
        </w:trPr>
        <w:tc>
          <w:tcPr>
            <w:tcW w:w="4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93,994</w:t>
            </w:r>
          </w:p>
        </w:tc>
        <w:tc>
          <w:tcPr>
            <w:tcW w:w="7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86,356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5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6,646</w:t>
            </w:r>
          </w:p>
        </w:tc>
        <w:tc>
          <w:tcPr>
            <w:tcW w:w="7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6,646</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520" w:type="dxa"/>
            <w:vAlign w:val="bottom"/>
          </w:tcPr>
          <w:p>
            <w:pPr>
              <w:spacing w:after="0"/>
              <w:rPr>
                <w:sz w:val="24"/>
                <w:szCs w:val="24"/>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87,348</w:t>
            </w: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79,710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189,869</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181,748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 CONSOLIDATED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Thirteen Weeks Ended</w:t>
            </w:r>
          </w:p>
        </w:tc>
      </w:tr>
      <w:tr>
        <w:trPr>
          <w:trHeight w:val="203"/>
        </w:trPr>
        <w:tc>
          <w:tcPr>
            <w:tcW w:w="1120" w:type="dxa"/>
            <w:vAlign w:val="bottom"/>
          </w:tcPr>
          <w:p>
            <w:pPr>
              <w:spacing w:after="0"/>
              <w:rPr>
                <w:sz w:val="17"/>
                <w:szCs w:val="17"/>
                <w:color w:val="auto"/>
              </w:rPr>
            </w:pPr>
          </w:p>
        </w:tc>
        <w:tc>
          <w:tcPr>
            <w:tcW w:w="39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November 26,</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November 27,</w:t>
            </w:r>
          </w:p>
        </w:tc>
      </w:tr>
      <w:tr>
        <w:trPr>
          <w:trHeight w:val="203"/>
        </w:trPr>
        <w:tc>
          <w:tcPr>
            <w:tcW w:w="1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Revenues:</w:t>
            </w:r>
          </w:p>
        </w:tc>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Manufactured products</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124,458</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99,589</w:t>
            </w: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w:t>
            </w:r>
          </w:p>
        </w:tc>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6,301</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4,967</w:t>
            </w:r>
          </w:p>
        </w:tc>
      </w:tr>
      <w:tr>
        <w:trPr>
          <w:trHeight w:val="203"/>
        </w:trPr>
        <w:tc>
          <w:tcPr>
            <w:tcW w:w="39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net revenues</w:t>
            </w: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130,759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104,556</w:t>
            </w:r>
          </w:p>
        </w:tc>
      </w:tr>
      <w:tr>
        <w:trPr>
          <w:trHeight w:val="405"/>
        </w:trPr>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Costs and</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manufactured products</w:t>
            </w: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107,001</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85,516</w:t>
            </w: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services</w:t>
            </w: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3,473</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2,887</w:t>
            </w: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delivery</w:t>
            </w: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6,078</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6,026</w:t>
            </w: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6,277</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6,414</w:t>
            </w: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Minority interest in net income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of consol. subsidiary</w:t>
            </w: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39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122,956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100,979</w:t>
            </w:r>
          </w:p>
        </w:tc>
      </w:tr>
      <w:tr>
        <w:trPr>
          <w:trHeight w:val="405"/>
        </w:trPr>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Operating</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7,803</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3,577</w:t>
            </w:r>
          </w:p>
        </w:tc>
      </w:tr>
      <w:tr>
        <w:trPr>
          <w:trHeight w:val="405"/>
        </w:trPr>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Financial</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(expense) income</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(194)</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165</w:t>
            </w:r>
          </w:p>
        </w:tc>
      </w:tr>
      <w:tr>
        <w:trPr>
          <w:trHeight w:val="405"/>
        </w:trPr>
        <w:tc>
          <w:tcPr>
            <w:tcW w:w="3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Income before taxes</w:t>
            </w:r>
          </w:p>
        </w:tc>
        <w:tc>
          <w:tcPr>
            <w:tcW w:w="16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7,609</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3,742</w:t>
            </w:r>
          </w:p>
        </w:tc>
      </w:tr>
      <w:tr>
        <w:trPr>
          <w:trHeight w:val="405"/>
        </w:trPr>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Provision</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(credit) for taxes</w:t>
            </w:r>
          </w:p>
        </w:tc>
        <w:tc>
          <w:tcPr>
            <w:tcW w:w="160" w:type="dxa"/>
            <w:vAlign w:val="bottom"/>
          </w:tcPr>
          <w:p>
            <w:pPr>
              <w:spacing w:after="0"/>
              <w:rPr>
                <w:sz w:val="24"/>
                <w:szCs w:val="24"/>
                <w:color w:val="auto"/>
              </w:rPr>
            </w:pP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Income before cumulative effect of</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7,609</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3,742</w:t>
            </w:r>
          </w:p>
        </w:tc>
      </w:tr>
      <w:tr>
        <w:trPr>
          <w:trHeight w:val="203"/>
        </w:trPr>
        <w:tc>
          <w:tcPr>
            <w:tcW w:w="3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160" w:type="dxa"/>
            <w:vAlign w:val="bottom"/>
          </w:tcPr>
          <w:p>
            <w:pPr>
              <w:spacing w:after="0"/>
              <w:rPr>
                <w:sz w:val="17"/>
                <w:szCs w:val="17"/>
                <w:color w:val="auto"/>
              </w:rPr>
            </w:pP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(20,420)</w:t>
            </w:r>
          </w:p>
        </w:tc>
      </w:tr>
      <w:tr>
        <w:trPr>
          <w:trHeight w:val="405"/>
        </w:trPr>
        <w:tc>
          <w:tcPr>
            <w:tcW w:w="3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Net income (loss)</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7,609</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(16,678)</w:t>
            </w:r>
          </w:p>
        </w:tc>
      </w:tr>
      <w:tr>
        <w:trPr>
          <w:trHeight w:val="405"/>
        </w:trPr>
        <w:tc>
          <w:tcPr>
            <w:tcW w:w="3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Income (loss) per common share: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Income before cumulative effect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160" w:type="dxa"/>
            <w:vAlign w:val="bottom"/>
          </w:tcPr>
          <w:p>
            <w:pPr>
              <w:spacing w:after="0"/>
              <w:rPr>
                <w:sz w:val="17"/>
                <w:szCs w:val="17"/>
                <w:color w:val="auto"/>
              </w:rPr>
            </w:pP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3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405"/>
        </w:trPr>
        <w:tc>
          <w:tcPr>
            <w:tcW w:w="3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Weighted average number of</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25,242</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25,137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Dollars in thousands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6"/>
          <w:szCs w:val="16"/>
          <w:color w:val="auto"/>
        </w:rPr>
        <w:t>Thirteen Weeks Ended</w:t>
      </w:r>
    </w:p>
    <w:p>
      <w:pPr>
        <w:sectPr>
          <w:pgSz w:w="11900" w:h="16838" w:orient="portrait"/>
          <w:cols w:equalWidth="0" w:num="2">
            <w:col w:w="5920" w:space="720"/>
            <w:col w:w="3579"/>
          </w:cols>
          <w:pgMar w:left="240" w:top="339" w:right="1440" w:bottom="0" w:gutter="0" w:footer="0" w:header="0"/>
          <w:type w:val="continuous"/>
        </w:sectPr>
      </w:pPr>
    </w:p>
    <w:bookmarkStart w:id="3" w:name="page4"/>
    <w:bookmarkEnd w:id="3"/>
    <w:tbl>
      <w:tblPr>
        <w:tblLayout w:type="fixed"/>
        <w:tblInd w:w="12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796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November 26, November 27,</w:t>
            </w:r>
          </w:p>
        </w:tc>
      </w:tr>
      <w:tr>
        <w:trPr>
          <w:trHeight w:val="203"/>
        </w:trPr>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Cash flows</w:t>
            </w:r>
          </w:p>
        </w:tc>
        <w:tc>
          <w:tcPr>
            <w:tcW w:w="5580" w:type="dxa"/>
            <w:vAlign w:val="bottom"/>
          </w:tcPr>
          <w:p>
            <w:pPr>
              <w:ind w:left="60"/>
              <w:spacing w:after="0"/>
              <w:rPr>
                <w:sz w:val="20"/>
                <w:szCs w:val="20"/>
                <w:color w:val="auto"/>
              </w:rPr>
            </w:pPr>
            <w:r>
              <w:rPr>
                <w:rFonts w:ascii="Courier New" w:cs="Courier New" w:eastAsia="Courier New" w:hAnsi="Courier New"/>
                <w:sz w:val="18"/>
                <w:szCs w:val="18"/>
                <w:color w:val="auto"/>
              </w:rPr>
              <w:t>from operating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Net income (loss)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7,609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(16,678)</w:t>
            </w:r>
          </w:p>
        </w:tc>
      </w:tr>
      <w:tr>
        <w:trPr>
          <w:trHeight w:val="203"/>
        </w:trPr>
        <w:tc>
          <w:tcPr>
            <w:tcW w:w="6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(loss)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net cash from operating activities: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w:t>
            </w:r>
          </w:p>
        </w:tc>
        <w:tc>
          <w:tcPr>
            <w:tcW w:w="3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20,420</w:t>
            </w:r>
          </w:p>
        </w:tc>
      </w:tr>
      <w:tr>
        <w:trPr>
          <w:trHeight w:val="203"/>
        </w:trPr>
        <w:tc>
          <w:tcPr>
            <w:tcW w:w="6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1,990</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1,880</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Employee</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bonus plan</w:t>
            </w:r>
          </w:p>
        </w:tc>
        <w:tc>
          <w:tcPr>
            <w:tcW w:w="3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437</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Realized</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unrealized losses (gains) on investments, net</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423</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6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Postretirement benefits other than pensions</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589</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1,406</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Minority</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shareholders' portion of consolidated</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6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subsidiary's net income</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w:t>
            </w:r>
          </w:p>
        </w:tc>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6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Decrease</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accounts receivable</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4,691</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Decrease</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1,301</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(3,729)</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Increase</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(decrease) in accounts payable and accrued expenses</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363</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(8,305)</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Increase</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other categories</w:t>
            </w:r>
          </w:p>
        </w:tc>
        <w:tc>
          <w:tcPr>
            <w:tcW w:w="3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(1,385)</w:t>
            </w:r>
          </w:p>
        </w:tc>
      </w:tr>
      <w:tr>
        <w:trPr>
          <w:trHeight w:val="203"/>
        </w:trPr>
        <w:tc>
          <w:tcPr>
            <w:tcW w:w="6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provided (used) by operating activities</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12,653</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(1,235)</w:t>
            </w: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Cash flows</w:t>
            </w:r>
          </w:p>
        </w:tc>
        <w:tc>
          <w:tcPr>
            <w:tcW w:w="5580" w:type="dxa"/>
            <w:vAlign w:val="bottom"/>
          </w:tcPr>
          <w:p>
            <w:pPr>
              <w:ind w:left="60"/>
              <w:spacing w:after="0"/>
              <w:rPr>
                <w:sz w:val="20"/>
                <w:szCs w:val="20"/>
                <w:color w:val="auto"/>
              </w:rPr>
            </w:pPr>
            <w:r>
              <w:rPr>
                <w:rFonts w:ascii="Courier New" w:cs="Courier New" w:eastAsia="Courier New" w:hAnsi="Courier New"/>
                <w:sz w:val="18"/>
                <w:szCs w:val="18"/>
                <w:color w:val="auto"/>
              </w:rPr>
              <w:t>from investing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Investments in marketable securities</w:t>
            </w:r>
          </w:p>
        </w:tc>
        <w:tc>
          <w:tcPr>
            <w:tcW w:w="3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(855)</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(2,930)</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Proceeds</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the sale of marketable securities</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754</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2,377</w:t>
            </w:r>
          </w:p>
        </w:tc>
      </w:tr>
      <w:tr>
        <w:trPr>
          <w:trHeight w:val="203"/>
        </w:trPr>
        <w:tc>
          <w:tcPr>
            <w:tcW w:w="6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3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(2,133)</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(2,626)</w:t>
            </w:r>
          </w:p>
        </w:tc>
      </w:tr>
      <w:tr>
        <w:trPr>
          <w:trHeight w:val="203"/>
        </w:trPr>
        <w:tc>
          <w:tcPr>
            <w:tcW w:w="6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3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(8,131)</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(8,770)</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Proceeds</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dealer receivables</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6,753</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5,919</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w:t>
            </w:r>
          </w:p>
        </w:tc>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w:t>
            </w:r>
          </w:p>
        </w:tc>
      </w:tr>
      <w:tr>
        <w:trPr>
          <w:trHeight w:val="203"/>
        </w:trPr>
        <w:tc>
          <w:tcPr>
            <w:tcW w:w="6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3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(3,613)</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(7,055)</w:t>
            </w: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Cash flows</w:t>
            </w:r>
          </w:p>
        </w:tc>
        <w:tc>
          <w:tcPr>
            <w:tcW w:w="5580" w:type="dxa"/>
            <w:vAlign w:val="bottom"/>
          </w:tcPr>
          <w:p>
            <w:pPr>
              <w:ind w:left="60"/>
              <w:spacing w:after="0"/>
              <w:rPr>
                <w:sz w:val="20"/>
                <w:szCs w:val="20"/>
                <w:color w:val="auto"/>
              </w:rPr>
            </w:pPr>
            <w:r>
              <w:rPr>
                <w:rFonts w:ascii="Courier New" w:cs="Courier New" w:eastAsia="Courier New" w:hAnsi="Courier New"/>
                <w:sz w:val="18"/>
                <w:szCs w:val="18"/>
                <w:color w:val="auto"/>
                <w:w w:val="99"/>
              </w:rPr>
              <w:t>from financing activities and capital transactions: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Proceeds</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issuance of long-term debt</w:t>
            </w:r>
          </w:p>
        </w:tc>
        <w:tc>
          <w:tcPr>
            <w:tcW w:w="3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807</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Payments</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long-term debt</w:t>
            </w:r>
          </w:p>
        </w:tc>
        <w:tc>
          <w:tcPr>
            <w:tcW w:w="3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(615)</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w:t>
            </w: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w:t>
            </w:r>
          </w:p>
        </w:tc>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6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 provided by financing activities and</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capital</w:t>
            </w:r>
          </w:p>
        </w:tc>
        <w:tc>
          <w:tcPr>
            <w:tcW w:w="5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transactions</w:t>
            </w:r>
          </w:p>
        </w:tc>
        <w:tc>
          <w:tcPr>
            <w:tcW w:w="3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(586)</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517</w:t>
            </w:r>
          </w:p>
        </w:tc>
      </w:tr>
      <w:tr>
        <w:trPr>
          <w:trHeight w:val="203"/>
        </w:trPr>
        <w:tc>
          <w:tcPr>
            <w:tcW w:w="6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8,454</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(7,773)</w:t>
            </w:r>
          </w:p>
        </w:tc>
      </w:tr>
      <w:tr>
        <w:trPr>
          <w:trHeight w:val="405"/>
        </w:trPr>
        <w:tc>
          <w:tcPr>
            <w:tcW w:w="668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3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847</w:t>
            </w:r>
          </w:p>
        </w:tc>
        <w:tc>
          <w:tcPr>
            <w:tcW w:w="2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11,238</w:t>
            </w:r>
          </w:p>
        </w:tc>
      </w:tr>
      <w:tr>
        <w:trPr>
          <w:trHeight w:val="405"/>
        </w:trPr>
        <w:tc>
          <w:tcPr>
            <w:tcW w:w="668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9,301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3,465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7" w:lineRule="exact"/>
        <w:rPr>
          <w:sz w:val="20"/>
          <w:szCs w:val="20"/>
          <w:color w:val="auto"/>
        </w:rPr>
      </w:pPr>
    </w:p>
    <w:p>
      <w:pPr>
        <w:jc w:val="both"/>
        <w:ind w:left="540" w:right="1779" w:hanging="532"/>
        <w:spacing w:after="0" w:line="27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opinion of management, the accompanying unaudited consolidated condensed financial statements contain all adjustments, consisting of normal recurring accruals, necessary to present fairly the consolidated financial position as of November 26, 1994, and results of operations and cash flows for the 13 weeks ended November 26, 1994 and November 27, 1993.</w:t>
      </w:r>
    </w:p>
    <w:p>
      <w:pPr>
        <w:spacing w:after="0" w:line="184"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operations for the 13 weeks ended November 26, 1994, are not necessarily indicative of the results to be expected for the full year. Service revenues, in the Consolidated Statements of Operations, consist of revenues generated by Cycle-Sat, Inc. (Cycle-Sat) and Winnebago Acceptance Corporation (WAC), subsidiaries of the Company.</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30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November 26,</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August 27,</w:t>
            </w:r>
          </w:p>
        </w:tc>
      </w:tr>
      <w:tr>
        <w:trPr>
          <w:trHeight w:val="203"/>
        </w:trPr>
        <w:tc>
          <w:tcPr>
            <w:tcW w:w="2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17,369</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21,675</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8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13,407</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18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37,327</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33,800</w:t>
            </w:r>
          </w:p>
        </w:tc>
      </w:tr>
      <w:tr>
        <w:trPr>
          <w:trHeight w:val="203"/>
        </w:trPr>
        <w:tc>
          <w:tcPr>
            <w:tcW w:w="2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68,103</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69,282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w:t>
            </w:r>
          </w:p>
        </w:tc>
        <w:tc>
          <w:tcPr>
            <w:tcW w:w="18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13,954</w:t>
            </w:r>
          </w:p>
        </w:tc>
        <w:tc>
          <w:tcPr>
            <w:tcW w:w="6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13,832</w:t>
            </w:r>
          </w:p>
        </w:tc>
      </w:tr>
      <w:tr>
        <w:trPr>
          <w:trHeight w:val="405"/>
        </w:trPr>
        <w:tc>
          <w:tcPr>
            <w:tcW w:w="2960" w:type="dxa"/>
            <w:vAlign w:val="bottom"/>
          </w:tcPr>
          <w:p>
            <w:pPr>
              <w:spacing w:after="0"/>
              <w:rPr>
                <w:sz w:val="24"/>
                <w:szCs w:val="24"/>
                <w:color w:val="auto"/>
              </w:rPr>
            </w:pPr>
          </w:p>
        </w:tc>
        <w:tc>
          <w:tcPr>
            <w:tcW w:w="1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54,149</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55,450</w:t>
            </w:r>
          </w:p>
        </w:tc>
      </w:tr>
    </w:tbl>
    <w:p>
      <w:pPr>
        <w:spacing w:after="0" w:line="207" w:lineRule="exact"/>
        <w:rPr>
          <w:sz w:val="20"/>
          <w:szCs w:val="20"/>
          <w:color w:val="auto"/>
        </w:rPr>
      </w:pPr>
    </w:p>
    <w:p>
      <w:pPr>
        <w:jc w:val="both"/>
        <w:ind w:left="540" w:right="1779" w:hanging="532"/>
        <w:spacing w:after="0" w:line="290"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March, 1992, the Company has had a $12,000,000 financing and security agreement with NationsCredit Corporation (NationsCredit) formerly Chrysler</w:t>
      </w:r>
    </w:p>
    <w:p>
      <w:pPr>
        <w:sectPr>
          <w:pgSz w:w="11900" w:h="16838" w:orient="portrait"/>
          <w:cols w:equalWidth="0" w:num="1">
            <w:col w:w="10219"/>
          </w:cols>
          <w:pgMar w:left="240" w:top="136" w:right="1440" w:bottom="0" w:gutter="0" w:footer="0" w:header="0"/>
        </w:sectPr>
      </w:pPr>
    </w:p>
    <w:bookmarkStart w:id="4" w:name="page5"/>
    <w:bookmarkEnd w:id="4"/>
    <w:p>
      <w:pPr>
        <w:jc w:val="both"/>
        <w:ind w:left="540" w:right="1779"/>
        <w:spacing w:after="0" w:line="269" w:lineRule="auto"/>
        <w:rPr>
          <w:sz w:val="20"/>
          <w:szCs w:val="20"/>
          <w:color w:val="auto"/>
        </w:rPr>
      </w:pPr>
      <w:r>
        <w:rPr>
          <w:rFonts w:ascii="Courier New" w:cs="Courier New" w:eastAsia="Courier New" w:hAnsi="Courier New"/>
          <w:sz w:val="16"/>
          <w:szCs w:val="16"/>
          <w:color w:val="auto"/>
        </w:rPr>
        <w:t>First Commercial Corporation. Terms of the agreement limit borrowings to the lesser of $12,000,000 or 75% of eligible inventory (fully manufactured recreation vehicles ready for delivery to a dealer). Borrowings are secured by the Company's receivables and inventory. The agreement requires a graduated interest rate based upon the bank's reference rate as defined in the agreement. The line of credit is available for a term of one year and continues during successive one-year periods unless either party provides at least 90-days notice prior to the end of the one-year period to the other party that they wish to terminate the line of credit. The agreement prohibits any advances, loans, or additional guarantees of any obligation to any subsidiary or affiliate in excess of $5,000,000 or $7,500,000 in the aggregate for all subsidiaries and affiliates from the date of the agreement. The agreement also includes certain restrictive covenants in the agreement including maintenance of minimum net worth, working capital and debt to equity ratio. As of November 26, 1994, the Company was in compliance with these covenants. There were no outstanding borrowings under the line of credit at November 26, 1994 or August 27, 1994.</w:t>
      </w:r>
    </w:p>
    <w:p>
      <w:pPr>
        <w:spacing w:after="0" w:line="396" w:lineRule="exact"/>
        <w:rPr>
          <w:sz w:val="20"/>
          <w:szCs w:val="20"/>
          <w:color w:val="auto"/>
        </w:rPr>
      </w:pPr>
    </w:p>
    <w:p>
      <w:pPr>
        <w:jc w:val="both"/>
        <w:ind w:left="540" w:right="1779"/>
        <w:spacing w:after="0" w:line="238" w:lineRule="auto"/>
        <w:rPr>
          <w:sz w:val="20"/>
          <w:szCs w:val="20"/>
          <w:color w:val="auto"/>
        </w:rPr>
      </w:pPr>
      <w:r>
        <w:rPr>
          <w:rFonts w:ascii="Courier New" w:cs="Courier New" w:eastAsia="Courier New" w:hAnsi="Courier New"/>
          <w:sz w:val="18"/>
          <w:szCs w:val="18"/>
          <w:color w:val="auto"/>
        </w:rPr>
        <w:t>The Company and Cycle-Sat entered into a $3,000,000 line of credit with Firstar Bank Cedar Rapids (Firstar) dated February 24, 1994. Terms of the agreement limit the amount advanced to the lesser of $3,000,000 or the sum of the base of 75 percent of Cycle-Sat's eligible accounts receivable and 50 percent of its inventory. The agreement provides for a declining interest rate based on future increases in the tangible net worth of Cycle-Sat and contains a restrictive covenant related to the maintenance of a minimum tangible net worth as defined in the agreement. As of November 26, 1994, Cycle-Sat was in compliance with this covenant. Borrowings under the line of credit are secured by Cycle-Sat's accounts receivable and inventories and have been guaranteed by the Company. The line of credit expires January 31, 1995. The outstanding balance under the line of credit at November 26, 1994 was $2,300,000 with an interest rate of 9.75 percent per annum and at August 27, 1994 $2,300,000 with an interest rate of 9.0 percent per annum. As of November 26, 1994, Cycle-Sat had $700,000 of unused borrowings available.</w:t>
      </w:r>
    </w:p>
    <w:p>
      <w:pPr>
        <w:spacing w:after="0" w:line="208" w:lineRule="exact"/>
        <w:rPr>
          <w:sz w:val="20"/>
          <w:szCs w:val="20"/>
          <w:color w:val="auto"/>
        </w:rPr>
      </w:pPr>
    </w:p>
    <w:p>
      <w:pPr>
        <w:jc w:val="both"/>
        <w:ind w:left="540" w:right="1779"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$125,910,000 and $118,954,000 under repurchase agreements with lending institutions as of November 26, 1994, and August 27, 1994, respectively. Included in these contingent liabilities are approximately $44,606,000 and $36,231,000, respectively, of certain dealer receivables subject to recourse agreements with ITT Commercial Finance Corporation, NationsCredit and John Deere Credit, Inc.</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year-to-date the Company paid cash for the following (dollars in thousands):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Thirteen Weeks Ended</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4060" w:type="dxa"/>
            <w:vAlign w:val="bottom"/>
            <w:gridSpan w:val="2"/>
          </w:tcPr>
          <w:p>
            <w:pPr>
              <w:jc w:val="right"/>
              <w:ind w:right="1932"/>
              <w:spacing w:after="0" w:line="203" w:lineRule="exact"/>
              <w:rPr>
                <w:sz w:val="20"/>
                <w:szCs w:val="20"/>
                <w:color w:val="auto"/>
              </w:rPr>
            </w:pPr>
            <w:r>
              <w:rPr>
                <w:rFonts w:ascii="Courier New" w:cs="Courier New" w:eastAsia="Courier New" w:hAnsi="Courier New"/>
                <w:sz w:val="18"/>
                <w:szCs w:val="18"/>
                <w:color w:val="auto"/>
              </w:rPr>
              <w:t>November 26,</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November 27,</w:t>
            </w:r>
          </w:p>
        </w:tc>
      </w:tr>
      <w:tr>
        <w:trPr>
          <w:trHeight w:val="203"/>
        </w:trPr>
        <w:tc>
          <w:tcPr>
            <w:tcW w:w="2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40" w:type="dxa"/>
            <w:vAlign w:val="bottom"/>
          </w:tcPr>
          <w:p>
            <w:pPr>
              <w:jc w:val="right"/>
              <w:ind w:right="1932"/>
              <w:spacing w:after="0" w:line="203" w:lineRule="exact"/>
              <w:rPr>
                <w:sz w:val="20"/>
                <w:szCs w:val="20"/>
                <w:color w:val="auto"/>
              </w:rPr>
            </w:pPr>
            <w:r>
              <w:rPr>
                <w:rFonts w:ascii="Courier New" w:cs="Courier New" w:eastAsia="Courier New" w:hAnsi="Courier New"/>
                <w:sz w:val="18"/>
                <w:szCs w:val="18"/>
                <w:color w:val="auto"/>
              </w:rPr>
              <w:t>1994</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1932"/>
              <w:spacing w:after="0" w:line="203" w:lineRule="exact"/>
              <w:rPr>
                <w:sz w:val="20"/>
                <w:szCs w:val="20"/>
                <w:color w:val="auto"/>
              </w:rPr>
            </w:pPr>
            <w:r>
              <w:rPr>
                <w:rFonts w:ascii="Courier New" w:cs="Courier New" w:eastAsia="Courier New" w:hAnsi="Courier New"/>
                <w:sz w:val="18"/>
                <w:szCs w:val="18"/>
                <w:color w:val="auto"/>
              </w:rPr>
              <w:t>219</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420" w:type="dxa"/>
            <w:vAlign w:val="bottom"/>
          </w:tcPr>
          <w:p>
            <w:pPr>
              <w:spacing w:after="0"/>
              <w:rPr>
                <w:sz w:val="17"/>
                <w:szCs w:val="17"/>
                <w:color w:val="auto"/>
              </w:rPr>
            </w:pPr>
          </w:p>
        </w:tc>
        <w:tc>
          <w:tcPr>
            <w:tcW w:w="2640" w:type="dxa"/>
            <w:vAlign w:val="bottom"/>
          </w:tcPr>
          <w:p>
            <w:pPr>
              <w:jc w:val="right"/>
              <w:ind w:right="1932"/>
              <w:spacing w:after="0" w:line="203" w:lineRule="exact"/>
              <w:rPr>
                <w:sz w:val="20"/>
                <w:szCs w:val="20"/>
                <w:color w:val="auto"/>
              </w:rPr>
            </w:pPr>
            <w:r>
              <w:rPr>
                <w:rFonts w:ascii="Courier New" w:cs="Courier New" w:eastAsia="Courier New" w:hAnsi="Courier New"/>
                <w:sz w:val="18"/>
                <w:szCs w:val="18"/>
                <w:color w:val="auto"/>
              </w:rPr>
              <w:t>693</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w:t>
            </w:r>
          </w:p>
        </w:tc>
      </w:tr>
    </w:tbl>
    <w:p>
      <w:pPr>
        <w:spacing w:after="0" w:line="207" w:lineRule="exact"/>
        <w:rPr>
          <w:sz w:val="20"/>
          <w:szCs w:val="20"/>
          <w:color w:val="auto"/>
        </w:rPr>
      </w:pPr>
    </w:p>
    <w:p>
      <w:pPr>
        <w:jc w:val="both"/>
        <w:ind w:left="540" w:right="1779" w:hanging="532"/>
        <w:spacing w:after="0" w:line="279"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November 26, 1994, Postretirement Health Care and Deferred Compensation Benefits included postretirement benefits related to health care and other benefits of $23,357,000 and deferred compensation of $20,623,000.</w:t>
      </w:r>
    </w:p>
    <w:p>
      <w:pPr>
        <w:spacing w:after="0" w:line="178" w:lineRule="exact"/>
        <w:rPr>
          <w:rFonts w:ascii="Courier New" w:cs="Courier New" w:eastAsia="Courier New" w:hAnsi="Courier New"/>
          <w:sz w:val="16"/>
          <w:szCs w:val="16"/>
          <w:color w:val="auto"/>
        </w:rPr>
      </w:pPr>
    </w:p>
    <w:p>
      <w:pPr>
        <w:ind w:left="54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postretirement benefit cost for the 13 weeks ended November 26, 1994 consisted of the following components: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Thirteen</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Weeks</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 cost - benefits earned during the period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262,000</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 on accumulated postretirement benefit obligation</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293,000</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(gain)/loss</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(95,000)</w:t>
            </w:r>
          </w:p>
        </w:tc>
      </w:tr>
      <w:tr>
        <w:trPr>
          <w:trHeight w:val="405"/>
        </w:trPr>
        <w:tc>
          <w:tcPr>
            <w:tcW w:w="6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460,000</w:t>
            </w:r>
          </w:p>
        </w:tc>
      </w:tr>
    </w:tbl>
    <w:p>
      <w:pPr>
        <w:spacing w:after="0" w:line="207" w:lineRule="exact"/>
        <w:rPr>
          <w:sz w:val="20"/>
          <w:szCs w:val="20"/>
          <w:color w:val="auto"/>
        </w:rPr>
      </w:pPr>
    </w:p>
    <w:p>
      <w:pPr>
        <w:ind w:left="540" w:right="177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August 27, 1994, the Company had net operating loss carryforwards for financial reporting purposes of approximately $44,000,000 which will, if unused, expire at various times in fiscal years 2006 through 2008. The Company's use of the net operating loss carryforwards offset its income taxes otherwise required during the first quarter of fiscal 1995.</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MANAGEMENT'S DISCUSSION AND ANALYSIS OF FINANCIAL CONDITION AND RESULTS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OPERATIONS</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Thirteen Weeks Ended November 26, 1994 Compared to Thirteen Weeks Ended November 27, 1993.</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Net revenues of manufactured products for the 13 weeks ended November 26, 1994 increased $24,869,000 or 25.0 percent from the 13 week period ended November 27, 1993. Motor home shipments increased by 352 units or 17.1 percent during the 13 weeks ended November 26, 1994 when compared to the first quarter of fiscal 1994. The growth in revenues is attributed to the excellent acceptance of the Company's 1995 model year products especially the higher-priced Class A models. The Company is optimistic about the outlook for the remainder of the 1995 fiscal year due to the strong current forward order position; however, continued increases in interest rates by the Federal Reserve Board, could have a detrimental affect on the Company's revenue growth.</w:t>
      </w:r>
    </w:p>
    <w:p>
      <w:pPr>
        <w:spacing w:after="0" w:line="21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Service revenues for the 13 weeks ended November 26, 1994 increased $1,334,000 or 26.9 percent from the 13 weeks ended November 27, 1993. The increase is attributed to an increase in revenues from established customers as well as revenues generated with new customers by Cycle-Sat, Inc.</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Cost of manufactured products, as a percent of manufactured product revenues, was 86.0 percent for the 13 weeks ended November 26, 1994 compared to 85.9 percent for the 13 weeks ended November 27, 1993.</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Cost of services increased by $586,000 but as a percent of service revenue decreased to 55.1 percent from 58.1 percent when comparing the 13 weeks ended November 26, 1994 to the 13 weeks ended November 27, 1993. This decrease in percentage when comparing the two periods can be attributed primarily to the increase in Cycle-Sat revenues.</w:t>
      </w:r>
    </w:p>
    <w:p>
      <w:pPr>
        <w:spacing w:after="0" w:line="209"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Selling and delivery expenses increased by $52,000 but decreased to 4.6 percent of net revenues from 5.8 percent of net revenues when comparing the 13 weeks ended November 26, 1994 to the comparable period of fiscal 1994. The decrease in percentage can be attributed to the significant increase in revenues.</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decreased by $137,000 to 4.8 percent of net revenues from 6.1 percent of net revenues when comparing the 13 weeks ended November 26, 1994 to the 13 weeks ended November 27, 1993. The decrease in dollars when comparing the two periods can be attributed primarily to a reduction in the Company's cost for retiree benefit programs and to costs for legal expenses. The decrease in percentage can be attributed to the significant increase in revenues.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had other income of $19,000 during the 13 weeks ended November 26, 1994 compared to other expense of $76,000 during the 13 weeks ended November 27, 1993. The primary reason for the change when comparing the two periods was an increase in lease income from the Company's public warehousing activities.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had net financial expense of $194,000 during the first quarter of fiscal 1995 compared to income of $165,000 during the first quarter of fiscal 1994. The Company recorded $423,000 of realized and unrealized losses compared to $69,000 of gains in its marketable securities portfolio during the first quarters of fiscal 1995 and 1994, respectively. The Company recorded $106,000 of foreign exchange gains, primarily due to the translations of Winnebago Industries, Europe GmbH operations, compared to $5,000 of losses during the first quarters of fiscal 1995 and 1994, respectively.</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For the 13 weeks ended November 26, 1994, the Company realized income from operations of $7,609,000 or $.30 per share which included income of $624,000 ($.02 per share) from Cycle-Sat operations. For the 13 weeks ended November 27, 1993, the Company realized income before the cumulative effect of an accounting change of $3,742,000 or $.15 per share which included income of $241,000 ($.01 per share) from Cycle-Sat operations.</w:t>
      </w:r>
    </w:p>
    <w:p>
      <w:pPr>
        <w:spacing w:after="0" w:line="210"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In fiscal 1994, the Company was required to adopt the remaining portion of FASB Statement No. 106, "Employers' Accounting for Postretirement Benefits Other Than Pensions" related to health care and other benefits. This change in accounting principle resulted in a cumulative non-cash charge at the beginning of fiscal 1994 of $20,420,000 or $.81 per share. With the adoption of FASB No. 106, the 13 weeks November 27, 1993 net loss was $16,678,000 or $.66 per share.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Presently, the Company meets its working capital and capital equipment requirements and cash requirements of subsidiaries with funds generated internally and funds from agreements with financial institutions.</w:t>
      </w:r>
    </w:p>
    <w:p>
      <w:pPr>
        <w:spacing w:after="0" w:line="209"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At November 26, 1994, working capital was $66,482,000, an increase of $7,959,000 from the amount at August 27, 1994. The Company's principal sources and uses of cash during the 13 weeks ended November 26, 1994 are set forth in the unaudited</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consolidated condensed statement of cash flows for that period.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Principal expected demands at November 26, 1994 on the Company's liquid assets for the remainder of fiscal 1995 include approximately $6,500,000 for capital expenditures consisting primarily of tooling, equipment replacement and new equipment. Also during fiscal 1995, as previously announced by the Company in December, 1994, Cycle-Sat expects to complete the acquisition of T.F.I. a private company headquartered in California. The Company expects to finance the acquisition through a new agreement with Firstar Bank and terms provided by T.F.I. which aggregate $10,000,000. The agreement will be guaranteed by the Company.</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Based upon available cash, marketable securities and financing resources, described in Note 4 as supplemented by the discussion in the preceding paragraph, management believes that the Company has adequate sources of funds to meet its remaining fiscal 1995 cash requirements. However, any significant adverse events in the market for motor homes or in the economy could have a significant effect on the Company's future cash requirements.</w:t>
      </w: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700" w:hanging="533"/>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exhibits are being filed as a part of this report.</w:t>
      </w:r>
    </w:p>
    <w:p>
      <w:pPr>
        <w:spacing w:after="0" w:line="206" w:lineRule="exact"/>
        <w:rPr>
          <w:rFonts w:ascii="Courier New" w:cs="Courier New" w:eastAsia="Courier New" w:hAnsi="Courier New"/>
          <w:sz w:val="18"/>
          <w:szCs w:val="18"/>
          <w:color w:val="auto"/>
        </w:rPr>
      </w:pPr>
    </w:p>
    <w:p>
      <w:pPr>
        <w:ind w:left="1700" w:right="2319" w:hanging="533"/>
        <w:spacing w:after="0" w:line="235"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280" w:space="100"/>
            <w:col w:w="4839"/>
          </w:cols>
          <w:pgMar w:left="240" w:top="136" w:right="1440"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rPr>
              <w:t>WINNEBAGO INDUSTRIES,</w:t>
            </w: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INC. (Registrant)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Date January 9, 1995</w:t>
            </w:r>
          </w:p>
        </w:tc>
        <w:tc>
          <w:tcPr>
            <w:tcW w:w="52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 Fred G. Dohrmann</w:t>
            </w:r>
          </w:p>
        </w:tc>
      </w:tr>
      <w:tr>
        <w:trPr>
          <w:trHeight w:val="203"/>
        </w:trPr>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Fred G. Dohrmann</w:t>
            </w:r>
          </w:p>
        </w:tc>
      </w:tr>
      <w:tr>
        <w:trPr>
          <w:trHeight w:val="203"/>
        </w:trPr>
        <w:tc>
          <w:tcPr>
            <w:tcW w:w="3220" w:type="dxa"/>
            <w:vAlign w:val="bottom"/>
          </w:tcPr>
          <w:p>
            <w:pPr>
              <w:spacing w:after="0"/>
              <w:rPr>
                <w:sz w:val="17"/>
                <w:szCs w:val="17"/>
                <w:color w:val="auto"/>
              </w:rPr>
            </w:pP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Executive Officer</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Date January 9, 1995</w:t>
            </w:r>
          </w:p>
        </w:tc>
        <w:tc>
          <w:tcPr>
            <w:tcW w:w="3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 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F. Barker</w:t>
            </w:r>
          </w:p>
        </w:tc>
      </w:tr>
      <w:tr>
        <w:trPr>
          <w:trHeight w:val="203"/>
        </w:trPr>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 Barker</w:t>
            </w:r>
          </w:p>
        </w:tc>
      </w:tr>
      <w:tr>
        <w:trPr>
          <w:trHeight w:val="203"/>
        </w:trPr>
        <w:tc>
          <w:tcPr>
            <w:tcW w:w="3220" w:type="dxa"/>
            <w:vAlign w:val="bottom"/>
          </w:tcPr>
          <w:p>
            <w:pPr>
              <w:spacing w:after="0"/>
              <w:rPr>
                <w:sz w:val="17"/>
                <w:szCs w:val="17"/>
                <w:color w:val="auto"/>
              </w:rPr>
            </w:pPr>
          </w:p>
        </w:tc>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Vice President, Controller</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Chief</w:t>
            </w:r>
          </w:p>
        </w:tc>
      </w:tr>
      <w:tr>
        <w:trPr>
          <w:trHeight w:val="203"/>
        </w:trPr>
        <w:tc>
          <w:tcPr>
            <w:tcW w:w="3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Financial Officer</w:t>
            </w:r>
          </w:p>
        </w:tc>
      </w:tr>
    </w:tbl>
    <w:p>
      <w:pPr>
        <w:sectPr>
          <w:pgSz w:w="11900" w:h="16838" w:orient="portrait"/>
          <w:cols w:equalWidth="0" w:num="1">
            <w:col w:w="10219"/>
          </w:cols>
          <w:pgMar w:left="240" w:top="136" w:right="1440" w:bottom="1440" w:gutter="0" w:footer="0" w:header="0"/>
          <w:type w:val="continuous"/>
        </w:sectPr>
      </w:pPr>
    </w:p>
    <w:bookmarkStart w:id="7" w:name="page8"/>
    <w:bookmarkEnd w:id="7"/>
    <w:p>
      <w:pPr>
        <w:ind w:left="5980"/>
        <w:spacing w:after="0"/>
        <w:rPr>
          <w:sz w:val="20"/>
          <w:szCs w:val="20"/>
          <w:color w:val="auto"/>
        </w:rPr>
      </w:pPr>
      <w:r>
        <w:rPr>
          <w:rFonts w:ascii="Courier New" w:cs="Courier New" w:eastAsia="Courier New" w:hAnsi="Courier New"/>
          <w:sz w:val="18"/>
          <w:szCs w:val="18"/>
          <w:color w:val="auto"/>
        </w:rPr>
        <w:t>5</w:t>
      </w:r>
    </w:p>
    <w:p>
      <w:pPr>
        <w:ind w:left="4080"/>
        <w:spacing w:after="0" w:line="238" w:lineRule="auto"/>
        <w:rPr>
          <w:sz w:val="20"/>
          <w:szCs w:val="20"/>
          <w:color w:val="auto"/>
        </w:rPr>
      </w:pPr>
      <w:r>
        <w:rPr>
          <w:rFonts w:ascii="Courier New" w:cs="Courier New" w:eastAsia="Courier New" w:hAnsi="Courier New"/>
          <w:sz w:val="18"/>
          <w:szCs w:val="18"/>
          <w:color w:val="auto"/>
        </w:rPr>
        <w:t>AUG-26-1995</w:t>
      </w:r>
    </w:p>
    <w:p>
      <w:pPr>
        <w:ind w:left="4600"/>
        <w:spacing w:after="0"/>
        <w:rPr>
          <w:sz w:val="20"/>
          <w:szCs w:val="20"/>
          <w:color w:val="auto"/>
        </w:rPr>
      </w:pPr>
      <w:r>
        <w:rPr>
          <w:rFonts w:ascii="Courier New" w:cs="Courier New" w:eastAsia="Courier New" w:hAnsi="Courier New"/>
          <w:sz w:val="18"/>
          <w:szCs w:val="18"/>
          <w:color w:val="auto"/>
        </w:rPr>
        <w:t>NOV-26-1994</w:t>
      </w:r>
    </w:p>
    <w:p>
      <w:pPr>
        <w:ind w:left="5120"/>
        <w:spacing w:after="0" w:line="237" w:lineRule="auto"/>
        <w:rPr>
          <w:sz w:val="20"/>
          <w:szCs w:val="20"/>
          <w:color w:val="auto"/>
        </w:rPr>
      </w:pPr>
      <w:r>
        <w:rPr>
          <w:rFonts w:ascii="Courier New" w:cs="Courier New" w:eastAsia="Courier New" w:hAnsi="Courier New"/>
          <w:sz w:val="18"/>
          <w:szCs w:val="18"/>
          <w:color w:val="auto"/>
        </w:rPr>
        <w:t>QTR-1</w:t>
      </w:r>
    </w:p>
    <w:p>
      <w:pPr>
        <w:ind w:left="5860"/>
        <w:spacing w:after="0" w:line="238" w:lineRule="auto"/>
        <w:rPr>
          <w:sz w:val="20"/>
          <w:szCs w:val="20"/>
          <w:color w:val="auto"/>
        </w:rPr>
      </w:pPr>
      <w:r>
        <w:rPr>
          <w:rFonts w:ascii="Courier New" w:cs="Courier New" w:eastAsia="Courier New" w:hAnsi="Courier New"/>
          <w:sz w:val="18"/>
          <w:szCs w:val="18"/>
          <w:color w:val="auto"/>
        </w:rPr>
        <w:t>9,301</w:t>
      </w:r>
    </w:p>
    <w:p>
      <w:pPr>
        <w:ind w:left="5240"/>
        <w:spacing w:after="0"/>
        <w:rPr>
          <w:sz w:val="20"/>
          <w:szCs w:val="20"/>
          <w:color w:val="auto"/>
        </w:rPr>
      </w:pPr>
      <w:r>
        <w:rPr>
          <w:rFonts w:ascii="Courier New" w:cs="Courier New" w:eastAsia="Courier New" w:hAnsi="Courier New"/>
          <w:sz w:val="18"/>
          <w:szCs w:val="18"/>
          <w:color w:val="auto"/>
        </w:rPr>
        <w:t>2,979</w:t>
      </w:r>
    </w:p>
    <w:p>
      <w:pPr>
        <w:ind w:left="5020"/>
        <w:spacing w:after="0" w:line="237" w:lineRule="auto"/>
        <w:rPr>
          <w:sz w:val="20"/>
          <w:szCs w:val="20"/>
          <w:color w:val="auto"/>
        </w:rPr>
      </w:pPr>
      <w:r>
        <w:rPr>
          <w:rFonts w:ascii="Courier New" w:cs="Courier New" w:eastAsia="Courier New" w:hAnsi="Courier New"/>
          <w:sz w:val="18"/>
          <w:szCs w:val="18"/>
          <w:color w:val="auto"/>
        </w:rPr>
        <w:t>48,314</w:t>
      </w:r>
    </w:p>
    <w:p>
      <w:pPr>
        <w:ind w:left="5240"/>
        <w:spacing w:after="0"/>
        <w:rPr>
          <w:sz w:val="20"/>
          <w:szCs w:val="20"/>
          <w:color w:val="auto"/>
        </w:rPr>
      </w:pPr>
      <w:r>
        <w:rPr>
          <w:rFonts w:ascii="Courier New" w:cs="Courier New" w:eastAsia="Courier New" w:hAnsi="Courier New"/>
          <w:sz w:val="18"/>
          <w:szCs w:val="18"/>
          <w:color w:val="auto"/>
        </w:rPr>
        <w:t>1,898</w:t>
      </w:r>
    </w:p>
    <w:p>
      <w:pPr>
        <w:ind w:left="5240"/>
        <w:spacing w:after="0" w:line="237" w:lineRule="auto"/>
        <w:rPr>
          <w:sz w:val="20"/>
          <w:szCs w:val="20"/>
          <w:color w:val="auto"/>
        </w:rPr>
      </w:pPr>
      <w:r>
        <w:rPr>
          <w:rFonts w:ascii="Courier New" w:cs="Courier New" w:eastAsia="Courier New" w:hAnsi="Courier New"/>
          <w:sz w:val="18"/>
          <w:szCs w:val="18"/>
          <w:color w:val="auto"/>
        </w:rPr>
        <w:t>54,149</w:t>
      </w:r>
    </w:p>
    <w:p>
      <w:pPr>
        <w:ind w:left="4600"/>
        <w:spacing w:after="0"/>
        <w:rPr>
          <w:sz w:val="20"/>
          <w:szCs w:val="20"/>
          <w:color w:val="auto"/>
        </w:rPr>
      </w:pPr>
      <w:r>
        <w:rPr>
          <w:rFonts w:ascii="Courier New" w:cs="Courier New" w:eastAsia="Courier New" w:hAnsi="Courier New"/>
          <w:sz w:val="18"/>
          <w:szCs w:val="18"/>
          <w:color w:val="auto"/>
        </w:rPr>
        <w:t>118,980</w:t>
      </w:r>
    </w:p>
    <w:p>
      <w:pPr>
        <w:ind w:left="5660"/>
        <w:spacing w:after="0" w:line="237" w:lineRule="auto"/>
        <w:rPr>
          <w:sz w:val="20"/>
          <w:szCs w:val="20"/>
          <w:color w:val="auto"/>
        </w:rPr>
      </w:pPr>
      <w:r>
        <w:rPr>
          <w:rFonts w:ascii="Courier New" w:cs="Courier New" w:eastAsia="Courier New" w:hAnsi="Courier New"/>
          <w:sz w:val="18"/>
          <w:szCs w:val="18"/>
          <w:color w:val="auto"/>
        </w:rPr>
        <w:t>126,156</w:t>
      </w:r>
    </w:p>
    <w:p>
      <w:pPr>
        <w:ind w:left="4920"/>
        <w:spacing w:after="0" w:line="238" w:lineRule="auto"/>
        <w:rPr>
          <w:sz w:val="20"/>
          <w:szCs w:val="20"/>
          <w:color w:val="auto"/>
        </w:rPr>
      </w:pPr>
      <w:r>
        <w:rPr>
          <w:rFonts w:ascii="Courier New" w:cs="Courier New" w:eastAsia="Courier New" w:hAnsi="Courier New"/>
          <w:sz w:val="18"/>
          <w:szCs w:val="18"/>
          <w:color w:val="auto"/>
        </w:rPr>
        <w:t>84,618</w:t>
      </w:r>
    </w:p>
    <w:p>
      <w:pPr>
        <w:ind w:left="4820"/>
        <w:spacing w:after="0"/>
        <w:rPr>
          <w:sz w:val="20"/>
          <w:szCs w:val="20"/>
          <w:color w:val="auto"/>
        </w:rPr>
      </w:pPr>
      <w:r>
        <w:rPr>
          <w:rFonts w:ascii="Courier New" w:cs="Courier New" w:eastAsia="Courier New" w:hAnsi="Courier New"/>
          <w:sz w:val="18"/>
          <w:szCs w:val="18"/>
          <w:color w:val="auto"/>
        </w:rPr>
        <w:t>192,080</w:t>
      </w:r>
    </w:p>
    <w:p>
      <w:pPr>
        <w:jc w:val="center"/>
        <w:ind w:right="19"/>
        <w:spacing w:after="0" w:line="237" w:lineRule="auto"/>
        <w:rPr>
          <w:sz w:val="20"/>
          <w:szCs w:val="20"/>
          <w:color w:val="auto"/>
        </w:rPr>
      </w:pPr>
      <w:r>
        <w:rPr>
          <w:rFonts w:ascii="Courier New" w:cs="Courier New" w:eastAsia="Courier New" w:hAnsi="Courier New"/>
          <w:sz w:val="18"/>
          <w:szCs w:val="18"/>
          <w:color w:val="auto"/>
        </w:rPr>
        <w:t>52,498</w:t>
      </w:r>
    </w:p>
    <w:p>
      <w:pPr>
        <w:ind w:left="6180"/>
        <w:spacing w:after="0"/>
        <w:rPr>
          <w:sz w:val="20"/>
          <w:szCs w:val="20"/>
          <w:color w:val="auto"/>
        </w:rPr>
      </w:pPr>
      <w:r>
        <w:rPr>
          <w:rFonts w:ascii="Courier New" w:cs="Courier New" w:eastAsia="Courier New" w:hAnsi="Courier New"/>
          <w:sz w:val="18"/>
          <w:szCs w:val="18"/>
          <w:color w:val="auto"/>
        </w:rPr>
        <w:t>0</w:t>
      </w:r>
    </w:p>
    <w:p>
      <w:pPr>
        <w:ind w:left="5540"/>
        <w:spacing w:after="0" w:line="237" w:lineRule="auto"/>
        <w:rPr>
          <w:sz w:val="20"/>
          <w:szCs w:val="20"/>
          <w:color w:val="auto"/>
        </w:rPr>
      </w:pPr>
      <w:r>
        <w:rPr>
          <w:rFonts w:ascii="Courier New" w:cs="Courier New" w:eastAsia="Courier New" w:hAnsi="Courier New"/>
          <w:sz w:val="18"/>
          <w:szCs w:val="18"/>
          <w:color w:val="auto"/>
        </w:rPr>
        <w:t>12,913</w:t>
      </w:r>
    </w:p>
    <w:p>
      <w:pPr>
        <w:ind w:left="4700"/>
        <w:spacing w:after="0"/>
        <w:rPr>
          <w:sz w:val="20"/>
          <w:szCs w:val="20"/>
          <w:color w:val="auto"/>
        </w:rPr>
      </w:pPr>
      <w:r>
        <w:rPr>
          <w:rFonts w:ascii="Courier New" w:cs="Courier New" w:eastAsia="Courier New" w:hAnsi="Courier New"/>
          <w:sz w:val="18"/>
          <w:szCs w:val="18"/>
          <w:color w:val="auto"/>
        </w:rPr>
        <w:t>0</w:t>
      </w:r>
    </w:p>
    <w:p>
      <w:pPr>
        <w:ind w:left="5760"/>
        <w:spacing w:after="0" w:line="237" w:lineRule="auto"/>
        <w:rPr>
          <w:sz w:val="20"/>
          <w:szCs w:val="20"/>
          <w:color w:val="auto"/>
        </w:rPr>
      </w:pPr>
      <w:r>
        <w:rPr>
          <w:rFonts w:ascii="Courier New" w:cs="Courier New" w:eastAsia="Courier New" w:hAnsi="Courier New"/>
          <w:sz w:val="18"/>
          <w:szCs w:val="18"/>
          <w:color w:val="auto"/>
        </w:rPr>
        <w:t>0</w:t>
      </w:r>
    </w:p>
    <w:p>
      <w:pPr>
        <w:ind w:left="5340"/>
        <w:spacing w:after="0" w:line="238" w:lineRule="auto"/>
        <w:rPr>
          <w:sz w:val="20"/>
          <w:szCs w:val="20"/>
          <w:color w:val="auto"/>
        </w:rPr>
      </w:pPr>
      <w:r>
        <w:rPr>
          <w:rFonts w:ascii="Courier New" w:cs="Courier New" w:eastAsia="Courier New" w:hAnsi="Courier New"/>
          <w:sz w:val="18"/>
          <w:szCs w:val="18"/>
          <w:color w:val="auto"/>
        </w:rPr>
        <w:t>74,435</w:t>
      </w:r>
    </w:p>
    <w:p>
      <w:pPr>
        <w:ind w:left="3340"/>
        <w:spacing w:after="0"/>
        <w:rPr>
          <w:sz w:val="20"/>
          <w:szCs w:val="20"/>
          <w:color w:val="auto"/>
        </w:rPr>
      </w:pPr>
      <w:r>
        <w:rPr>
          <w:rFonts w:ascii="Courier New" w:cs="Courier New" w:eastAsia="Courier New" w:hAnsi="Courier New"/>
          <w:sz w:val="18"/>
          <w:szCs w:val="18"/>
          <w:color w:val="auto"/>
        </w:rPr>
        <w:t>192,080</w:t>
      </w:r>
    </w:p>
    <w:p>
      <w:pPr>
        <w:ind w:left="5540"/>
        <w:spacing w:after="0" w:line="237" w:lineRule="auto"/>
        <w:rPr>
          <w:sz w:val="20"/>
          <w:szCs w:val="20"/>
          <w:color w:val="auto"/>
        </w:rPr>
      </w:pPr>
      <w:r>
        <w:rPr>
          <w:rFonts w:ascii="Courier New" w:cs="Courier New" w:eastAsia="Courier New" w:hAnsi="Courier New"/>
          <w:sz w:val="18"/>
          <w:szCs w:val="18"/>
          <w:color w:val="auto"/>
        </w:rPr>
        <w:t>130,759</w:t>
      </w:r>
    </w:p>
    <w:p>
      <w:pPr>
        <w:ind w:left="4600"/>
        <w:spacing w:after="0"/>
        <w:rPr>
          <w:sz w:val="20"/>
          <w:szCs w:val="20"/>
          <w:color w:val="auto"/>
        </w:rPr>
      </w:pPr>
      <w:r>
        <w:rPr>
          <w:rFonts w:ascii="Courier New" w:cs="Courier New" w:eastAsia="Courier New" w:hAnsi="Courier New"/>
          <w:sz w:val="18"/>
          <w:szCs w:val="18"/>
          <w:color w:val="auto"/>
        </w:rPr>
        <w:t>130,759</w:t>
      </w:r>
    </w:p>
    <w:p>
      <w:pPr>
        <w:jc w:val="right"/>
        <w:ind w:right="2519"/>
        <w:spacing w:after="0" w:line="237" w:lineRule="auto"/>
        <w:rPr>
          <w:sz w:val="20"/>
          <w:szCs w:val="20"/>
          <w:color w:val="auto"/>
        </w:rPr>
      </w:pPr>
      <w:r>
        <w:rPr>
          <w:rFonts w:ascii="Courier New" w:cs="Courier New" w:eastAsia="Courier New" w:hAnsi="Courier New"/>
          <w:sz w:val="18"/>
          <w:szCs w:val="18"/>
          <w:color w:val="auto"/>
        </w:rPr>
        <w:t>110,474</w:t>
      </w:r>
    </w:p>
    <w:p>
      <w:pPr>
        <w:ind w:left="4920"/>
        <w:spacing w:after="0"/>
        <w:rPr>
          <w:sz w:val="20"/>
          <w:szCs w:val="20"/>
          <w:color w:val="auto"/>
        </w:rPr>
      </w:pPr>
      <w:r>
        <w:rPr>
          <w:rFonts w:ascii="Courier New" w:cs="Courier New" w:eastAsia="Courier New" w:hAnsi="Courier New"/>
          <w:sz w:val="18"/>
          <w:szCs w:val="18"/>
          <w:color w:val="auto"/>
        </w:rPr>
        <w:t>110,474</w:t>
      </w:r>
    </w:p>
    <w:p>
      <w:pPr>
        <w:ind w:left="4700"/>
        <w:spacing w:after="0" w:line="237" w:lineRule="auto"/>
        <w:rPr>
          <w:sz w:val="20"/>
          <w:szCs w:val="20"/>
          <w:color w:val="auto"/>
        </w:rPr>
      </w:pPr>
      <w:r>
        <w:rPr>
          <w:rFonts w:ascii="Courier New" w:cs="Courier New" w:eastAsia="Courier New" w:hAnsi="Courier New"/>
          <w:sz w:val="18"/>
          <w:szCs w:val="18"/>
          <w:color w:val="auto"/>
        </w:rPr>
        <w:t>12,482</w:t>
      </w:r>
    </w:p>
    <w:p>
      <w:pPr>
        <w:ind w:left="5240"/>
        <w:spacing w:after="0"/>
        <w:rPr>
          <w:sz w:val="20"/>
          <w:szCs w:val="20"/>
          <w:color w:val="auto"/>
        </w:rPr>
      </w:pPr>
      <w:r>
        <w:rPr>
          <w:rFonts w:ascii="Courier New" w:cs="Courier New" w:eastAsia="Courier New" w:hAnsi="Courier New"/>
          <w:sz w:val="18"/>
          <w:szCs w:val="18"/>
          <w:color w:val="auto"/>
        </w:rPr>
        <w:t>0</w:t>
      </w:r>
    </w:p>
    <w:p>
      <w:pPr>
        <w:ind w:left="4820"/>
        <w:spacing w:after="0" w:line="237" w:lineRule="auto"/>
        <w:rPr>
          <w:sz w:val="20"/>
          <w:szCs w:val="20"/>
          <w:color w:val="auto"/>
        </w:rPr>
      </w:pPr>
      <w:r>
        <w:rPr>
          <w:rFonts w:ascii="Courier New" w:cs="Courier New" w:eastAsia="Courier New" w:hAnsi="Courier New"/>
          <w:sz w:val="18"/>
          <w:szCs w:val="18"/>
          <w:color w:val="auto"/>
        </w:rPr>
        <w:t>194</w:t>
      </w:r>
    </w:p>
    <w:p>
      <w:pPr>
        <w:ind w:left="4920"/>
        <w:spacing w:after="0" w:line="238" w:lineRule="auto"/>
        <w:rPr>
          <w:sz w:val="20"/>
          <w:szCs w:val="20"/>
          <w:color w:val="auto"/>
        </w:rPr>
      </w:pPr>
      <w:r>
        <w:rPr>
          <w:rFonts w:ascii="Courier New" w:cs="Courier New" w:eastAsia="Courier New" w:hAnsi="Courier New"/>
          <w:sz w:val="18"/>
          <w:szCs w:val="18"/>
          <w:color w:val="auto"/>
        </w:rPr>
        <w:t>7,609</w:t>
      </w:r>
    </w:p>
    <w:p>
      <w:pPr>
        <w:ind w:left="5660"/>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7,609</w:t>
      </w:r>
    </w:p>
    <w:p>
      <w:pPr>
        <w:ind w:left="5440"/>
        <w:spacing w:after="0"/>
        <w:rPr>
          <w:sz w:val="20"/>
          <w:szCs w:val="20"/>
          <w:color w:val="auto"/>
        </w:rPr>
      </w:pPr>
      <w:r>
        <w:rPr>
          <w:rFonts w:ascii="Courier New" w:cs="Courier New" w:eastAsia="Courier New" w:hAnsi="Courier New"/>
          <w:sz w:val="18"/>
          <w:szCs w:val="18"/>
          <w:color w:val="auto"/>
        </w:rPr>
        <w:t>0</w:t>
      </w:r>
    </w:p>
    <w:p>
      <w:pPr>
        <w:ind w:left="5340"/>
        <w:spacing w:after="0" w:line="237" w:lineRule="auto"/>
        <w:rPr>
          <w:sz w:val="20"/>
          <w:szCs w:val="20"/>
          <w:color w:val="auto"/>
        </w:rPr>
      </w:pPr>
      <w:r>
        <w:rPr>
          <w:rFonts w:ascii="Courier New" w:cs="Courier New" w:eastAsia="Courier New" w:hAnsi="Courier New"/>
          <w:sz w:val="18"/>
          <w:szCs w:val="18"/>
          <w:color w:val="auto"/>
        </w:rPr>
        <w:t>0</w:t>
      </w:r>
    </w:p>
    <w:p>
      <w:pPr>
        <w:ind w:left="5980"/>
        <w:spacing w:after="0"/>
        <w:rPr>
          <w:sz w:val="20"/>
          <w:szCs w:val="20"/>
          <w:color w:val="auto"/>
        </w:rPr>
      </w:pPr>
      <w:r>
        <w:rPr>
          <w:rFonts w:ascii="Courier New" w:cs="Courier New" w:eastAsia="Courier New" w:hAnsi="Courier New"/>
          <w:sz w:val="18"/>
          <w:szCs w:val="18"/>
          <w:color w:val="auto"/>
        </w:rPr>
        <w:t>0</w:t>
      </w:r>
    </w:p>
    <w:p>
      <w:pPr>
        <w:jc w:val="center"/>
        <w:ind w:left="1980"/>
        <w:spacing w:after="0" w:line="237" w:lineRule="auto"/>
        <w:rPr>
          <w:sz w:val="20"/>
          <w:szCs w:val="20"/>
          <w:color w:val="auto"/>
        </w:rPr>
      </w:pPr>
      <w:r>
        <w:rPr>
          <w:rFonts w:ascii="Courier New" w:cs="Courier New" w:eastAsia="Courier New" w:hAnsi="Courier New"/>
          <w:sz w:val="18"/>
          <w:szCs w:val="18"/>
          <w:color w:val="auto"/>
        </w:rPr>
        <w:t>7,609</w:t>
      </w:r>
    </w:p>
    <w:p>
      <w:pPr>
        <w:jc w:val="center"/>
        <w:ind w:left="1980"/>
        <w:spacing w:after="0" w:line="238" w:lineRule="auto"/>
        <w:rPr>
          <w:sz w:val="20"/>
          <w:szCs w:val="20"/>
          <w:color w:val="auto"/>
        </w:rPr>
      </w:pPr>
      <w:r>
        <w:rPr>
          <w:rFonts w:ascii="Courier New" w:cs="Courier New" w:eastAsia="Courier New" w:hAnsi="Courier New"/>
          <w:sz w:val="18"/>
          <w:szCs w:val="18"/>
          <w:color w:val="auto"/>
        </w:rPr>
        <w:t>.30</w:t>
      </w:r>
    </w:p>
    <w:p>
      <w:pPr>
        <w:jc w:val="center"/>
        <w:ind w:left="218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9019"/>
      </w:cols>
      <w:pgMar w:left="14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7"/>
    </w:lvl>
  </w:abstractNum>
  <w:abstractNum w:abstractNumId="4">
    <w:nsid w:val="3D1B58BA"/>
    <w:multiLevelType w:val="hybridMultilevel"/>
    <w:lvl w:ilvl="0">
      <w:lvlJc w:val="left"/>
      <w:lvlText w:val="%1."/>
      <w:numFmt w:val="decimal"/>
      <w:start w:val="8"/>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2019-12-13T08:33:41Z</dcterms:created>
  <dcterms:modified xsi:type="dcterms:W3CDTF">2019-12-13T08:33:41Z</dcterms:modified>
</cp:coreProperties>
</file>