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For the quarterly period ended December 1, 2012</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31750</wp:posOffset>
            </wp:positionV>
            <wp:extent cx="227266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January 3, 2013 was 28,105,645.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20" w:type="dxa"/>
            <w:vAlign w:val="bottom"/>
            <w:gridSpan w:val="10"/>
          </w:tcPr>
          <w:p>
            <w:pPr>
              <w:jc w:val="center"/>
              <w:ind w:right="20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8"/>
          </w:tcPr>
          <w:p>
            <w:pPr>
              <w:jc w:val="center"/>
              <w:ind w:right="54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Glossary</w:t>
              </w:r>
            </w:hyperlink>
          </w:p>
        </w:tc>
        <w:tc>
          <w:tcPr>
            <w:tcW w:w="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20"/>
        </w:trPr>
        <w:tc>
          <w:tcPr>
            <w:tcW w:w="52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5"/>
              </w:rPr>
              <w:t>PART I</w:t>
            </w:r>
          </w:p>
        </w:tc>
        <w:tc>
          <w:tcPr>
            <w:tcW w:w="400" w:type="dxa"/>
            <w:vAlign w:val="bottom"/>
            <w:gridSpan w:val="4"/>
          </w:tcPr>
          <w:p>
            <w:pPr>
              <w:spacing w:after="0"/>
              <w:rPr>
                <w:sz w:val="24"/>
                <w:szCs w:val="24"/>
                <w:color w:val="auto"/>
              </w:rPr>
            </w:pPr>
          </w:p>
        </w:tc>
        <w:tc>
          <w:tcPr>
            <w:tcW w:w="6360" w:type="dxa"/>
            <w:vAlign w:val="bottom"/>
            <w:gridSpan w:val="27"/>
          </w:tcPr>
          <w:p>
            <w:pPr>
              <w:spacing w:after="0"/>
              <w:rPr>
                <w:sz w:val="20"/>
                <w:szCs w:val="20"/>
                <w:color w:val="auto"/>
              </w:rPr>
            </w:pPr>
            <w:r>
              <w:rPr>
                <w:rFonts w:ascii="Arial" w:cs="Arial" w:eastAsia="Arial" w:hAnsi="Arial"/>
                <w:sz w:val="16"/>
                <w:szCs w:val="16"/>
                <w:b w:val="1"/>
                <w:bCs w:val="1"/>
                <w:color w:val="auto"/>
              </w:rPr>
              <w:t>FINANCIAL INFORMATION</w:t>
            </w:r>
          </w:p>
        </w:tc>
      </w:tr>
      <w:tr>
        <w:trPr>
          <w:trHeight w:val="258"/>
        </w:trPr>
        <w:tc>
          <w:tcPr>
            <w:tcW w:w="920" w:type="dxa"/>
            <w:vAlign w:val="bottom"/>
            <w:gridSpan w:val="5"/>
          </w:tcPr>
          <w:p>
            <w:pPr>
              <w:spacing w:after="0"/>
              <w:rPr>
                <w:sz w:val="20"/>
                <w:szCs w:val="20"/>
                <w:color w:val="auto"/>
              </w:rPr>
            </w:pPr>
            <w:r>
              <w:rPr>
                <w:rFonts w:ascii="Arial" w:cs="Arial" w:eastAsia="Arial" w:hAnsi="Arial"/>
                <w:sz w:val="16"/>
                <w:szCs w:val="16"/>
                <w:color w:val="auto"/>
              </w:rPr>
              <w:t>Item 1.</w:t>
            </w:r>
          </w:p>
        </w:tc>
        <w:tc>
          <w:tcPr>
            <w:tcW w:w="6360" w:type="dxa"/>
            <w:vAlign w:val="bottom"/>
            <w:gridSpan w:val="27"/>
          </w:tcPr>
          <w:p>
            <w:pPr>
              <w:spacing w:after="0"/>
              <w:rPr>
                <w:sz w:val="20"/>
                <w:szCs w:val="20"/>
                <w:color w:val="auto"/>
              </w:rPr>
            </w:pPr>
            <w:r>
              <w:rPr>
                <w:rFonts w:ascii="Arial" w:cs="Arial" w:eastAsia="Arial" w:hAnsi="Arial"/>
                <w:sz w:val="16"/>
                <w:szCs w:val="16"/>
                <w:color w:val="auto"/>
              </w:rPr>
              <w:t>Condensed Financial Statements</w:t>
            </w:r>
          </w:p>
        </w:tc>
      </w:tr>
      <w:tr>
        <w:trPr>
          <w:trHeight w:val="236"/>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gridSpan w:val="26"/>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Unaudited Consolidated Statements of Operations and Comprehensive Income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80" w:type="dxa"/>
            <w:vAlign w:val="bottom"/>
            <w:tcBorders>
              <w:top w:val="single" w:sz="8" w:color="0000FF"/>
            </w:tcBorders>
            <w:gridSpan w:val="25"/>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Unaudited Consolidated Balance Sheets</w:t>
              </w:r>
            </w:hyperlink>
          </w:p>
        </w:tc>
        <w:tc>
          <w:tcPr>
            <w:tcW w:w="44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6"/>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Consolidated Statements of Cash Flows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40" w:type="dxa"/>
            <w:vAlign w:val="bottom"/>
            <w:tcBorders>
              <w:bottom w:val="single" w:sz="8" w:color="0000FF"/>
            </w:tcBorders>
            <w:gridSpan w:val="21"/>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Consolidated Notes to Financial Statements</w:t>
              </w:r>
            </w:hyperlink>
          </w:p>
        </w:tc>
        <w:tc>
          <w:tcPr>
            <w:tcW w:w="218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Borders>
              <w:bottom w:val="single" w:sz="8" w:color="0000FF"/>
            </w:tcBorders>
            <w:gridSpan w:val="12"/>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1: Basis of Presentation</w:t>
              </w:r>
            </w:hyperlink>
          </w:p>
        </w:tc>
        <w:tc>
          <w:tcPr>
            <w:tcW w:w="3800" w:type="dxa"/>
            <w:vAlign w:val="bottom"/>
            <w:gridSpan w:val="13"/>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 3: Fair Value Measurements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4: Investments</w:t>
              </w:r>
            </w:hyperlink>
          </w:p>
        </w:tc>
        <w:tc>
          <w:tcPr>
            <w:tcW w:w="960" w:type="dxa"/>
            <w:vAlign w:val="bottom"/>
            <w:tcBorders>
              <w:top w:val="single" w:sz="8" w:color="0000FF"/>
            </w:tcBorders>
            <w:gridSpan w:val="7"/>
          </w:tcPr>
          <w:p>
            <w:pPr>
              <w:spacing w:after="0"/>
              <w:rPr>
                <w:sz w:val="21"/>
                <w:szCs w:val="21"/>
                <w:color w:val="auto"/>
              </w:rPr>
            </w:pPr>
          </w:p>
        </w:tc>
        <w:tc>
          <w:tcPr>
            <w:tcW w:w="350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Note 5: Inventories</w:t>
              </w:r>
            </w:hyperlink>
          </w:p>
        </w:tc>
        <w:tc>
          <w:tcPr>
            <w:tcW w:w="4540" w:type="dxa"/>
            <w:vAlign w:val="bottom"/>
            <w:gridSpan w:val="2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6: Property, Plant and Equipment and Assets Held for Sale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80" w:type="dxa"/>
            <w:vAlign w:val="bottom"/>
            <w:tcBorders>
              <w:top w:val="single" w:sz="8" w:color="0000FF"/>
            </w:tcBorders>
            <w:gridSpan w:val="23"/>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 7: Goodwill and Other Intangible Assets</w:t>
              </w:r>
            </w:hyperlink>
          </w:p>
        </w:tc>
        <w:tc>
          <w:tcPr>
            <w:tcW w:w="132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8: Credit Facilities</w:t>
              </w:r>
            </w:hyperlink>
          </w:p>
        </w:tc>
        <w:tc>
          <w:tcPr>
            <w:tcW w:w="1540" w:type="dxa"/>
            <w:vAlign w:val="bottom"/>
            <w:tcBorders>
              <w:top w:val="single" w:sz="8" w:color="0000FF"/>
            </w:tcBorders>
            <w:gridSpan w:val="9"/>
          </w:tcPr>
          <w:p>
            <w:pPr>
              <w:spacing w:after="0"/>
              <w:rPr>
                <w:sz w:val="21"/>
                <w:szCs w:val="21"/>
                <w:color w:val="auto"/>
              </w:rPr>
            </w:pPr>
          </w:p>
        </w:tc>
        <w:tc>
          <w:tcPr>
            <w:tcW w:w="268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11">
              <w:r>
                <w:rPr>
                  <w:rFonts w:ascii="Arial" w:cs="Arial" w:eastAsia="Arial" w:hAnsi="Arial"/>
                  <w:sz w:val="16"/>
                  <w:szCs w:val="16"/>
                  <w:color w:val="0000FF"/>
                  <w:w w:val="99"/>
                </w:rPr>
                <w:t>Note 9: Warranty</w:t>
              </w:r>
            </w:hyperlink>
          </w:p>
        </w:tc>
        <w:tc>
          <w:tcPr>
            <w:tcW w:w="4680" w:type="dxa"/>
            <w:vAlign w:val="bottom"/>
            <w:gridSpan w:val="2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 10: Employee and Retiree Benefits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11: Stock-Based Compensation Plans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 12: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9"/>
              </w:rPr>
            </w:pPr>
            <w:hyperlink w:anchor="page13">
              <w:r>
                <w:rPr>
                  <w:rFonts w:ascii="Arial" w:cs="Arial" w:eastAsia="Arial" w:hAnsi="Arial"/>
                  <w:sz w:val="16"/>
                  <w:szCs w:val="16"/>
                  <w:color w:val="0000FF"/>
                  <w:w w:val="99"/>
                </w:rPr>
                <w:t>Note 13: Income Taxes</w:t>
              </w:r>
            </w:hyperlink>
          </w:p>
        </w:tc>
        <w:tc>
          <w:tcPr>
            <w:tcW w:w="1840" w:type="dxa"/>
            <w:vAlign w:val="bottom"/>
            <w:tcBorders>
              <w:top w:val="single" w:sz="8" w:color="0000FF"/>
            </w:tcBorders>
            <w:gridSpan w:val="12"/>
          </w:tcPr>
          <w:p>
            <w:pPr>
              <w:spacing w:after="0"/>
              <w:rPr>
                <w:sz w:val="21"/>
                <w:szCs w:val="21"/>
                <w:color w:val="auto"/>
              </w:rPr>
            </w:pPr>
          </w:p>
        </w:tc>
        <w:tc>
          <w:tcPr>
            <w:tcW w:w="240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5"/>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Note 14: Earnings Per Share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Note 15: Subsequent Event</w:t>
              </w:r>
            </w:hyperlink>
          </w:p>
        </w:tc>
        <w:tc>
          <w:tcPr>
            <w:tcW w:w="80" w:type="dxa"/>
            <w:vAlign w:val="bottom"/>
            <w:tcBorders>
              <w:top w:val="single" w:sz="8" w:color="0000FF"/>
            </w:tcBorders>
          </w:tcPr>
          <w:p>
            <w:pPr>
              <w:spacing w:after="0"/>
              <w:rPr>
                <w:sz w:val="21"/>
                <w:szCs w:val="21"/>
                <w:color w:val="auto"/>
              </w:rPr>
            </w:pPr>
          </w:p>
        </w:tc>
        <w:tc>
          <w:tcPr>
            <w:tcW w:w="3840" w:type="dxa"/>
            <w:vAlign w:val="bottom"/>
            <w:gridSpan w:val="14"/>
          </w:tcPr>
          <w:p>
            <w:pPr>
              <w:spacing w:after="0"/>
              <w:rPr>
                <w:sz w:val="21"/>
                <w:szCs w:val="21"/>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FF"/>
            </w:tcBorders>
            <w:gridSpan w:val="27"/>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Management's Discussion and Analysis of Financial Condition and Results of Operations</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23"/>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Quantitative and Qualitative Disclosures About Market Risk</w:t>
              </w:r>
            </w:hyperlink>
          </w:p>
        </w:tc>
        <w:tc>
          <w:tcPr>
            <w:tcW w:w="2120" w:type="dxa"/>
            <w:vAlign w:val="bottom"/>
            <w:gridSpan w:val="4"/>
          </w:tcPr>
          <w:p>
            <w:pPr>
              <w:spacing w:after="0"/>
              <w:rPr>
                <w:sz w:val="19"/>
                <w:szCs w:val="19"/>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7"/>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Controls and Procedures</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22">
              <w:r>
                <w:rPr>
                  <w:rFonts w:ascii="Arial" w:cs="Arial" w:eastAsia="Arial" w:hAnsi="Arial"/>
                  <w:sz w:val="16"/>
                  <w:szCs w:val="16"/>
                  <w:b w:val="1"/>
                  <w:bCs w:val="1"/>
                  <w:color w:val="0000FF"/>
                  <w:w w:val="94"/>
                </w:rPr>
                <w:t>PART II</w:t>
              </w:r>
            </w:hyperlink>
          </w:p>
        </w:tc>
        <w:tc>
          <w:tcPr>
            <w:tcW w:w="360" w:type="dxa"/>
            <w:vAlign w:val="bottom"/>
            <w:gridSpan w:val="3"/>
          </w:tcPr>
          <w:p>
            <w:pPr>
              <w:spacing w:after="0"/>
              <w:rPr>
                <w:sz w:val="24"/>
                <w:szCs w:val="24"/>
                <w:color w:val="auto"/>
              </w:rPr>
            </w:pP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auto"/>
              </w:rPr>
              <w:t>OTHER INFORMATION</w:t>
            </w:r>
          </w:p>
        </w:tc>
        <w:tc>
          <w:tcPr>
            <w:tcW w:w="4580" w:type="dxa"/>
            <w:vAlign w:val="bottom"/>
            <w:gridSpan w:val="21"/>
          </w:tcPr>
          <w:p>
            <w:pPr>
              <w:spacing w:after="0"/>
              <w:rPr>
                <w:sz w:val="24"/>
                <w:szCs w:val="24"/>
                <w:color w:val="auto"/>
              </w:rPr>
            </w:pPr>
          </w:p>
        </w:tc>
      </w:tr>
      <w:tr>
        <w:trPr>
          <w:trHeight w:val="250"/>
        </w:trPr>
        <w:tc>
          <w:tcPr>
            <w:tcW w:w="920" w:type="dxa"/>
            <w:vAlign w:val="bottom"/>
            <w:gridSpan w:val="5"/>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22">
              <w:r>
                <w:rPr>
                  <w:rFonts w:ascii="Arial" w:cs="Arial" w:eastAsia="Arial" w:hAnsi="Arial"/>
                  <w:sz w:val="16"/>
                  <w:szCs w:val="16"/>
                  <w:color w:val="0000FF"/>
                  <w:w w:val="99"/>
                </w:rPr>
                <w:t>Legal Proceedings</w:t>
              </w:r>
            </w:hyperlink>
          </w:p>
        </w:tc>
        <w:tc>
          <w:tcPr>
            <w:tcW w:w="5020" w:type="dxa"/>
            <w:vAlign w:val="bottom"/>
            <w:gridSpan w:val="23"/>
          </w:tcPr>
          <w:p>
            <w:pPr>
              <w:spacing w:after="0"/>
              <w:rPr>
                <w:sz w:val="21"/>
                <w:szCs w:val="21"/>
                <w:color w:val="auto"/>
              </w:rPr>
            </w:pPr>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7"/>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Unregistered Sales of Equity Securities and Use of Proceeds</w:t>
              </w:r>
            </w:hyperlink>
          </w:p>
        </w:tc>
      </w:tr>
      <w:tr>
        <w:trPr>
          <w:trHeight w:val="223"/>
        </w:trPr>
        <w:tc>
          <w:tcPr>
            <w:tcW w:w="920" w:type="dxa"/>
            <w:vAlign w:val="bottom"/>
            <w:gridSpan w:val="5"/>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FF"/>
            </w:tcBorders>
            <w:gridSpan w:val="2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Exhibits</w:t>
              </w:r>
            </w:hyperlink>
          </w:p>
        </w:tc>
        <w:tc>
          <w:tcPr>
            <w:tcW w:w="2000" w:type="dxa"/>
            <w:vAlign w:val="bottom"/>
            <w:gridSpan w:val="3"/>
          </w:tcPr>
          <w:p>
            <w:pPr>
              <w:spacing w:after="0"/>
              <w:rPr>
                <w:sz w:val="19"/>
                <w:szCs w:val="19"/>
                <w:color w:val="auto"/>
              </w:rPr>
            </w:pPr>
          </w:p>
        </w:tc>
      </w:tr>
      <w:tr>
        <w:trPr>
          <w:trHeight w:val="223"/>
        </w:trPr>
        <w:tc>
          <w:tcPr>
            <w:tcW w:w="920" w:type="dxa"/>
            <w:vAlign w:val="bottom"/>
            <w:gridSpan w:val="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Signatures</w:t>
              </w:r>
            </w:hyperlink>
          </w:p>
        </w:tc>
        <w:tc>
          <w:tcPr>
            <w:tcW w:w="2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20</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ASC</w:t>
            </w:r>
          </w:p>
        </w:tc>
        <w:tc>
          <w:tcPr>
            <w:tcW w:w="9640" w:type="dxa"/>
            <w:vAlign w:val="bottom"/>
          </w:tcPr>
          <w:p>
            <w:pPr>
              <w:ind w:left="4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ASU</w:t>
            </w:r>
          </w:p>
        </w:tc>
        <w:tc>
          <w:tcPr>
            <w:tcW w:w="9640" w:type="dxa"/>
            <w:vAlign w:val="bottom"/>
          </w:tcPr>
          <w:p>
            <w:pPr>
              <w:ind w:left="4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218"/>
        </w:trPr>
        <w:tc>
          <w:tcPr>
            <w:tcW w:w="178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640" w:type="dxa"/>
            <w:vAlign w:val="bottom"/>
          </w:tcPr>
          <w:p>
            <w:pPr>
              <w:ind w:left="4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9640" w:type="dxa"/>
            <w:vAlign w:val="bottom"/>
          </w:tcPr>
          <w:p>
            <w:pPr>
              <w:ind w:left="480"/>
              <w:spacing w:after="0"/>
              <w:rPr>
                <w:sz w:val="20"/>
                <w:szCs w:val="20"/>
                <w:color w:val="auto"/>
              </w:rPr>
            </w:pPr>
            <w:r>
              <w:rPr>
                <w:rFonts w:ascii="Arial" w:cs="Arial" w:eastAsia="Arial" w:hAnsi="Arial"/>
                <w:sz w:val="16"/>
                <w:szCs w:val="16"/>
                <w:color w:val="auto"/>
              </w:rPr>
              <w:t>borrowers, and General Electric Capital Corporation, as Agent</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FASB</w:t>
            </w:r>
          </w:p>
        </w:tc>
        <w:tc>
          <w:tcPr>
            <w:tcW w:w="9640" w:type="dxa"/>
            <w:vAlign w:val="bottom"/>
          </w:tcPr>
          <w:p>
            <w:pPr>
              <w:ind w:left="4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GAAP</w:t>
            </w:r>
          </w:p>
        </w:tc>
        <w:tc>
          <w:tcPr>
            <w:tcW w:w="9640" w:type="dxa"/>
            <w:vAlign w:val="bottom"/>
          </w:tcPr>
          <w:p>
            <w:pPr>
              <w:ind w:left="4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233"/>
        </w:trPr>
        <w:tc>
          <w:tcPr>
            <w:tcW w:w="17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74"/>
        </w:trPr>
        <w:tc>
          <w:tcPr>
            <w:tcW w:w="1780" w:type="dxa"/>
            <w:vAlign w:val="bottom"/>
            <w:vMerge w:val="continue"/>
            <w:shd w:val="clear" w:color="auto" w:fill="CCEEFF"/>
          </w:tcPr>
          <w:p>
            <w:pPr>
              <w:spacing w:after="0"/>
              <w:rPr>
                <w:sz w:val="6"/>
                <w:szCs w:val="6"/>
                <w:color w:val="auto"/>
              </w:rPr>
            </w:pPr>
          </w:p>
        </w:tc>
        <w:tc>
          <w:tcPr>
            <w:tcW w:w="9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IRS</w:t>
            </w:r>
          </w:p>
        </w:tc>
        <w:tc>
          <w:tcPr>
            <w:tcW w:w="9640" w:type="dxa"/>
            <w:vAlign w:val="bottom"/>
          </w:tcPr>
          <w:p>
            <w:pPr>
              <w:ind w:left="4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LIFO</w:t>
            </w:r>
          </w:p>
        </w:tc>
        <w:tc>
          <w:tcPr>
            <w:tcW w:w="9640" w:type="dxa"/>
            <w:vAlign w:val="bottom"/>
          </w:tcPr>
          <w:p>
            <w:pPr>
              <w:ind w:left="4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 Agreement</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c>
          <w:tcPr>
            <w:tcW w:w="0" w:type="dxa"/>
            <w:vAlign w:val="bottom"/>
          </w:tcPr>
          <w:p>
            <w:pPr>
              <w:spacing w:after="0"/>
              <w:rPr>
                <w:sz w:val="1"/>
                <w:szCs w:val="1"/>
                <w:color w:val="auto"/>
              </w:rPr>
            </w:pPr>
          </w:p>
        </w:tc>
      </w:tr>
      <w:tr>
        <w:trPr>
          <w:trHeight w:val="214"/>
        </w:trPr>
        <w:tc>
          <w:tcPr>
            <w:tcW w:w="1780" w:type="dxa"/>
            <w:vAlign w:val="bottom"/>
            <w:shd w:val="clear" w:color="auto" w:fill="CCEEFF"/>
          </w:tcPr>
          <w:p>
            <w:pPr>
              <w:spacing w:after="0"/>
              <w:rPr>
                <w:sz w:val="18"/>
                <w:szCs w:val="18"/>
                <w:color w:val="auto"/>
              </w:rPr>
            </w:pP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National Association, as successor to Burdale Capital Finance, Inc., as Agent</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NMF</w:t>
            </w:r>
          </w:p>
        </w:tc>
        <w:tc>
          <w:tcPr>
            <w:tcW w:w="9640" w:type="dxa"/>
            <w:vAlign w:val="bottom"/>
          </w:tcPr>
          <w:p>
            <w:pPr>
              <w:ind w:left="4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RV</w:t>
            </w:r>
          </w:p>
        </w:tc>
        <w:tc>
          <w:tcPr>
            <w:tcW w:w="9640" w:type="dxa"/>
            <w:vAlign w:val="bottom"/>
          </w:tcPr>
          <w:p>
            <w:pPr>
              <w:ind w:left="4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SEC</w:t>
            </w:r>
          </w:p>
        </w:tc>
        <w:tc>
          <w:tcPr>
            <w:tcW w:w="9640" w:type="dxa"/>
            <w:vAlign w:val="bottom"/>
          </w:tcPr>
          <w:p>
            <w:pPr>
              <w:ind w:left="4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640" w:type="dxa"/>
            <w:vAlign w:val="bottom"/>
          </w:tcPr>
          <w:p>
            <w:pPr>
              <w:ind w:left="4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SunnyBrook</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233"/>
        </w:trPr>
        <w:tc>
          <w:tcPr>
            <w:tcW w:w="1780" w:type="dxa"/>
            <w:vAlign w:val="bottom"/>
          </w:tcPr>
          <w:p>
            <w:pPr>
              <w:ind w:left="40"/>
              <w:spacing w:after="0"/>
              <w:rPr>
                <w:sz w:val="20"/>
                <w:szCs w:val="20"/>
                <w:color w:val="auto"/>
              </w:rPr>
            </w:pPr>
            <w:r>
              <w:rPr>
                <w:rFonts w:ascii="Arial" w:cs="Arial" w:eastAsia="Arial" w:hAnsi="Arial"/>
                <w:sz w:val="16"/>
                <w:szCs w:val="16"/>
                <w:color w:val="auto"/>
              </w:rPr>
              <w:t>Towables</w:t>
            </w:r>
          </w:p>
        </w:tc>
        <w:tc>
          <w:tcPr>
            <w:tcW w:w="9640" w:type="dxa"/>
            <w:vAlign w:val="bottom"/>
          </w:tcPr>
          <w:p>
            <w:pPr>
              <w:ind w:left="48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24"/>
        </w:trPr>
        <w:tc>
          <w:tcPr>
            <w:tcW w:w="1780" w:type="dxa"/>
            <w:vAlign w:val="bottom"/>
          </w:tcPr>
          <w:p>
            <w:pPr>
              <w:ind w:left="40"/>
              <w:spacing w:after="0"/>
              <w:rPr>
                <w:sz w:val="20"/>
                <w:szCs w:val="20"/>
                <w:color w:val="auto"/>
              </w:rPr>
            </w:pPr>
            <w:r>
              <w:rPr>
                <w:rFonts w:ascii="Arial" w:cs="Arial" w:eastAsia="Arial" w:hAnsi="Arial"/>
                <w:sz w:val="16"/>
                <w:szCs w:val="16"/>
                <w:color w:val="auto"/>
              </w:rPr>
              <w:t>XBRL</w:t>
            </w:r>
          </w:p>
        </w:tc>
        <w:tc>
          <w:tcPr>
            <w:tcW w:w="9640" w:type="dxa"/>
            <w:vAlign w:val="bottom"/>
          </w:tcPr>
          <w:p>
            <w:pPr>
              <w:ind w:left="4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864"/>
        </w:trPr>
        <w:tc>
          <w:tcPr>
            <w:tcW w:w="178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and Comprehensive Income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7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1,</w:t>
            </w:r>
          </w:p>
        </w:tc>
        <w:tc>
          <w:tcPr>
            <w:tcW w:w="300" w:type="dxa"/>
            <w:vAlign w:val="bottom"/>
          </w:tcPr>
          <w:p>
            <w:pPr>
              <w:spacing w:after="0"/>
              <w:rPr>
                <w:sz w:val="17"/>
                <w:szCs w:val="17"/>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2011</w:t>
            </w:r>
          </w:p>
        </w:tc>
      </w:tr>
      <w:tr>
        <w:trPr>
          <w:trHeight w:val="257"/>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193,554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131,837</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172,807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123,341</w:t>
            </w:r>
          </w:p>
        </w:tc>
      </w:tr>
      <w:tr>
        <w:trPr>
          <w:trHeight w:val="257"/>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20,747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8,496</w:t>
            </w:r>
          </w:p>
        </w:tc>
      </w:tr>
      <w:tr>
        <w:trPr>
          <w:trHeight w:val="254"/>
        </w:trPr>
        <w:tc>
          <w:tcPr>
            <w:tcW w:w="7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0"/>
        </w:trPr>
        <w:tc>
          <w:tcPr>
            <w:tcW w:w="7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4,162</w:t>
            </w:r>
          </w:p>
        </w:tc>
      </w:tr>
      <w:tr>
        <w:trPr>
          <w:trHeight w:val="260"/>
        </w:trPr>
        <w:tc>
          <w:tcPr>
            <w:tcW w:w="71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5,812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3,707</w:t>
            </w:r>
          </w:p>
        </w:tc>
      </w:tr>
      <w:tr>
        <w:trPr>
          <w:trHeight w:val="273"/>
        </w:trPr>
        <w:tc>
          <w:tcPr>
            <w:tcW w:w="7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sale of asset held for sale</w:t>
            </w:r>
          </w:p>
        </w:tc>
        <w:tc>
          <w:tcPr>
            <w:tcW w:w="3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50"/>
        </w:trPr>
        <w:tc>
          <w:tcPr>
            <w:tcW w:w="7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10,801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7,869</w:t>
            </w:r>
          </w:p>
        </w:tc>
      </w:tr>
      <w:tr>
        <w:trPr>
          <w:trHeight w:val="257"/>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627</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257</w:t>
            </w:r>
          </w:p>
        </w:tc>
      </w:tr>
      <w:tr>
        <w:trPr>
          <w:trHeight w:val="257"/>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884</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3,169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(151)</w:t>
            </w:r>
          </w:p>
        </w:tc>
      </w:tr>
      <w:tr>
        <w:trPr>
          <w:trHeight w:val="24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7,391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1,035</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67"/>
        </w:trPr>
        <w:tc>
          <w:tcPr>
            <w:tcW w:w="7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0"/>
        </w:trPr>
        <w:tc>
          <w:tcPr>
            <w:tcW w:w="7160" w:type="dxa"/>
            <w:vAlign w:val="bottom"/>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0.04</w:t>
            </w:r>
          </w:p>
        </w:tc>
      </w:tr>
      <w:tr>
        <w:trPr>
          <w:trHeight w:val="280"/>
        </w:trPr>
        <w:tc>
          <w:tcPr>
            <w:tcW w:w="7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0.04</w:t>
            </w:r>
          </w:p>
        </w:tc>
      </w:tr>
      <w:tr>
        <w:trPr>
          <w:trHeight w:val="284"/>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0"/>
        </w:trPr>
        <w:tc>
          <w:tcPr>
            <w:tcW w:w="7160" w:type="dxa"/>
            <w:vAlign w:val="bottom"/>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28,301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29,138</w:t>
            </w:r>
          </w:p>
        </w:tc>
      </w:tr>
      <w:tr>
        <w:trPr>
          <w:trHeight w:val="280"/>
        </w:trPr>
        <w:tc>
          <w:tcPr>
            <w:tcW w:w="7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28,361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29,212</w:t>
            </w:r>
          </w:p>
        </w:tc>
      </w:tr>
      <w:tr>
        <w:trPr>
          <w:trHeight w:val="284"/>
        </w:trPr>
        <w:tc>
          <w:tcPr>
            <w:tcW w:w="7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7,391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1,035</w:t>
            </w:r>
          </w:p>
        </w:tc>
      </w:tr>
      <w:tr>
        <w:trPr>
          <w:trHeight w:val="260"/>
        </w:trPr>
        <w:tc>
          <w:tcPr>
            <w:tcW w:w="71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0"/>
        </w:trPr>
        <w:tc>
          <w:tcPr>
            <w:tcW w:w="7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 (net of tax of $442 and $380)</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(631)</w:t>
            </w:r>
          </w:p>
        </w:tc>
      </w:tr>
      <w:tr>
        <w:trPr>
          <w:trHeight w:val="260"/>
        </w:trPr>
        <w:tc>
          <w:tcPr>
            <w:tcW w:w="7160" w:type="dxa"/>
            <w:vAlign w:val="bottom"/>
          </w:tcPr>
          <w:p>
            <w:pPr>
              <w:ind w:left="280"/>
              <w:spacing w:after="0"/>
              <w:rPr>
                <w:sz w:val="20"/>
                <w:szCs w:val="20"/>
                <w:color w:val="auto"/>
              </w:rPr>
            </w:pPr>
            <w:r>
              <w:rPr>
                <w:rFonts w:ascii="Arial" w:cs="Arial" w:eastAsia="Arial" w:hAnsi="Arial"/>
                <w:sz w:val="16"/>
                <w:szCs w:val="16"/>
                <w:color w:val="auto"/>
              </w:rPr>
              <w:t>Amortization of net actuarial loss (net of tax of $149 and $93)</w:t>
            </w:r>
          </w:p>
        </w:tc>
        <w:tc>
          <w:tcPr>
            <w:tcW w:w="32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155</w:t>
            </w:r>
          </w:p>
        </w:tc>
      </w:tr>
      <w:tr>
        <w:trPr>
          <w:trHeight w:val="273"/>
        </w:trPr>
        <w:tc>
          <w:tcPr>
            <w:tcW w:w="7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depreciation of investments (net of tax of $0 and $47)</w:t>
            </w:r>
          </w:p>
        </w:tc>
        <w:tc>
          <w:tcPr>
            <w:tcW w:w="3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(78)</w:t>
            </w:r>
          </w:p>
        </w:tc>
      </w:tr>
      <w:tr>
        <w:trPr>
          <w:trHeight w:val="250"/>
        </w:trPr>
        <w:tc>
          <w:tcPr>
            <w:tcW w:w="7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loss</w:t>
            </w: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(554)</w:t>
            </w:r>
          </w:p>
        </w:tc>
      </w:tr>
      <w:tr>
        <w:trPr>
          <w:trHeight w:val="24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6,909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481</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 Consolidated Balance Sheets</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1,</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2012</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44,075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62,683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less allowance for doubtful accounts ($178 and $175)</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22,726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106,363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87,094</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7,818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4,509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1,603</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8,482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8,453</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193,234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187,068</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20,127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19,978</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28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550</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8,823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9,074</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24,296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23,127</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30,531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30,520</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641</w:t>
            </w:r>
          </w:p>
        </w:tc>
      </w:tr>
      <w:tr>
        <w:trPr>
          <w:trHeight w:val="26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12,912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13,886</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291,771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286,072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28,536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24,920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3,402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348</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15,780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16,038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7,549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4,137</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2,661</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4,200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5,297</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66,721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61,018</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long-term liabilities: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5,076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5,228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74,426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75,135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79,502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80,363</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28,965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28,496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484,881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477,490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(4,168)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(3,686)</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(23,676 and 23,122 shares)</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(390,018)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(383,497)</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145,548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144,691</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291,771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286,072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1,</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2011</w:t>
            </w: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7,391</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1,035</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1,311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328</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(677)</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294</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(Gain) loss on disposal of property</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2"/>
                <w:szCs w:val="22"/>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(256)</w:t>
            </w: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(19,621)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3,647</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4,525</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495</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(8,597)</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(959)</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(10,323)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1,160</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2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643</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(456)</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COLI borrowings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112</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799</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(7,177)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(18,608)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1,992</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44,075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71,299</w:t>
            </w:r>
          </w:p>
        </w:tc>
      </w:tr>
      <w:tr>
        <w:trPr>
          <w:trHeight w:val="267"/>
        </w:trPr>
        <w:tc>
          <w:tcPr>
            <w:tcW w:w="1260" w:type="dxa"/>
            <w:vAlign w:val="bottom"/>
            <w:shd w:val="clear" w:color="auto" w:fill="CCEEFF"/>
          </w:tcPr>
          <w:p>
            <w:pPr>
              <w:spacing w:after="0"/>
              <w:rPr>
                <w:sz w:val="23"/>
                <w:szCs w:val="23"/>
                <w:color w:val="auto"/>
              </w:rPr>
            </w:pPr>
          </w:p>
        </w:tc>
        <w:tc>
          <w:tcPr>
            <w:tcW w:w="6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December 1, 2012 and the consolidated results of operations and comprehensive income and consolidated cash flows for the first three months of Fiscal 2013 and 2012. The consolidated statement of operations and comprehensive income for the first three months of Fiscal 2013 is not necessarily indicative of the results to be expected for the full year. The consolidated balance sheet data as of August 25, 2012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25, 2012.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follow a 52-/53-week fiscal year, ending the last Saturday in August. Fiscal 2013 is a 53-week fiscal year and the first quarter ending December 1, 2012 was a 14-week quarter. Fiscal 2012 was a 52-week year and the first quarter ending November 26, 2011 was a 13-week quarter.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Specifically, the new guidance requires an entity to present components of net income and other comprehensive income in one continuous statement, referred to as the statement of comprehensive income, or in two separate but consecutive statements. While the new guidance changed the presentation of comprehensive income, there are no changes to the components that are recognized in net income or other comprehensive income. ASU 2011-05 is effective for fiscal years beginning after December 15, 2011 (our Fiscal 2013). We adopted this guidance as of December 1, 2012, and have presented total comprehensive income in our Unaudited Consolidated Statements of Operations and Comprehensive Income.</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We do not believe that the adoption of this will have a significant impact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One of our dealer organizations, FreedomRoads, LLC, accounted for 28.3% and 25.9% of our consolidated net revenue in the first quarters of Fiscal 2013 and Fiscal 2012, respectively. The loss of this dealer organization could have a significant adverse effect on our business. In addition, deterioration in the liquidity or creditworthiness of FreedomRoads, LLC could negatively impact our sales and could trigger repurchase obligations under our repurchase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1, 2012 and August 25, 2012 according to the valuation techniques we used to determine their fair values: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December 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Identical Assets</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Observable Inputs</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6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 with pending redemption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2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8,823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8,823</w:t>
            </w: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2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7,853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ind w:left="120"/>
              <w:spacing w:after="0"/>
              <w:rPr>
                <w:sz w:val="20"/>
                <w:szCs w:val="20"/>
                <w:color w:val="auto"/>
              </w:rPr>
            </w:pPr>
            <w:r>
              <w:rPr>
                <w:rFonts w:ascii="Arial" w:cs="Arial" w:eastAsia="Arial" w:hAnsi="Arial"/>
                <w:sz w:val="16"/>
                <w:szCs w:val="16"/>
                <w:color w:val="auto"/>
              </w:rPr>
              <w:t>Fixed income funds</w:t>
            </w:r>
          </w:p>
        </w:tc>
        <w:tc>
          <w:tcPr>
            <w:tcW w:w="2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8,823</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25,</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Identical Assets</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Observable Inputs</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9,074</w:t>
            </w: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2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1,</w:t>
            </w:r>
          </w:p>
        </w:tc>
        <w:tc>
          <w:tcPr>
            <w:tcW w:w="34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2011</w:t>
            </w:r>
          </w:p>
        </w:tc>
      </w:tr>
      <w:tr>
        <w:trPr>
          <w:trHeight w:val="257"/>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9,074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10,627</w:t>
            </w:r>
          </w:p>
        </w:tc>
      </w:tr>
      <w:tr>
        <w:trPr>
          <w:trHeight w:val="260"/>
        </w:trPr>
        <w:tc>
          <w:tcPr>
            <w:tcW w:w="7020" w:type="dxa"/>
            <w:vAlign w:val="bottom"/>
          </w:tcPr>
          <w:p>
            <w:pPr>
              <w:ind w:left="40"/>
              <w:spacing w:after="0"/>
              <w:rPr>
                <w:sz w:val="20"/>
                <w:szCs w:val="20"/>
                <w:color w:val="auto"/>
              </w:rPr>
            </w:pPr>
            <w:r>
              <w:rPr>
                <w:rFonts w:ascii="Arial" w:cs="Arial" w:eastAsia="Arial" w:hAnsi="Arial"/>
                <w:sz w:val="16"/>
                <w:szCs w:val="16"/>
                <w:color w:val="auto"/>
              </w:rPr>
              <w:t>Transfer to Level 2</w:t>
            </w:r>
          </w:p>
        </w:tc>
        <w:tc>
          <w:tcPr>
            <w:tcW w:w="320" w:type="dxa"/>
            <w:vAlign w:val="bottom"/>
          </w:tcPr>
          <w:p>
            <w:pPr>
              <w:spacing w:after="0"/>
              <w:rPr>
                <w:sz w:val="22"/>
                <w:szCs w:val="22"/>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(250)</w:t>
            </w:r>
          </w:p>
        </w:tc>
      </w:tr>
      <w:tr>
        <w:trPr>
          <w:trHeight w:val="280"/>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(124)</w:t>
            </w:r>
          </w:p>
        </w:tc>
      </w:tr>
      <w:tr>
        <w:trPr>
          <w:trHeight w:val="264"/>
        </w:trPr>
        <w:tc>
          <w:tcPr>
            <w:tcW w:w="7020" w:type="dxa"/>
            <w:vAlign w:val="bottom"/>
          </w:tcPr>
          <w:p>
            <w:pPr>
              <w:ind w:left="40"/>
              <w:spacing w:after="0"/>
              <w:rPr>
                <w:sz w:val="20"/>
                <w:szCs w:val="20"/>
                <w:color w:val="auto"/>
              </w:rPr>
            </w:pPr>
            <w:r>
              <w:rPr>
                <w:rFonts w:ascii="Arial" w:cs="Arial" w:eastAsia="Arial" w:hAnsi="Arial"/>
                <w:sz w:val="16"/>
                <w:szCs w:val="16"/>
                <w:color w:val="auto"/>
              </w:rPr>
              <w:t>Sales</w:t>
            </w:r>
          </w:p>
        </w:tc>
        <w:tc>
          <w:tcPr>
            <w:tcW w:w="320" w:type="dxa"/>
            <w:vAlign w:val="bottom"/>
          </w:tcPr>
          <w:p>
            <w:pPr>
              <w:spacing w:after="0"/>
              <w:rPr>
                <w:sz w:val="22"/>
                <w:szCs w:val="22"/>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(500)</w:t>
            </w:r>
          </w:p>
        </w:tc>
      </w:tr>
      <w:tr>
        <w:trPr>
          <w:trHeight w:val="240"/>
        </w:trPr>
        <w:tc>
          <w:tcPr>
            <w:tcW w:w="7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8,823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9,753</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presents quantitative information regarding unobservable inputs that were significant to the valuation of assets measured at fair value on a recurring basis at December 1, 2012 using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Range</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9"/>
              </w:rPr>
              <w:t>Low</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High</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Student loan ARS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8,823</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DCF</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Projected ARS yield</w:t>
            </w:r>
          </w:p>
        </w:tc>
        <w:tc>
          <w:tcPr>
            <w:tcW w:w="7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1.97%</w:t>
            </w:r>
          </w:p>
        </w:tc>
        <w:tc>
          <w:tcPr>
            <w:tcW w:w="1220" w:type="dxa"/>
            <w:vAlign w:val="bottom"/>
            <w:gridSpan w:val="3"/>
            <w:shd w:val="clear" w:color="auto" w:fill="CCEEFF"/>
          </w:tcPr>
          <w:p>
            <w:pPr>
              <w:jc w:val="center"/>
              <w:ind w:left="239"/>
              <w:spacing w:after="0"/>
              <w:rPr>
                <w:sz w:val="20"/>
                <w:szCs w:val="20"/>
                <w:color w:val="auto"/>
              </w:rPr>
            </w:pPr>
            <w:r>
              <w:rPr>
                <w:rFonts w:ascii="Arial" w:cs="Arial" w:eastAsia="Arial" w:hAnsi="Arial"/>
                <w:sz w:val="16"/>
                <w:szCs w:val="16"/>
                <w:color w:val="auto"/>
              </w:rPr>
              <w:t>2.10%</w:t>
            </w:r>
          </w:p>
        </w:tc>
      </w:tr>
      <w:tr>
        <w:trPr>
          <w:trHeight w:val="251"/>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2"/>
          </w:tcPr>
          <w:p>
            <w:pPr>
              <w:ind w:left="40"/>
              <w:spacing w:after="0"/>
              <w:rPr>
                <w:sz w:val="20"/>
                <w:szCs w:val="20"/>
                <w:color w:val="auto"/>
              </w:rPr>
            </w:pPr>
            <w:r>
              <w:rPr>
                <w:rFonts w:ascii="Arial" w:cs="Arial" w:eastAsia="Arial" w:hAnsi="Arial"/>
                <w:sz w:val="16"/>
                <w:szCs w:val="16"/>
                <w:color w:val="auto"/>
              </w:rPr>
              <w:t>Discount for lack of marketability</w:t>
            </w:r>
          </w:p>
        </w:tc>
        <w:tc>
          <w:tcPr>
            <w:tcW w:w="700" w:type="dxa"/>
            <w:vAlign w:val="bottom"/>
          </w:tcPr>
          <w:p>
            <w:pPr>
              <w:jc w:val="center"/>
              <w:ind w:left="119"/>
              <w:spacing w:after="0"/>
              <w:rPr>
                <w:sz w:val="20"/>
                <w:szCs w:val="20"/>
                <w:color w:val="auto"/>
              </w:rPr>
            </w:pPr>
            <w:r>
              <w:rPr>
                <w:rFonts w:ascii="Arial" w:cs="Arial" w:eastAsia="Arial" w:hAnsi="Arial"/>
                <w:sz w:val="16"/>
                <w:szCs w:val="16"/>
                <w:color w:val="auto"/>
              </w:rPr>
              <w:t>2.95%</w:t>
            </w:r>
          </w:p>
        </w:tc>
        <w:tc>
          <w:tcPr>
            <w:tcW w:w="1220" w:type="dxa"/>
            <w:vAlign w:val="bottom"/>
            <w:gridSpan w:val="3"/>
          </w:tcPr>
          <w:p>
            <w:pPr>
              <w:jc w:val="center"/>
              <w:ind w:left="239"/>
              <w:spacing w:after="0"/>
              <w:rPr>
                <w:sz w:val="20"/>
                <w:szCs w:val="20"/>
                <w:color w:val="auto"/>
              </w:rPr>
            </w:pPr>
            <w:r>
              <w:rPr>
                <w:rFonts w:ascii="Arial" w:cs="Arial" w:eastAsia="Arial" w:hAnsi="Arial"/>
                <w:sz w:val="16"/>
                <w:szCs w:val="16"/>
                <w:color w:val="auto"/>
              </w:rPr>
              <w:t>3.43%</w:t>
            </w:r>
          </w:p>
        </w:tc>
      </w:tr>
      <w:tr>
        <w:trPr>
          <w:trHeight w:val="621"/>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and Short-Term Investments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long-term and short-term investments are comprised of our ARS as described in Note 4. Our long-term ARS investments are classified as Level 3, as quoted prices were unavailable due to events described in Note 4. Due to limited market information, we utilized a DCF model to derive an estimate of fair value for the ARS at December 1, 2012.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All of our short-term ARS portfolio is classified as Level 2 as they are also in an inactive market, but inputs other than quoted prices were observable and used to value the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10),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quarter of Fiscal 2013, no impairments were recorded for non-financial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65"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At December 1, 2012, we held $9.7 million (par value)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rated AAA by Standard &amp; Poor's Ratings Services and AAA to A by Fitch Ratings, and are collateralized by student loans guaranteed by the US Government under the Federal Family Education Loan Program.</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Since February 2008, most ARS auctions have failed and there is no assurance that future auctions for our ARS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but also due to the partial redemptions we have received over the last three fiscal years at par value. However, redemption could take until final maturity of the ARS (up to 29 years) to realize the par value of our investments. Due to the changes and uncertainty in the ARS market, we believe the recovery period for these investments is likely to be longer than 12 months and as a result, we have classified these investments as long-term as of December 1, 2012. During the first quarter of Fiscal 2013 we received notice of a partial redemption on a particular ARS with payment received on December 4, 2012. As a result, of the total $9.7 million of ARS investments, we have classified $9.4 million (par value) as long-term with the remaining amount of $250,000 classified as short-term investments as of December 1, 2012.</w:t>
      </w:r>
    </w:p>
    <w:p>
      <w:pPr>
        <w:spacing w:after="0" w:line="3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At December 1, 2012, there was insufficient observable ARS market information available to determine the fair value of our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an unrealized temporary impairment of $577,000 in accumulated other comprehensive income before tax considerations related to our long-term ARS investments of $9.4 million (par value) at December 1, 2012.</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67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5: Inventories</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1,</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6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2012</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34,443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30,054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58,238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45,240</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45,058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42,824</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137,739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118,118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(31,376)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(31,024)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106,363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87,094</w:t>
            </w:r>
          </w:p>
        </w:tc>
      </w:tr>
      <w:tr>
        <w:trPr>
          <w:trHeight w:val="20"/>
        </w:trPr>
        <w:tc>
          <w:tcPr>
            <w:tcW w:w="12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$137.7 million and $118.1 million inventory at December 1, 2012 and August 25, 2012, respectively, $127.9 million and $110.1 million is valued on a LIFO basis. Towables inventory of $9.8 million and $8.0 million at December 1, 2012 and August 25, 2012,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1,</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2012</w:t>
            </w:r>
          </w:p>
        </w:tc>
      </w:tr>
      <w:tr>
        <w:trPr>
          <w:trHeight w:val="270"/>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78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49,928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49,641</w:t>
            </w:r>
          </w:p>
        </w:tc>
      </w:tr>
      <w:tr>
        <w:trPr>
          <w:trHeight w:val="280"/>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91,378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90,775</w:t>
            </w:r>
          </w:p>
        </w:tc>
      </w:tr>
      <w:tr>
        <w:trPr>
          <w:trHeight w:val="264"/>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8,839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8,858</w:t>
            </w:r>
          </w:p>
        </w:tc>
      </w:tr>
      <w:tr>
        <w:trPr>
          <w:trHeight w:val="257"/>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150,902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150,031</w:t>
            </w:r>
          </w:p>
        </w:tc>
      </w:tr>
      <w:tr>
        <w:trPr>
          <w:trHeight w:val="264"/>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(130,775)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(130,053)</w:t>
            </w:r>
          </w:p>
        </w:tc>
      </w:tr>
      <w:tr>
        <w:trPr>
          <w:trHeight w:val="24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20,127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19,978</w:t>
            </w:r>
          </w:p>
        </w:tc>
      </w:tr>
      <w:tr>
        <w:trPr>
          <w:trHeight w:val="20"/>
        </w:trPr>
        <w:tc>
          <w:tcPr>
            <w:tcW w:w="6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During the first quarter of Fiscal 2013, an idled fiberglass facility in Hampton, Iowa classified as held for sale, was sold. The sale was finalized on August 30, 2012 and generated $550,000 in gross proceeds, selling costs of $28,000 and a loss of $28,000.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Amortizable Intangible Assets</w:t>
      </w:r>
    </w:p>
    <w:p>
      <w:pPr>
        <w:spacing w:after="0" w:line="214"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Goodwill and intangible assets are the result of the acquisition of SunnyBrook during Fiscal 2011. Goodwill of $1.2 million is not subject to amortization for financial statement purposes, but is amortizable for tax return purposes. Amortizable intangible assets are amortized on a straight-line basis. The weighted average remaining amortization period at December 1, 2012 is 7.9 years.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20"/>
                <w:szCs w:val="20"/>
                <w:color w:val="auto"/>
              </w:rPr>
            </w:pPr>
            <w:r>
              <w:rPr>
                <w:rFonts w:ascii="Arial" w:cs="Arial" w:eastAsia="Arial" w:hAnsi="Arial"/>
                <w:sz w:val="16"/>
                <w:szCs w:val="16"/>
                <w:color w:val="auto"/>
              </w:rPr>
              <w:t>Amortizable intangible assets consist of the following:</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December 1, 2012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3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Non-compete agreement</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12"/>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Table of Contents</w:t>
              </w:r>
            </w:hyperlink>
          </w:p>
        </w:tc>
        <w:tc>
          <w:tcPr>
            <w:tcW w:w="7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47"/>
        </w:trPr>
        <w:tc>
          <w:tcPr>
            <w:tcW w:w="8440" w:type="dxa"/>
            <w:vAlign w:val="bottom"/>
            <w:gridSpan w:val="2"/>
          </w:tcPr>
          <w:p>
            <w:pPr>
              <w:spacing w:after="0"/>
              <w:rPr>
                <w:sz w:val="20"/>
                <w:szCs w:val="20"/>
                <w:color w:val="auto"/>
              </w:rPr>
            </w:pPr>
            <w:r>
              <w:rPr>
                <w:rFonts w:ascii="Arial" w:cs="Arial" w:eastAsia="Arial" w:hAnsi="Arial"/>
                <w:sz w:val="16"/>
                <w:szCs w:val="16"/>
                <w:color w:val="auto"/>
              </w:rPr>
              <w:t>Estimated amortization expense of intangible assets for next five fiscal years is as follows:</w:t>
            </w: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7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7180" w:type="dxa"/>
            <w:vAlign w:val="bottom"/>
            <w:shd w:val="clear" w:color="auto" w:fill="CCEEFF"/>
          </w:tcPr>
          <w:p>
            <w:pPr>
              <w:jc w:val="right"/>
              <w:ind w:right="6239"/>
              <w:spacing w:after="0"/>
              <w:rPr>
                <w:sz w:val="20"/>
                <w:szCs w:val="20"/>
                <w:color w:val="auto"/>
              </w:rPr>
            </w:pPr>
            <w:r>
              <w:rPr>
                <w:rFonts w:ascii="Arial" w:cs="Arial" w:eastAsia="Arial" w:hAnsi="Arial"/>
                <w:sz w:val="16"/>
                <w:szCs w:val="16"/>
                <w:color w:val="auto"/>
              </w:rPr>
              <w:t>2014</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0"/>
        </w:trPr>
        <w:tc>
          <w:tcPr>
            <w:tcW w:w="1260" w:type="dxa"/>
            <w:vAlign w:val="bottom"/>
          </w:tcPr>
          <w:p>
            <w:pPr>
              <w:spacing w:after="0"/>
              <w:rPr>
                <w:sz w:val="22"/>
                <w:szCs w:val="22"/>
                <w:color w:val="auto"/>
              </w:rPr>
            </w:pPr>
          </w:p>
        </w:tc>
        <w:tc>
          <w:tcPr>
            <w:tcW w:w="7180" w:type="dxa"/>
            <w:vAlign w:val="bottom"/>
          </w:tcPr>
          <w:p>
            <w:pPr>
              <w:jc w:val="right"/>
              <w:ind w:right="6239"/>
              <w:spacing w:after="0"/>
              <w:rPr>
                <w:sz w:val="20"/>
                <w:szCs w:val="20"/>
                <w:color w:val="auto"/>
              </w:rPr>
            </w:pPr>
            <w:r>
              <w:rPr>
                <w:rFonts w:ascii="Arial" w:cs="Arial" w:eastAsia="Arial" w:hAnsi="Arial"/>
                <w:sz w:val="16"/>
                <w:szCs w:val="16"/>
                <w:color w:val="auto"/>
              </w:rPr>
              <w:t>2015</w:t>
            </w:r>
          </w:p>
        </w:tc>
        <w:tc>
          <w:tcPr>
            <w:tcW w:w="212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1260" w:type="dxa"/>
            <w:vAlign w:val="bottom"/>
            <w:shd w:val="clear" w:color="auto" w:fill="CCEEFF"/>
          </w:tcPr>
          <w:p>
            <w:pPr>
              <w:spacing w:after="0"/>
              <w:rPr>
                <w:sz w:val="24"/>
                <w:szCs w:val="24"/>
                <w:color w:val="auto"/>
              </w:rPr>
            </w:pPr>
          </w:p>
        </w:tc>
        <w:tc>
          <w:tcPr>
            <w:tcW w:w="7180" w:type="dxa"/>
            <w:vAlign w:val="bottom"/>
            <w:shd w:val="clear" w:color="auto" w:fill="CCEEFF"/>
          </w:tcPr>
          <w:p>
            <w:pPr>
              <w:jc w:val="right"/>
              <w:ind w:right="6239"/>
              <w:spacing w:after="0"/>
              <w:rPr>
                <w:sz w:val="20"/>
                <w:szCs w:val="20"/>
                <w:color w:val="auto"/>
              </w:rPr>
            </w:pPr>
            <w:r>
              <w:rPr>
                <w:rFonts w:ascii="Arial" w:cs="Arial" w:eastAsia="Arial" w:hAnsi="Arial"/>
                <w:sz w:val="16"/>
                <w:szCs w:val="16"/>
                <w:color w:val="auto"/>
              </w:rPr>
              <w:t>2016</w:t>
            </w:r>
          </w:p>
        </w:tc>
        <w:tc>
          <w:tcPr>
            <w:tcW w:w="2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0"/>
        </w:trPr>
        <w:tc>
          <w:tcPr>
            <w:tcW w:w="1260" w:type="dxa"/>
            <w:vAlign w:val="bottom"/>
          </w:tcPr>
          <w:p>
            <w:pPr>
              <w:spacing w:after="0"/>
              <w:rPr>
                <w:sz w:val="22"/>
                <w:szCs w:val="22"/>
                <w:color w:val="auto"/>
              </w:rPr>
            </w:pPr>
          </w:p>
        </w:tc>
        <w:tc>
          <w:tcPr>
            <w:tcW w:w="7180" w:type="dxa"/>
            <w:vAlign w:val="bottom"/>
          </w:tcPr>
          <w:p>
            <w:pPr>
              <w:jc w:val="right"/>
              <w:ind w:right="6239"/>
              <w:spacing w:after="0"/>
              <w:rPr>
                <w:sz w:val="20"/>
                <w:szCs w:val="20"/>
                <w:color w:val="auto"/>
              </w:rPr>
            </w:pPr>
            <w:r>
              <w:rPr>
                <w:rFonts w:ascii="Arial" w:cs="Arial" w:eastAsia="Arial" w:hAnsi="Arial"/>
                <w:sz w:val="16"/>
                <w:szCs w:val="16"/>
                <w:color w:val="auto"/>
              </w:rPr>
              <w:t>2017</w:t>
            </w:r>
          </w:p>
        </w:tc>
        <w:tc>
          <w:tcPr>
            <w:tcW w:w="212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1260" w:type="dxa"/>
            <w:vAlign w:val="bottom"/>
            <w:shd w:val="clear" w:color="auto" w:fill="CCEEFF"/>
          </w:tcPr>
          <w:p>
            <w:pPr>
              <w:spacing w:after="0"/>
              <w:rPr>
                <w:sz w:val="24"/>
                <w:szCs w:val="24"/>
                <w:color w:val="auto"/>
              </w:rPr>
            </w:pPr>
          </w:p>
        </w:tc>
        <w:tc>
          <w:tcPr>
            <w:tcW w:w="7180" w:type="dxa"/>
            <w:vAlign w:val="bottom"/>
            <w:shd w:val="clear" w:color="auto" w:fill="CCEEFF"/>
          </w:tcPr>
          <w:p>
            <w:pPr>
              <w:jc w:val="right"/>
              <w:ind w:right="6239"/>
              <w:spacing w:after="0"/>
              <w:rPr>
                <w:sz w:val="20"/>
                <w:szCs w:val="20"/>
                <w:color w:val="auto"/>
              </w:rPr>
            </w:pPr>
            <w:r>
              <w:rPr>
                <w:rFonts w:ascii="Arial" w:cs="Arial" w:eastAsia="Arial" w:hAnsi="Arial"/>
                <w:sz w:val="16"/>
                <w:szCs w:val="16"/>
                <w:color w:val="auto"/>
              </w:rPr>
              <w:t>2018</w:t>
            </w:r>
          </w:p>
        </w:tc>
        <w:tc>
          <w:tcPr>
            <w:tcW w:w="2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Facilities</w:t>
      </w:r>
    </w:p>
    <w:p>
      <w:pPr>
        <w:spacing w:after="0" w:line="187"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On October 13, 2012, we terminated our Loan Agreement with Wells Fargo Bank, National Association in accordance with its terms. There was no termination fee associated with this agreement, and no borrowings had been made.</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Interest on loans made under the new facility will be based on LIBOR plus a margin of 3.0%. The initial unused line fee associated with the Credit Agreement is 0.5% per annum and has the ability to be lowered based upon facility usage.</w:t>
      </w:r>
    </w:p>
    <w:p>
      <w:pPr>
        <w:spacing w:after="0" w:line="23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 No borrowings have been made under the Credit Agreement as of December 1, 2012 .</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1,</w:t>
            </w:r>
          </w:p>
        </w:tc>
        <w:tc>
          <w:tcPr>
            <w:tcW w:w="340" w:type="dxa"/>
            <w:vAlign w:val="bottom"/>
          </w:tcPr>
          <w:p>
            <w:pPr>
              <w:spacing w:after="0"/>
              <w:rPr>
                <w:sz w:val="24"/>
                <w:szCs w:val="24"/>
                <w:color w:val="auto"/>
              </w:rPr>
            </w:pPr>
          </w:p>
        </w:tc>
        <w:tc>
          <w:tcPr>
            <w:tcW w:w="1860" w:type="dxa"/>
            <w:vAlign w:val="bottom"/>
          </w:tcPr>
          <w:p>
            <w:pPr>
              <w:jc w:val="right"/>
              <w:ind w:right="519"/>
              <w:spacing w:after="0"/>
              <w:rPr>
                <w:sz w:val="20"/>
                <w:szCs w:val="20"/>
                <w:color w:val="auto"/>
              </w:rPr>
            </w:pPr>
            <w:r>
              <w:rPr>
                <w:rFonts w:ascii="Arial" w:cs="Arial" w:eastAsia="Arial" w:hAnsi="Arial"/>
                <w:sz w:val="16"/>
                <w:szCs w:val="16"/>
                <w:b w:val="1"/>
                <w:bCs w:val="1"/>
                <w:color w:val="auto"/>
              </w:rPr>
              <w:t>November 26,</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6,990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60"/>
        </w:trPr>
        <w:tc>
          <w:tcPr>
            <w:tcW w:w="4820" w:type="dxa"/>
            <w:vAlign w:val="bottom"/>
          </w:tcPr>
          <w:p>
            <w:pPr>
              <w:ind w:left="40"/>
              <w:spacing w:after="0"/>
              <w:rPr>
                <w:sz w:val="20"/>
                <w:szCs w:val="20"/>
                <w:color w:val="auto"/>
              </w:rPr>
            </w:pPr>
            <w:r>
              <w:rPr>
                <w:rFonts w:ascii="Arial" w:cs="Arial" w:eastAsia="Arial" w:hAnsi="Arial"/>
                <w:sz w:val="16"/>
                <w:szCs w:val="16"/>
                <w:color w:val="auto"/>
              </w:rPr>
              <w:t>Provision</w:t>
            </w:r>
          </w:p>
        </w:tc>
        <w:tc>
          <w:tcPr>
            <w:tcW w:w="2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73"/>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2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7,549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7,022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140" w:type="dxa"/>
            <w:vAlign w:val="bottom"/>
            <w:vMerge w:val="restart"/>
          </w:tcPr>
          <w:p>
            <w:pPr>
              <w:jc w:val="right"/>
              <w:ind w:right="1119"/>
              <w:spacing w:after="0"/>
              <w:rPr>
                <w:sz w:val="20"/>
                <w:szCs w:val="20"/>
                <w:color w:val="auto"/>
              </w:rPr>
            </w:pPr>
            <w:r>
              <w:rPr>
                <w:rFonts w:ascii="Arial" w:cs="Arial" w:eastAsia="Arial" w:hAnsi="Arial"/>
                <w:sz w:val="16"/>
                <w:szCs w:val="16"/>
                <w:color w:val="auto"/>
              </w:rPr>
              <w:t>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7"/>
        </w:trPr>
        <w:tc>
          <w:tcPr>
            <w:tcW w:w="7400" w:type="dxa"/>
            <w:vAlign w:val="bottom"/>
            <w:gridSpan w:val="2"/>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7400" w:type="dxa"/>
            <w:vAlign w:val="bottom"/>
            <w:gridSpan w:val="2"/>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1,</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7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2012</w:t>
            </w:r>
          </w:p>
        </w:tc>
      </w:tr>
      <w:tr>
        <w:trPr>
          <w:trHeight w:val="257"/>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45,386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23,327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23,630</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7,807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7,798</w:t>
            </w:r>
          </w:p>
        </w:tc>
      </w:tr>
      <w:tr>
        <w:trPr>
          <w:trHeight w:val="260"/>
        </w:trPr>
        <w:tc>
          <w:tcPr>
            <w:tcW w:w="740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30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3,342</w:t>
            </w:r>
          </w:p>
        </w:tc>
      </w:tr>
      <w:tr>
        <w:trPr>
          <w:trHeight w:val="28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102</w:t>
            </w:r>
          </w:p>
        </w:tc>
      </w:tr>
      <w:tr>
        <w:trPr>
          <w:trHeight w:val="26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Officer stock-based compensation</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7"/>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80,468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80,004</w:t>
            </w:r>
          </w:p>
        </w:tc>
      </w:tr>
      <w:tr>
        <w:trPr>
          <w:trHeight w:val="26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portion</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(4,869)</w:t>
            </w:r>
          </w:p>
        </w:tc>
      </w:tr>
      <w:tr>
        <w:trPr>
          <w:trHeight w:val="24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74,426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75,135</w:t>
            </w:r>
          </w:p>
        </w:tc>
      </w:tr>
      <w:tr>
        <w:trPr>
          <w:trHeight w:val="20"/>
        </w:trPr>
        <w:tc>
          <w:tcPr>
            <w:tcW w:w="1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2012 the employer established dollar caps were reduced by 10%, which reduced our liability for postretirement health care by $4.6 million.</w:t>
      </w:r>
    </w:p>
    <w:p>
      <w:pPr>
        <w:spacing w:after="0" w:line="5" w:lineRule="exact"/>
        <w:rPr>
          <w:rFonts w:ascii="Arial" w:cs="Arial" w:eastAsia="Arial" w:hAnsi="Arial"/>
          <w:sz w:val="16"/>
          <w:szCs w:val="16"/>
          <w:color w:val="auto"/>
        </w:rPr>
      </w:pPr>
    </w:p>
    <w:p>
      <w:pPr>
        <w:ind w:left="340" w:right="260" w:hanging="332"/>
        <w:spacing w:after="0" w:line="25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October 2012, our Board of Directors approved an additional reduction in the employer dollar caps to be effective in January 2013 whereby the employer established dollar caps for postretirement health care benefits per eligible employee will be reduced by 10%, which is estimated to reduce our liability for postretirement health care by approximately $5.6 million and will be amortized as prior service credit over the next seven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91"/>
        </w:trPr>
        <w:tc>
          <w:tcPr>
            <w:tcW w:w="7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4"/>
          </w:tcPr>
          <w:p>
            <w:pPr>
              <w:jc w:val="right"/>
              <w:ind w:right="153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7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1,</w:t>
            </w:r>
          </w:p>
        </w:tc>
        <w:tc>
          <w:tcPr>
            <w:tcW w:w="320" w:type="dxa"/>
            <w:vAlign w:val="bottom"/>
          </w:tcPr>
          <w:p>
            <w:pPr>
              <w:spacing w:after="0"/>
              <w:rPr>
                <w:sz w:val="17"/>
                <w:szCs w:val="17"/>
                <w:color w:val="auto"/>
              </w:rPr>
            </w:pPr>
          </w:p>
        </w:tc>
        <w:tc>
          <w:tcPr>
            <w:tcW w:w="1820" w:type="dxa"/>
            <w:vAlign w:val="bottom"/>
          </w:tcPr>
          <w:p>
            <w:pPr>
              <w:jc w:val="right"/>
              <w:ind w:right="47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2011</w:t>
            </w:r>
          </w:p>
        </w:tc>
      </w:tr>
      <w:tr>
        <w:trPr>
          <w:trHeight w:val="257"/>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481</w:t>
            </w:r>
          </w:p>
        </w:tc>
      </w:tr>
      <w:tr>
        <w:trPr>
          <w:trHeight w:val="260"/>
        </w:trPr>
        <w:tc>
          <w:tcPr>
            <w:tcW w:w="7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34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140</w:t>
            </w:r>
          </w:p>
        </w:tc>
      </w:tr>
      <w:tr>
        <w:trPr>
          <w:trHeight w:val="280"/>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(1,011)</w:t>
            </w:r>
          </w:p>
        </w:tc>
      </w:tr>
      <w:tr>
        <w:trPr>
          <w:trHeight w:val="264"/>
        </w:trPr>
        <w:tc>
          <w:tcPr>
            <w:tcW w:w="7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247</w:t>
            </w:r>
          </w:p>
        </w:tc>
      </w:tr>
      <w:tr>
        <w:trPr>
          <w:trHeight w:val="24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(143)</w:t>
            </w: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67"/>
        </w:trPr>
        <w:tc>
          <w:tcPr>
            <w:tcW w:w="7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323</w:t>
            </w: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Stock-Based Compensation Plans</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w:t>
      </w:r>
    </w:p>
    <w:p>
      <w:pPr>
        <w:spacing w:after="0" w:line="14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October 10, 2012 the Board of Directors granted an aggregate of 155,600 shares of restricted common stock to our key employees and non-employee directors. The value of the restricted stock award is determined using the intrinsic value method which, in this case, is based on the number of shares granted and the closing price of our common stock on the date of grant.</w:t>
      </w:r>
    </w:p>
    <w:p>
      <w:pPr>
        <w:spacing w:after="0" w:line="14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Stock-based compensation expense was $687,000 and $177,000 during the first quarters of Fiscal 2013 and 2012, respectively. Of the $687,000, $535,000 related to the October 10, 2012 grant. The remainder is related to the amortization of previously granted restricted stock awards, as well as nonemployee director stock units issued in lieu of their fees. Compensation expense is recognized over the requisite service period of the award or over a period ending with the employee's eligible retirement date, if earlier.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$192.6 million and $165.4 million at December 1, 2012 and August 25, 2012,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$6.1 million and $5.0 million at December 1, 2012 and August 25, 2012,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$740,000 as of December 1, 2012 and $627,000 as of August 25, 2012.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had no repurchase activity in the first quarter of Fiscal 2013. A summary of repurchase activity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99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8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December 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Units</w:t>
            </w:r>
          </w:p>
        </w:tc>
        <w:tc>
          <w:tcPr>
            <w:tcW w:w="1300" w:type="dxa"/>
            <w:vAlign w:val="bottom"/>
          </w:tcPr>
          <w:p>
            <w:pPr>
              <w:spacing w:after="0"/>
              <w:rPr>
                <w:sz w:val="22"/>
                <w:szCs w:val="22"/>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3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1,043</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December 1, 2012 would have affected net income by approximately $208,000.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Based on ASC 740 guidelines, as of December 1, 2012 and August 25, 2012, we have applied a valuation allowance of $1.6 million and $1.6 million, respectively, against our deferred tax assets. We will continue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assess the likelihood that our deferred tax assets will be realizable at each reporting period and our valuation allowance will be adjusted accordingly, which could materially impact our financial position and results of operations.</w:t>
      </w:r>
    </w:p>
    <w:p>
      <w:pPr>
        <w:spacing w:after="0" w:line="16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Due to such carryback claims, our federal returns from Fiscal 2004 to present continue to be subject to review by the IRS. As such, the IRS is currently reviewing our Fiscal 2011 federal tax return.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of December 1, 2012, our unrecognized tax benefits were $5.1 million, of which if realized $3.1 million could have a positive impact on the overall effective tax rate. It is our policy to recognize interest and penalties accrued relative to unrecognized tax benefits as tax expense. As of December 1, 2012, we had accrued $2.1 million in interest and penalties which are included in unrecognized tax benefits. We do not anticipate any significant changes in unrecognized tax benefits within the next twelve months. Actual results may differ materially from this estimate.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Note 14: Earnings Per Share</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51"/>
        </w:trPr>
        <w:tc>
          <w:tcPr>
            <w:tcW w:w="7900" w:type="dxa"/>
            <w:vAlign w:val="bottom"/>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1"/>
        </w:trPr>
        <w:tc>
          <w:tcPr>
            <w:tcW w:w="7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Quarter Ended</w:t>
            </w:r>
          </w:p>
        </w:tc>
      </w:tr>
      <w:tr>
        <w:trPr>
          <w:trHeight w:val="26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22"/>
                <w:szCs w:val="22"/>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1, 2012</w:t>
            </w:r>
          </w:p>
        </w:tc>
        <w:tc>
          <w:tcPr>
            <w:tcW w:w="12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November 26, 2011</w:t>
            </w:r>
          </w:p>
        </w:tc>
      </w:tr>
      <w:tr>
        <w:trPr>
          <w:trHeight w:val="270"/>
        </w:trPr>
        <w:tc>
          <w:tcPr>
            <w:tcW w:w="7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4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7,391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1,035</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29,138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293"/>
        </w:trPr>
        <w:tc>
          <w:tcPr>
            <w:tcW w:w="7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28,301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29,138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28,361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29,212</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At the end of the first quarters of Fiscal 2013 and Fiscal 2012, there were options outstanding to purchase 689,328 shares and 924,731 shares, respectively, of common stock at an average price of $29.57 and $28.05,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December 1, 2012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It is suggested this management's discussion be read in conjunction with the Financial Statements contained in this Form 10-Q as well as the Management's Discussion and Analysis and Risk Factors included in our Annual Report on Form 10-K for the fiscal year ended August 25, 2012.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wheels ("towables") in Indiana. We distribute our products primarily through independent dealers throughout the US and Canada, who then retail the products to the end consumer.</w:t>
      </w:r>
    </w:p>
    <w:p>
      <w:pPr>
        <w:spacing w:after="0" w:line="16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Our retail unit market share, as reported by Stat Surveys based on official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3"/>
          </w:tcPr>
          <w:p>
            <w:pPr>
              <w:ind w:left="540"/>
              <w:spacing w:after="0"/>
              <w:rPr>
                <w:sz w:val="20"/>
                <w:szCs w:val="20"/>
                <w:color w:val="auto"/>
              </w:rPr>
            </w:pPr>
            <w:r>
              <w:rPr>
                <w:rFonts w:ascii="Arial" w:cs="Arial" w:eastAsia="Arial" w:hAnsi="Arial"/>
                <w:sz w:val="14"/>
                <w:szCs w:val="14"/>
                <w:b w:val="1"/>
                <w:bCs w:val="1"/>
                <w:color w:val="auto"/>
              </w:rPr>
              <w:t>Through October 31</w:t>
            </w:r>
          </w:p>
        </w:tc>
        <w:tc>
          <w:tcPr>
            <w:tcW w:w="1300" w:type="dxa"/>
            <w:vAlign w:val="bottom"/>
          </w:tcPr>
          <w:p>
            <w:pPr>
              <w:spacing w:after="0"/>
              <w:rPr>
                <w:sz w:val="17"/>
                <w:szCs w:val="17"/>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2009</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23.5%</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22.1%</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22.2%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23.7%</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22.9%</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19.3%</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17.5%</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17.6%</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15.2%</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11.4%</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21.8%</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19.5%</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16.6%</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17.9%</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17.1%</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17.5%</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17.9%</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22.7%</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20.1%</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19.0%</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18.8%</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19.1%</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16.2%</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7.7%</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15.6%</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18.1%</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3"/>
          </w:tcPr>
          <w:p>
            <w:pPr>
              <w:ind w:left="540"/>
              <w:spacing w:after="0"/>
              <w:rPr>
                <w:sz w:val="20"/>
                <w:szCs w:val="20"/>
                <w:color w:val="auto"/>
              </w:rPr>
            </w:pPr>
            <w:r>
              <w:rPr>
                <w:rFonts w:ascii="Arial" w:cs="Arial" w:eastAsia="Arial" w:hAnsi="Arial"/>
                <w:sz w:val="14"/>
                <w:szCs w:val="14"/>
                <w:b w:val="1"/>
                <w:bCs w:val="1"/>
                <w:color w:val="auto"/>
              </w:rPr>
              <w:t>Through October 31</w:t>
            </w:r>
          </w:p>
        </w:tc>
        <w:tc>
          <w:tcPr>
            <w:tcW w:w="1300" w:type="dxa"/>
            <w:vAlign w:val="bottom"/>
          </w:tcPr>
          <w:p>
            <w:pPr>
              <w:spacing w:after="0"/>
              <w:rPr>
                <w:sz w:val="24"/>
                <w:szCs w:val="24"/>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24"/>
                <w:szCs w:val="24"/>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2009</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15.3%</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14.9%</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13.8%</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17.0%</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18.1%</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18.0%</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9.9%</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7.0%</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15.9%</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17.1%</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12.6%</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14.6%</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15.9%</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13.8%</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9.5%</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15.2%</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16.7%</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13.2%</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12.3%</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7.1%</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4.8%</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2.3%</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3"/>
          </w:tcPr>
          <w:p>
            <w:pPr>
              <w:ind w:left="1020"/>
              <w:spacing w:after="0"/>
              <w:rPr>
                <w:sz w:val="20"/>
                <w:szCs w:val="20"/>
                <w:color w:val="auto"/>
              </w:rPr>
            </w:pPr>
            <w:r>
              <w:rPr>
                <w:rFonts w:ascii="Arial" w:cs="Arial" w:eastAsia="Arial" w:hAnsi="Arial"/>
                <w:sz w:val="14"/>
                <w:szCs w:val="14"/>
                <w:b w:val="1"/>
                <w:bCs w:val="1"/>
                <w:color w:val="auto"/>
              </w:rPr>
              <w:t>Through October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c>
          <w:tcPr>
            <w:tcW w:w="0" w:type="dxa"/>
            <w:vAlign w:val="bottom"/>
          </w:tcPr>
          <w:p>
            <w:pPr>
              <w:spacing w:after="0"/>
              <w:rPr>
                <w:sz w:val="1"/>
                <w:szCs w:val="1"/>
                <w:color w:val="auto"/>
              </w:rPr>
            </w:pPr>
          </w:p>
        </w:tc>
      </w:tr>
      <w:tr>
        <w:trPr>
          <w:trHeight w:val="39"/>
        </w:trPr>
        <w:tc>
          <w:tcPr>
            <w:tcW w:w="3740" w:type="dxa"/>
            <w:vAlign w:val="bottom"/>
          </w:tcPr>
          <w:p>
            <w:pPr>
              <w:spacing w:after="0"/>
              <w:rPr>
                <w:sz w:val="3"/>
                <w:szCs w:val="3"/>
                <w:color w:val="auto"/>
              </w:rPr>
            </w:pPr>
          </w:p>
        </w:tc>
        <w:tc>
          <w:tcPr>
            <w:tcW w:w="2520" w:type="dxa"/>
            <w:vAlign w:val="bottom"/>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Towables:</w:t>
            </w:r>
          </w:p>
        </w:tc>
        <w:tc>
          <w:tcPr>
            <w:tcW w:w="2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4160" w:type="dxa"/>
            <w:vAlign w:val="bottom"/>
            <w:gridSpan w:val="3"/>
            <w:shd w:val="clear" w:color="auto" w:fill="CCEEFF"/>
          </w:tcPr>
          <w:p>
            <w:pPr>
              <w:jc w:val="right"/>
              <w:ind w:right="305"/>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520" w:type="dxa"/>
            <w:vAlign w:val="bottom"/>
            <w:tcBorders>
              <w:bottom w:val="single" w:sz="8" w:color="CCEEFF"/>
            </w:tcBorders>
            <w:gridSpan w:val="2"/>
          </w:tcPr>
          <w:p>
            <w:pPr>
              <w:spacing w:after="0"/>
              <w:rPr>
                <w:sz w:val="22"/>
                <w:szCs w:val="22"/>
                <w:color w:val="auto"/>
              </w:rPr>
            </w:pPr>
          </w:p>
        </w:tc>
        <w:tc>
          <w:tcPr>
            <w:tcW w:w="16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0"/>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4160" w:type="dxa"/>
            <w:vAlign w:val="bottom"/>
            <w:gridSpan w:val="3"/>
            <w:shd w:val="clear" w:color="auto" w:fill="CCEEFF"/>
          </w:tcPr>
          <w:p>
            <w:pPr>
              <w:jc w:val="right"/>
              <w:ind w:right="305"/>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Through October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Calendar Year</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Towables:</w:t>
            </w:r>
          </w:p>
        </w:tc>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4160" w:type="dxa"/>
            <w:vAlign w:val="bottom"/>
            <w:gridSpan w:val="3"/>
            <w:shd w:val="clear" w:color="auto" w:fill="CCEEFF"/>
          </w:tcPr>
          <w:p>
            <w:pPr>
              <w:jc w:val="right"/>
              <w:ind w:right="305"/>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520" w:type="dxa"/>
            <w:vAlign w:val="bottom"/>
            <w:tcBorders>
              <w:bottom w:val="single" w:sz="8" w:color="CCEEFF"/>
            </w:tcBorders>
            <w:gridSpan w:val="2"/>
          </w:tcPr>
          <w:p>
            <w:pPr>
              <w:spacing w:after="0"/>
              <w:rPr>
                <w:sz w:val="22"/>
                <w:szCs w:val="22"/>
                <w:color w:val="auto"/>
              </w:rPr>
            </w:pPr>
          </w:p>
        </w:tc>
        <w:tc>
          <w:tcPr>
            <w:tcW w:w="16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0"/>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4160" w:type="dxa"/>
            <w:vAlign w:val="bottom"/>
            <w:gridSpan w:val="3"/>
            <w:shd w:val="clear" w:color="auto" w:fill="CCEEFF"/>
          </w:tcPr>
          <w:p>
            <w:pPr>
              <w:jc w:val="right"/>
              <w:ind w:right="305"/>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279"/>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37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62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Class A, B &amp; C Motorhomes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 2011</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909</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796</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2,179</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905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Q3 2011</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1,283</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1,394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2,068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1,028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 2011</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1,088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966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Q1 2012</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1,040</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435</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255</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1,146</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4,320</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4,441</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978</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(Dec 2010-Nov 2011)</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Q3 2012</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1,280</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 2012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1,321</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Q1 2013</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1,534</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1,416</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2,045</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557</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1,555</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5,136</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5,036</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2,460</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2,051</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(Dec 2011-Nov 2012)</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most recent quarter: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Motorized performance:</w:t>
      </w:r>
    </w:p>
    <w:p>
      <w:pPr>
        <w:spacing w:after="0" w:line="5" w:lineRule="exact"/>
        <w:rPr>
          <w:sz w:val="20"/>
          <w:szCs w:val="20"/>
          <w:color w:val="auto"/>
        </w:rPr>
      </w:pPr>
    </w:p>
    <w:p>
      <w:pPr>
        <w:ind w:left="340" w:right="20" w:hanging="332"/>
        <w:spacing w:after="0" w:line="24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continued to see growing demand for our product during the first quarter of Fiscal 2013 at the wholesale and retail level, as evidenced by the sequential increase of our wholesale deliveries and retail registrations in the table above for the two most recent quarters. We began increasing our weekly production rate this past summer and continued to do so during the fall in response to the growing demand. The ramp up in our production has been accomplished through a combination of overtime and hiring incremental hourly employees; it also required ordering larger quantities of materials. The benefit of the increased production in the first quarter of Fiscal 2013 is evident in our improved operating results, notably due to better absorption of our overhead costs.</w:t>
      </w:r>
    </w:p>
    <w:p>
      <w:pPr>
        <w:spacing w:after="0" w:line="183" w:lineRule="exact"/>
        <w:rPr>
          <w:rFonts w:ascii="Arial" w:cs="Arial" w:eastAsia="Arial" w:hAnsi="Arial"/>
          <w:sz w:val="16"/>
          <w:szCs w:val="16"/>
          <w:color w:val="auto"/>
        </w:rPr>
      </w:pPr>
    </w:p>
    <w:p>
      <w:pPr>
        <w:jc w:val="both"/>
        <w:ind w:left="340" w:right="8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comparison, we experienced a dramatically different environment one year ago during the first quarter of Fiscal 2012. Demand was very weak and as a result we had multiple shortened work weeks during that quarter, thus production was 64% lower than the first quarter of Fiscal 2013. Conversely, the first quarter of Fiscal 2013 benefited from an additional week of operating performance as the first quarter of Fiscal 2013 was 14-week quarter.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Towables performance:</w:t>
      </w:r>
    </w:p>
    <w:p>
      <w:pPr>
        <w:spacing w:after="0" w:line="5" w:lineRule="exact"/>
        <w:rPr>
          <w:sz w:val="20"/>
          <w:szCs w:val="20"/>
          <w:color w:val="auto"/>
        </w:rPr>
      </w:pPr>
    </w:p>
    <w:p>
      <w:pPr>
        <w:ind w:left="340" w:right="200" w:hanging="332"/>
        <w:spacing w:after="0" w:line="25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Towables generated an operating loss of $1.4 million in the first quarter of Fiscal 2013 compared to an operating loss of $219,000 in the first quarter of Fiscal 2012. The two most significant issues that negatively impacted Towables' operating performance during the first quarter of Fiscal 2013 were increased warranty expense and unfavorable overhead variances due to lower production. Significant changes were made throughout the quarter in key management positions to address the recent performance problems.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06"/>
        </w:trPr>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Calendar Year</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Calendar Year</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r>
      <w:tr>
        <w:trPr>
          <w:trHeight w:val="270"/>
        </w:trPr>
        <w:tc>
          <w:tcPr>
            <w:tcW w:w="22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5,800</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20" w:type="dxa"/>
            <w:vAlign w:val="bottom"/>
          </w:tcPr>
          <w:p>
            <w:pPr>
              <w:spacing w:after="0"/>
              <w:rPr>
                <w:sz w:val="23"/>
                <w:szCs w:val="23"/>
                <w:color w:val="auto"/>
              </w:rPr>
            </w:pPr>
          </w:p>
        </w:tc>
      </w:tr>
      <w:tr>
        <w:trPr>
          <w:trHeight w:val="260"/>
        </w:trPr>
        <w:tc>
          <w:tcPr>
            <w:tcW w:w="2260" w:type="dxa"/>
            <w:vAlign w:val="bottom"/>
          </w:tcPr>
          <w:p>
            <w:pPr>
              <w:ind w:left="40"/>
              <w:spacing w:after="0"/>
              <w:rPr>
                <w:sz w:val="20"/>
                <w:szCs w:val="20"/>
                <w:color w:val="auto"/>
              </w:rPr>
            </w:pPr>
            <w:r>
              <w:rPr>
                <w:rFonts w:ascii="Arial" w:cs="Arial" w:eastAsia="Arial" w:hAnsi="Arial"/>
                <w:sz w:val="16"/>
                <w:szCs w:val="16"/>
                <w:color w:val="auto"/>
              </w:rPr>
              <w:t>Q2</w:t>
            </w:r>
          </w:p>
        </w:tc>
        <w:tc>
          <w:tcPr>
            <w:tcW w:w="860" w:type="dxa"/>
            <w:vAlign w:val="bottom"/>
          </w:tcPr>
          <w:p>
            <w:pPr>
              <w:jc w:val="right"/>
              <w:spacing w:after="0"/>
              <w:rPr>
                <w:sz w:val="20"/>
                <w:szCs w:val="20"/>
                <w:color w:val="auto"/>
              </w:rPr>
            </w:pPr>
            <w:r>
              <w:rPr>
                <w:rFonts w:ascii="Arial" w:cs="Arial" w:eastAsia="Arial" w:hAnsi="Arial"/>
                <w:sz w:val="16"/>
                <w:szCs w:val="16"/>
                <w:color w:val="auto"/>
              </w:rPr>
              <w:t>7,800</w:t>
            </w:r>
          </w:p>
        </w:tc>
        <w:tc>
          <w:tcPr>
            <w:tcW w:w="3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7,700</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100</w:t>
            </w:r>
          </w:p>
        </w:tc>
        <w:tc>
          <w:tcPr>
            <w:tcW w:w="1020" w:type="dxa"/>
            <w:vAlign w:val="bottom"/>
          </w:tcPr>
          <w:p>
            <w:pPr>
              <w:jc w:val="right"/>
              <w:spacing w:after="0"/>
              <w:rPr>
                <w:sz w:val="20"/>
                <w:szCs w:val="20"/>
                <w:color w:val="auto"/>
              </w:rPr>
            </w:pPr>
            <w:r>
              <w:rPr>
                <w:rFonts w:ascii="Arial" w:cs="Arial" w:eastAsia="Arial" w:hAnsi="Arial"/>
                <w:sz w:val="16"/>
                <w:szCs w:val="16"/>
                <w:color w:val="auto"/>
              </w:rPr>
              <w:t>1.3 %</w:t>
            </w:r>
          </w:p>
        </w:tc>
        <w:tc>
          <w:tcPr>
            <w:tcW w:w="980" w:type="dxa"/>
            <w:vAlign w:val="bottom"/>
            <w:gridSpan w:val="2"/>
          </w:tcPr>
          <w:p>
            <w:pPr>
              <w:jc w:val="right"/>
              <w:ind w:right="19"/>
              <w:spacing w:after="0"/>
              <w:rPr>
                <w:sz w:val="20"/>
                <w:szCs w:val="20"/>
                <w:color w:val="auto"/>
              </w:rPr>
            </w:pPr>
            <w:r>
              <w:rPr>
                <w:rFonts w:ascii="Arial" w:cs="Arial" w:eastAsia="Arial" w:hAnsi="Arial"/>
                <w:sz w:val="16"/>
                <w:szCs w:val="16"/>
                <w:color w:val="auto"/>
              </w:rPr>
              <w:t>8,200</w:t>
            </w: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8,400</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(200)</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2"/>
                <w:szCs w:val="22"/>
                <w:color w:val="auto"/>
              </w:rPr>
            </w:pPr>
          </w:p>
        </w:tc>
      </w:tr>
      <w:tr>
        <w:trPr>
          <w:trHeight w:val="280"/>
        </w:trPr>
        <w:tc>
          <w:tcPr>
            <w:tcW w:w="22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6,200</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6,100</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6,100</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4"/>
                <w:szCs w:val="24"/>
                <w:color w:val="auto"/>
              </w:rPr>
            </w:pP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5,500</w:t>
            </w: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4,600</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4,600</w:t>
            </w: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2"/>
                <w:szCs w:val="22"/>
                <w:color w:val="auto"/>
              </w:rPr>
            </w:pPr>
          </w:p>
        </w:tc>
      </w:tr>
      <w:tr>
        <w:trPr>
          <w:trHeight w:val="267"/>
        </w:trPr>
        <w:tc>
          <w:tcPr>
            <w:tcW w:w="22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25,200</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24,000</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24,100</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3"/>
                <w:szCs w:val="23"/>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Increase</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r>
      <w:tr>
        <w:trPr>
          <w:trHeight w:val="270"/>
        </w:trPr>
        <w:tc>
          <w:tcPr>
            <w:tcW w:w="22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6,900</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5,700</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20" w:type="dxa"/>
            <w:vAlign w:val="bottom"/>
          </w:tcPr>
          <w:p>
            <w:pPr>
              <w:spacing w:after="0"/>
              <w:rPr>
                <w:sz w:val="23"/>
                <w:szCs w:val="23"/>
                <w:color w:val="auto"/>
              </w:rPr>
            </w:pPr>
          </w:p>
        </w:tc>
      </w:tr>
      <w:tr>
        <w:trPr>
          <w:trHeight w:val="260"/>
        </w:trPr>
        <w:tc>
          <w:tcPr>
            <w:tcW w:w="2260" w:type="dxa"/>
            <w:vAlign w:val="bottom"/>
          </w:tcPr>
          <w:p>
            <w:pPr>
              <w:ind w:left="40"/>
              <w:spacing w:after="0"/>
              <w:rPr>
                <w:sz w:val="20"/>
                <w:szCs w:val="20"/>
                <w:color w:val="auto"/>
              </w:rPr>
            </w:pPr>
            <w:r>
              <w:rPr>
                <w:rFonts w:ascii="Arial" w:cs="Arial" w:eastAsia="Arial" w:hAnsi="Arial"/>
                <w:sz w:val="16"/>
                <w:szCs w:val="16"/>
                <w:color w:val="auto"/>
              </w:rPr>
              <w:t>Q2</w:t>
            </w:r>
          </w:p>
        </w:tc>
        <w:tc>
          <w:tcPr>
            <w:tcW w:w="860" w:type="dxa"/>
            <w:vAlign w:val="bottom"/>
          </w:tcPr>
          <w:p>
            <w:pPr>
              <w:jc w:val="right"/>
              <w:spacing w:after="0"/>
              <w:rPr>
                <w:sz w:val="20"/>
                <w:szCs w:val="20"/>
                <w:color w:val="auto"/>
              </w:rPr>
            </w:pPr>
            <w:r>
              <w:rPr>
                <w:rFonts w:ascii="Arial" w:cs="Arial" w:eastAsia="Arial" w:hAnsi="Arial"/>
                <w:sz w:val="16"/>
                <w:szCs w:val="16"/>
                <w:color w:val="auto"/>
              </w:rPr>
              <w:t>7,700</w:t>
            </w:r>
          </w:p>
        </w:tc>
        <w:tc>
          <w:tcPr>
            <w:tcW w:w="3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7,800</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(100)</w:t>
            </w: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980" w:type="dxa"/>
            <w:vAlign w:val="bottom"/>
            <w:gridSpan w:val="2"/>
          </w:tcPr>
          <w:p>
            <w:pPr>
              <w:jc w:val="right"/>
              <w:ind w:right="19"/>
              <w:spacing w:after="0"/>
              <w:rPr>
                <w:sz w:val="20"/>
                <w:szCs w:val="20"/>
                <w:color w:val="auto"/>
              </w:rPr>
            </w:pPr>
            <w:r>
              <w:rPr>
                <w:rFonts w:ascii="Arial" w:cs="Arial" w:eastAsia="Arial" w:hAnsi="Arial"/>
                <w:sz w:val="16"/>
                <w:szCs w:val="16"/>
                <w:color w:val="auto"/>
              </w:rPr>
              <w:t>8,200</w:t>
            </w: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8,200</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2"/>
                <w:szCs w:val="22"/>
                <w:color w:val="auto"/>
              </w:rPr>
            </w:pPr>
          </w:p>
        </w:tc>
      </w:tr>
      <w:tr>
        <w:trPr>
          <w:trHeight w:val="273"/>
        </w:trPr>
        <w:tc>
          <w:tcPr>
            <w:tcW w:w="226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5,300</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1,400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98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6,900</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6,100</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20" w:type="dxa"/>
            <w:vAlign w:val="bottom"/>
            <w:tcBorders>
              <w:bottom w:val="single" w:sz="8" w:color="auto"/>
            </w:tcBorders>
          </w:tcPr>
          <w:p>
            <w:pPr>
              <w:spacing w:after="0"/>
              <w:rPr>
                <w:sz w:val="23"/>
                <w:szCs w:val="23"/>
                <w:color w:val="auto"/>
              </w:rPr>
            </w:pPr>
          </w:p>
        </w:tc>
      </w:tr>
      <w:tr>
        <w:trPr>
          <w:trHeight w:val="260"/>
        </w:trPr>
        <w:tc>
          <w:tcPr>
            <w:tcW w:w="22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October</w:t>
            </w:r>
          </w:p>
        </w:tc>
        <w:tc>
          <w:tcPr>
            <w:tcW w:w="860" w:type="dxa"/>
            <w:vAlign w:val="bottom"/>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1,900</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600</w:t>
            </w:r>
          </w:p>
        </w:tc>
        <w:tc>
          <w:tcPr>
            <w:tcW w:w="1020" w:type="dxa"/>
            <w:vAlign w:val="bottom"/>
          </w:tcPr>
          <w:p>
            <w:pPr>
              <w:jc w:val="right"/>
              <w:spacing w:after="0"/>
              <w:rPr>
                <w:sz w:val="20"/>
                <w:szCs w:val="20"/>
                <w:color w:val="auto"/>
              </w:rPr>
            </w:pPr>
            <w:r>
              <w:rPr>
                <w:rFonts w:ascii="Arial" w:cs="Arial" w:eastAsia="Arial" w:hAnsi="Arial"/>
                <w:sz w:val="16"/>
                <w:szCs w:val="16"/>
                <w:color w:val="auto"/>
              </w:rPr>
              <w:t>31.6 %</w:t>
            </w:r>
          </w:p>
        </w:tc>
        <w:tc>
          <w:tcPr>
            <w:tcW w:w="980" w:type="dxa"/>
            <w:vAlign w:val="bottom"/>
            <w:gridSpan w:val="2"/>
          </w:tcPr>
          <w:p>
            <w:pPr>
              <w:jc w:val="right"/>
              <w:ind w:right="19"/>
              <w:spacing w:after="0"/>
              <w:rPr>
                <w:sz w:val="20"/>
                <w:szCs w:val="20"/>
                <w:color w:val="auto"/>
              </w:rPr>
            </w:pPr>
            <w:r>
              <w:rPr>
                <w:rFonts w:ascii="Arial" w:cs="Arial" w:eastAsia="Arial" w:hAnsi="Arial"/>
                <w:sz w:val="16"/>
                <w:szCs w:val="16"/>
                <w:color w:val="auto"/>
              </w:rPr>
              <w:t>1,800</w:t>
            </w: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shd w:val="clear" w:color="auto" w:fill="000000"/>
          </w:tcPr>
          <w:p>
            <w:pPr>
              <w:spacing w:after="0"/>
              <w:rPr>
                <w:sz w:val="22"/>
                <w:szCs w:val="22"/>
                <w:color w:val="auto"/>
              </w:rPr>
            </w:pPr>
          </w:p>
        </w:tc>
      </w:tr>
      <w:tr>
        <w:trPr>
          <w:trHeight w:val="280"/>
        </w:trPr>
        <w:tc>
          <w:tcPr>
            <w:tcW w:w="226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November</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1,400</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64.3 %</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c>
          <w:tcPr>
            <w:tcW w:w="1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64"/>
        </w:trPr>
        <w:tc>
          <w:tcPr>
            <w:tcW w:w="226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6"/>
                <w:szCs w:val="16"/>
                <w:color w:val="auto"/>
              </w:rPr>
              <w:t>December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1,500</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1,300</w:t>
            </w:r>
          </w:p>
        </w:tc>
        <w:tc>
          <w:tcPr>
            <w:tcW w:w="1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64"/>
        </w:trPr>
        <w:tc>
          <w:tcPr>
            <w:tcW w:w="22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4,800</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2,100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4,600</w:t>
            </w:r>
          </w:p>
        </w:tc>
        <w:tc>
          <w:tcPr>
            <w:tcW w:w="1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2260" w:type="dxa"/>
            <w:vAlign w:val="bottom"/>
          </w:tcPr>
          <w:p>
            <w:pPr>
              <w:ind w:left="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28,200</w:t>
            </w:r>
          </w:p>
        </w:tc>
        <w:tc>
          <w:tcPr>
            <w:tcW w:w="3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24,800</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3,400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24,000</w:t>
            </w: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 rounded to the nearest hundred.</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 rounded to the nearest hundred.</w:t>
      </w:r>
    </w:p>
    <w:p>
      <w:pPr>
        <w:ind w:left="340" w:right="6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December 2012 Class A, B and C wholesale shipments are based upon the forecast prepared by Dr. Richard Curtin of the University of Michigan Consumer Survey Research Center for RVIA and reported in the RoadSigns RV Winter 2012 Industry Forecast Issue. The revised RVIA annual 2012 wholesale shipment forecast was 27,300 (prior to actual October and November shipments being available) and the annual forecast for 2013 is 28,400.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2012 retail demand for this period.</w:t>
      </w:r>
    </w:p>
    <w:p>
      <w:pPr>
        <w:spacing w:after="0" w:line="177"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size of the motorized retail market in calendar years 2008 through 2012 has been less than half of what the industry norms had been prior to the recession.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Increase</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(Decrease)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2010</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Increase</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54,100</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49,300</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33,700</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31,100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66,000</w:t>
            </w:r>
          </w:p>
        </w:tc>
        <w:tc>
          <w:tcPr>
            <w:tcW w:w="36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62,300</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3,700</w:t>
            </w:r>
          </w:p>
        </w:tc>
        <w:tc>
          <w:tcPr>
            <w:tcW w:w="980" w:type="dxa"/>
            <w:vAlign w:val="bottom"/>
          </w:tcPr>
          <w:p>
            <w:pPr>
              <w:jc w:val="right"/>
              <w:spacing w:after="0"/>
              <w:rPr>
                <w:sz w:val="20"/>
                <w:szCs w:val="20"/>
                <w:color w:val="auto"/>
              </w:rPr>
            </w:pPr>
            <w:r>
              <w:rPr>
                <w:rFonts w:ascii="Arial" w:cs="Arial" w:eastAsia="Arial" w:hAnsi="Arial"/>
                <w:sz w:val="16"/>
                <w:szCs w:val="16"/>
                <w:color w:val="auto"/>
              </w:rPr>
              <w:t>5.9 %</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79,200</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69,400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9,800</w:t>
            </w: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47,500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48,600</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63,000</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57,200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45,300</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38,900</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6,400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16.5 %</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30,000</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28,300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1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212,900</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199,100</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13,800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205,900</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186,000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19,900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Increase</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60,400</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54,100</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39,100</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33,700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71,100</w:t>
            </w:r>
          </w:p>
        </w:tc>
        <w:tc>
          <w:tcPr>
            <w:tcW w:w="36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66,000</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5,100</w:t>
            </w:r>
          </w:p>
        </w:tc>
        <w:tc>
          <w:tcPr>
            <w:tcW w:w="980" w:type="dxa"/>
            <w:vAlign w:val="bottom"/>
          </w:tcPr>
          <w:p>
            <w:pPr>
              <w:jc w:val="right"/>
              <w:spacing w:after="0"/>
              <w:rPr>
                <w:sz w:val="20"/>
                <w:szCs w:val="20"/>
                <w:color w:val="auto"/>
              </w:rPr>
            </w:pPr>
            <w:r>
              <w:rPr>
                <w:rFonts w:ascii="Arial" w:cs="Arial" w:eastAsia="Arial" w:hAnsi="Arial"/>
                <w:sz w:val="16"/>
                <w:szCs w:val="16"/>
                <w:color w:val="auto"/>
              </w:rPr>
              <w:t>7.7 %</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83,900</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79,200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4,700</w:t>
            </w: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18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56,600</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47,500</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67,100</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63,000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8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October</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21,400</w:t>
            </w:r>
          </w:p>
        </w:tc>
        <w:tc>
          <w:tcPr>
            <w:tcW w:w="36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16,300</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5,100</w:t>
            </w:r>
          </w:p>
        </w:tc>
        <w:tc>
          <w:tcPr>
            <w:tcW w:w="980" w:type="dxa"/>
            <w:vAlign w:val="bottom"/>
          </w:tcPr>
          <w:p>
            <w:pPr>
              <w:jc w:val="right"/>
              <w:spacing w:after="0"/>
              <w:rPr>
                <w:sz w:val="20"/>
                <w:szCs w:val="20"/>
                <w:color w:val="auto"/>
              </w:rPr>
            </w:pPr>
            <w:r>
              <w:rPr>
                <w:rFonts w:ascii="Arial" w:cs="Arial" w:eastAsia="Arial" w:hAnsi="Arial"/>
                <w:sz w:val="16"/>
                <w:szCs w:val="16"/>
                <w:color w:val="auto"/>
              </w:rPr>
              <w:t>31.3 %</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14,300</w:t>
            </w: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13,300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8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November</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17,500</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14,400</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9,200</w:t>
            </w:r>
          </w:p>
        </w:tc>
        <w:tc>
          <w:tcPr>
            <w:tcW w:w="1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December</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15,300</w:t>
            </w:r>
          </w:p>
        </w:tc>
        <w:tc>
          <w:tcPr>
            <w:tcW w:w="3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14,600</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7,500</w:t>
            </w:r>
          </w:p>
        </w:tc>
        <w:tc>
          <w:tcPr>
            <w:tcW w:w="1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54,200</w:t>
            </w:r>
          </w:p>
        </w:tc>
        <w:tc>
          <w:tcPr>
            <w:tcW w:w="3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45,300</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8,900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242,300</w:t>
            </w: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120" w:type="dxa"/>
            <w:vAlign w:val="bottom"/>
            <w:vMerge w:val="restart"/>
          </w:tcPr>
          <w:p>
            <w:pPr>
              <w:jc w:val="right"/>
              <w:ind w:right="59"/>
              <w:spacing w:after="0"/>
              <w:rPr>
                <w:sz w:val="20"/>
                <w:szCs w:val="20"/>
                <w:color w:val="auto"/>
              </w:rPr>
            </w:pPr>
            <w:r>
              <w:rPr>
                <w:rFonts w:ascii="Arial" w:cs="Arial" w:eastAsia="Arial" w:hAnsi="Arial"/>
                <w:sz w:val="16"/>
                <w:szCs w:val="16"/>
                <w:color w:val="auto"/>
              </w:rPr>
              <w:t>212,900</w:t>
            </w:r>
          </w:p>
        </w:tc>
        <w:tc>
          <w:tcPr>
            <w:tcW w:w="1220" w:type="dxa"/>
            <w:vAlign w:val="bottom"/>
            <w:vMerge w:val="restart"/>
          </w:tcPr>
          <w:p>
            <w:pPr>
              <w:jc w:val="right"/>
              <w:ind w:right="159"/>
              <w:spacing w:after="0"/>
              <w:rPr>
                <w:sz w:val="20"/>
                <w:szCs w:val="20"/>
                <w:color w:val="auto"/>
              </w:rPr>
            </w:pPr>
            <w:r>
              <w:rPr>
                <w:rFonts w:ascii="Arial" w:cs="Arial" w:eastAsia="Arial" w:hAnsi="Arial"/>
                <w:sz w:val="16"/>
                <w:szCs w:val="16"/>
                <w:color w:val="auto"/>
              </w:rPr>
              <w:t>29,400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13.8 %</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205,900</w:t>
            </w: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180" w:type="dxa"/>
            <w:vAlign w:val="bottom"/>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 rounded to the nearest hundred.</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 rounded to the nearest hundred.</w:t>
      </w:r>
    </w:p>
    <w:p>
      <w:pPr>
        <w:ind w:left="340" w:right="180" w:hanging="332"/>
        <w:spacing w:after="0" w:line="218"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December 2012 towable wholesale shipments are based upon the forecast prepared by Dr. Richard Curtin of the University of Michigan Consumer Survey Research Center for RVIA and reported in the RoadSigns RV Winter 2012 Industry Forecast Issue. The revised annual</w:t>
      </w:r>
    </w:p>
    <w:p>
      <w:pPr>
        <w:sectPr>
          <w:pgSz w:w="11900" w:h="16838" w:orient="portrait"/>
          <w:cols w:equalWidth="0" w:num="1">
            <w:col w:w="11440"/>
          </w:cols>
          <w:pgMar w:left="240" w:top="141" w:right="219" w:bottom="687" w:gutter="0" w:footer="0" w:header="0"/>
        </w:sect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41" w:right="219" w:bottom="687"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2012 wholesale shipment forecast was 235,700 (prior to actual October and November shipments being available) and the annual forecast for 2013 is 249,000.</w:t>
      </w:r>
    </w:p>
    <w:p>
      <w:pPr>
        <w:spacing w:after="0" w:line="5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1"/>
          <w:szCs w:val="11"/>
          <w:color w:val="auto"/>
        </w:rPr>
      </w:pPr>
      <w:r>
        <w:rPr>
          <w:rFonts w:ascii="Arial" w:cs="Arial" w:eastAsia="Arial" w:hAnsi="Arial"/>
          <w:sz w:val="14"/>
          <w:szCs w:val="14"/>
          <w:color w:val="auto"/>
        </w:rPr>
        <w:t>Stat Surveys has not issued a projection for 2012 retail demand for this period.</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towable retail market has not been as negatively impacted in recent years as the motorized market. The size of the towable market was nearly nine times larger than the motorized market on a unit basis in Calendar 2011. This is primarily due to the fact that average price of a towable unit is considerably less than a motorhome.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26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have the potential to grow revenues and earnings in a market significantly larger than the motorized market.</w:t>
      </w:r>
    </w:p>
    <w:p>
      <w:pPr>
        <w:spacing w:after="0" w:line="174"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As evidenced in the following table, our sales order backlog at the end of the first quarter of Fiscal 2013 significantly increased as compared to the end of the first quarter of Fiscal 2012. It has also increased sequentially from the end of Fiscal 2012 fourth quarter, as previously illustrated. We believe the increase is a result of the positive dealer response to our new 2013 model year products and increased retail registration activity of our products this past summer and fall.</w:t>
      </w:r>
    </w:p>
    <w:p>
      <w:pPr>
        <w:spacing w:after="0" w:line="174"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As a result of the improved demand, we have been increasing our production throughout the past six months. We plan to continue to increase our weekly production schedule in the second quarter of Fiscal 2013 to meet the growing demand for our products, while managing constraints as they present themselves in relation to labor and component parts.</w:t>
      </w:r>
    </w:p>
    <w:p>
      <w:pPr>
        <w:spacing w:after="0" w:line="174"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Our motorized sales order backlog of 2,118 as of December 1, 2012 represents orders to be shipped in the next two quarters. Notably, there are a few key reasons that these orders will not all be delivered in the second quarter of Fiscal 2013:</w:t>
      </w:r>
    </w:p>
    <w:p>
      <w:pPr>
        <w:spacing w:after="0" w:line="1" w:lineRule="exact"/>
        <w:rPr>
          <w:sz w:val="20"/>
          <w:szCs w:val="20"/>
          <w:color w:val="auto"/>
        </w:rPr>
      </w:pPr>
    </w:p>
    <w:p>
      <w:pPr>
        <w:ind w:left="660" w:right="60" w:hanging="328"/>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Timing of new model production: Production of a new Class C model for which orders were taken at the National RV Show at the end of our first fiscal quarter starts in February of 2013 (the last month of our second fiscal quarter), thus a portion of our sales order backlog will not be through the production process and sold until our third fiscal quarter.</w:t>
      </w:r>
    </w:p>
    <w:p>
      <w:pPr>
        <w:spacing w:after="0" w:line="1" w:lineRule="exact"/>
        <w:rPr>
          <w:rFonts w:ascii="Arial" w:cs="Arial" w:eastAsia="Arial" w:hAnsi="Arial"/>
          <w:sz w:val="16"/>
          <w:szCs w:val="16"/>
          <w:color w:val="auto"/>
        </w:rPr>
      </w:pPr>
    </w:p>
    <w:p>
      <w:pPr>
        <w:ind w:left="660" w:right="180" w:hanging="328"/>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Chassis availability: Due to the limited availability of Class A gas chassis, a portion of our sales order backlog will not be produced and sold until our third fiscal quarter of Fiscal 2013.</w:t>
      </w:r>
    </w:p>
    <w:p>
      <w:pPr>
        <w:ind w:left="660" w:right="200" w:hanging="328"/>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Fewer production days in our second quarter: Production is shut down over the holidays and to perform a physical inventory observation, thus there are 57 days of production in the second quarter. In comparison, there were 67 production days in our first fiscal quarter which did include one additional week as Fiscal 2013 is a 53-week year.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Orders in backlog can be cancelled or postponed at the option of the dealer at any time without penalty.</w:t>
      </w:r>
    </w:p>
    <w:p>
      <w:pPr>
        <w:spacing w:after="0" w:line="19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believe that the level of our dealer inventory at the end of the first quarter of Fiscal 2013 is lower than what it should be given the improved retail demand and increased sales order backlog of our product.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18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Pr>
          <w:p>
            <w:pPr>
              <w:spacing w:after="0"/>
              <w:rPr>
                <w:sz w:val="17"/>
                <w:szCs w:val="17"/>
                <w:color w:val="auto"/>
              </w:rPr>
            </w:pPr>
          </w:p>
        </w:tc>
        <w:tc>
          <w:tcPr>
            <w:tcW w:w="244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1, 2012</w:t>
            </w:r>
          </w:p>
        </w:tc>
        <w:tc>
          <w:tcPr>
            <w:tcW w:w="340" w:type="dxa"/>
            <w:vAlign w:val="bottom"/>
          </w:tcPr>
          <w:p>
            <w:pPr>
              <w:spacing w:after="0"/>
              <w:rPr>
                <w:sz w:val="17"/>
                <w:szCs w:val="17"/>
                <w:color w:val="auto"/>
              </w:rPr>
            </w:pPr>
          </w:p>
        </w:tc>
        <w:tc>
          <w:tcPr>
            <w:tcW w:w="2300" w:type="dxa"/>
            <w:vAlign w:val="bottom"/>
            <w:gridSpan w:val="3"/>
          </w:tcPr>
          <w:p>
            <w:pPr>
              <w:ind w:left="280"/>
              <w:spacing w:after="0"/>
              <w:rPr>
                <w:sz w:val="20"/>
                <w:szCs w:val="20"/>
                <w:color w:val="auto"/>
              </w:rPr>
            </w:pPr>
            <w:r>
              <w:rPr>
                <w:rFonts w:ascii="Arial" w:cs="Arial" w:eastAsia="Arial" w:hAnsi="Arial"/>
                <w:sz w:val="14"/>
                <w:szCs w:val="14"/>
                <w:b w:val="1"/>
                <w:bCs w:val="1"/>
                <w:color w:val="auto"/>
              </w:rPr>
              <w:t>November 26, 2011</w:t>
            </w:r>
          </w:p>
        </w:tc>
        <w:tc>
          <w:tcPr>
            <w:tcW w:w="240" w:type="dxa"/>
            <w:vAlign w:val="bottom"/>
          </w:tcPr>
          <w:p>
            <w:pPr>
              <w:spacing w:after="0"/>
              <w:rPr>
                <w:sz w:val="17"/>
                <w:szCs w:val="17"/>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884</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41.7%</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42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671</w:t>
            </w:r>
          </w:p>
        </w:tc>
        <w:tc>
          <w:tcPr>
            <w:tcW w:w="13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315.0 %</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389</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18.4%</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217</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126.2 %</w:t>
            </w:r>
          </w:p>
        </w:tc>
      </w:tr>
      <w:tr>
        <w:trPr>
          <w:trHeight w:val="257"/>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1,273</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60.1%</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888</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230.6 %</w:t>
            </w: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64</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136.2 %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734</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34.7%</w:t>
            </w:r>
          </w:p>
        </w:tc>
        <w:tc>
          <w:tcPr>
            <w:tcW w:w="2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548</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294.6 %</w:t>
            </w:r>
          </w:p>
        </w:tc>
      </w:tr>
      <w:tr>
        <w:trPr>
          <w:trHeight w:val="283"/>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2,118</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1,500</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242.7 %</w:t>
            </w:r>
          </w:p>
        </w:tc>
      </w:tr>
      <w:tr>
        <w:trPr>
          <w:trHeight w:val="251"/>
        </w:trPr>
        <w:tc>
          <w:tcPr>
            <w:tcW w:w="3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81.1%</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277</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98.9 %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(50)</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r>
      <w:tr>
        <w:trPr>
          <w:trHeight w:val="283"/>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227</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49.3 %</w:t>
            </w:r>
          </w:p>
        </w:tc>
      </w:tr>
      <w:tr>
        <w:trPr>
          <w:trHeight w:val="251"/>
        </w:trPr>
        <w:tc>
          <w:tcPr>
            <w:tcW w:w="3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6"/>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226,457</w:t>
            </w: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70,546</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155,911</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221.0 %</w:t>
            </w:r>
          </w:p>
        </w:tc>
      </w:tr>
      <w:tr>
        <w:trPr>
          <w:trHeight w:val="251"/>
        </w:trPr>
        <w:tc>
          <w:tcPr>
            <w:tcW w:w="318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14,049</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10,381</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3,668</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35.3 %</w:t>
            </w:r>
          </w:p>
        </w:tc>
      </w:tr>
    </w:tbl>
    <w:p>
      <w:pPr>
        <w:spacing w:after="0" w:line="24" w:lineRule="exact"/>
        <w:rPr>
          <w:sz w:val="20"/>
          <w:szCs w:val="20"/>
          <w:color w:val="auto"/>
        </w:rPr>
      </w:pPr>
    </w:p>
    <w:p>
      <w:pPr>
        <w:ind w:left="240" w:right="20" w:hanging="232"/>
        <w:spacing w:after="0" w:line="218" w:lineRule="auto"/>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4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1,</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26,</w:t>
            </w:r>
          </w:p>
        </w:tc>
        <w:tc>
          <w:tcPr>
            <w:tcW w:w="15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40" w:type="dxa"/>
            <w:vAlign w:val="bottom"/>
          </w:tcPr>
          <w:p>
            <w:pPr>
              <w:spacing w:after="0"/>
              <w:rPr>
                <w:sz w:val="20"/>
                <w:szCs w:val="20"/>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440" w:type="dxa"/>
            <w:vAlign w:val="bottom"/>
            <w:gridSpan w:val="2"/>
          </w:tcPr>
          <w:p>
            <w:pPr>
              <w:jc w:val="center"/>
              <w:ind w:right="180"/>
              <w:spacing w:after="0" w:line="234" w:lineRule="exact"/>
              <w:rPr>
                <w:sz w:val="20"/>
                <w:szCs w:val="20"/>
                <w:color w:val="auto"/>
              </w:rPr>
            </w:pPr>
            <w:r>
              <w:rPr>
                <w:rFonts w:ascii="Arial" w:cs="Arial" w:eastAsia="Arial" w:hAnsi="Arial"/>
                <w:sz w:val="16"/>
                <w:szCs w:val="16"/>
                <w:b w:val="1"/>
                <w:bCs w:val="1"/>
                <w:color w:val="auto"/>
                <w:w w:val="97"/>
              </w:rPr>
              <w:t>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20"/>
                <w:szCs w:val="20"/>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520" w:type="dxa"/>
            <w:vAlign w:val="bottom"/>
            <w:gridSpan w:val="2"/>
          </w:tcPr>
          <w:p>
            <w:pPr>
              <w:jc w:val="center"/>
              <w:ind w:right="180"/>
              <w:spacing w:after="0" w:line="234" w:lineRule="exact"/>
              <w:rPr>
                <w:sz w:val="20"/>
                <w:szCs w:val="20"/>
                <w:color w:val="auto"/>
              </w:rPr>
            </w:pPr>
            <w:r>
              <w:rPr>
                <w:rFonts w:ascii="Arial" w:cs="Arial" w:eastAsia="Arial" w:hAnsi="Arial"/>
                <w:sz w:val="16"/>
                <w:szCs w:val="16"/>
                <w:b w:val="1"/>
                <w:bCs w:val="1"/>
                <w:color w:val="auto"/>
                <w:w w:val="97"/>
              </w:rPr>
              <w:t>Revenues</w:t>
            </w:r>
            <w:r>
              <w:rPr>
                <w:rFonts w:ascii="Arial" w:cs="Arial" w:eastAsia="Arial" w:hAnsi="Arial"/>
                <w:sz w:val="21"/>
                <w:szCs w:val="21"/>
                <w:b w:val="1"/>
                <w:bCs w:val="1"/>
                <w:color w:val="auto"/>
                <w:w w:val="97"/>
                <w:vertAlign w:val="superscript"/>
              </w:rPr>
              <w:t>(1)</w:t>
            </w:r>
          </w:p>
        </w:tc>
        <w:tc>
          <w:tcPr>
            <w:tcW w:w="22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193,554</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131,837</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61,717</w:t>
            </w:r>
          </w:p>
        </w:tc>
        <w:tc>
          <w:tcPr>
            <w:tcW w:w="12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46.8 %</w:t>
            </w:r>
          </w:p>
        </w:tc>
      </w:tr>
      <w:tr>
        <w:trPr>
          <w:trHeight w:val="264"/>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172,807</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123,341</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93.6 %</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49,466</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40.1 %</w:t>
            </w:r>
          </w:p>
        </w:tc>
      </w:tr>
      <w:tr>
        <w:trPr>
          <w:trHeight w:val="25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20,747</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8,496</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6.4 %</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12,251</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144.2 %</w:t>
            </w:r>
          </w:p>
        </w:tc>
      </w:tr>
      <w:tr>
        <w:trPr>
          <w:trHeight w:val="284"/>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4,961</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4,162</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799</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19.2 %</w:t>
            </w:r>
          </w:p>
        </w:tc>
      </w:tr>
      <w:tr>
        <w:trPr>
          <w:trHeight w:val="260"/>
        </w:trPr>
        <w:tc>
          <w:tcPr>
            <w:tcW w:w="28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5,812</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3,707</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2,105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56.8 %</w:t>
            </w:r>
          </w:p>
        </w:tc>
      </w:tr>
      <w:tr>
        <w:trPr>
          <w:trHeight w:val="273"/>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assets held for sale</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28</w:t>
            </w:r>
          </w:p>
        </w:tc>
        <w:tc>
          <w:tcPr>
            <w:tcW w:w="1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50"/>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10,801</w:t>
            </w: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7,869</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6.0 %</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2,932</w:t>
            </w: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37.3 %</w:t>
            </w:r>
          </w:p>
        </w:tc>
      </w:tr>
      <w:tr>
        <w:trPr>
          <w:trHeight w:val="284"/>
        </w:trPr>
        <w:tc>
          <w:tcPr>
            <w:tcW w:w="2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8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9,946</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627</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9,319</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73"/>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614</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257</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357</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138.9 %</w:t>
            </w:r>
          </w:p>
        </w:tc>
      </w:tr>
      <w:tr>
        <w:trPr>
          <w:trHeight w:val="247"/>
        </w:trPr>
        <w:tc>
          <w:tcPr>
            <w:tcW w:w="28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1"/>
                <w:szCs w:val="21"/>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10,560</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884</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9,676</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73"/>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3,169</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(151)</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3,320</w:t>
            </w:r>
          </w:p>
        </w:tc>
        <w:tc>
          <w:tcPr>
            <w:tcW w:w="1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80"/>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7,391</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1,035</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6,356</w:t>
            </w: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NMF</w:t>
            </w:r>
          </w:p>
        </w:tc>
      </w:tr>
      <w:tr>
        <w:trPr>
          <w:trHeight w:val="267"/>
        </w:trPr>
        <w:tc>
          <w:tcPr>
            <w:tcW w:w="2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86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0.26</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0.04</w:t>
            </w: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0.22</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8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28,361</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29,212</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(851)</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r>
    </w:tbl>
    <w:p>
      <w:pPr>
        <w:spacing w:after="0" w:line="2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1,</w:t>
            </w: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480" w:type="dxa"/>
            <w:vAlign w:val="bottom"/>
          </w:tcPr>
          <w:p>
            <w:pPr>
              <w:jc w:val="right"/>
              <w:ind w:right="298"/>
              <w:spacing w:after="0"/>
              <w:rPr>
                <w:sz w:val="20"/>
                <w:szCs w:val="20"/>
                <w:color w:val="auto"/>
              </w:rPr>
            </w:pPr>
            <w:r>
              <w:rPr>
                <w:rFonts w:ascii="Arial" w:cs="Arial" w:eastAsia="Arial" w:hAnsi="Arial"/>
                <w:sz w:val="16"/>
                <w:szCs w:val="16"/>
                <w:b w:val="1"/>
                <w:bCs w:val="1"/>
                <w:color w:val="auto"/>
              </w:rPr>
              <w:t>November 26,</w:t>
            </w: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92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Pr>
          <w:p>
            <w:pPr>
              <w:spacing w:after="0"/>
              <w:rPr>
                <w:sz w:val="20"/>
                <w:szCs w:val="20"/>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132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80" w:type="dxa"/>
            <w:vAlign w:val="bottom"/>
          </w:tcPr>
          <w:p>
            <w:pPr>
              <w:spacing w:after="0"/>
              <w:rPr>
                <w:sz w:val="20"/>
                <w:szCs w:val="20"/>
                <w:color w:val="auto"/>
              </w:rPr>
            </w:pPr>
          </w:p>
        </w:tc>
        <w:tc>
          <w:tcPr>
            <w:tcW w:w="1480" w:type="dxa"/>
            <w:vAlign w:val="bottom"/>
          </w:tcPr>
          <w:p>
            <w:pPr>
              <w:jc w:val="right"/>
              <w:ind w:right="618"/>
              <w:spacing w:after="0"/>
              <w:rPr>
                <w:sz w:val="20"/>
                <w:szCs w:val="20"/>
                <w:color w:val="auto"/>
              </w:rPr>
            </w:pPr>
            <w:r>
              <w:rPr>
                <w:rFonts w:ascii="Arial" w:cs="Arial" w:eastAsia="Arial" w:hAnsi="Arial"/>
                <w:sz w:val="16"/>
                <w:szCs w:val="16"/>
                <w:b w:val="1"/>
                <w:bCs w:val="1"/>
                <w:color w:val="auto"/>
              </w:rPr>
              <w:t>2011</w:t>
            </w:r>
          </w:p>
        </w:tc>
        <w:tc>
          <w:tcPr>
            <w:tcW w:w="132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20" w:type="dxa"/>
            <w:vAlign w:val="bottom"/>
          </w:tcPr>
          <w:p>
            <w:pPr>
              <w:spacing w:after="0"/>
              <w:rPr>
                <w:sz w:val="20"/>
                <w:szCs w:val="20"/>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60"/>
        </w:trPr>
        <w:tc>
          <w:tcPr>
            <w:tcW w:w="292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2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620</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158"/>
              <w:spacing w:after="0"/>
              <w:rPr>
                <w:sz w:val="20"/>
                <w:szCs w:val="20"/>
                <w:color w:val="auto"/>
              </w:rPr>
            </w:pPr>
            <w:r>
              <w:rPr>
                <w:rFonts w:ascii="Arial" w:cs="Arial" w:eastAsia="Arial" w:hAnsi="Arial"/>
                <w:sz w:val="16"/>
                <w:szCs w:val="16"/>
                <w:color w:val="auto"/>
              </w:rPr>
              <w:t>381</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239</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62.7 %</w:t>
            </w:r>
          </w:p>
        </w:tc>
      </w:tr>
      <w:tr>
        <w:trPr>
          <w:trHeight w:val="273"/>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345</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232</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48.7 %</w:t>
            </w:r>
          </w:p>
        </w:tc>
      </w:tr>
      <w:tr>
        <w:trPr>
          <w:trHeight w:val="247"/>
        </w:trPr>
        <w:tc>
          <w:tcPr>
            <w:tcW w:w="292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20" w:type="dxa"/>
            <w:vAlign w:val="bottom"/>
          </w:tcPr>
          <w:p>
            <w:pPr>
              <w:spacing w:after="0"/>
              <w:rPr>
                <w:sz w:val="21"/>
                <w:szCs w:val="21"/>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965</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58"/>
              <w:spacing w:after="0"/>
              <w:rPr>
                <w:sz w:val="20"/>
                <w:szCs w:val="20"/>
                <w:color w:val="auto"/>
              </w:rPr>
            </w:pPr>
            <w:r>
              <w:rPr>
                <w:rFonts w:ascii="Arial" w:cs="Arial" w:eastAsia="Arial" w:hAnsi="Arial"/>
                <w:sz w:val="16"/>
                <w:szCs w:val="16"/>
                <w:color w:val="auto"/>
              </w:rPr>
              <w:t>613</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352</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57.4 %</w:t>
            </w:r>
          </w:p>
        </w:tc>
      </w:tr>
      <w:tr>
        <w:trPr>
          <w:trHeight w:val="280"/>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79</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13.9 %</w:t>
            </w:r>
          </w:p>
        </w:tc>
      </w:tr>
      <w:tr>
        <w:trPr>
          <w:trHeight w:val="264"/>
        </w:trPr>
        <w:tc>
          <w:tcPr>
            <w:tcW w:w="2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479</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348</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131</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37.6 %</w:t>
            </w:r>
          </w:p>
        </w:tc>
      </w:tr>
      <w:tr>
        <w:trPr>
          <w:trHeight w:val="240"/>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1,534</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1,040</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494</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47.5 %</w:t>
            </w: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7"/>
        </w:trPr>
        <w:tc>
          <w:tcPr>
            <w:tcW w:w="2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w:t>
            </w: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108</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r>
      <w:tr>
        <w:trPr>
          <w:trHeight w:val="284"/>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92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2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408</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158"/>
              <w:spacing w:after="0"/>
              <w:rPr>
                <w:sz w:val="20"/>
                <w:szCs w:val="20"/>
                <w:color w:val="auto"/>
              </w:rPr>
            </w:pPr>
            <w:r>
              <w:rPr>
                <w:rFonts w:ascii="Arial" w:cs="Arial" w:eastAsia="Arial" w:hAnsi="Arial"/>
                <w:sz w:val="16"/>
                <w:szCs w:val="16"/>
                <w:color w:val="auto"/>
              </w:rPr>
              <w:t>267</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141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(11.3)%</w:t>
            </w:r>
          </w:p>
        </w:tc>
      </w:tr>
      <w:tr>
        <w:trPr>
          <w:trHeight w:val="273"/>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149</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168</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(19)</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52.8 %</w:t>
            </w:r>
          </w:p>
        </w:tc>
      </w:tr>
      <w:tr>
        <w:trPr>
          <w:trHeight w:val="280"/>
        </w:trPr>
        <w:tc>
          <w:tcPr>
            <w:tcW w:w="2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deliveries</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557</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435</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122</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28.0 %</w:t>
            </w:r>
          </w:p>
        </w:tc>
      </w:tr>
      <w:tr>
        <w:trPr>
          <w:trHeight w:val="267"/>
        </w:trPr>
        <w:tc>
          <w:tcPr>
            <w:tcW w:w="2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57"/>
        </w:trPr>
        <w:tc>
          <w:tcPr>
            <w:tcW w:w="2920" w:type="dxa"/>
            <w:vAlign w:val="bottom"/>
          </w:tcPr>
          <w:p>
            <w:pPr>
              <w:ind w:left="180"/>
              <w:spacing w:after="0"/>
              <w:rPr>
                <w:sz w:val="20"/>
                <w:szCs w:val="20"/>
                <w:color w:val="auto"/>
              </w:rPr>
            </w:pPr>
            <w:r>
              <w:rPr>
                <w:rFonts w:ascii="Arial" w:cs="Arial" w:eastAsia="Arial" w:hAnsi="Arial"/>
                <w:sz w:val="16"/>
                <w:szCs w:val="16"/>
                <w:color w:val="auto"/>
              </w:rPr>
              <w:t>ASP (in thousands)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8"/>
              <w:spacing w:after="0"/>
              <w:rPr>
                <w:sz w:val="20"/>
                <w:szCs w:val="20"/>
                <w:color w:val="auto"/>
              </w:rPr>
            </w:pPr>
            <w:r>
              <w:rPr>
                <w:rFonts w:ascii="Arial" w:cs="Arial" w:eastAsia="Arial" w:hAnsi="Arial"/>
                <w:sz w:val="18"/>
                <w:szCs w:val="18"/>
                <w:color w:val="auto"/>
              </w:rPr>
              <w:t>23</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(5.0)%</w:t>
            </w:r>
          </w:p>
        </w:tc>
      </w:tr>
    </w:tbl>
    <w:p>
      <w:pPr>
        <w:ind w:left="160" w:hanging="152"/>
        <w:spacing w:after="0" w:line="220"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47"/>
        </w:trPr>
        <w:tc>
          <w:tcPr>
            <w:tcW w:w="308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Quarter Ended</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December 1,</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center"/>
              <w:ind w:left="299"/>
              <w:spacing w:after="0"/>
              <w:rPr>
                <w:sz w:val="20"/>
                <w:szCs w:val="20"/>
                <w:color w:val="auto"/>
              </w:rPr>
            </w:pPr>
            <w:r>
              <w:rPr>
                <w:rFonts w:ascii="Arial" w:cs="Arial" w:eastAsia="Arial" w:hAnsi="Arial"/>
                <w:sz w:val="16"/>
                <w:szCs w:val="16"/>
                <w:b w:val="1"/>
                <w:bCs w:val="1"/>
                <w:color w:val="auto"/>
              </w:rPr>
              <w:t>November 26,</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28"/>
        </w:trPr>
        <w:tc>
          <w:tcPr>
            <w:tcW w:w="30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2011</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169,995</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111,668</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58,327</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52.2%</w:t>
            </w:r>
          </w:p>
        </w:tc>
      </w:tr>
      <w:tr>
        <w:trPr>
          <w:trHeight w:val="270"/>
        </w:trPr>
        <w:tc>
          <w:tcPr>
            <w:tcW w:w="308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12,071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jc w:val="right"/>
              <w:ind w:right="659"/>
              <w:spacing w:after="0"/>
              <w:rPr>
                <w:sz w:val="20"/>
                <w:szCs w:val="20"/>
                <w:color w:val="auto"/>
              </w:rPr>
            </w:pPr>
            <w:r>
              <w:rPr>
                <w:rFonts w:ascii="Arial" w:cs="Arial" w:eastAsia="Arial" w:hAnsi="Arial"/>
                <w:sz w:val="16"/>
                <w:szCs w:val="16"/>
                <w:color w:val="auto"/>
              </w:rPr>
              <w:t>10,081</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1,990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19.7%</w:t>
            </w:r>
          </w:p>
        </w:tc>
      </w:tr>
      <w:tr>
        <w:trPr>
          <w:trHeight w:val="270"/>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3,833</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3,637</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196</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r>
      <w:tr>
        <w:trPr>
          <w:trHeight w:val="264"/>
        </w:trPr>
        <w:tc>
          <w:tcPr>
            <w:tcW w:w="3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manufactured products</w:t>
            </w: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7,655</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6,451</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1,204</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w:t>
            </w:r>
          </w:p>
        </w:tc>
      </w:tr>
      <w:tr>
        <w:trPr>
          <w:trHeight w:val="24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193,554</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131,837</w:t>
            </w:r>
          </w:p>
        </w:tc>
        <w:tc>
          <w:tcPr>
            <w:tcW w:w="7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61,717</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8890</wp:posOffset>
            </wp:positionV>
            <wp:extent cx="5291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ind w:left="260" w:hanging="238"/>
        <w:spacing w:after="0" w:line="224"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Motorhome unit revenue less discounts, sales promotions and incentives, and accrued loss on repurchase adjustments.</w:t>
      </w:r>
    </w:p>
    <w:p>
      <w:pPr>
        <w:ind w:left="260" w:hanging="238"/>
        <w:spacing w:after="0" w:line="199"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increase in motorhome net revenues of $58.3 million or 52.2% was attributed primarily to a 47.5% increase in unit deliveries, as well as an increase in motorhome ASP of 3.2% and the additional week in the first quarter of Fiscal 2013 as compared to the first quarter of Fiscal 2012.</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Towables revenues were $12.1 million in the first quarter of Fiscal 2013, compared to $10.1 million in the first quarter of Fiscal 2012. The increase was due to increased unit deliveries.</w:t>
      </w:r>
    </w:p>
    <w:p>
      <w:pPr>
        <w:spacing w:after="0" w:line="169"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Cost of goods sold was $172.8 million, or 89.3% of net revenues for the first quarter of Fiscal 2013 compared to $123.3 million, or 93.6% of net revenues for the first quarter of Fiscal 2012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83.7% this year from 85.2% last year which was primarily due to lower material costs and greater production efficiencies due to increased production levels.</w:t>
      </w:r>
    </w:p>
    <w:p>
      <w:pPr>
        <w:ind w:left="340" w:right="3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5.6% of net revenues compared to 8.4% for Fiscal 2012. This difference was primarily due to higher plant utilization due to the additional week in the first quarter of Fiscal 2013 and significantly higher production run rates in Fiscal 2013.</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6.4% to 10.7% of net revenues.</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Selling expenses increased $799,000, or 19.2%, in the first quarter of Fiscal 2013. The expense increase was primarily due to advertising expenses associated with the timing of our Louisville show falling in the first quarter of Fiscal 2013 and increased sales compensation expense. As a percent of net revenues, selling expenses were 2.6% and 3.2% in the first quarter of Fiscal 2013 and Fiscal 2012, respectively.</w:t>
      </w:r>
    </w:p>
    <w:p>
      <w:pPr>
        <w:spacing w:after="0" w:line="14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General and administrative expenses increased $2.1 million, or 56.8% in the first quarter of Fiscal 2013. This increase was due primarily to increases of $1.5 million in incentives accrued under annual and long-term bonus plans, $248,000 in stock-based compensation expense associated with the stock grant awarded in the first quarter of Fiscal 2013, and $232,000 in legal expenses. As a percent of net revenues, general and administrative expenses were 3.0% and 2.8% in the first quarter of Fiscal 2013 and Fiscal 2012,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2013 we realized a loss of $28,000 on the sale of an idled manufacturing facility (Hampton). See Note 6.</w:t>
      </w:r>
    </w:p>
    <w:p>
      <w:pPr>
        <w:spacing w:after="0" w:line="16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Non-operating income increased $357,000 or 138.9%, in the first quarter of Fiscal 2013. This difference is primarily due to increased proceeds from COLI policies of $331,000.</w:t>
      </w:r>
    </w:p>
    <w:p>
      <w:pPr>
        <w:spacing w:after="0" w:line="223"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overall effective income tax provision rate for the first quarter of Fiscal 2013 was 30.0% compared to the tax benefit rate of (17.1)% for the first quarter of Fiscal 2012. The increase in tax rate for the first quarter of Fiscal 2013 most notably is a result of a higher level of pretax book income earned during the quarter. We also had a reduced level (in comparison to book income) of benefits recorded for uncertain tax positions during the quarter. Most notably, our effective tax benefit rate for the first quarter of Fiscal 2012 was positively impacted by the relationship of tax-exempt income in relation to book income. The tax-exempt income is primarily tax-free investment income from investments in life insurance assets and ARS. In addition, we recorded tax benefits in the quarter associated with reductions to reserves for uncertain tax positions.</w:t>
      </w:r>
    </w:p>
    <w:p>
      <w:pPr>
        <w:spacing w:after="0" w:line="151"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Net income and diluted income per share were $7.4 million and $0.26 per share, respectively, for the first quarter of Fiscal 2013. In the first quarter of Fiscal 2012, the net income was $1,035,000 and diluted income was $0.04 per share. The impact of stock repurchases since July, 2012 on diluted net income per share was an increase of $0.01 for the first quarter of Fiscal 2013. See Part II, Item 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Cash and cash equivalents decreased $18.6 million during the first quarter of Fiscal 2013 and totaled $44.1 million as of December 1, 2012. Significant liquidity events that occurred during the first quarter of Fiscal 2013 were:</w:t>
      </w:r>
    </w:p>
    <w:p>
      <w:pPr>
        <w:spacing w:after="0" w:line="14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Generated income before tax of $10.6 million.</w:t>
      </w:r>
    </w:p>
    <w:p>
      <w:pPr>
        <w:spacing w:after="0" w:line="5" w:lineRule="exact"/>
        <w:rPr>
          <w:rFonts w:ascii="Arial" w:cs="Arial" w:eastAsia="Arial" w:hAnsi="Arial"/>
          <w:sz w:val="16"/>
          <w:szCs w:val="16"/>
          <w:color w:val="auto"/>
        </w:rPr>
      </w:pPr>
    </w:p>
    <w:p>
      <w:pPr>
        <w:ind w:left="340" w:right="5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in inventory of $19.6 million: The increase was primarily a result of increased work-in-process and raw material inventory due to increased production levels, and higher average cost per unit due to the mix of product ordered by our dealers.</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 repurchases of approximately $7.2 million.</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our eligible inventory and expires on October 31, 2015 unless terminated earlier in accordance with its terms. There is no termination fee associated with the Credit Agreement.</w:t>
      </w:r>
    </w:p>
    <w:p>
      <w:pPr>
        <w:spacing w:after="0" w:line="228"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or if we repurchase more than $25.0 million of company stock within the first twelve months of the date of the Credit Agreement. In addition, the Credit Agreement also includes a framework to expand the size of the facility up to $50.0 million, based on mutually agreeable terms at the time of the expansion. See Note 8.</w:t>
      </w:r>
    </w:p>
    <w:p>
      <w:pPr>
        <w:spacing w:after="0" w:line="23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 We intend to file a Registration Statement on Form S-3 in March 2013.</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Working capital at December 1, 2012 and August 25, 2012 was $126.5 million and $126.1 million, respectively, an increase of $463,000. We currently expect cash on hand, funds generated from operations and the availability under a credit facility to be sufficient to cover both short-term and long-term operating requirements. We anticipate capital expenditures during the balance of Fiscal 2013 of approximately $4.6 million, primarily for manufacturing equipment and facilities.</w:t>
      </w:r>
    </w:p>
    <w:p>
      <w:pPr>
        <w:spacing w:after="0" w:line="23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made share repurchases of $7.2 million in the first quarter of Fiscal 2013. If we believe the common stock is trading at attractive levels we may purchase additional shares in the remainder of Fiscal 2013.</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Cash used in operating activities was $10.3 million for the quarter ended December 1, 2012 compared to cash provided by operating activities of $1.2 million for the quarter ended November 26, 2011. The combination of net income of $7.4 million in Fiscal 2013 and changes in non-cash charges (e.g., depreciation, LIFO, stock-based compensation, deferred income taxes) provided $8.9 million of operating cash compared to $2.0 million in the first quarter of Fiscal 2012. In the quarter ended December 1, 2012 changes in assets and liabilities (primarily inventory increases) used an additional $19.2 million of operating cash. In the quarter ended November 26, 2011, changes in assets and liabilities (primarily decreases in accounts payable and accrued expenses partially offset by decreases in inventories and accounts receivable and prepaid assets) used $889,000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Cash used in investing activities of $975,000 for the quarter ended December 1, 2012 was due primarily to payments of COLI borrowings of $1.4 million and capital spending of $1.3 million, and was partially offset by proceeds of $974,000 from COLI policies and proceeds of $566,000 from the sale of property. In the quarter ended November 26, 2011, cash provided by investing activities was due to COLI proceeds of $643,000 and $500,000 of ARS redemptions, partially offset by capital spending of $456,000.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Cash used in financing activities of $7.3 million for the quarter ended December 1, 2012 was primarily due to $7.2 million in repurchases of our stock. Cash provided by financing activities for the quarter ended November 26, 2011 was $33,000.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25, 2012.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25, 2012.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2012.</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4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2013, approximately 594,000 shares were repurchased under the authorization, at an aggregate cost of approximately $7.2 million. Approximately 9,700 of these shares were repurchased from employees who vested in Winnebago Industries shares during the first quarter of Fiscal 2013 and elected to pay their payroll tax via shares as opposed to cash. As of December 1, 2012, there was approximately $45.5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first quarter of Fiscal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08/26/12 - 09/29/12</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11.79</w:t>
            </w:r>
          </w:p>
        </w:tc>
        <w:tc>
          <w:tcPr>
            <w:tcW w:w="21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265,900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49,506,000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09/30/12 - 10/27/12</w:t>
            </w:r>
          </w:p>
        </w:tc>
        <w:tc>
          <w:tcPr>
            <w:tcW w:w="1800" w:type="dxa"/>
            <w:vAlign w:val="bottom"/>
          </w:tcPr>
          <w:p>
            <w:pPr>
              <w:jc w:val="right"/>
              <w:spacing w:after="0"/>
              <w:rPr>
                <w:sz w:val="20"/>
                <w:szCs w:val="20"/>
                <w:color w:val="auto"/>
              </w:rPr>
            </w:pPr>
            <w:r>
              <w:rPr>
                <w:rFonts w:ascii="Arial" w:cs="Arial" w:eastAsia="Arial" w:hAnsi="Arial"/>
                <w:sz w:val="16"/>
                <w:szCs w:val="16"/>
                <w:color w:val="auto"/>
              </w:rPr>
              <w:t>272,066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12.23</w:t>
            </w:r>
          </w:p>
        </w:tc>
        <w:tc>
          <w:tcPr>
            <w:tcW w:w="2120" w:type="dxa"/>
            <w:vAlign w:val="bottom"/>
          </w:tcPr>
          <w:p>
            <w:pPr>
              <w:jc w:val="right"/>
              <w:ind w:right="539"/>
              <w:spacing w:after="0"/>
              <w:rPr>
                <w:sz w:val="20"/>
                <w:szCs w:val="20"/>
                <w:color w:val="auto"/>
              </w:rPr>
            </w:pPr>
            <w:r>
              <w:rPr>
                <w:rFonts w:ascii="Arial" w:cs="Arial" w:eastAsia="Arial" w:hAnsi="Arial"/>
                <w:sz w:val="16"/>
                <w:szCs w:val="16"/>
                <w:color w:val="auto"/>
              </w:rPr>
              <w:t>272,066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46,179,000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10/28/12 - 12/01/12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55,702</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12.84</w:t>
            </w:r>
          </w:p>
        </w:tc>
        <w:tc>
          <w:tcPr>
            <w:tcW w:w="21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55,702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45,463,000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593,668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12.09</w:t>
            </w:r>
          </w:p>
        </w:tc>
        <w:tc>
          <w:tcPr>
            <w:tcW w:w="2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593,668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45,463,000</w:t>
            </w: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January 4, 2013.</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January 4, 2013.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500" w:right="36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January 4, 2013.</w:t>
      </w:r>
    </w:p>
    <w:p>
      <w:pPr>
        <w:spacing w:after="0" w:line="142" w:lineRule="exact"/>
        <w:rPr>
          <w:sz w:val="20"/>
          <w:szCs w:val="20"/>
          <w:color w:val="auto"/>
        </w:rPr>
      </w:pPr>
    </w:p>
    <w:p>
      <w:pPr>
        <w:ind w:left="500" w:right="42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January 4, 2013.</w:t>
      </w:r>
    </w:p>
    <w:p>
      <w:pPr>
        <w:sectPr>
          <w:pgSz w:w="11900" w:h="16838" w:orient="portrait"/>
          <w:cols w:equalWidth="0" w:num="1">
            <w:col w:w="11360"/>
          </w:cols>
          <w:pgMar w:left="240" w:top="141" w:right="29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380"/>
          </w:cols>
          <w:pgMar w:left="240" w:top="14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380"/>
          </w:cols>
          <w:pgMar w:left="240" w:top="141" w:right="29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December 1, 2012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54"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5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141" w:right="299" w:bottom="1440" w:gutter="0" w:footer="0" w:header="0"/>
          <w:type w:val="continuous"/>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w:t>
      </w:r>
    </w:p>
    <w:p>
      <w:pPr>
        <w:spacing w:after="0" w:line="168" w:lineRule="exact"/>
        <w:rPr>
          <w:rFonts w:ascii="Arial" w:cs="Arial" w:eastAsia="Arial" w:hAnsi="Arial"/>
          <w:sz w:val="16"/>
          <w:szCs w:val="16"/>
          <w:color w:val="auto"/>
        </w:rPr>
      </w:pPr>
    </w:p>
    <w:p>
      <w:pPr>
        <w:ind w:left="660" w:right="2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w:t>
      </w:r>
    </w:p>
    <w:p>
      <w:pPr>
        <w:spacing w:after="0" w:line="168" w:lineRule="exact"/>
        <w:rPr>
          <w:rFonts w:ascii="Arial" w:cs="Arial" w:eastAsia="Arial" w:hAnsi="Arial"/>
          <w:sz w:val="16"/>
          <w:szCs w:val="16"/>
          <w:color w:val="auto"/>
        </w:rPr>
      </w:pPr>
    </w:p>
    <w:p>
      <w:pPr>
        <w:ind w:left="660" w:right="2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360"/>
          </w:cols>
          <w:pgMar w:left="240" w:top="576" w:right="29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December 1, 2012, I, Randy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80" w:hanging="328"/>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December 1, 2012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2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December 1, 2012,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right="80" w:hanging="328"/>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December 1, 2012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January 4,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2019-12-05T16:51:25Z</dcterms:created>
  <dcterms:modified xsi:type="dcterms:W3CDTF">2019-12-05T16:51:25Z</dcterms:modified>
</cp:coreProperties>
</file>