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122555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10-Q</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220" w:lineRule="exact"/>
        <w:rPr>
          <w:sz w:val="24"/>
          <w:szCs w:val="24"/>
          <w:color w:val="auto"/>
        </w:rPr>
      </w:pPr>
    </w:p>
    <w:p>
      <w:pPr>
        <w:ind w:left="580" w:right="340" w:hanging="572"/>
        <w:spacing w:after="0" w:line="256" w:lineRule="auto"/>
        <w:tabs>
          <w:tab w:leader="none" w:pos="58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01" w:lineRule="exact"/>
        <w:rPr>
          <w:sz w:val="24"/>
          <w:szCs w:val="24"/>
          <w:color w:val="auto"/>
        </w:rPr>
      </w:pPr>
    </w:p>
    <w:p>
      <w:pPr>
        <w:spacing w:after="0"/>
        <w:rPr>
          <w:sz w:val="20"/>
          <w:szCs w:val="20"/>
          <w:color w:val="auto"/>
        </w:rPr>
      </w:pPr>
      <w:r>
        <w:rPr>
          <w:rFonts w:ascii="Arial" w:cs="Arial" w:eastAsia="Arial" w:hAnsi="Arial"/>
          <w:sz w:val="22"/>
          <w:szCs w:val="22"/>
          <w:color w:val="auto"/>
        </w:rPr>
        <w:t xml:space="preserve">For the quarterly period ended </w:t>
      </w:r>
      <w:r>
        <w:rPr>
          <w:rFonts w:ascii="Arial" w:cs="Arial" w:eastAsia="Arial" w:hAnsi="Arial"/>
          <w:sz w:val="22"/>
          <w:szCs w:val="22"/>
          <w:u w:val="single" w:color="auto"/>
          <w:color w:val="auto"/>
        </w:rPr>
        <w:t>November 29, 2008</w:t>
      </w:r>
    </w:p>
    <w:p>
      <w:pPr>
        <w:spacing w:after="0" w:line="15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139" w:lineRule="exact"/>
        <w:rPr>
          <w:sz w:val="24"/>
          <w:szCs w:val="24"/>
          <w:color w:val="auto"/>
        </w:rPr>
      </w:pPr>
    </w:p>
    <w:p>
      <w:pPr>
        <w:ind w:left="580" w:right="320" w:hanging="572"/>
        <w:spacing w:after="0" w:line="256" w:lineRule="auto"/>
        <w:tabs>
          <w:tab w:leader="none" w:pos="5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01" w:lineRule="exact"/>
        <w:rPr>
          <w:sz w:val="24"/>
          <w:szCs w:val="24"/>
          <w:color w:val="auto"/>
        </w:rPr>
      </w:pPr>
    </w:p>
    <w:p>
      <w:pPr>
        <w:spacing w:after="0"/>
        <w:rPr>
          <w:sz w:val="20"/>
          <w:szCs w:val="20"/>
          <w:color w:val="auto"/>
        </w:rPr>
      </w:pPr>
      <w:r>
        <w:rPr>
          <w:rFonts w:ascii="Arial" w:cs="Arial" w:eastAsia="Arial" w:hAnsi="Arial"/>
          <w:sz w:val="22"/>
          <w:szCs w:val="22"/>
          <w:color w:val="auto"/>
        </w:rPr>
        <w:t>For the transition period from ______________________________ to ___________________________</w:t>
      </w:r>
    </w:p>
    <w:p>
      <w:pPr>
        <w:spacing w:after="0" w:line="219"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Commission File Number: </w:t>
      </w:r>
      <w:r>
        <w:rPr>
          <w:rFonts w:ascii="Arial" w:cs="Arial" w:eastAsia="Arial" w:hAnsi="Arial"/>
          <w:sz w:val="18"/>
          <w:szCs w:val="18"/>
          <w:u w:val="single" w:color="auto"/>
          <w:color w:val="auto"/>
        </w:rPr>
        <w:t>001-06403</w:t>
      </w:r>
    </w:p>
    <w:p>
      <w:pPr>
        <w:spacing w:after="0" w:line="204"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WINNEBAGO INDUSTRIES, INC.</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39" w:lineRule="exact"/>
        <w:rPr>
          <w:sz w:val="24"/>
          <w:szCs w:val="24"/>
          <w:color w:val="auto"/>
        </w:rPr>
      </w:pPr>
    </w:p>
    <w:tbl>
      <w:tblPr>
        <w:tblLayout w:type="fixed"/>
        <w:tblInd w:w="0" w:type="dxa"/>
        <w:tblCellMar>
          <w:top w:w="0" w:type="dxa"/>
          <w:left w:w="0" w:type="dxa"/>
          <w:bottom w:w="0" w:type="dxa"/>
          <w:right w:w="0" w:type="dxa"/>
        </w:tblCellMar>
      </w:tblPr>
      <w:tr>
        <w:trPr>
          <w:trHeight w:val="256"/>
        </w:trPr>
        <w:tc>
          <w:tcPr>
            <w:tcW w:w="7160" w:type="dxa"/>
            <w:vAlign w:val="bottom"/>
          </w:tcPr>
          <w:p>
            <w:pPr>
              <w:jc w:val="center"/>
              <w:ind w:right="2622"/>
              <w:spacing w:after="0"/>
              <w:rPr>
                <w:sz w:val="20"/>
                <w:szCs w:val="20"/>
                <w:color w:val="auto"/>
              </w:rPr>
            </w:pPr>
            <w:r>
              <w:rPr>
                <w:rFonts w:ascii="Arial" w:cs="Arial" w:eastAsia="Arial" w:hAnsi="Arial"/>
                <w:sz w:val="22"/>
                <w:szCs w:val="22"/>
                <w:color w:val="auto"/>
                <w:w w:val="94"/>
              </w:rPr>
              <w:t>Iowa</w:t>
            </w:r>
          </w:p>
        </w:tc>
        <w:tc>
          <w:tcPr>
            <w:tcW w:w="2580" w:type="dxa"/>
            <w:vAlign w:val="bottom"/>
          </w:tcPr>
          <w:p>
            <w:pPr>
              <w:jc w:val="right"/>
              <w:ind w:right="44"/>
              <w:spacing w:after="0"/>
              <w:rPr>
                <w:sz w:val="20"/>
                <w:szCs w:val="20"/>
                <w:color w:val="auto"/>
              </w:rPr>
            </w:pPr>
            <w:r>
              <w:rPr>
                <w:rFonts w:ascii="Arial" w:cs="Arial" w:eastAsia="Arial" w:hAnsi="Arial"/>
                <w:sz w:val="22"/>
                <w:szCs w:val="22"/>
                <w:color w:val="auto"/>
              </w:rPr>
              <w:t>42-0802678</w:t>
            </w:r>
          </w:p>
        </w:tc>
      </w:tr>
      <w:tr>
        <w:trPr>
          <w:trHeight w:val="216"/>
        </w:trPr>
        <w:tc>
          <w:tcPr>
            <w:tcW w:w="7160" w:type="dxa"/>
            <w:vAlign w:val="bottom"/>
          </w:tcPr>
          <w:p>
            <w:pPr>
              <w:jc w:val="center"/>
              <w:ind w:right="2622"/>
              <w:spacing w:after="0"/>
              <w:rPr>
                <w:sz w:val="20"/>
                <w:szCs w:val="20"/>
                <w:color w:val="auto"/>
              </w:rPr>
            </w:pPr>
            <w:r>
              <w:rPr>
                <w:rFonts w:ascii="Arial" w:cs="Arial" w:eastAsia="Arial" w:hAnsi="Arial"/>
                <w:sz w:val="18"/>
                <w:szCs w:val="18"/>
                <w:color w:val="auto"/>
                <w:w w:val="89"/>
              </w:rPr>
              <w:t>(State or other jurisdiction</w:t>
            </w:r>
          </w:p>
        </w:tc>
        <w:tc>
          <w:tcPr>
            <w:tcW w:w="2580" w:type="dxa"/>
            <w:vAlign w:val="bottom"/>
          </w:tcPr>
          <w:p>
            <w:pPr>
              <w:jc w:val="center"/>
              <w:ind w:left="1164"/>
              <w:spacing w:after="0"/>
              <w:rPr>
                <w:sz w:val="20"/>
                <w:szCs w:val="20"/>
                <w:color w:val="auto"/>
              </w:rPr>
            </w:pPr>
            <w:r>
              <w:rPr>
                <w:rFonts w:ascii="Arial" w:cs="Arial" w:eastAsia="Arial" w:hAnsi="Arial"/>
                <w:sz w:val="18"/>
                <w:szCs w:val="18"/>
                <w:color w:val="auto"/>
                <w:w w:val="90"/>
              </w:rPr>
              <w:t>(I.R.S. Employer</w:t>
            </w:r>
          </w:p>
        </w:tc>
      </w:tr>
      <w:tr>
        <w:trPr>
          <w:trHeight w:val="222"/>
        </w:trPr>
        <w:tc>
          <w:tcPr>
            <w:tcW w:w="7160" w:type="dxa"/>
            <w:vAlign w:val="bottom"/>
          </w:tcPr>
          <w:p>
            <w:pPr>
              <w:jc w:val="center"/>
              <w:ind w:right="2642"/>
              <w:spacing w:after="0"/>
              <w:rPr>
                <w:sz w:val="20"/>
                <w:szCs w:val="20"/>
                <w:color w:val="auto"/>
              </w:rPr>
            </w:pPr>
            <w:r>
              <w:rPr>
                <w:rFonts w:ascii="Arial" w:cs="Arial" w:eastAsia="Arial" w:hAnsi="Arial"/>
                <w:sz w:val="18"/>
                <w:szCs w:val="18"/>
                <w:color w:val="auto"/>
                <w:w w:val="90"/>
              </w:rPr>
              <w:t>of incorporation or organization)</w:t>
            </w:r>
          </w:p>
        </w:tc>
        <w:tc>
          <w:tcPr>
            <w:tcW w:w="2580" w:type="dxa"/>
            <w:vAlign w:val="bottom"/>
          </w:tcPr>
          <w:p>
            <w:pPr>
              <w:jc w:val="center"/>
              <w:ind w:left="1184"/>
              <w:spacing w:after="0"/>
              <w:rPr>
                <w:sz w:val="20"/>
                <w:szCs w:val="20"/>
                <w:color w:val="auto"/>
              </w:rPr>
            </w:pPr>
            <w:r>
              <w:rPr>
                <w:rFonts w:ascii="Arial" w:cs="Arial" w:eastAsia="Arial" w:hAnsi="Arial"/>
                <w:sz w:val="18"/>
                <w:szCs w:val="18"/>
                <w:color w:val="auto"/>
                <w:w w:val="92"/>
              </w:rPr>
              <w:t>Identification No.)</w:t>
            </w:r>
          </w:p>
        </w:tc>
      </w:tr>
      <w:tr>
        <w:trPr>
          <w:trHeight w:val="385"/>
        </w:trPr>
        <w:tc>
          <w:tcPr>
            <w:tcW w:w="7160" w:type="dxa"/>
            <w:vAlign w:val="bottom"/>
          </w:tcPr>
          <w:p>
            <w:pPr>
              <w:jc w:val="center"/>
              <w:ind w:right="2622"/>
              <w:spacing w:after="0"/>
              <w:rPr>
                <w:sz w:val="20"/>
                <w:szCs w:val="20"/>
                <w:color w:val="auto"/>
              </w:rPr>
            </w:pPr>
            <w:r>
              <w:rPr>
                <w:rFonts w:ascii="Arial" w:cs="Arial" w:eastAsia="Arial" w:hAnsi="Arial"/>
                <w:sz w:val="22"/>
                <w:szCs w:val="22"/>
                <w:color w:val="auto"/>
                <w:w w:val="89"/>
              </w:rPr>
              <w:t>P. O. Box 152, Forest City, Iowa</w:t>
            </w:r>
          </w:p>
        </w:tc>
        <w:tc>
          <w:tcPr>
            <w:tcW w:w="2580" w:type="dxa"/>
            <w:vAlign w:val="bottom"/>
          </w:tcPr>
          <w:p>
            <w:pPr>
              <w:jc w:val="right"/>
              <w:ind w:right="284"/>
              <w:spacing w:after="0"/>
              <w:rPr>
                <w:sz w:val="20"/>
                <w:szCs w:val="20"/>
                <w:color w:val="auto"/>
              </w:rPr>
            </w:pPr>
            <w:r>
              <w:rPr>
                <w:rFonts w:ascii="Arial" w:cs="Arial" w:eastAsia="Arial" w:hAnsi="Arial"/>
                <w:sz w:val="22"/>
                <w:szCs w:val="22"/>
                <w:color w:val="auto"/>
              </w:rPr>
              <w:t>50436</w:t>
            </w:r>
          </w:p>
        </w:tc>
      </w:tr>
      <w:tr>
        <w:trPr>
          <w:trHeight w:val="222"/>
        </w:trPr>
        <w:tc>
          <w:tcPr>
            <w:tcW w:w="7160" w:type="dxa"/>
            <w:vAlign w:val="bottom"/>
          </w:tcPr>
          <w:p>
            <w:pPr>
              <w:jc w:val="center"/>
              <w:ind w:right="2642"/>
              <w:spacing w:after="0"/>
              <w:rPr>
                <w:sz w:val="20"/>
                <w:szCs w:val="20"/>
                <w:color w:val="auto"/>
              </w:rPr>
            </w:pPr>
            <w:r>
              <w:rPr>
                <w:rFonts w:ascii="Arial" w:cs="Arial" w:eastAsia="Arial" w:hAnsi="Arial"/>
                <w:sz w:val="18"/>
                <w:szCs w:val="18"/>
                <w:color w:val="auto"/>
                <w:w w:val="90"/>
              </w:rPr>
              <w:t>(Address of principal executive offices)</w:t>
            </w:r>
          </w:p>
        </w:tc>
        <w:tc>
          <w:tcPr>
            <w:tcW w:w="2580" w:type="dxa"/>
            <w:vAlign w:val="bottom"/>
          </w:tcPr>
          <w:p>
            <w:pPr>
              <w:jc w:val="center"/>
              <w:ind w:left="1184"/>
              <w:spacing w:after="0"/>
              <w:rPr>
                <w:sz w:val="20"/>
                <w:szCs w:val="20"/>
                <w:color w:val="auto"/>
              </w:rPr>
            </w:pPr>
            <w:r>
              <w:rPr>
                <w:rFonts w:ascii="Arial" w:cs="Arial" w:eastAsia="Arial" w:hAnsi="Arial"/>
                <w:sz w:val="18"/>
                <w:szCs w:val="18"/>
                <w:color w:val="auto"/>
                <w:w w:val="91"/>
              </w:rPr>
              <w:t>(Zip Code)</w:t>
            </w:r>
          </w:p>
        </w:tc>
      </w:tr>
      <w:tr>
        <w:trPr>
          <w:trHeight w:val="471"/>
        </w:trPr>
        <w:tc>
          <w:tcPr>
            <w:tcW w:w="7160" w:type="dxa"/>
            <w:vAlign w:val="bottom"/>
          </w:tcPr>
          <w:p>
            <w:pPr>
              <w:spacing w:after="0"/>
              <w:rPr>
                <w:sz w:val="20"/>
                <w:szCs w:val="20"/>
                <w:color w:val="auto"/>
              </w:rPr>
            </w:pPr>
            <w:r>
              <w:rPr>
                <w:rFonts w:ascii="Arial" w:cs="Arial" w:eastAsia="Arial" w:hAnsi="Arial"/>
                <w:sz w:val="22"/>
                <w:szCs w:val="22"/>
                <w:color w:val="auto"/>
              </w:rPr>
              <w:t>Registrant’s telephone number, including area code: (641) 585-3535</w:t>
            </w:r>
          </w:p>
        </w:tc>
        <w:tc>
          <w:tcPr>
            <w:tcW w:w="2580" w:type="dxa"/>
            <w:vAlign w:val="bottom"/>
          </w:tcPr>
          <w:p>
            <w:pPr>
              <w:spacing w:after="0"/>
              <w:rPr>
                <w:sz w:val="24"/>
                <w:szCs w:val="24"/>
                <w:color w:val="auto"/>
              </w:rPr>
            </w:pPr>
          </w:p>
        </w:tc>
      </w:tr>
    </w:tbl>
    <w:p>
      <w:pPr>
        <w:spacing w:after="0" w:line="185" w:lineRule="exact"/>
        <w:rPr>
          <w:sz w:val="24"/>
          <w:szCs w:val="24"/>
          <w:color w:val="auto"/>
        </w:rPr>
      </w:pPr>
    </w:p>
    <w:p>
      <w:pPr>
        <w:ind w:right="260"/>
        <w:spacing w:after="0" w:line="258" w:lineRule="auto"/>
        <w:rPr>
          <w:sz w:val="20"/>
          <w:szCs w:val="20"/>
          <w:color w:val="auto"/>
        </w:rPr>
      </w:pPr>
      <w:r>
        <w:rPr>
          <w:rFonts w:ascii="Arial" w:cs="Arial" w:eastAsia="Arial" w:hAnsi="Arial"/>
          <w:sz w:val="21"/>
          <w:szCs w:val="2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67" w:lineRule="exact"/>
        <w:rPr>
          <w:sz w:val="24"/>
          <w:szCs w:val="24"/>
          <w:color w:val="auto"/>
        </w:rPr>
      </w:pPr>
    </w:p>
    <w:p>
      <w:pPr>
        <w:jc w:val="both"/>
        <w:ind w:right="340"/>
        <w:spacing w:after="0"/>
        <w:rPr>
          <w:sz w:val="20"/>
          <w:szCs w:val="20"/>
          <w:color w:val="auto"/>
        </w:rPr>
      </w:pPr>
      <w:r>
        <w:rPr>
          <w:rFonts w:ascii="Arial" w:cs="Arial" w:eastAsia="Arial" w:hAnsi="Arial"/>
          <w:sz w:val="22"/>
          <w:szCs w:val="2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86" w:lineRule="exact"/>
        <w:rPr>
          <w:sz w:val="24"/>
          <w:szCs w:val="24"/>
          <w:color w:val="auto"/>
        </w:rPr>
      </w:pPr>
    </w:p>
    <w:p>
      <w:pPr>
        <w:spacing w:after="0"/>
        <w:rPr>
          <w:sz w:val="20"/>
          <w:szCs w:val="20"/>
          <w:color w:val="auto"/>
        </w:rPr>
      </w:pPr>
      <w:r>
        <w:rPr>
          <w:rFonts w:ascii="Arial" w:cs="Arial" w:eastAsia="Arial" w:hAnsi="Arial"/>
          <w:sz w:val="22"/>
          <w:szCs w:val="22"/>
          <w:color w:val="auto"/>
        </w:rPr>
        <w:t>Large accelerated filer o Accelerated filer x Non-accelerated filer o Smaller Reporting Company o</w:t>
      </w:r>
    </w:p>
    <w:p>
      <w:pPr>
        <w:spacing w:after="0" w:line="206" w:lineRule="exact"/>
        <w:rPr>
          <w:sz w:val="24"/>
          <w:szCs w:val="24"/>
          <w:color w:val="auto"/>
        </w:rPr>
      </w:pPr>
    </w:p>
    <w:p>
      <w:pPr>
        <w:spacing w:after="0"/>
        <w:rPr>
          <w:sz w:val="20"/>
          <w:szCs w:val="20"/>
          <w:color w:val="auto"/>
        </w:rPr>
      </w:pPr>
      <w:r>
        <w:rPr>
          <w:rFonts w:ascii="Arial" w:cs="Arial" w:eastAsia="Arial" w:hAnsi="Arial"/>
          <w:sz w:val="22"/>
          <w:szCs w:val="22"/>
          <w:color w:val="auto"/>
        </w:rPr>
        <w:t>Indicate by check mark whether the registrant is a shell company (as defined in Rule 12b-2 of the Exchange Act).</w:t>
      </w:r>
    </w:p>
    <w:p>
      <w:pPr>
        <w:spacing w:after="0" w:line="8" w:lineRule="exact"/>
        <w:rPr>
          <w:sz w:val="24"/>
          <w:szCs w:val="24"/>
          <w:color w:val="auto"/>
        </w:rPr>
      </w:pPr>
    </w:p>
    <w:p>
      <w:pPr>
        <w:spacing w:after="0"/>
        <w:rPr>
          <w:sz w:val="20"/>
          <w:szCs w:val="20"/>
          <w:color w:val="auto"/>
        </w:rPr>
      </w:pPr>
      <w:r>
        <w:rPr>
          <w:rFonts w:ascii="Arial" w:cs="Arial" w:eastAsia="Arial" w:hAnsi="Arial"/>
          <w:sz w:val="22"/>
          <w:szCs w:val="22"/>
          <w:color w:val="auto"/>
        </w:rPr>
        <w:t>Yes o No x.</w:t>
      </w:r>
    </w:p>
    <w:p>
      <w:pPr>
        <w:spacing w:after="0" w:line="188" w:lineRule="exact"/>
        <w:rPr>
          <w:sz w:val="24"/>
          <w:szCs w:val="24"/>
          <w:color w:val="auto"/>
        </w:rPr>
      </w:pPr>
    </w:p>
    <w:p>
      <w:pPr>
        <w:spacing w:after="0"/>
        <w:rPr>
          <w:sz w:val="20"/>
          <w:szCs w:val="20"/>
          <w:color w:val="auto"/>
        </w:rPr>
      </w:pPr>
      <w:r>
        <w:rPr>
          <w:rFonts w:ascii="Arial" w:cs="Arial" w:eastAsia="Arial" w:hAnsi="Arial"/>
          <w:sz w:val="22"/>
          <w:szCs w:val="22"/>
          <w:color w:val="auto"/>
        </w:rPr>
        <w:t>The number of shares of common stock, par value $0.50 per share, outstanding January 5, 2009 was 29,063,964.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427355</wp:posOffset>
            </wp:positionV>
            <wp:extent cx="72466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682625</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WINNEBAGO INDUSTRIES, INC.</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INDEX TO REPORT ON FORM 10-Q</w:t>
      </w: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98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5"/>
              </w:rPr>
              <w:t>Page Number</w:t>
            </w:r>
          </w:p>
        </w:tc>
        <w:tc>
          <w:tcPr>
            <w:tcW w:w="0" w:type="dxa"/>
            <w:vAlign w:val="bottom"/>
          </w:tcPr>
          <w:p>
            <w:pPr>
              <w:spacing w:after="0"/>
              <w:rPr>
                <w:sz w:val="1"/>
                <w:szCs w:val="1"/>
                <w:color w:val="auto"/>
              </w:rPr>
            </w:pPr>
          </w:p>
        </w:tc>
      </w:tr>
      <w:tr>
        <w:trPr>
          <w:trHeight w:val="318"/>
        </w:trPr>
        <w:tc>
          <w:tcPr>
            <w:tcW w:w="1200" w:type="dxa"/>
            <w:vAlign w:val="bottom"/>
            <w:gridSpan w:val="2"/>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w:t>
              </w:r>
            </w:hyperlink>
          </w:p>
        </w:tc>
        <w:tc>
          <w:tcPr>
            <w:tcW w:w="924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0" w:type="dxa"/>
            <w:vAlign w:val="bottom"/>
          </w:tcPr>
          <w:p>
            <w:pPr>
              <w:spacing w:after="0"/>
              <w:rPr>
                <w:rFonts w:ascii="Arial" w:cs="Arial" w:eastAsia="Arial" w:hAnsi="Arial"/>
                <w:sz w:val="18"/>
                <w:szCs w:val="18"/>
                <w:b w:val="1"/>
                <w:bCs w:val="1"/>
                <w:color w:val="0000EE"/>
                <w:w w:val="91"/>
              </w:rPr>
            </w:pPr>
            <w:hyperlink w:anchor="page3">
              <w:r>
                <w:rPr>
                  <w:rFonts w:ascii="Arial" w:cs="Arial" w:eastAsia="Arial" w:hAnsi="Arial"/>
                  <w:sz w:val="18"/>
                  <w:szCs w:val="18"/>
                  <w:b w:val="1"/>
                  <w:bCs w:val="1"/>
                  <w:color w:val="0000EE"/>
                  <w:w w:val="91"/>
                </w:rPr>
                <w:t>ITEM 1.</w:t>
              </w:r>
            </w:hyperlink>
          </w:p>
        </w:tc>
        <w:tc>
          <w:tcPr>
            <w:tcW w:w="580" w:type="dxa"/>
            <w:vAlign w:val="bottom"/>
          </w:tcPr>
          <w:p>
            <w:pPr>
              <w:spacing w:after="0"/>
              <w:rPr>
                <w:sz w:val="24"/>
                <w:szCs w:val="24"/>
                <w:color w:val="auto"/>
              </w:rPr>
            </w:pPr>
          </w:p>
        </w:tc>
        <w:tc>
          <w:tcPr>
            <w:tcW w:w="9240" w:type="dxa"/>
            <w:vAlign w:val="bottom"/>
            <w:gridSpan w:val="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580" w:type="dxa"/>
            <w:vAlign w:val="bottom"/>
            <w:tcBorders>
              <w:left w:val="single" w:sz="8" w:color="0000EE"/>
            </w:tcBorders>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3">
              <w:r>
                <w:rPr>
                  <w:rFonts w:ascii="Arial" w:cs="Arial" w:eastAsia="Arial" w:hAnsi="Arial"/>
                  <w:sz w:val="18"/>
                  <w:szCs w:val="18"/>
                  <w:color w:val="0000EE"/>
                  <w:w w:val="87"/>
                </w:rPr>
                <w:t>Unaudited Consolidated Statements of Operations</w:t>
              </w:r>
            </w:hyperlink>
          </w:p>
        </w:tc>
        <w:tc>
          <w:tcPr>
            <w:tcW w:w="5560" w:type="dxa"/>
            <w:vAlign w:val="bottom"/>
            <w:gridSpan w:val="4"/>
          </w:tcPr>
          <w:p>
            <w:pPr>
              <w:spacing w:after="0"/>
              <w:rPr>
                <w:sz w:val="17"/>
                <w:szCs w:val="17"/>
                <w:color w:val="auto"/>
              </w:rPr>
            </w:pPr>
          </w:p>
        </w:tc>
        <w:tc>
          <w:tcPr>
            <w:tcW w:w="980" w:type="dxa"/>
            <w:vAlign w:val="bottom"/>
          </w:tcPr>
          <w:p>
            <w:pPr>
              <w:jc w:val="right"/>
              <w:ind w:right="275"/>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80" w:type="dxa"/>
            <w:vAlign w:val="bottom"/>
            <w:gridSpan w:val="8"/>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Unaudited Consolidated Balance Sheets</w:t>
              </w:r>
            </w:hyperlink>
          </w:p>
        </w:tc>
        <w:tc>
          <w:tcPr>
            <w:tcW w:w="980" w:type="dxa"/>
            <w:vAlign w:val="bottom"/>
          </w:tcPr>
          <w:p>
            <w:pPr>
              <w:jc w:val="right"/>
              <w:ind w:right="275"/>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80" w:type="dxa"/>
            <w:vAlign w:val="bottom"/>
            <w:gridSpan w:val="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Unaudited Consolidated Statements of Cash Flows</w:t>
              </w:r>
            </w:hyperlink>
          </w:p>
        </w:tc>
        <w:tc>
          <w:tcPr>
            <w:tcW w:w="980" w:type="dxa"/>
            <w:vAlign w:val="bottom"/>
          </w:tcPr>
          <w:p>
            <w:pPr>
              <w:jc w:val="right"/>
              <w:ind w:right="275"/>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60" w:type="dxa"/>
            <w:vAlign w:val="bottom"/>
            <w:gridSpan w:val="5"/>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80" w:type="dxa"/>
            <w:vAlign w:val="bottom"/>
            <w:gridSpan w:val="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Unaudited Notes to Condensed Consolidated Financial Statements</w:t>
              </w:r>
            </w:hyperlink>
          </w:p>
        </w:tc>
        <w:tc>
          <w:tcPr>
            <w:tcW w:w="980" w:type="dxa"/>
            <w:vAlign w:val="bottom"/>
          </w:tcPr>
          <w:p>
            <w:pPr>
              <w:jc w:val="right"/>
              <w:ind w:right="275"/>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620" w:type="dxa"/>
            <w:vAlign w:val="bottom"/>
            <w:vMerge w:val="restart"/>
          </w:tcPr>
          <w:p>
            <w:pPr>
              <w:spacing w:after="0"/>
              <w:rPr>
                <w:rFonts w:ascii="Arial" w:cs="Arial" w:eastAsia="Arial" w:hAnsi="Arial"/>
                <w:sz w:val="18"/>
                <w:szCs w:val="18"/>
                <w:b w:val="1"/>
                <w:bCs w:val="1"/>
                <w:color w:val="0000EE"/>
                <w:w w:val="91"/>
              </w:rPr>
            </w:pPr>
            <w:hyperlink w:anchor="page13">
              <w:r>
                <w:rPr>
                  <w:rFonts w:ascii="Arial" w:cs="Arial" w:eastAsia="Arial" w:hAnsi="Arial"/>
                  <w:sz w:val="18"/>
                  <w:szCs w:val="18"/>
                  <w:b w:val="1"/>
                  <w:bCs w:val="1"/>
                  <w:color w:val="0000EE"/>
                  <w:w w:val="91"/>
                </w:rPr>
                <w:t>ITEM 2.</w:t>
              </w:r>
            </w:hyperlink>
          </w:p>
        </w:tc>
        <w:tc>
          <w:tcPr>
            <w:tcW w:w="580" w:type="dxa"/>
            <w:vAlign w:val="bottom"/>
            <w:vMerge w:val="restart"/>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60" w:type="dxa"/>
            <w:vAlign w:val="bottom"/>
            <w:gridSpan w:val="6"/>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620" w:type="dxa"/>
            <w:vAlign w:val="bottom"/>
            <w:tcBorders>
              <w:bottom w:val="single" w:sz="8" w:color="0000EE"/>
            </w:tcBorders>
            <w:vMerge w:val="continue"/>
          </w:tcPr>
          <w:p>
            <w:pPr>
              <w:spacing w:after="0"/>
              <w:rPr>
                <w:sz w:val="24"/>
                <w:szCs w:val="24"/>
                <w:color w:val="auto"/>
              </w:rPr>
            </w:pPr>
          </w:p>
        </w:tc>
        <w:tc>
          <w:tcPr>
            <w:tcW w:w="580" w:type="dxa"/>
            <w:vAlign w:val="bottom"/>
            <w:vMerge w:val="continue"/>
          </w:tcPr>
          <w:p>
            <w:pPr>
              <w:spacing w:after="0"/>
              <w:rPr>
                <w:sz w:val="24"/>
                <w:szCs w:val="24"/>
                <w:color w:val="auto"/>
              </w:rPr>
            </w:pPr>
          </w:p>
        </w:tc>
        <w:tc>
          <w:tcPr>
            <w:tcW w:w="6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13">
              <w:r>
                <w:rPr>
                  <w:rFonts w:ascii="Arial" w:cs="Arial" w:eastAsia="Arial" w:hAnsi="Arial"/>
                  <w:sz w:val="18"/>
                  <w:szCs w:val="18"/>
                  <w:color w:val="0000EE"/>
                  <w:w w:val="88"/>
                </w:rPr>
                <w:t>Management’s Discussion and Analysis of Financial Condition and Results of Operations</w:t>
              </w:r>
            </w:hyperlink>
          </w:p>
        </w:tc>
        <w:tc>
          <w:tcPr>
            <w:tcW w:w="2940" w:type="dxa"/>
            <w:vAlign w:val="bottom"/>
          </w:tcPr>
          <w:p>
            <w:pPr>
              <w:spacing w:after="0"/>
              <w:rPr>
                <w:sz w:val="24"/>
                <w:szCs w:val="24"/>
                <w:color w:val="auto"/>
              </w:rPr>
            </w:pPr>
          </w:p>
        </w:tc>
        <w:tc>
          <w:tcPr>
            <w:tcW w:w="980" w:type="dxa"/>
            <w:vAlign w:val="bottom"/>
          </w:tcPr>
          <w:p>
            <w:pPr>
              <w:jc w:val="right"/>
              <w:ind w:right="27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bl>
    <w:p>
      <w:pPr>
        <w:sectPr>
          <w:pgSz w:w="11900" w:h="16857" w:orient="portrait"/>
          <w:cols w:equalWidth="0" w:num="1">
            <w:col w:w="11420"/>
          </w:cols>
          <w:pgMar w:left="240" w:top="239" w:right="2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17">
              <w:r>
                <w:rPr>
                  <w:rFonts w:ascii="Arial" w:cs="Arial" w:eastAsia="Arial" w:hAnsi="Arial"/>
                  <w:sz w:val="18"/>
                  <w:szCs w:val="18"/>
                  <w:b w:val="1"/>
                  <w:bCs w:val="1"/>
                  <w:color w:val="0000EE"/>
                </w:rPr>
                <w:t>ITEM 3.</w:t>
              </w:r>
            </w:hyperlink>
          </w:p>
        </w:tc>
        <w:tc>
          <w:tcPr>
            <w:tcW w:w="540" w:type="dxa"/>
            <w:vAlign w:val="bottom"/>
            <w:gridSpan w:val="2"/>
          </w:tcPr>
          <w:p>
            <w:pPr>
              <w:spacing w:after="0"/>
              <w:rPr>
                <w:sz w:val="17"/>
                <w:szCs w:val="17"/>
                <w:color w:val="auto"/>
              </w:rPr>
            </w:pPr>
          </w:p>
        </w:tc>
        <w:tc>
          <w:tcPr>
            <w:tcW w:w="4260" w:type="dxa"/>
            <w:vAlign w:val="bottom"/>
            <w:tcBorders>
              <w:bottom w:val="single" w:sz="8" w:color="0000EE"/>
            </w:tcBorders>
            <w:gridSpan w:val="8"/>
          </w:tcPr>
          <w:p>
            <w:pPr>
              <w:spacing w:after="0"/>
              <w:rPr>
                <w:rFonts w:ascii="Arial" w:cs="Arial" w:eastAsia="Arial" w:hAnsi="Arial"/>
                <w:sz w:val="18"/>
                <w:szCs w:val="18"/>
                <w:color w:val="0000EE"/>
                <w:w w:val="89"/>
              </w:rPr>
            </w:pPr>
            <w:hyperlink w:anchor="page17">
              <w:r>
                <w:rPr>
                  <w:rFonts w:ascii="Arial" w:cs="Arial" w:eastAsia="Arial" w:hAnsi="Arial"/>
                  <w:sz w:val="18"/>
                  <w:szCs w:val="18"/>
                  <w:color w:val="0000EE"/>
                  <w:w w:val="89"/>
                </w:rPr>
                <w:t>Quantitative and Qualitative Disclosures About Market Risk</w:t>
              </w:r>
            </w:hyperlink>
          </w:p>
        </w:tc>
        <w:tc>
          <w:tcPr>
            <w:tcW w:w="2700" w:type="dxa"/>
            <w:vAlign w:val="bottom"/>
          </w:tcPr>
          <w:p>
            <w:pPr>
              <w:spacing w:after="0"/>
              <w:rPr>
                <w:sz w:val="17"/>
                <w:szCs w:val="17"/>
                <w:color w:val="auto"/>
              </w:rPr>
            </w:pPr>
          </w:p>
        </w:tc>
        <w:tc>
          <w:tcPr>
            <w:tcW w:w="3300" w:type="dxa"/>
            <w:vAlign w:val="bottom"/>
          </w:tcPr>
          <w:p>
            <w:pPr>
              <w:jc w:val="right"/>
              <w:ind w:right="312"/>
              <w:spacing w:after="0"/>
              <w:rPr>
                <w:sz w:val="20"/>
                <w:szCs w:val="20"/>
                <w:color w:val="auto"/>
              </w:rPr>
            </w:pPr>
            <w:r>
              <w:rPr>
                <w:rFonts w:ascii="Arial" w:cs="Arial" w:eastAsia="Arial" w:hAnsi="Arial"/>
                <w:sz w:val="18"/>
                <w:szCs w:val="18"/>
                <w:color w:val="auto"/>
              </w:rPr>
              <w:t>15</w:t>
            </w:r>
          </w:p>
        </w:tc>
      </w:tr>
      <w:tr>
        <w:trPr>
          <w:trHeight w:val="345"/>
        </w:trPr>
        <w:tc>
          <w:tcPr>
            <w:tcW w:w="660" w:type="dxa"/>
            <w:vAlign w:val="bottom"/>
          </w:tcPr>
          <w:p>
            <w:pPr>
              <w:spacing w:after="0"/>
              <w:rPr>
                <w:rFonts w:ascii="Arial" w:cs="Arial" w:eastAsia="Arial" w:hAnsi="Arial"/>
                <w:sz w:val="18"/>
                <w:szCs w:val="18"/>
                <w:b w:val="1"/>
                <w:bCs w:val="1"/>
                <w:color w:val="0000EE"/>
              </w:rPr>
            </w:pPr>
            <w:hyperlink w:anchor="page18">
              <w:r>
                <w:rPr>
                  <w:rFonts w:ascii="Arial" w:cs="Arial" w:eastAsia="Arial" w:hAnsi="Arial"/>
                  <w:sz w:val="18"/>
                  <w:szCs w:val="18"/>
                  <w:b w:val="1"/>
                  <w:bCs w:val="1"/>
                  <w:color w:val="0000EE"/>
                </w:rPr>
                <w:t>ITEM 4.</w:t>
              </w:r>
            </w:hyperlink>
          </w:p>
        </w:tc>
        <w:tc>
          <w:tcPr>
            <w:tcW w:w="540" w:type="dxa"/>
            <w:vAlign w:val="bottom"/>
            <w:gridSpan w:val="2"/>
          </w:tcPr>
          <w:p>
            <w:pPr>
              <w:spacing w:after="0"/>
              <w:rPr>
                <w:sz w:val="24"/>
                <w:szCs w:val="24"/>
                <w:color w:val="auto"/>
              </w:rPr>
            </w:pPr>
          </w:p>
        </w:tc>
        <w:tc>
          <w:tcPr>
            <w:tcW w:w="6960" w:type="dxa"/>
            <w:vAlign w:val="bottom"/>
            <w:gridSpan w:val="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Controls and Procedures</w:t>
              </w:r>
            </w:hyperlink>
          </w:p>
        </w:tc>
        <w:tc>
          <w:tcPr>
            <w:tcW w:w="3300" w:type="dxa"/>
            <w:vAlign w:val="bottom"/>
          </w:tcPr>
          <w:p>
            <w:pPr>
              <w:jc w:val="right"/>
              <w:ind w:right="312"/>
              <w:spacing w:after="0"/>
              <w:rPr>
                <w:sz w:val="20"/>
                <w:szCs w:val="20"/>
                <w:color w:val="auto"/>
              </w:rPr>
            </w:pPr>
            <w:r>
              <w:rPr>
                <w:rFonts w:ascii="Arial" w:cs="Arial" w:eastAsia="Arial" w:hAnsi="Arial"/>
                <w:sz w:val="18"/>
                <w:szCs w:val="18"/>
                <w:color w:val="auto"/>
              </w:rPr>
              <w:t>16</w:t>
            </w:r>
          </w:p>
        </w:tc>
      </w:tr>
      <w:tr>
        <w:trPr>
          <w:trHeight w:val="20"/>
        </w:trPr>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2720" w:type="dxa"/>
            <w:vAlign w:val="bottom"/>
            <w:gridSpan w:val="2"/>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45"/>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19">
              <w:r>
                <w:rPr>
                  <w:rFonts w:ascii="Arial" w:cs="Arial" w:eastAsia="Arial" w:hAnsi="Arial"/>
                  <w:sz w:val="18"/>
                  <w:szCs w:val="18"/>
                  <w:b w:val="1"/>
                  <w:bCs w:val="1"/>
                  <w:color w:val="0000EE"/>
                  <w:w w:val="98"/>
                </w:rPr>
                <w:t>PART II.</w:t>
              </w:r>
            </w:hyperlink>
          </w:p>
        </w:tc>
        <w:tc>
          <w:tcPr>
            <w:tcW w:w="500" w:type="dxa"/>
            <w:vAlign w:val="bottom"/>
          </w:tcPr>
          <w:p>
            <w:pPr>
              <w:spacing w:after="0"/>
              <w:rPr>
                <w:sz w:val="24"/>
                <w:szCs w:val="24"/>
                <w:color w:val="auto"/>
              </w:rPr>
            </w:pPr>
          </w:p>
        </w:tc>
        <w:tc>
          <w:tcPr>
            <w:tcW w:w="1840" w:type="dxa"/>
            <w:vAlign w:val="bottom"/>
            <w:tcBorders>
              <w:bottom w:val="single" w:sz="8" w:color="0000EE"/>
            </w:tcBorders>
            <w:gridSpan w:val="6"/>
          </w:tcPr>
          <w:p>
            <w:pPr>
              <w:spacing w:after="0"/>
              <w:rPr>
                <w:rFonts w:ascii="Arial" w:cs="Arial" w:eastAsia="Arial" w:hAnsi="Arial"/>
                <w:sz w:val="18"/>
                <w:szCs w:val="18"/>
                <w:color w:val="0000EE"/>
                <w:w w:val="93"/>
              </w:rPr>
            </w:pPr>
            <w:hyperlink w:anchor="page19">
              <w:r>
                <w:rPr>
                  <w:rFonts w:ascii="Arial" w:cs="Arial" w:eastAsia="Arial" w:hAnsi="Arial"/>
                  <w:sz w:val="18"/>
                  <w:szCs w:val="18"/>
                  <w:color w:val="0000EE"/>
                  <w:w w:val="93"/>
                </w:rPr>
                <w:t>OTHER INFORMATION</w:t>
              </w:r>
            </w:hyperlink>
          </w:p>
        </w:tc>
        <w:tc>
          <w:tcPr>
            <w:tcW w:w="5120" w:type="dxa"/>
            <w:vAlign w:val="bottom"/>
            <w:gridSpan w:val="3"/>
          </w:tcPr>
          <w:p>
            <w:pPr>
              <w:spacing w:after="0"/>
              <w:rPr>
                <w:sz w:val="24"/>
                <w:szCs w:val="24"/>
                <w:color w:val="auto"/>
              </w:rPr>
            </w:pPr>
          </w:p>
        </w:tc>
        <w:tc>
          <w:tcPr>
            <w:tcW w:w="3300" w:type="dxa"/>
            <w:vAlign w:val="bottom"/>
          </w:tcPr>
          <w:p>
            <w:pPr>
              <w:jc w:val="right"/>
              <w:ind w:right="312"/>
              <w:spacing w:after="0"/>
              <w:rPr>
                <w:sz w:val="20"/>
                <w:szCs w:val="20"/>
                <w:color w:val="auto"/>
              </w:rPr>
            </w:pPr>
            <w:r>
              <w:rPr>
                <w:rFonts w:ascii="Arial" w:cs="Arial" w:eastAsia="Arial" w:hAnsi="Arial"/>
                <w:sz w:val="18"/>
                <w:szCs w:val="18"/>
                <w:color w:val="auto"/>
              </w:rPr>
              <w:t>17</w:t>
            </w:r>
          </w:p>
        </w:tc>
      </w:tr>
      <w:tr>
        <w:trPr>
          <w:trHeight w:val="345"/>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1.</w:t>
              </w:r>
            </w:hyperlink>
          </w:p>
        </w:tc>
        <w:tc>
          <w:tcPr>
            <w:tcW w:w="540" w:type="dxa"/>
            <w:vAlign w:val="bottom"/>
            <w:gridSpan w:val="2"/>
          </w:tcPr>
          <w:p>
            <w:pPr>
              <w:spacing w:after="0"/>
              <w:rPr>
                <w:sz w:val="24"/>
                <w:szCs w:val="24"/>
                <w:color w:val="auto"/>
              </w:rPr>
            </w:pPr>
          </w:p>
        </w:tc>
        <w:tc>
          <w:tcPr>
            <w:tcW w:w="1300" w:type="dxa"/>
            <w:vAlign w:val="bottom"/>
            <w:tcBorders>
              <w:bottom w:val="single" w:sz="8" w:color="0000EE"/>
            </w:tcBorders>
            <w:gridSpan w:val="4"/>
          </w:tcPr>
          <w:p>
            <w:pPr>
              <w:spacing w:after="0"/>
              <w:rPr>
                <w:rFonts w:ascii="Arial" w:cs="Arial" w:eastAsia="Arial" w:hAnsi="Arial"/>
                <w:sz w:val="18"/>
                <w:szCs w:val="18"/>
                <w:color w:val="0000EE"/>
                <w:w w:val="85"/>
              </w:rPr>
            </w:pPr>
            <w:hyperlink w:anchor="page19">
              <w:r>
                <w:rPr>
                  <w:rFonts w:ascii="Arial" w:cs="Arial" w:eastAsia="Arial" w:hAnsi="Arial"/>
                  <w:sz w:val="18"/>
                  <w:szCs w:val="18"/>
                  <w:color w:val="0000EE"/>
                  <w:w w:val="85"/>
                </w:rPr>
                <w:t>Legal Proceedings</w:t>
              </w:r>
            </w:hyperlink>
          </w:p>
        </w:tc>
        <w:tc>
          <w:tcPr>
            <w:tcW w:w="5660" w:type="dxa"/>
            <w:vAlign w:val="bottom"/>
            <w:gridSpan w:val="5"/>
          </w:tcPr>
          <w:p>
            <w:pPr>
              <w:spacing w:after="0"/>
              <w:rPr>
                <w:sz w:val="24"/>
                <w:szCs w:val="24"/>
                <w:color w:val="auto"/>
              </w:rPr>
            </w:pPr>
          </w:p>
        </w:tc>
        <w:tc>
          <w:tcPr>
            <w:tcW w:w="3300" w:type="dxa"/>
            <w:vAlign w:val="bottom"/>
          </w:tcPr>
          <w:p>
            <w:pPr>
              <w:jc w:val="right"/>
              <w:ind w:right="312"/>
              <w:spacing w:after="0"/>
              <w:rPr>
                <w:sz w:val="20"/>
                <w:szCs w:val="20"/>
                <w:color w:val="auto"/>
              </w:rPr>
            </w:pPr>
            <w:r>
              <w:rPr>
                <w:rFonts w:ascii="Arial" w:cs="Arial" w:eastAsia="Arial" w:hAnsi="Arial"/>
                <w:sz w:val="18"/>
                <w:szCs w:val="18"/>
                <w:color w:val="auto"/>
              </w:rPr>
              <w:t>17</w:t>
            </w:r>
          </w:p>
        </w:tc>
      </w:tr>
      <w:tr>
        <w:trPr>
          <w:trHeight w:val="345"/>
        </w:trPr>
        <w:tc>
          <w:tcPr>
            <w:tcW w:w="660" w:type="dxa"/>
            <w:vAlign w:val="bottom"/>
            <w:tcBorders>
              <w:bottom w:val="single" w:sz="8" w:color="0000EE"/>
            </w:tcBorders>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2.</w:t>
              </w:r>
            </w:hyperlink>
          </w:p>
        </w:tc>
        <w:tc>
          <w:tcPr>
            <w:tcW w:w="540" w:type="dxa"/>
            <w:vAlign w:val="bottom"/>
            <w:gridSpan w:val="2"/>
          </w:tcPr>
          <w:p>
            <w:pPr>
              <w:spacing w:after="0"/>
              <w:rPr>
                <w:sz w:val="24"/>
                <w:szCs w:val="24"/>
                <w:color w:val="auto"/>
              </w:rPr>
            </w:pPr>
          </w:p>
        </w:tc>
        <w:tc>
          <w:tcPr>
            <w:tcW w:w="42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19">
              <w:r>
                <w:rPr>
                  <w:rFonts w:ascii="Arial" w:cs="Arial" w:eastAsia="Arial" w:hAnsi="Arial"/>
                  <w:sz w:val="18"/>
                  <w:szCs w:val="18"/>
                  <w:color w:val="0000EE"/>
                  <w:w w:val="86"/>
                </w:rPr>
                <w:t>Unregistered Sales of Equity Securities and Use of Proceeds</w:t>
              </w:r>
            </w:hyperlink>
          </w:p>
        </w:tc>
        <w:tc>
          <w:tcPr>
            <w:tcW w:w="2720" w:type="dxa"/>
            <w:vAlign w:val="bottom"/>
            <w:gridSpan w:val="2"/>
          </w:tcPr>
          <w:p>
            <w:pPr>
              <w:spacing w:after="0"/>
              <w:rPr>
                <w:sz w:val="24"/>
                <w:szCs w:val="24"/>
                <w:color w:val="auto"/>
              </w:rPr>
            </w:pPr>
          </w:p>
        </w:tc>
        <w:tc>
          <w:tcPr>
            <w:tcW w:w="3300" w:type="dxa"/>
            <w:vAlign w:val="bottom"/>
          </w:tcPr>
          <w:p>
            <w:pPr>
              <w:jc w:val="right"/>
              <w:ind w:right="312"/>
              <w:spacing w:after="0"/>
              <w:rPr>
                <w:sz w:val="20"/>
                <w:szCs w:val="20"/>
                <w:color w:val="auto"/>
              </w:rPr>
            </w:pPr>
            <w:r>
              <w:rPr>
                <w:rFonts w:ascii="Arial" w:cs="Arial" w:eastAsia="Arial" w:hAnsi="Arial"/>
                <w:sz w:val="18"/>
                <w:szCs w:val="18"/>
                <w:color w:val="auto"/>
              </w:rPr>
              <w:t>17</w:t>
            </w:r>
          </w:p>
        </w:tc>
      </w:tr>
      <w:tr>
        <w:trPr>
          <w:trHeight w:val="345"/>
        </w:trPr>
        <w:tc>
          <w:tcPr>
            <w:tcW w:w="660" w:type="dxa"/>
            <w:vAlign w:val="bottom"/>
          </w:tcPr>
          <w:p>
            <w:pPr>
              <w:spacing w:after="0"/>
              <w:rPr>
                <w:rFonts w:ascii="Arial" w:cs="Arial" w:eastAsia="Arial" w:hAnsi="Arial"/>
                <w:sz w:val="18"/>
                <w:szCs w:val="18"/>
                <w:b w:val="1"/>
                <w:bCs w:val="1"/>
                <w:color w:val="0000EE"/>
              </w:rPr>
            </w:pPr>
            <w:hyperlink w:anchor="page19">
              <w:r>
                <w:rPr>
                  <w:rFonts w:ascii="Arial" w:cs="Arial" w:eastAsia="Arial" w:hAnsi="Arial"/>
                  <w:sz w:val="18"/>
                  <w:szCs w:val="18"/>
                  <w:b w:val="1"/>
                  <w:bCs w:val="1"/>
                  <w:color w:val="0000EE"/>
                </w:rPr>
                <w:t>ITEM 6.</w:t>
              </w:r>
            </w:hyperlink>
          </w:p>
        </w:tc>
        <w:tc>
          <w:tcPr>
            <w:tcW w:w="540" w:type="dxa"/>
            <w:vAlign w:val="bottom"/>
            <w:gridSpan w:val="2"/>
          </w:tcPr>
          <w:p>
            <w:pPr>
              <w:spacing w:after="0"/>
              <w:rPr>
                <w:sz w:val="24"/>
                <w:szCs w:val="24"/>
                <w:color w:val="auto"/>
              </w:rPr>
            </w:pPr>
          </w:p>
        </w:tc>
        <w:tc>
          <w:tcPr>
            <w:tcW w:w="6960" w:type="dxa"/>
            <w:vAlign w:val="bottom"/>
            <w:gridSpan w:val="9"/>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Exhibits</w:t>
              </w:r>
            </w:hyperlink>
          </w:p>
        </w:tc>
        <w:tc>
          <w:tcPr>
            <w:tcW w:w="3300" w:type="dxa"/>
            <w:vAlign w:val="bottom"/>
          </w:tcPr>
          <w:p>
            <w:pPr>
              <w:jc w:val="right"/>
              <w:ind w:right="312"/>
              <w:spacing w:after="0"/>
              <w:rPr>
                <w:sz w:val="20"/>
                <w:szCs w:val="20"/>
                <w:color w:val="auto"/>
              </w:rPr>
            </w:pPr>
            <w:r>
              <w:rPr>
                <w:rFonts w:ascii="Arial" w:cs="Arial" w:eastAsia="Arial" w:hAnsi="Arial"/>
                <w:sz w:val="18"/>
                <w:szCs w:val="18"/>
                <w:color w:val="auto"/>
              </w:rPr>
              <w:t>17</w:t>
            </w:r>
          </w:p>
        </w:tc>
      </w:tr>
      <w:tr>
        <w:trPr>
          <w:trHeight w:val="20"/>
        </w:trPr>
        <w:tc>
          <w:tcPr>
            <w:tcW w:w="6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r>
      <w:tr>
        <w:trPr>
          <w:trHeight w:val="345"/>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40" w:type="dxa"/>
            <w:vAlign w:val="bottom"/>
            <w:tcBorders>
              <w:bottom w:val="single" w:sz="8" w:color="0000EE"/>
            </w:tcBorders>
            <w:gridSpan w:val="2"/>
          </w:tcPr>
          <w:p>
            <w:pPr>
              <w:spacing w:after="0"/>
              <w:rPr>
                <w:rFonts w:ascii="Arial" w:cs="Arial" w:eastAsia="Arial" w:hAnsi="Arial"/>
                <w:sz w:val="18"/>
                <w:szCs w:val="18"/>
                <w:color w:val="0000EE"/>
                <w:w w:val="83"/>
              </w:rPr>
            </w:pPr>
            <w:hyperlink w:anchor="page20">
              <w:r>
                <w:rPr>
                  <w:rFonts w:ascii="Arial" w:cs="Arial" w:eastAsia="Arial" w:hAnsi="Arial"/>
                  <w:sz w:val="18"/>
                  <w:szCs w:val="18"/>
                  <w:color w:val="0000EE"/>
                  <w:w w:val="83"/>
                </w:rPr>
                <w:t>Signatures</w:t>
              </w:r>
            </w:hyperlink>
          </w:p>
        </w:tc>
        <w:tc>
          <w:tcPr>
            <w:tcW w:w="6220" w:type="dxa"/>
            <w:vAlign w:val="bottom"/>
            <w:gridSpan w:val="7"/>
          </w:tcPr>
          <w:p>
            <w:pPr>
              <w:spacing w:after="0"/>
              <w:rPr>
                <w:sz w:val="24"/>
                <w:szCs w:val="24"/>
                <w:color w:val="auto"/>
              </w:rPr>
            </w:pPr>
          </w:p>
        </w:tc>
        <w:tc>
          <w:tcPr>
            <w:tcW w:w="3300" w:type="dxa"/>
            <w:vAlign w:val="bottom"/>
          </w:tcPr>
          <w:p>
            <w:pPr>
              <w:jc w:val="right"/>
              <w:ind w:right="312"/>
              <w:spacing w:after="0"/>
              <w:rPr>
                <w:sz w:val="20"/>
                <w:szCs w:val="20"/>
                <w:color w:val="auto"/>
              </w:rPr>
            </w:pPr>
            <w:r>
              <w:rPr>
                <w:rFonts w:ascii="Arial" w:cs="Arial" w:eastAsia="Arial" w:hAnsi="Arial"/>
                <w:sz w:val="18"/>
                <w:szCs w:val="18"/>
                <w:color w:val="auto"/>
              </w:rPr>
              <w:t>18</w:t>
            </w:r>
          </w:p>
        </w:tc>
      </w:tr>
      <w:tr>
        <w:trPr>
          <w:trHeight w:val="345"/>
        </w:trPr>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960" w:type="dxa"/>
            <w:vAlign w:val="bottom"/>
            <w:gridSpan w:val="9"/>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Exhibit Index</w:t>
              </w:r>
            </w:hyperlink>
          </w:p>
        </w:tc>
        <w:tc>
          <w:tcPr>
            <w:tcW w:w="3300" w:type="dxa"/>
            <w:vAlign w:val="bottom"/>
          </w:tcPr>
          <w:p>
            <w:pPr>
              <w:jc w:val="right"/>
              <w:ind w:right="312"/>
              <w:spacing w:after="0"/>
              <w:rPr>
                <w:sz w:val="20"/>
                <w:szCs w:val="20"/>
                <w:color w:val="auto"/>
              </w:rPr>
            </w:pPr>
            <w:r>
              <w:rPr>
                <w:rFonts w:ascii="Arial" w:cs="Arial" w:eastAsia="Arial" w:hAnsi="Arial"/>
                <w:sz w:val="18"/>
                <w:szCs w:val="18"/>
                <w:color w:val="auto"/>
              </w:rPr>
              <w:t>19</w:t>
            </w:r>
          </w:p>
        </w:tc>
      </w:tr>
      <w:tr>
        <w:trPr>
          <w:trHeight w:val="395"/>
        </w:trPr>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580" w:type="dxa"/>
            <w:vAlign w:val="bottom"/>
            <w:tcBorders>
              <w:top w:val="single" w:sz="8" w:color="0000EE"/>
              <w:bottom w:val="single" w:sz="8" w:color="808080"/>
            </w:tcBorders>
          </w:tcPr>
          <w:p>
            <w:pPr>
              <w:spacing w:after="0"/>
              <w:rPr>
                <w:sz w:val="24"/>
                <w:szCs w:val="24"/>
                <w:color w:val="auto"/>
              </w:rPr>
            </w:pPr>
          </w:p>
        </w:tc>
        <w:tc>
          <w:tcPr>
            <w:tcW w:w="160" w:type="dxa"/>
            <w:vAlign w:val="bottom"/>
            <w:tcBorders>
              <w:top w:val="single" w:sz="8" w:color="0000EE"/>
              <w:bottom w:val="single" w:sz="8" w:color="808080"/>
            </w:tcBorders>
          </w:tcPr>
          <w:p>
            <w:pPr>
              <w:spacing w:after="0"/>
              <w:rPr>
                <w:sz w:val="24"/>
                <w:szCs w:val="24"/>
                <w:color w:val="auto"/>
              </w:rPr>
            </w:pPr>
          </w:p>
        </w:tc>
        <w:tc>
          <w:tcPr>
            <w:tcW w:w="220" w:type="dxa"/>
            <w:vAlign w:val="bottom"/>
            <w:tcBorders>
              <w:top w:val="single" w:sz="8" w:color="0000EE"/>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120" w:type="dxa"/>
            <w:vAlign w:val="bottom"/>
            <w:tcBorders>
              <w:bottom w:val="single" w:sz="8" w:color="808080"/>
            </w:tcBorders>
          </w:tcPr>
          <w:p>
            <w:pPr>
              <w:spacing w:after="0"/>
              <w:rPr>
                <w:sz w:val="24"/>
                <w:szCs w:val="24"/>
                <w:color w:val="auto"/>
              </w:rPr>
            </w:pPr>
          </w:p>
        </w:tc>
        <w:tc>
          <w:tcPr>
            <w:tcW w:w="240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2700" w:type="dxa"/>
            <w:vAlign w:val="bottom"/>
            <w:tcBorders>
              <w:bottom w:val="single" w:sz="8" w:color="808080"/>
            </w:tcBorders>
          </w:tcPr>
          <w:p>
            <w:pPr>
              <w:spacing w:after="0"/>
              <w:rPr>
                <w:sz w:val="24"/>
                <w:szCs w:val="24"/>
                <w:color w:val="auto"/>
              </w:rPr>
            </w:pPr>
          </w:p>
        </w:tc>
        <w:tc>
          <w:tcPr>
            <w:tcW w:w="33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257" w:right="19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Operations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360" w:type="dxa"/>
            <w:vAlign w:val="bottom"/>
            <w:gridSpan w:val="2"/>
          </w:tcPr>
          <w:p>
            <w:pPr>
              <w:spacing w:after="0"/>
              <w:rPr>
                <w:sz w:val="20"/>
                <w:szCs w:val="20"/>
                <w:color w:val="auto"/>
              </w:rPr>
            </w:pPr>
            <w:r>
              <w:rPr>
                <w:rFonts w:ascii="Arial" w:cs="Arial" w:eastAsia="Arial" w:hAnsi="Arial"/>
                <w:sz w:val="22"/>
                <w:szCs w:val="22"/>
                <w:b w:val="1"/>
                <w:bCs w:val="1"/>
                <w:color w:val="auto"/>
              </w:rPr>
              <w:t>PART I.</w:t>
            </w:r>
          </w:p>
        </w:tc>
        <w:tc>
          <w:tcPr>
            <w:tcW w:w="6980" w:type="dxa"/>
            <w:vAlign w:val="bottom"/>
          </w:tcPr>
          <w:p>
            <w:pPr>
              <w:ind w:left="20"/>
              <w:spacing w:after="0"/>
              <w:rPr>
                <w:sz w:val="20"/>
                <w:szCs w:val="20"/>
                <w:color w:val="auto"/>
              </w:rPr>
            </w:pPr>
            <w:r>
              <w:rPr>
                <w:rFonts w:ascii="Arial" w:cs="Arial" w:eastAsia="Arial" w:hAnsi="Arial"/>
                <w:sz w:val="22"/>
                <w:szCs w:val="22"/>
                <w:b w:val="1"/>
                <w:bCs w:val="1"/>
                <w:color w:val="auto"/>
              </w:rPr>
              <w:t>FINANCIAL INFORMATION</w:t>
            </w:r>
          </w:p>
        </w:tc>
        <w:tc>
          <w:tcPr>
            <w:tcW w:w="2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1"/>
        </w:trPr>
        <w:tc>
          <w:tcPr>
            <w:tcW w:w="1360" w:type="dxa"/>
            <w:vAlign w:val="bottom"/>
            <w:gridSpan w:val="2"/>
          </w:tcPr>
          <w:p>
            <w:pPr>
              <w:spacing w:after="0"/>
              <w:rPr>
                <w:sz w:val="20"/>
                <w:szCs w:val="20"/>
                <w:color w:val="auto"/>
              </w:rPr>
            </w:pPr>
            <w:r>
              <w:rPr>
                <w:rFonts w:ascii="Arial" w:cs="Arial" w:eastAsia="Arial" w:hAnsi="Arial"/>
                <w:sz w:val="22"/>
                <w:szCs w:val="22"/>
                <w:b w:val="1"/>
                <w:bCs w:val="1"/>
                <w:color w:val="auto"/>
              </w:rPr>
              <w:t>Item 1.</w:t>
            </w:r>
          </w:p>
        </w:tc>
        <w:tc>
          <w:tcPr>
            <w:tcW w:w="6980" w:type="dxa"/>
            <w:vAlign w:val="bottom"/>
          </w:tcPr>
          <w:p>
            <w:pPr>
              <w:ind w:left="20"/>
              <w:spacing w:after="0"/>
              <w:rPr>
                <w:sz w:val="20"/>
                <w:szCs w:val="20"/>
                <w:color w:val="auto"/>
              </w:rPr>
            </w:pPr>
            <w:r>
              <w:rPr>
                <w:rFonts w:ascii="Arial" w:cs="Arial" w:eastAsia="Arial" w:hAnsi="Arial"/>
                <w:sz w:val="22"/>
                <w:szCs w:val="22"/>
                <w:b w:val="1"/>
                <w:bCs w:val="1"/>
                <w:color w:val="auto"/>
              </w:rPr>
              <w:t>Financial Statements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6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Thirteen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Fourteen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69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5"/>
          </w:tcPr>
          <w:p>
            <w:pPr>
              <w:jc w:val="right"/>
              <w:ind w:right="1014"/>
              <w:spacing w:after="0"/>
              <w:rPr>
                <w:sz w:val="20"/>
                <w:szCs w:val="20"/>
                <w:color w:val="auto"/>
              </w:rPr>
            </w:pPr>
            <w:r>
              <w:rPr>
                <w:rFonts w:ascii="Arial" w:cs="Arial" w:eastAsia="Arial" w:hAnsi="Arial"/>
                <w:sz w:val="14"/>
                <w:szCs w:val="14"/>
                <w:b w:val="1"/>
                <w:bCs w:val="1"/>
                <w:color w:val="auto"/>
              </w:rPr>
              <w:t>Weeks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834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520" w:type="dxa"/>
            <w:vAlign w:val="bottom"/>
            <w:tcBorders>
              <w:bottom w:val="single" w:sz="8" w:color="auto"/>
            </w:tcBorders>
            <w:gridSpan w:val="3"/>
          </w:tcPr>
          <w:p>
            <w:pPr>
              <w:jc w:val="right"/>
              <w:ind w:right="340"/>
              <w:spacing w:after="0"/>
              <w:rPr>
                <w:sz w:val="20"/>
                <w:szCs w:val="20"/>
                <w:color w:val="auto"/>
              </w:rPr>
            </w:pPr>
            <w:r>
              <w:rPr>
                <w:rFonts w:ascii="Arial" w:cs="Arial" w:eastAsia="Arial" w:hAnsi="Arial"/>
                <w:sz w:val="14"/>
                <w:szCs w:val="14"/>
                <w:b w:val="1"/>
                <w:bCs w:val="1"/>
                <w:color w:val="auto"/>
                <w:w w:val="91"/>
              </w:rPr>
              <w:t>November 29, 2008</w:t>
            </w:r>
          </w:p>
        </w:tc>
        <w:tc>
          <w:tcPr>
            <w:tcW w:w="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6"/>
              </w:rPr>
              <w:t>December 1, 2007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340" w:type="dxa"/>
            <w:vAlign w:val="bottom"/>
          </w:tcPr>
          <w:p>
            <w:pPr>
              <w:spacing w:after="0"/>
              <w:rPr>
                <w:sz w:val="12"/>
                <w:szCs w:val="12"/>
                <w:color w:val="auto"/>
              </w:rPr>
            </w:pPr>
          </w:p>
        </w:tc>
        <w:tc>
          <w:tcPr>
            <w:tcW w:w="6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4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6980" w:type="dxa"/>
            <w:vAlign w:val="bottom"/>
            <w:shd w:val="clear" w:color="auto" w:fill="D6F3E8"/>
          </w:tcPr>
          <w:p>
            <w:pPr>
              <w:spacing w:after="0"/>
              <w:rPr>
                <w:sz w:val="18"/>
                <w:szCs w:val="18"/>
                <w:color w:val="auto"/>
              </w:rPr>
            </w:pPr>
          </w:p>
        </w:tc>
        <w:tc>
          <w:tcPr>
            <w:tcW w:w="240" w:type="dxa"/>
            <w:vAlign w:val="bottom"/>
            <w:shd w:val="clear" w:color="auto" w:fill="D6F3E8"/>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69,398</w:t>
            </w:r>
          </w:p>
        </w:tc>
        <w:tc>
          <w:tcPr>
            <w:tcW w:w="240" w:type="dxa"/>
            <w:vAlign w:val="bottom"/>
            <w:shd w:val="clear" w:color="auto" w:fill="D6F3E8"/>
          </w:tcPr>
          <w:p>
            <w:pPr>
              <w:spacing w:after="0"/>
              <w:rPr>
                <w:sz w:val="18"/>
                <w:szCs w:val="18"/>
                <w:color w:val="auto"/>
              </w:rPr>
            </w:pPr>
          </w:p>
        </w:tc>
        <w:tc>
          <w:tcPr>
            <w:tcW w:w="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215,142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88"/>
              </w:rPr>
              <w:t>Cost of goods sold</w:t>
            </w:r>
          </w:p>
        </w:tc>
        <w:tc>
          <w:tcPr>
            <w:tcW w:w="6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78,292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189,502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D6F3E8"/>
            </w:tcBorders>
            <w:gridSpan w:val="2"/>
            <w:shd w:val="clear" w:color="auto" w:fill="D6F3E8"/>
          </w:tcPr>
          <w:p>
            <w:pPr>
              <w:spacing w:after="0"/>
              <w:rPr>
                <w:sz w:val="20"/>
                <w:szCs w:val="20"/>
                <w:color w:val="auto"/>
              </w:rPr>
            </w:pPr>
            <w:r>
              <w:rPr>
                <w:rFonts w:ascii="Arial" w:cs="Arial" w:eastAsia="Arial" w:hAnsi="Arial"/>
                <w:sz w:val="18"/>
                <w:szCs w:val="18"/>
                <w:color w:val="auto"/>
              </w:rPr>
              <w:t>Gross (deficit) profit</w:t>
            </w:r>
          </w:p>
        </w:tc>
        <w:tc>
          <w:tcPr>
            <w:tcW w:w="240" w:type="dxa"/>
            <w:vAlign w:val="bottom"/>
            <w:tcBorders>
              <w:top w:val="single" w:sz="8" w:color="auto"/>
              <w:bottom w:val="single" w:sz="8" w:color="auto"/>
            </w:tcBorders>
            <w:shd w:val="clear" w:color="auto" w:fill="D6F3E8"/>
          </w:tcPr>
          <w:p>
            <w:pPr>
              <w:spacing w:after="0"/>
              <w:rPr>
                <w:sz w:val="18"/>
                <w:szCs w:val="18"/>
                <w:color w:val="auto"/>
              </w:rPr>
            </w:pP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(8,894)</w:t>
            </w:r>
          </w:p>
        </w:tc>
        <w:tc>
          <w:tcPr>
            <w:tcW w:w="24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D6F3E8"/>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spacing w:after="0"/>
              <w:rPr>
                <w:sz w:val="18"/>
                <w:szCs w:val="18"/>
                <w:color w:val="auto"/>
              </w:rPr>
            </w:pPr>
          </w:p>
        </w:tc>
        <w:tc>
          <w:tcPr>
            <w:tcW w:w="1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25,640</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340" w:type="dxa"/>
            <w:vAlign w:val="bottom"/>
            <w:gridSpan w:val="3"/>
          </w:tcPr>
          <w:p>
            <w:pPr>
              <w:spacing w:after="0"/>
              <w:rPr>
                <w:sz w:val="20"/>
                <w:szCs w:val="20"/>
                <w:color w:val="auto"/>
              </w:rPr>
            </w:pPr>
            <w:r>
              <w:rPr>
                <w:rFonts w:ascii="Arial" w:cs="Arial" w:eastAsia="Arial" w:hAnsi="Arial"/>
                <w:sz w:val="18"/>
                <w:szCs w:val="18"/>
                <w:color w:val="auto"/>
              </w:rPr>
              <w:t>Operating expenses:</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Selling</w:t>
            </w:r>
          </w:p>
        </w:tc>
        <w:tc>
          <w:tcPr>
            <w:tcW w:w="69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3,665</w:t>
            </w: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5,605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tcPr>
          <w:p>
            <w:pPr>
              <w:ind w:left="14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4,331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6,451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tcBorders>
              <w:bottom w:val="single" w:sz="8" w:color="D6F3E8"/>
            </w:tcBorders>
            <w:gridSpan w:val="2"/>
            <w:shd w:val="clear" w:color="auto" w:fill="D6F3E8"/>
          </w:tcPr>
          <w:p>
            <w:pPr>
              <w:ind w:left="300"/>
              <w:spacing w:after="0"/>
              <w:rPr>
                <w:sz w:val="20"/>
                <w:szCs w:val="20"/>
                <w:color w:val="auto"/>
              </w:rPr>
            </w:pPr>
            <w:r>
              <w:rPr>
                <w:rFonts w:ascii="Arial" w:cs="Arial" w:eastAsia="Arial" w:hAnsi="Arial"/>
                <w:sz w:val="18"/>
                <w:szCs w:val="18"/>
                <w:color w:val="auto"/>
              </w:rPr>
              <w:t>Total operating expenses</w:t>
            </w:r>
          </w:p>
        </w:tc>
        <w:tc>
          <w:tcPr>
            <w:tcW w:w="240" w:type="dxa"/>
            <w:vAlign w:val="bottom"/>
            <w:tcBorders>
              <w:top w:val="single" w:sz="8" w:color="auto"/>
              <w:bottom w:val="single" w:sz="8" w:color="auto"/>
            </w:tcBorders>
            <w:shd w:val="clear" w:color="auto" w:fill="D6F3E8"/>
          </w:tcPr>
          <w:p>
            <w:pPr>
              <w:spacing w:after="0"/>
              <w:rPr>
                <w:sz w:val="18"/>
                <w:szCs w:val="18"/>
                <w:color w:val="auto"/>
              </w:rPr>
            </w:pP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7,996</w:t>
            </w:r>
          </w:p>
        </w:tc>
        <w:tc>
          <w:tcPr>
            <w:tcW w:w="24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D6F3E8"/>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spacing w:after="0"/>
              <w:rPr>
                <w:sz w:val="18"/>
                <w:szCs w:val="18"/>
                <w:color w:val="auto"/>
              </w:rPr>
            </w:pPr>
          </w:p>
        </w:tc>
        <w:tc>
          <w:tcPr>
            <w:tcW w:w="1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12,056</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6"/>
        </w:trPr>
        <w:tc>
          <w:tcPr>
            <w:tcW w:w="8340" w:type="dxa"/>
            <w:vAlign w:val="bottom"/>
            <w:gridSpan w:val="3"/>
          </w:tcPr>
          <w:p>
            <w:pPr>
              <w:spacing w:after="0"/>
              <w:rPr>
                <w:sz w:val="20"/>
                <w:szCs w:val="20"/>
                <w:color w:val="auto"/>
              </w:rPr>
            </w:pPr>
            <w:r>
              <w:rPr>
                <w:rFonts w:ascii="Arial" w:cs="Arial" w:eastAsia="Arial" w:hAnsi="Arial"/>
                <w:sz w:val="18"/>
                <w:szCs w:val="18"/>
                <w:color w:val="auto"/>
              </w:rPr>
              <w:t>Operating (loss) income</w:t>
            </w:r>
          </w:p>
        </w:tc>
        <w:tc>
          <w:tcPr>
            <w:tcW w:w="240" w:type="dxa"/>
            <w:vAlign w:val="bottom"/>
          </w:tcPr>
          <w:p>
            <w:pPr>
              <w:spacing w:after="0"/>
              <w:rPr>
                <w:sz w:val="24"/>
                <w:szCs w:val="24"/>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(16,890)</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13,584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34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w w:val="97"/>
              </w:rPr>
              <w:t>Financial income</w:t>
            </w:r>
          </w:p>
        </w:tc>
        <w:tc>
          <w:tcPr>
            <w:tcW w:w="6980" w:type="dxa"/>
            <w:vAlign w:val="bottom"/>
            <w:tcBorders>
              <w:bottom w:val="single" w:sz="8" w:color="D6F3E8"/>
            </w:tcBorders>
            <w:shd w:val="clear" w:color="auto" w:fill="D6F3E8"/>
          </w:tcPr>
          <w:p>
            <w:pPr>
              <w:spacing w:after="0"/>
              <w:rPr>
                <w:sz w:val="18"/>
                <w:szCs w:val="18"/>
                <w:color w:val="auto"/>
              </w:rPr>
            </w:pPr>
          </w:p>
        </w:tc>
        <w:tc>
          <w:tcPr>
            <w:tcW w:w="240" w:type="dxa"/>
            <w:vAlign w:val="bottom"/>
            <w:tcBorders>
              <w:bottom w:val="single" w:sz="8" w:color="auto"/>
            </w:tcBorders>
            <w:shd w:val="clear" w:color="auto" w:fill="D6F3E8"/>
          </w:tcPr>
          <w:p>
            <w:pPr>
              <w:spacing w:after="0"/>
              <w:rPr>
                <w:sz w:val="18"/>
                <w:szCs w:val="18"/>
                <w:color w:val="auto"/>
              </w:rPr>
            </w:pP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524</w:t>
            </w:r>
          </w:p>
        </w:tc>
        <w:tc>
          <w:tcPr>
            <w:tcW w:w="24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D6F3E8"/>
            </w:tcBorders>
            <w:shd w:val="clear" w:color="auto" w:fill="D6F3E8"/>
          </w:tcPr>
          <w:p>
            <w:pPr>
              <w:spacing w:after="0"/>
              <w:rPr>
                <w:sz w:val="18"/>
                <w:szCs w:val="18"/>
                <w:color w:val="auto"/>
              </w:rPr>
            </w:pPr>
          </w:p>
        </w:tc>
        <w:tc>
          <w:tcPr>
            <w:tcW w:w="100" w:type="dxa"/>
            <w:vAlign w:val="bottom"/>
            <w:tcBorders>
              <w:bottom w:val="single" w:sz="8" w:color="auto"/>
            </w:tcBorders>
            <w:shd w:val="clear" w:color="auto" w:fill="D6F3E8"/>
          </w:tcPr>
          <w:p>
            <w:pPr>
              <w:spacing w:after="0"/>
              <w:rPr>
                <w:sz w:val="18"/>
                <w:szCs w:val="18"/>
                <w:color w:val="auto"/>
              </w:rPr>
            </w:pPr>
          </w:p>
        </w:tc>
        <w:tc>
          <w:tcPr>
            <w:tcW w:w="1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1,240</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20" w:type="dxa"/>
            <w:vAlign w:val="bottom"/>
            <w:gridSpan w:val="2"/>
          </w:tcPr>
          <w:p>
            <w:pPr>
              <w:spacing w:after="0"/>
              <w:rPr>
                <w:sz w:val="20"/>
                <w:szCs w:val="20"/>
                <w:color w:val="auto"/>
              </w:rPr>
            </w:pPr>
            <w:r>
              <w:rPr>
                <w:rFonts w:ascii="Arial" w:cs="Arial" w:eastAsia="Arial" w:hAnsi="Arial"/>
                <w:sz w:val="18"/>
                <w:szCs w:val="18"/>
                <w:color w:val="auto"/>
              </w:rPr>
              <w:t>(Loss) income before income taxes</w:t>
            </w:r>
          </w:p>
        </w:tc>
        <w:tc>
          <w:tcPr>
            <w:tcW w:w="24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(16,366)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14,824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(Benefit) provision for taxes</w:t>
            </w:r>
          </w:p>
        </w:tc>
        <w:tc>
          <w:tcPr>
            <w:tcW w:w="24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(6,770)</w:t>
            </w:r>
          </w:p>
        </w:tc>
        <w:tc>
          <w:tcPr>
            <w:tcW w:w="2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4,862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340" w:type="dxa"/>
            <w:vAlign w:val="bottom"/>
            <w:shd w:val="clear" w:color="auto" w:fill="D6F3E8"/>
          </w:tcPr>
          <w:p>
            <w:pPr>
              <w:spacing w:after="0" w:line="20" w:lineRule="exact"/>
              <w:rPr>
                <w:sz w:val="1"/>
                <w:szCs w:val="1"/>
                <w:color w:val="auto"/>
              </w:rPr>
            </w:pPr>
          </w:p>
        </w:tc>
        <w:tc>
          <w:tcPr>
            <w:tcW w:w="6980" w:type="dxa"/>
            <w:vAlign w:val="bottom"/>
            <w:shd w:val="clear" w:color="auto" w:fill="D6F3E8"/>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20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340" w:type="dxa"/>
            <w:vAlign w:val="bottom"/>
          </w:tcPr>
          <w:p>
            <w:pPr>
              <w:spacing w:after="0"/>
              <w:rPr>
                <w:sz w:val="20"/>
                <w:szCs w:val="20"/>
                <w:color w:val="auto"/>
              </w:rPr>
            </w:pPr>
            <w:r>
              <w:rPr>
                <w:rFonts w:ascii="Arial" w:cs="Arial" w:eastAsia="Arial" w:hAnsi="Arial"/>
                <w:sz w:val="18"/>
                <w:szCs w:val="18"/>
                <w:color w:val="auto"/>
                <w:w w:val="94"/>
              </w:rPr>
              <w:t>Net (loss) income</w:t>
            </w:r>
          </w:p>
        </w:tc>
        <w:tc>
          <w:tcPr>
            <w:tcW w:w="69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(9,596)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9,962</w:t>
            </w:r>
          </w:p>
        </w:tc>
        <w:tc>
          <w:tcPr>
            <w:tcW w:w="0" w:type="dxa"/>
            <w:vAlign w:val="bottom"/>
          </w:tcPr>
          <w:p>
            <w:pPr>
              <w:spacing w:after="0"/>
              <w:rPr>
                <w:sz w:val="1"/>
                <w:szCs w:val="1"/>
                <w:color w:val="auto"/>
              </w:rPr>
            </w:pPr>
          </w:p>
        </w:tc>
      </w:tr>
      <w:tr>
        <w:trPr>
          <w:trHeight w:val="20"/>
        </w:trPr>
        <w:tc>
          <w:tcPr>
            <w:tcW w:w="8340" w:type="dxa"/>
            <w:vAlign w:val="bottom"/>
            <w:gridSpan w:val="3"/>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8320" w:type="dxa"/>
            <w:vAlign w:val="bottom"/>
            <w:gridSpan w:val="2"/>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(Loss) income per common share:</w:t>
            </w:r>
          </w:p>
        </w:tc>
        <w:tc>
          <w:tcPr>
            <w:tcW w:w="24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1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rPr>
              <w:t>Basic</w:t>
            </w:r>
          </w:p>
        </w:tc>
        <w:tc>
          <w:tcPr>
            <w:tcW w:w="6980" w:type="dxa"/>
            <w:vAlign w:val="bottom"/>
          </w:tcPr>
          <w:p>
            <w:pPr>
              <w:spacing w:after="0"/>
              <w:rPr>
                <w:sz w:val="18"/>
                <w:szCs w:val="18"/>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(0.33)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69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shd w:val="clear" w:color="auto" w:fill="D6F3E8"/>
          </w:tcPr>
          <w:p>
            <w:pPr>
              <w:ind w:left="140"/>
              <w:spacing w:after="0" w:line="196" w:lineRule="exact"/>
              <w:rPr>
                <w:sz w:val="20"/>
                <w:szCs w:val="20"/>
                <w:color w:val="auto"/>
              </w:rPr>
            </w:pPr>
            <w:r>
              <w:rPr>
                <w:rFonts w:ascii="Arial" w:cs="Arial" w:eastAsia="Arial" w:hAnsi="Arial"/>
                <w:sz w:val="18"/>
                <w:szCs w:val="18"/>
                <w:color w:val="auto"/>
              </w:rPr>
              <w:t>Diluted</w:t>
            </w:r>
          </w:p>
        </w:tc>
        <w:tc>
          <w:tcPr>
            <w:tcW w:w="6980" w:type="dxa"/>
            <w:vAlign w:val="bottom"/>
            <w:shd w:val="clear" w:color="auto" w:fill="D6F3E8"/>
          </w:tcPr>
          <w:p>
            <w:pPr>
              <w:spacing w:after="0"/>
              <w:rPr>
                <w:sz w:val="18"/>
                <w:szCs w:val="18"/>
                <w:color w:val="auto"/>
              </w:rPr>
            </w:pPr>
          </w:p>
        </w:tc>
        <w:tc>
          <w:tcPr>
            <w:tcW w:w="240" w:type="dxa"/>
            <w:vAlign w:val="bottom"/>
            <w:shd w:val="clear" w:color="auto" w:fill="D6F3E8"/>
          </w:tcPr>
          <w:p>
            <w:pPr>
              <w:jc w:val="right"/>
              <w:ind w:right="85"/>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D6F3E8"/>
          </w:tcPr>
          <w:p>
            <w:pPr>
              <w:jc w:val="right"/>
              <w:ind w:right="200"/>
              <w:spacing w:after="0" w:line="196" w:lineRule="exact"/>
              <w:rPr>
                <w:sz w:val="20"/>
                <w:szCs w:val="20"/>
                <w:color w:val="auto"/>
              </w:rPr>
            </w:pPr>
            <w:r>
              <w:rPr>
                <w:rFonts w:ascii="Arial" w:cs="Arial" w:eastAsia="Arial" w:hAnsi="Arial"/>
                <w:sz w:val="18"/>
                <w:szCs w:val="18"/>
                <w:color w:val="auto"/>
              </w:rPr>
              <w:t>(0.33)</w:t>
            </w:r>
          </w:p>
        </w:tc>
        <w:tc>
          <w:tcPr>
            <w:tcW w:w="200" w:type="dxa"/>
            <w:vAlign w:val="bottom"/>
            <w:shd w:val="clear" w:color="auto" w:fill="D6F3E8"/>
          </w:tcPr>
          <w:p>
            <w:pPr>
              <w:spacing w:after="0"/>
              <w:rPr>
                <w:sz w:val="18"/>
                <w:szCs w:val="18"/>
                <w:color w:val="auto"/>
              </w:rPr>
            </w:pPr>
          </w:p>
        </w:tc>
        <w:tc>
          <w:tcPr>
            <w:tcW w:w="100" w:type="dxa"/>
            <w:vAlign w:val="bottom"/>
            <w:shd w:val="clear" w:color="auto" w:fill="D6F3E8"/>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shd w:val="clear" w:color="auto" w:fill="D6F3E8"/>
          </w:tcPr>
          <w:p>
            <w:pPr>
              <w:jc w:val="right"/>
              <w:spacing w:after="0" w:line="196" w:lineRule="exact"/>
              <w:rPr>
                <w:sz w:val="20"/>
                <w:szCs w:val="20"/>
                <w:color w:val="auto"/>
              </w:rPr>
            </w:pPr>
            <w:r>
              <w:rPr>
                <w:rFonts w:ascii="Arial" w:cs="Arial" w:eastAsia="Arial" w:hAnsi="Arial"/>
                <w:sz w:val="18"/>
                <w:szCs w:val="18"/>
                <w:color w:val="auto"/>
              </w:rPr>
              <w:t>0.34</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40" w:type="dxa"/>
            <w:vAlign w:val="bottom"/>
            <w:tcBorders>
              <w:top w:val="single" w:sz="8" w:color="D6F3E8"/>
            </w:tcBorders>
            <w:shd w:val="clear" w:color="auto" w:fill="D6F3E8"/>
          </w:tcPr>
          <w:p>
            <w:pPr>
              <w:spacing w:after="0" w:line="20" w:lineRule="exact"/>
              <w:rPr>
                <w:sz w:val="1"/>
                <w:szCs w:val="1"/>
                <w:color w:val="auto"/>
              </w:rPr>
            </w:pPr>
          </w:p>
        </w:tc>
        <w:tc>
          <w:tcPr>
            <w:tcW w:w="6980" w:type="dxa"/>
            <w:vAlign w:val="bottom"/>
            <w:tcBorders>
              <w:top w:val="single" w:sz="8" w:color="D6F3E8"/>
            </w:tcBorders>
            <w:shd w:val="clear" w:color="auto" w:fill="D6F3E8"/>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D6F3E8"/>
            </w:tcBorders>
            <w:shd w:val="clear" w:color="auto" w:fill="D6F3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8340" w:type="dxa"/>
            <w:vAlign w:val="bottom"/>
            <w:gridSpan w:val="3"/>
          </w:tcPr>
          <w:p>
            <w:pPr>
              <w:spacing w:after="0"/>
              <w:rPr>
                <w:sz w:val="20"/>
                <w:szCs w:val="20"/>
                <w:color w:val="auto"/>
              </w:rPr>
            </w:pPr>
            <w:r>
              <w:rPr>
                <w:rFonts w:ascii="Arial" w:cs="Arial" w:eastAsia="Arial" w:hAnsi="Arial"/>
                <w:sz w:val="18"/>
                <w:szCs w:val="18"/>
                <w:color w:val="auto"/>
              </w:rPr>
              <w:t>Weighted average common shares outstanding:</w:t>
            </w: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340" w:type="dxa"/>
            <w:vAlign w:val="bottom"/>
            <w:shd w:val="clear" w:color="auto" w:fill="D6F3E8"/>
          </w:tcPr>
          <w:p>
            <w:pPr>
              <w:ind w:left="140"/>
              <w:spacing w:after="0"/>
              <w:rPr>
                <w:sz w:val="20"/>
                <w:szCs w:val="20"/>
                <w:color w:val="auto"/>
              </w:rPr>
            </w:pPr>
            <w:r>
              <w:rPr>
                <w:rFonts w:ascii="Arial" w:cs="Arial" w:eastAsia="Arial" w:hAnsi="Arial"/>
                <w:sz w:val="18"/>
                <w:szCs w:val="18"/>
                <w:color w:val="auto"/>
              </w:rPr>
              <w:t>Basic</w:t>
            </w:r>
          </w:p>
        </w:tc>
        <w:tc>
          <w:tcPr>
            <w:tcW w:w="698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29,027</w:t>
            </w: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29,352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Arial" w:cs="Arial" w:eastAsia="Arial" w:hAnsi="Arial"/>
                <w:sz w:val="18"/>
                <w:szCs w:val="18"/>
                <w:color w:val="auto"/>
              </w:rPr>
              <w:t>Diluted</w:t>
            </w:r>
          </w:p>
        </w:tc>
        <w:tc>
          <w:tcPr>
            <w:tcW w:w="69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29,039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29,440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320" w:type="dxa"/>
            <w:vAlign w:val="bottom"/>
            <w:gridSpan w:val="2"/>
          </w:tcPr>
          <w:p>
            <w:pPr>
              <w:spacing w:after="0"/>
              <w:rPr>
                <w:sz w:val="12"/>
                <w:szCs w:val="12"/>
                <w:color w:val="auto"/>
              </w:rPr>
            </w:pPr>
          </w:p>
        </w:tc>
        <w:tc>
          <w:tcPr>
            <w:tcW w:w="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gridSpan w:val="2"/>
          </w:tcPr>
          <w:p>
            <w:pPr>
              <w:spacing w:after="0"/>
              <w:rPr>
                <w:sz w:val="12"/>
                <w:szCs w:val="12"/>
                <w:color w:val="auto"/>
              </w:rPr>
            </w:pPr>
          </w:p>
        </w:tc>
        <w:tc>
          <w:tcPr>
            <w:tcW w:w="12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20" w:type="dxa"/>
            <w:vAlign w:val="bottom"/>
            <w:gridSpan w:val="2"/>
            <w:shd w:val="clear" w:color="auto" w:fill="D6F3E8"/>
          </w:tcPr>
          <w:p>
            <w:pPr>
              <w:spacing w:after="0"/>
              <w:rPr>
                <w:sz w:val="20"/>
                <w:szCs w:val="20"/>
                <w:color w:val="auto"/>
              </w:rPr>
            </w:pPr>
            <w:r>
              <w:rPr>
                <w:rFonts w:ascii="Arial" w:cs="Arial" w:eastAsia="Arial" w:hAnsi="Arial"/>
                <w:sz w:val="18"/>
                <w:szCs w:val="18"/>
                <w:color w:val="auto"/>
              </w:rPr>
              <w:t>Dividends paid per common share</w:t>
            </w:r>
          </w:p>
        </w:tc>
        <w:tc>
          <w:tcPr>
            <w:tcW w:w="240" w:type="dxa"/>
            <w:vAlign w:val="bottom"/>
            <w:shd w:val="clear" w:color="auto" w:fill="D6F3E8"/>
          </w:tcPr>
          <w:p>
            <w:pPr>
              <w:jc w:val="right"/>
              <w:ind w:right="8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0.12</w:t>
            </w:r>
          </w:p>
        </w:tc>
        <w:tc>
          <w:tcPr>
            <w:tcW w:w="240" w:type="dxa"/>
            <w:vAlign w:val="bottom"/>
            <w:shd w:val="clear" w:color="auto" w:fill="D6F3E8"/>
          </w:tcPr>
          <w:p>
            <w:pPr>
              <w:spacing w:after="0"/>
              <w:rPr>
                <w:sz w:val="18"/>
                <w:szCs w:val="18"/>
                <w:color w:val="auto"/>
              </w:rPr>
            </w:pPr>
          </w:p>
        </w:tc>
        <w:tc>
          <w:tcPr>
            <w:tcW w:w="30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6102350</wp:posOffset>
            </wp:positionH>
            <wp:positionV relativeFrom="paragraph">
              <wp:posOffset>-2786380</wp:posOffset>
            </wp:positionV>
            <wp:extent cx="2914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-1465580</wp:posOffset>
            </wp:positionV>
            <wp:extent cx="2914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-762635</wp:posOffset>
            </wp:positionV>
            <wp:extent cx="29146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6102350</wp:posOffset>
            </wp:positionH>
            <wp:positionV relativeFrom="paragraph">
              <wp:posOffset>-745490</wp:posOffset>
            </wp:positionV>
            <wp:extent cx="29146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9146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1"/>
              </w:rPr>
              <w:t>November 29,</w:t>
            </w: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4"/>
              </w:rPr>
              <w:t>August 30,</w:t>
            </w:r>
          </w:p>
        </w:tc>
        <w:tc>
          <w:tcPr>
            <w:tcW w:w="0" w:type="dxa"/>
            <w:vAlign w:val="bottom"/>
          </w:tcPr>
          <w:p>
            <w:pPr>
              <w:spacing w:after="0"/>
              <w:rPr>
                <w:sz w:val="1"/>
                <w:szCs w:val="1"/>
                <w:color w:val="auto"/>
              </w:rPr>
            </w:pPr>
          </w:p>
        </w:tc>
      </w:tr>
      <w:tr>
        <w:trPr>
          <w:trHeight w:val="161"/>
        </w:trPr>
        <w:tc>
          <w:tcPr>
            <w:tcW w:w="8580" w:type="dxa"/>
            <w:vAlign w:val="bottom"/>
            <w:gridSpan w:val="2"/>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2008</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60" w:type="dxa"/>
            <w:vAlign w:val="bottom"/>
            <w:shd w:val="clear" w:color="auto" w:fill="D6F3E8"/>
          </w:tcPr>
          <w:p>
            <w:pPr>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28,765</w:t>
            </w:r>
          </w:p>
        </w:tc>
        <w:tc>
          <w:tcPr>
            <w:tcW w:w="240" w:type="dxa"/>
            <w:vAlign w:val="bottom"/>
            <w:shd w:val="clear" w:color="auto" w:fill="D6F3E8"/>
          </w:tcPr>
          <w:p>
            <w:pPr>
              <w:spacing w:after="0"/>
              <w:rPr>
                <w:sz w:val="18"/>
                <w:szCs w:val="18"/>
                <w:color w:val="auto"/>
              </w:rPr>
            </w:pPr>
          </w:p>
        </w:tc>
        <w:tc>
          <w:tcPr>
            <w:tcW w:w="380" w:type="dxa"/>
            <w:vAlign w:val="bottom"/>
            <w:gridSpan w:val="2"/>
            <w:shd w:val="clear" w:color="auto" w:fill="D6F3E8"/>
          </w:tcPr>
          <w:p>
            <w:pPr>
              <w:jc w:val="right"/>
              <w:ind w:right="23"/>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17,851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5,400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Receivables, less allowance for doubtful accounts ($175 and $177, respectively)</w:t>
            </w:r>
          </w:p>
        </w:tc>
        <w:tc>
          <w:tcPr>
            <w:tcW w:w="1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4,648</w:t>
            </w: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Inventories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83,294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110,596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Prepaid expenses and other assets</w:t>
            </w:r>
          </w:p>
        </w:tc>
        <w:tc>
          <w:tcPr>
            <w:tcW w:w="1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3,774</w:t>
            </w: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9,858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Income taxes receivable</w:t>
            </w:r>
          </w:p>
        </w:tc>
        <w:tc>
          <w:tcPr>
            <w:tcW w:w="120" w:type="dxa"/>
            <w:vAlign w:val="bottom"/>
            <w:tcBorders>
              <w:bottom w:val="single" w:sz="8" w:color="auto"/>
            </w:tcBorders>
            <w:shd w:val="clear" w:color="auto" w:fill="D6F3E8"/>
          </w:tcPr>
          <w:p>
            <w:pPr>
              <w:spacing w:after="0"/>
              <w:rPr>
                <w:sz w:val="18"/>
                <w:szCs w:val="18"/>
                <w:color w:val="auto"/>
              </w:rPr>
            </w:pP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11,232</w:t>
            </w:r>
          </w:p>
        </w:tc>
        <w:tc>
          <w:tcPr>
            <w:tcW w:w="24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6,618</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146,971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162,881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D6F3E8"/>
          </w:tcPr>
          <w:p>
            <w:pPr>
              <w:spacing w:after="0"/>
              <w:rPr>
                <w:sz w:val="20"/>
                <w:szCs w:val="20"/>
                <w:color w:val="auto"/>
              </w:rPr>
            </w:pPr>
            <w:r>
              <w:rPr>
                <w:rFonts w:ascii="Arial" w:cs="Arial" w:eastAsia="Arial" w:hAnsi="Arial"/>
                <w:sz w:val="18"/>
                <w:szCs w:val="18"/>
                <w:color w:val="auto"/>
              </w:rPr>
              <w:t>Property and equipment, at cost:</w:t>
            </w:r>
          </w:p>
        </w:tc>
        <w:tc>
          <w:tcPr>
            <w:tcW w:w="120" w:type="dxa"/>
            <w:vAlign w:val="bottom"/>
            <w:tcBorders>
              <w:top w:val="single" w:sz="8" w:color="auto"/>
            </w:tcBorders>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spacing w:after="0"/>
              <w:rPr>
                <w:sz w:val="18"/>
                <w:szCs w:val="18"/>
                <w:color w:val="auto"/>
              </w:rPr>
            </w:pPr>
          </w:p>
        </w:tc>
        <w:tc>
          <w:tcPr>
            <w:tcW w:w="960" w:type="dxa"/>
            <w:vAlign w:val="bottom"/>
            <w:tcBorders>
              <w:top w:val="single" w:sz="8" w:color="auto"/>
            </w:tcBorders>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Land</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Buildings</w:t>
            </w:r>
          </w:p>
        </w:tc>
        <w:tc>
          <w:tcPr>
            <w:tcW w:w="1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55,977</w:t>
            </w: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55,977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Machinery and equipment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96,721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97,002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Transportation equipment</w:t>
            </w:r>
          </w:p>
        </w:tc>
        <w:tc>
          <w:tcPr>
            <w:tcW w:w="120" w:type="dxa"/>
            <w:vAlign w:val="bottom"/>
            <w:tcBorders>
              <w:bottom w:val="single" w:sz="8" w:color="auto"/>
            </w:tcBorders>
            <w:shd w:val="clear" w:color="auto" w:fill="D6F3E8"/>
          </w:tcPr>
          <w:p>
            <w:pPr>
              <w:spacing w:after="0"/>
              <w:rPr>
                <w:sz w:val="18"/>
                <w:szCs w:val="18"/>
                <w:color w:val="auto"/>
              </w:rPr>
            </w:pP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9,261</w:t>
            </w:r>
          </w:p>
        </w:tc>
        <w:tc>
          <w:tcPr>
            <w:tcW w:w="24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bottom w:val="single" w:sz="8" w:color="auto"/>
            </w:tcBorders>
            <w:shd w:val="clear" w:color="auto" w:fill="D6F3E8"/>
          </w:tcPr>
          <w:p>
            <w:pPr>
              <w:spacing w:after="0"/>
              <w:rPr>
                <w:sz w:val="18"/>
                <w:szCs w:val="18"/>
                <w:color w:val="auto"/>
              </w:rPr>
            </w:pP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9,455</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Total property and equipment, at cost</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162,893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163,368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Accumulated depreciation</w:t>
            </w:r>
          </w:p>
        </w:tc>
        <w:tc>
          <w:tcPr>
            <w:tcW w:w="12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(124,260)</w:t>
            </w: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(123,271)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D6F3E8"/>
            </w:tcBorders>
          </w:tcPr>
          <w:p>
            <w:pPr>
              <w:ind w:left="300"/>
              <w:spacing w:after="0"/>
              <w:rPr>
                <w:sz w:val="20"/>
                <w:szCs w:val="20"/>
                <w:color w:val="auto"/>
              </w:rPr>
            </w:pPr>
            <w:r>
              <w:rPr>
                <w:rFonts w:ascii="Arial" w:cs="Arial" w:eastAsia="Arial" w:hAnsi="Arial"/>
                <w:sz w:val="18"/>
                <w:szCs w:val="18"/>
                <w:color w:val="auto"/>
              </w:rPr>
              <w:t>Total property and equipment, net</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38,633</w:t>
            </w:r>
          </w:p>
        </w:tc>
        <w:tc>
          <w:tcPr>
            <w:tcW w:w="240" w:type="dxa"/>
            <w:vAlign w:val="bottom"/>
            <w:tcBorders>
              <w:top w:val="single" w:sz="8" w:color="D6F3E8"/>
            </w:tcBorders>
          </w:tcPr>
          <w:p>
            <w:pPr>
              <w:spacing w:after="0"/>
              <w:rPr>
                <w:sz w:val="18"/>
                <w:szCs w:val="18"/>
                <w:color w:val="auto"/>
              </w:rPr>
            </w:pPr>
          </w:p>
        </w:tc>
        <w:tc>
          <w:tcPr>
            <w:tcW w:w="200" w:type="dxa"/>
            <w:vAlign w:val="bottom"/>
            <w:tcBorders>
              <w:top w:val="single" w:sz="8" w:color="D6F3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40,097</w:t>
            </w:r>
          </w:p>
        </w:tc>
        <w:tc>
          <w:tcPr>
            <w:tcW w:w="10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D6F3E8"/>
          </w:tcPr>
          <w:p>
            <w:pPr>
              <w:spacing w:after="0"/>
              <w:rPr>
                <w:sz w:val="20"/>
                <w:szCs w:val="20"/>
                <w:color w:val="auto"/>
              </w:rPr>
            </w:pPr>
            <w:r>
              <w:rPr>
                <w:rFonts w:ascii="Arial" w:cs="Arial" w:eastAsia="Arial" w:hAnsi="Arial"/>
                <w:sz w:val="18"/>
                <w:szCs w:val="18"/>
                <w:color w:val="auto"/>
              </w:rPr>
              <w:t>Long-term investments</w:t>
            </w:r>
          </w:p>
        </w:tc>
        <w:tc>
          <w:tcPr>
            <w:tcW w:w="1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32,750</w:t>
            </w: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37,538</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Investment in life insurance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22,280</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22,123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29,033</w:t>
            </w: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26,862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12,848</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15,954</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Total assets</w:t>
            </w: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282,515</w:t>
            </w:r>
          </w:p>
        </w:tc>
        <w:tc>
          <w:tcPr>
            <w:tcW w:w="24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bottom w:val="single" w:sz="8" w:color="D6F3E8"/>
            </w:tcBorders>
            <w:shd w:val="clear" w:color="auto" w:fill="D6F3E8"/>
          </w:tcPr>
          <w:p>
            <w:pPr>
              <w:spacing w:after="0"/>
              <w:rPr>
                <w:sz w:val="21"/>
                <w:szCs w:val="21"/>
                <w:color w:val="auto"/>
              </w:rPr>
            </w:pPr>
          </w:p>
        </w:tc>
        <w:tc>
          <w:tcPr>
            <w:tcW w:w="180" w:type="dxa"/>
            <w:vAlign w:val="bottom"/>
            <w:tcBorders>
              <w:top w:val="single" w:sz="8" w:color="auto"/>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305,455</w:t>
            </w:r>
          </w:p>
        </w:tc>
        <w:tc>
          <w:tcPr>
            <w:tcW w:w="10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343"/>
        </w:trPr>
        <w:tc>
          <w:tcPr>
            <w:tcW w:w="8580" w:type="dxa"/>
            <w:vAlign w:val="bottom"/>
            <w:gridSpan w:val="2"/>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560" w:type="dxa"/>
            <w:vAlign w:val="bottom"/>
            <w:shd w:val="clear" w:color="auto" w:fill="D6F3E8"/>
          </w:tcPr>
          <w:p>
            <w:pPr>
              <w:spacing w:after="0"/>
              <w:rPr>
                <w:sz w:val="20"/>
                <w:szCs w:val="20"/>
                <w:color w:val="auto"/>
              </w:rPr>
            </w:pPr>
            <w:r>
              <w:rPr>
                <w:rFonts w:ascii="Arial" w:cs="Arial" w:eastAsia="Arial" w:hAnsi="Arial"/>
                <w:sz w:val="18"/>
                <w:szCs w:val="18"/>
                <w:color w:val="auto"/>
              </w:rPr>
              <w:t>Current liabilities:</w:t>
            </w:r>
          </w:p>
        </w:tc>
        <w:tc>
          <w:tcPr>
            <w:tcW w:w="120" w:type="dxa"/>
            <w:vAlign w:val="bottom"/>
            <w:shd w:val="clear" w:color="auto" w:fill="D6F3E8"/>
          </w:tcPr>
          <w:p>
            <w:pPr>
              <w:spacing w:after="0"/>
              <w:rPr>
                <w:sz w:val="18"/>
                <w:szCs w:val="18"/>
                <w:color w:val="auto"/>
              </w:rPr>
            </w:pPr>
          </w:p>
        </w:tc>
        <w:tc>
          <w:tcPr>
            <w:tcW w:w="1040" w:type="dxa"/>
            <w:vAlign w:val="bottom"/>
            <w:shd w:val="clear" w:color="auto" w:fill="D6F3E8"/>
          </w:tcPr>
          <w:p>
            <w:pPr>
              <w:spacing w:after="0"/>
              <w:rPr>
                <w:sz w:val="18"/>
                <w:szCs w:val="18"/>
                <w:color w:val="auto"/>
              </w:rPr>
            </w:pP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9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10,997</w:t>
            </w:r>
          </w:p>
        </w:tc>
        <w:tc>
          <w:tcPr>
            <w:tcW w:w="240" w:type="dxa"/>
            <w:vAlign w:val="bottom"/>
          </w:tcPr>
          <w:p>
            <w:pPr>
              <w:spacing w:after="0"/>
              <w:rPr>
                <w:sz w:val="18"/>
                <w:szCs w:val="18"/>
                <w:color w:val="auto"/>
              </w:rPr>
            </w:pPr>
          </w:p>
        </w:tc>
        <w:tc>
          <w:tcPr>
            <w:tcW w:w="380" w:type="dxa"/>
            <w:vAlign w:val="bottom"/>
            <w:gridSpan w:val="2"/>
          </w:tcPr>
          <w:p>
            <w:pPr>
              <w:jc w:val="right"/>
              <w:ind w:right="23"/>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Accrued expenses: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Accrued compensation</w:t>
            </w:r>
          </w:p>
        </w:tc>
        <w:tc>
          <w:tcPr>
            <w:tcW w:w="1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9,159</w:t>
            </w: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Product warranties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8,706</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Self-insurance</w:t>
            </w:r>
          </w:p>
        </w:tc>
        <w:tc>
          <w:tcPr>
            <w:tcW w:w="1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6,227</w:t>
            </w: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6,630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Promotional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1,674</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ind w:left="300"/>
              <w:spacing w:after="0"/>
              <w:rPr>
                <w:sz w:val="20"/>
                <w:szCs w:val="20"/>
                <w:color w:val="auto"/>
              </w:rPr>
            </w:pPr>
            <w:r>
              <w:rPr>
                <w:rFonts w:ascii="Arial" w:cs="Arial" w:eastAsia="Arial" w:hAnsi="Arial"/>
                <w:sz w:val="18"/>
                <w:szCs w:val="18"/>
                <w:color w:val="auto"/>
              </w:rPr>
              <w:t>Accrued dividends</w:t>
            </w:r>
          </w:p>
        </w:tc>
        <w:tc>
          <w:tcPr>
            <w:tcW w:w="12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30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8,273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5,936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D6F3E8"/>
            </w:tcBorders>
            <w:shd w:val="clear" w:color="auto" w:fill="D6F3E8"/>
          </w:tcPr>
          <w:p>
            <w:pPr>
              <w:ind w:left="46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shd w:val="clear" w:color="auto" w:fill="D6F3E8"/>
          </w:tcPr>
          <w:p>
            <w:pPr>
              <w:spacing w:after="0"/>
              <w:rPr>
                <w:sz w:val="18"/>
                <w:szCs w:val="18"/>
                <w:color w:val="auto"/>
              </w:rPr>
            </w:pP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45,056</w:t>
            </w:r>
          </w:p>
        </w:tc>
        <w:tc>
          <w:tcPr>
            <w:tcW w:w="24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54,333</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Long-term liabilities:</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Unrecognized tax benefits</w:t>
            </w:r>
          </w:p>
        </w:tc>
        <w:tc>
          <w:tcPr>
            <w:tcW w:w="1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9,282</w:t>
            </w: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9,469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Postretirement health care and deferred compensation benefits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64,193</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67,729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Total long-term liabilities</w:t>
            </w:r>
          </w:p>
        </w:tc>
        <w:tc>
          <w:tcPr>
            <w:tcW w:w="120" w:type="dxa"/>
            <w:vAlign w:val="bottom"/>
            <w:tcBorders>
              <w:top w:val="single" w:sz="8" w:color="auto"/>
              <w:bottom w:val="single" w:sz="8" w:color="auto"/>
            </w:tcBorders>
            <w:shd w:val="clear" w:color="auto" w:fill="D6F3E8"/>
          </w:tcPr>
          <w:p>
            <w:pPr>
              <w:spacing w:after="0"/>
              <w:rPr>
                <w:sz w:val="18"/>
                <w:szCs w:val="18"/>
                <w:color w:val="auto"/>
              </w:rPr>
            </w:pP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73,475</w:t>
            </w:r>
          </w:p>
        </w:tc>
        <w:tc>
          <w:tcPr>
            <w:tcW w:w="24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D6F3E8"/>
            </w:tcBorders>
            <w:shd w:val="clear" w:color="auto" w:fill="D6F3E8"/>
          </w:tcPr>
          <w:p>
            <w:pPr>
              <w:spacing w:after="0"/>
              <w:rPr>
                <w:sz w:val="18"/>
                <w:szCs w:val="18"/>
                <w:color w:val="auto"/>
              </w:rPr>
            </w:pPr>
          </w:p>
        </w:tc>
        <w:tc>
          <w:tcPr>
            <w:tcW w:w="180" w:type="dxa"/>
            <w:vAlign w:val="bottom"/>
            <w:tcBorders>
              <w:top w:val="single" w:sz="8" w:color="auto"/>
              <w:bottom w:val="single" w:sz="8" w:color="auto"/>
            </w:tcBorders>
            <w:shd w:val="clear" w:color="auto" w:fill="D6F3E8"/>
          </w:tcPr>
          <w:p>
            <w:pPr>
              <w:spacing w:after="0"/>
              <w:rPr>
                <w:sz w:val="18"/>
                <w:szCs w:val="18"/>
                <w:color w:val="auto"/>
              </w:rPr>
            </w:pPr>
          </w:p>
        </w:tc>
        <w:tc>
          <w:tcPr>
            <w:tcW w:w="9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77,198</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0"/>
        </w:trPr>
        <w:tc>
          <w:tcPr>
            <w:tcW w:w="8580" w:type="dxa"/>
            <w:vAlign w:val="bottom"/>
            <w:gridSpan w:val="2"/>
          </w:tcPr>
          <w:p>
            <w:pPr>
              <w:spacing w:after="0"/>
              <w:rPr>
                <w:sz w:val="20"/>
                <w:szCs w:val="20"/>
                <w:color w:val="auto"/>
              </w:rPr>
            </w:pPr>
            <w:r>
              <w:rPr>
                <w:rFonts w:ascii="Arial" w:cs="Arial" w:eastAsia="Arial" w:hAnsi="Arial"/>
                <w:sz w:val="18"/>
                <w:szCs w:val="18"/>
                <w:color w:val="auto"/>
              </w:rPr>
              <w:t>Contingent liabilities and commitments</w:t>
            </w: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58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Capital stock common, par value $0.50; authorized 60,000 shares, issued 51,776 shares</w:t>
            </w:r>
          </w:p>
        </w:tc>
        <w:tc>
          <w:tcPr>
            <w:tcW w:w="1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25,888</w:t>
            </w: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25,888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29,382</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29,632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479,598</w:t>
            </w:r>
          </w:p>
        </w:tc>
        <w:tc>
          <w:tcPr>
            <w:tcW w:w="24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489,194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9,749</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Treasury stock, at cost (22,713 and 22,706 shares, respectively)</w:t>
            </w:r>
          </w:p>
        </w:tc>
        <w:tc>
          <w:tcPr>
            <w:tcW w:w="12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(380,633)</w:t>
            </w:r>
          </w:p>
        </w:tc>
        <w:tc>
          <w:tcPr>
            <w:tcW w:w="20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0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(380,603)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tcBorders>
              <w:top w:val="single" w:sz="8" w:color="D6F3E8"/>
            </w:tcBorders>
          </w:tcPr>
          <w:p>
            <w:pPr>
              <w:ind w:left="14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163,984</w:t>
            </w:r>
          </w:p>
        </w:tc>
        <w:tc>
          <w:tcPr>
            <w:tcW w:w="240" w:type="dxa"/>
            <w:vAlign w:val="bottom"/>
            <w:tcBorders>
              <w:top w:val="single" w:sz="8" w:color="D6F3E8"/>
            </w:tcBorders>
          </w:tcPr>
          <w:p>
            <w:pPr>
              <w:spacing w:after="0"/>
              <w:rPr>
                <w:sz w:val="18"/>
                <w:szCs w:val="18"/>
                <w:color w:val="auto"/>
              </w:rPr>
            </w:pPr>
          </w:p>
        </w:tc>
        <w:tc>
          <w:tcPr>
            <w:tcW w:w="200" w:type="dxa"/>
            <w:vAlign w:val="bottom"/>
            <w:tcBorders>
              <w:top w:val="single" w:sz="8" w:color="D6F3E8"/>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173,924</w:t>
            </w:r>
          </w:p>
        </w:tc>
        <w:tc>
          <w:tcPr>
            <w:tcW w:w="10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560" w:type="dxa"/>
            <w:vAlign w:val="bottom"/>
            <w:tcBorders>
              <w:bottom w:val="single" w:sz="8" w:color="D6F3E8"/>
            </w:tcBorders>
            <w:shd w:val="clear" w:color="auto" w:fill="D6F3E8"/>
          </w:tcPr>
          <w:p>
            <w:pPr>
              <w:ind w:left="30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282,515</w:t>
            </w:r>
          </w:p>
        </w:tc>
        <w:tc>
          <w:tcPr>
            <w:tcW w:w="24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bottom w:val="single" w:sz="8" w:color="D6F3E8"/>
            </w:tcBorders>
            <w:shd w:val="clear" w:color="auto" w:fill="D6F3E8"/>
          </w:tcPr>
          <w:p>
            <w:pPr>
              <w:spacing w:after="0"/>
              <w:rPr>
                <w:sz w:val="21"/>
                <w:szCs w:val="21"/>
                <w:color w:val="auto"/>
              </w:rPr>
            </w:pPr>
          </w:p>
        </w:tc>
        <w:tc>
          <w:tcPr>
            <w:tcW w:w="180" w:type="dxa"/>
            <w:vAlign w:val="bottom"/>
            <w:tcBorders>
              <w:bottom w:val="single" w:sz="8" w:color="auto"/>
            </w:tcBorders>
            <w:shd w:val="clear" w:color="auto" w:fill="D6F3E8"/>
          </w:tcPr>
          <w:p>
            <w:pPr>
              <w:jc w:val="right"/>
              <w:ind w:right="23"/>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305,455</w:t>
            </w:r>
          </w:p>
        </w:tc>
        <w:tc>
          <w:tcPr>
            <w:tcW w:w="10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6179820</wp:posOffset>
            </wp:positionH>
            <wp:positionV relativeFrom="paragraph">
              <wp:posOffset>-4570095</wp:posOffset>
            </wp:positionV>
            <wp:extent cx="2832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-4570095</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-316865</wp:posOffset>
            </wp:positionV>
            <wp:extent cx="2832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8321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-316865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ectPr>
          <w:pgSz w:w="11900" w:h="16838" w:orient="portrait"/>
          <w:cols w:equalWidth="0" w:num="1">
            <w:col w:w="11420"/>
          </w:cols>
          <w:pgMar w:left="240" w:top="131" w:right="2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0"/>
              </w:rPr>
              <w:t>Thirteen</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Fourteen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Weeks Ended</w:t>
            </w:r>
          </w:p>
        </w:tc>
        <w:tc>
          <w:tcPr>
            <w:tcW w:w="10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87"/>
              </w:rPr>
              <w:t>November 29,</w:t>
            </w: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tcPr>
          <w:p>
            <w:pPr>
              <w:jc w:val="center"/>
              <w:ind w:right="134"/>
              <w:spacing w:after="0" w:line="129" w:lineRule="exact"/>
              <w:rPr>
                <w:sz w:val="20"/>
                <w:szCs w:val="20"/>
                <w:color w:val="auto"/>
              </w:rPr>
            </w:pPr>
            <w:r>
              <w:rPr>
                <w:rFonts w:ascii="Arial" w:cs="Arial" w:eastAsia="Arial" w:hAnsi="Arial"/>
                <w:sz w:val="14"/>
                <w:szCs w:val="14"/>
                <w:b w:val="1"/>
                <w:bCs w:val="1"/>
                <w:color w:val="auto"/>
                <w:w w:val="86"/>
              </w:rPr>
              <w:t>December 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2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2008</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134"/>
              <w:spacing w:after="0"/>
              <w:rPr>
                <w:sz w:val="20"/>
                <w:szCs w:val="20"/>
                <w:color w:val="auto"/>
              </w:rPr>
            </w:pPr>
            <w:r>
              <w:rPr>
                <w:rFonts w:ascii="Arial" w:cs="Arial" w:eastAsia="Arial" w:hAnsi="Arial"/>
                <w:sz w:val="14"/>
                <w:szCs w:val="14"/>
                <w:b w:val="1"/>
                <w:bCs w:val="1"/>
                <w:color w:val="auto"/>
                <w:w w:val="89"/>
              </w:rPr>
              <w:t>2007</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D6F3E8"/>
          </w:tcPr>
          <w:p>
            <w:pPr>
              <w:spacing w:after="0"/>
              <w:rPr>
                <w:sz w:val="20"/>
                <w:szCs w:val="20"/>
                <w:color w:val="auto"/>
              </w:rPr>
            </w:pPr>
            <w:r>
              <w:rPr>
                <w:rFonts w:ascii="Arial" w:cs="Arial" w:eastAsia="Arial" w:hAnsi="Arial"/>
                <w:sz w:val="18"/>
                <w:szCs w:val="18"/>
                <w:color w:val="auto"/>
              </w:rPr>
              <w:t>Operating activities:</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Net (loss)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(9,596)</w:t>
            </w:r>
          </w:p>
        </w:tc>
        <w:tc>
          <w:tcPr>
            <w:tcW w:w="420" w:type="dxa"/>
            <w:vAlign w:val="bottom"/>
            <w:gridSpan w:val="2"/>
          </w:tcPr>
          <w:p>
            <w:pPr>
              <w:jc w:val="right"/>
              <w:ind w:right="63"/>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9,962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D6F3E8"/>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Depreciation</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2,137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2,713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Stock-based compensation</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288</w:t>
            </w:r>
          </w:p>
        </w:tc>
        <w:tc>
          <w:tcPr>
            <w:tcW w:w="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2,270</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Postretirement benefit income and deferred compensation expense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Provision for doubtful accounts</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15</w:t>
            </w:r>
          </w:p>
        </w:tc>
        <w:tc>
          <w:tcPr>
            <w:tcW w:w="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Increase in cash surrender value of life insurance policies</w:t>
            </w:r>
          </w:p>
        </w:tc>
        <w:tc>
          <w:tcPr>
            <w:tcW w:w="16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(246)</w:t>
            </w: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(Gain) loss on disposal of property</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36</w:t>
            </w:r>
          </w:p>
        </w:tc>
        <w:tc>
          <w:tcPr>
            <w:tcW w:w="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Change in assets and liabilities: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Inventories</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27,302</w:t>
            </w:r>
          </w:p>
        </w:tc>
        <w:tc>
          <w:tcPr>
            <w:tcW w:w="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(18,909)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Receivables and prepaid assets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4,704</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6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(5,951)</w:t>
            </w: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(5,879)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Income taxes (receivable) payable and unrecognized tax benefits</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(4,510)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4,303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Postretirement and deferred compensation benefits</w:t>
            </w:r>
          </w:p>
        </w:tc>
        <w:tc>
          <w:tcPr>
            <w:tcW w:w="16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(781)</w:t>
            </w: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top w:val="single" w:sz="8" w:color="D6F3E8"/>
            </w:tcBorders>
          </w:tcPr>
          <w:p>
            <w:pPr>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12,866</w:t>
            </w:r>
          </w:p>
        </w:tc>
        <w:tc>
          <w:tcPr>
            <w:tcW w:w="260" w:type="dxa"/>
            <w:vAlign w:val="bottom"/>
            <w:tcBorders>
              <w:top w:val="single" w:sz="8" w:color="D6F3E8"/>
            </w:tcBorders>
          </w:tcPr>
          <w:p>
            <w:pPr>
              <w:spacing w:after="0"/>
              <w:rPr>
                <w:sz w:val="18"/>
                <w:szCs w:val="18"/>
                <w:color w:val="auto"/>
              </w:rPr>
            </w:pPr>
          </w:p>
        </w:tc>
        <w:tc>
          <w:tcPr>
            <w:tcW w:w="200" w:type="dxa"/>
            <w:vAlign w:val="bottom"/>
            <w:tcBorders>
              <w:top w:val="single" w:sz="8" w:color="D6F3E8"/>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7,587</w:t>
            </w:r>
          </w:p>
        </w:tc>
        <w:tc>
          <w:tcPr>
            <w:tcW w:w="120" w:type="dxa"/>
            <w:vAlign w:val="bottom"/>
            <w:tcBorders>
              <w:top w:val="single" w:sz="8" w:color="D6F3E8"/>
            </w:tcBorders>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D6F3E8"/>
          </w:tcPr>
          <w:p>
            <w:pPr>
              <w:spacing w:after="0"/>
              <w:rPr>
                <w:sz w:val="20"/>
                <w:szCs w:val="20"/>
                <w:color w:val="auto"/>
              </w:rPr>
            </w:pPr>
            <w:r>
              <w:rPr>
                <w:rFonts w:ascii="Arial" w:cs="Arial" w:eastAsia="Arial" w:hAnsi="Arial"/>
                <w:sz w:val="18"/>
                <w:szCs w:val="18"/>
                <w:color w:val="auto"/>
              </w:rPr>
              <w:t>Investing activities:</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Purchases of investments</w:t>
            </w:r>
          </w:p>
        </w:tc>
        <w:tc>
          <w:tcPr>
            <w:tcW w:w="1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(150,072)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Proceeds from the sale or maturity of investments</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3,100</w:t>
            </w:r>
          </w:p>
        </w:tc>
        <w:tc>
          <w:tcPr>
            <w:tcW w:w="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163,375</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(689)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Proceeds from the sale of property</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87</w:t>
            </w:r>
          </w:p>
        </w:tc>
        <w:tc>
          <w:tcPr>
            <w:tcW w:w="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53</w:t>
            </w:r>
          </w:p>
        </w:tc>
        <w:tc>
          <w:tcPr>
            <w:tcW w:w="12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(799)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cash provided by investing activities</w:t>
            </w:r>
          </w:p>
        </w:tc>
        <w:tc>
          <w:tcPr>
            <w:tcW w:w="160" w:type="dxa"/>
            <w:vAlign w:val="bottom"/>
            <w:tcBorders>
              <w:top w:val="single" w:sz="8" w:color="auto"/>
              <w:bottom w:val="single" w:sz="8" w:color="auto"/>
            </w:tcBorders>
            <w:shd w:val="clear" w:color="auto" w:fill="D6F3E8"/>
          </w:tcPr>
          <w:p>
            <w:pPr>
              <w:spacing w:after="0"/>
              <w:rPr>
                <w:sz w:val="18"/>
                <w:szCs w:val="18"/>
                <w:color w:val="auto"/>
              </w:rPr>
            </w:pPr>
          </w:p>
        </w:tc>
        <w:tc>
          <w:tcPr>
            <w:tcW w:w="1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1,699</w:t>
            </w:r>
          </w:p>
        </w:tc>
        <w:tc>
          <w:tcPr>
            <w:tcW w:w="26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D6F3E8"/>
            </w:tcBorders>
            <w:shd w:val="clear" w:color="auto" w:fill="D6F3E8"/>
          </w:tcPr>
          <w:p>
            <w:pPr>
              <w:spacing w:after="0"/>
              <w:rPr>
                <w:sz w:val="18"/>
                <w:szCs w:val="18"/>
                <w:color w:val="auto"/>
              </w:rPr>
            </w:pPr>
          </w:p>
        </w:tc>
        <w:tc>
          <w:tcPr>
            <w:tcW w:w="220" w:type="dxa"/>
            <w:vAlign w:val="bottom"/>
            <w:tcBorders>
              <w:top w:val="single" w:sz="8" w:color="auto"/>
              <w:bottom w:val="single" w:sz="8" w:color="auto"/>
            </w:tcBorders>
            <w:shd w:val="clear" w:color="auto" w:fill="D6F3E8"/>
          </w:tcPr>
          <w:p>
            <w:pPr>
              <w:spacing w:after="0"/>
              <w:rPr>
                <w:sz w:val="18"/>
                <w:szCs w:val="18"/>
                <w:color w:val="auto"/>
              </w:rPr>
            </w:pPr>
          </w:p>
        </w:tc>
        <w:tc>
          <w:tcPr>
            <w:tcW w:w="10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11,367</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357"/>
        </w:trPr>
        <w:tc>
          <w:tcPr>
            <w:tcW w:w="8280" w:type="dxa"/>
            <w:vAlign w:val="bottom"/>
            <w:gridSpan w:val="2"/>
          </w:tcPr>
          <w:p>
            <w:pPr>
              <w:spacing w:after="0"/>
              <w:rPr>
                <w:sz w:val="20"/>
                <w:szCs w:val="20"/>
                <w:color w:val="auto"/>
              </w:rPr>
            </w:pPr>
            <w:r>
              <w:rPr>
                <w:rFonts w:ascii="Arial" w:cs="Arial" w:eastAsia="Arial" w:hAnsi="Arial"/>
                <w:sz w:val="18"/>
                <w:szCs w:val="18"/>
                <w:color w:val="auto"/>
              </w:rPr>
              <w:t>Financing activities:</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2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Payments for purchase of common stock</w:t>
            </w:r>
          </w:p>
        </w:tc>
        <w:tc>
          <w:tcPr>
            <w:tcW w:w="160" w:type="dxa"/>
            <w:vAlign w:val="bottom"/>
            <w:shd w:val="clear" w:color="auto" w:fill="D6F3E8"/>
          </w:tcPr>
          <w:p>
            <w:pPr>
              <w:spacing w:after="0"/>
              <w:rPr>
                <w:sz w:val="18"/>
                <w:szCs w:val="18"/>
                <w:color w:val="auto"/>
              </w:rPr>
            </w:pPr>
          </w:p>
        </w:tc>
        <w:tc>
          <w:tcPr>
            <w:tcW w:w="1380" w:type="dxa"/>
            <w:vAlign w:val="bottom"/>
            <w:gridSpan w:val="2"/>
            <w:shd w:val="clear" w:color="auto" w:fill="D6F3E8"/>
          </w:tcPr>
          <w:p>
            <w:pPr>
              <w:jc w:val="right"/>
              <w:ind w:right="200"/>
              <w:spacing w:after="0"/>
              <w:rPr>
                <w:sz w:val="20"/>
                <w:szCs w:val="20"/>
                <w:color w:val="auto"/>
              </w:rPr>
            </w:pPr>
            <w:r>
              <w:rPr>
                <w:rFonts w:ascii="Arial" w:cs="Arial" w:eastAsia="Arial" w:hAnsi="Arial"/>
                <w:sz w:val="18"/>
                <w:szCs w:val="18"/>
                <w:color w:val="auto"/>
              </w:rPr>
              <w:t>(162)</w:t>
            </w: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(17,519)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ind w:left="140"/>
              <w:spacing w:after="0"/>
              <w:rPr>
                <w:sz w:val="20"/>
                <w:szCs w:val="20"/>
                <w:color w:val="auto"/>
              </w:rPr>
            </w:pPr>
            <w:r>
              <w:rPr>
                <w:rFonts w:ascii="Arial" w:cs="Arial" w:eastAsia="Arial" w:hAnsi="Arial"/>
                <w:sz w:val="18"/>
                <w:szCs w:val="18"/>
                <w:color w:val="auto"/>
              </w:rPr>
              <w:t>Payments of cash dividends</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(3,489)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(3,546)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Borders>
              <w:bottom w:val="single" w:sz="8" w:color="D6F3E8"/>
            </w:tcBorders>
            <w:shd w:val="clear" w:color="auto" w:fill="D6F3E8"/>
          </w:tcPr>
          <w:p>
            <w:pPr>
              <w:ind w:left="140"/>
              <w:spacing w:after="0"/>
              <w:rPr>
                <w:sz w:val="20"/>
                <w:szCs w:val="20"/>
                <w:color w:val="auto"/>
              </w:rPr>
            </w:pPr>
            <w:r>
              <w:rPr>
                <w:rFonts w:ascii="Arial" w:cs="Arial" w:eastAsia="Arial" w:hAnsi="Arial"/>
                <w:sz w:val="18"/>
                <w:szCs w:val="18"/>
                <w:color w:val="auto"/>
              </w:rPr>
              <w:t>Proceeds from exercise of stock options</w:t>
            </w:r>
          </w:p>
        </w:tc>
        <w:tc>
          <w:tcPr>
            <w:tcW w:w="160" w:type="dxa"/>
            <w:vAlign w:val="bottom"/>
            <w:tcBorders>
              <w:bottom w:val="single" w:sz="8" w:color="auto"/>
            </w:tcBorders>
            <w:shd w:val="clear" w:color="auto" w:fill="D6F3E8"/>
          </w:tcPr>
          <w:p>
            <w:pPr>
              <w:spacing w:after="0"/>
              <w:rPr>
                <w:sz w:val="18"/>
                <w:szCs w:val="18"/>
                <w:color w:val="auto"/>
              </w:rPr>
            </w:pPr>
          </w:p>
        </w:tc>
        <w:tc>
          <w:tcPr>
            <w:tcW w:w="1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D6F3E8"/>
            </w:tcBorders>
            <w:shd w:val="clear" w:color="auto" w:fill="D6F3E8"/>
          </w:tcPr>
          <w:p>
            <w:pPr>
              <w:spacing w:after="0"/>
              <w:rPr>
                <w:sz w:val="18"/>
                <w:szCs w:val="18"/>
                <w:color w:val="auto"/>
              </w:rPr>
            </w:pPr>
          </w:p>
        </w:tc>
        <w:tc>
          <w:tcPr>
            <w:tcW w:w="200" w:type="dxa"/>
            <w:vAlign w:val="bottom"/>
            <w:tcBorders>
              <w:bottom w:val="single" w:sz="8" w:color="D6F3E8"/>
            </w:tcBorders>
            <w:shd w:val="clear" w:color="auto" w:fill="D6F3E8"/>
          </w:tcPr>
          <w:p>
            <w:pPr>
              <w:spacing w:after="0"/>
              <w:rPr>
                <w:sz w:val="18"/>
                <w:szCs w:val="18"/>
                <w:color w:val="auto"/>
              </w:rPr>
            </w:pPr>
          </w:p>
        </w:tc>
        <w:tc>
          <w:tcPr>
            <w:tcW w:w="220" w:type="dxa"/>
            <w:vAlign w:val="bottom"/>
            <w:tcBorders>
              <w:bottom w:val="single" w:sz="8" w:color="auto"/>
            </w:tcBorders>
            <w:shd w:val="clear" w:color="auto" w:fill="D6F3E8"/>
          </w:tcPr>
          <w:p>
            <w:pPr>
              <w:spacing w:after="0"/>
              <w:rPr>
                <w:sz w:val="18"/>
                <w:szCs w:val="18"/>
                <w:color w:val="auto"/>
              </w:rPr>
            </w:pP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58</w:t>
            </w:r>
          </w:p>
        </w:tc>
        <w:tc>
          <w:tcPr>
            <w:tcW w:w="12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160" w:type="dxa"/>
            <w:vAlign w:val="bottom"/>
          </w:tcPr>
          <w:p>
            <w:pPr>
              <w:spacing w:after="0"/>
              <w:rPr>
                <w:sz w:val="18"/>
                <w:szCs w:val="18"/>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(3,651)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(21,007)</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82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60" w:type="dxa"/>
            <w:vAlign w:val="bottom"/>
            <w:shd w:val="clear" w:color="auto" w:fill="D6F3E8"/>
          </w:tcPr>
          <w:p>
            <w:pPr>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D6F3E8"/>
          </w:tcPr>
          <w:p>
            <w:pPr>
              <w:spacing w:after="0"/>
              <w:rPr>
                <w:sz w:val="18"/>
                <w:szCs w:val="18"/>
                <w:color w:val="auto"/>
              </w:rPr>
            </w:pP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10,914</w:t>
            </w:r>
          </w:p>
        </w:tc>
        <w:tc>
          <w:tcPr>
            <w:tcW w:w="260" w:type="dxa"/>
            <w:vAlign w:val="bottom"/>
            <w:shd w:val="clear" w:color="auto" w:fill="D6F3E8"/>
          </w:tcPr>
          <w:p>
            <w:pPr>
              <w:spacing w:after="0"/>
              <w:rPr>
                <w:sz w:val="18"/>
                <w:szCs w:val="18"/>
                <w:color w:val="auto"/>
              </w:rPr>
            </w:pPr>
          </w:p>
        </w:tc>
        <w:tc>
          <w:tcPr>
            <w:tcW w:w="200" w:type="dxa"/>
            <w:vAlign w:val="bottom"/>
            <w:shd w:val="clear" w:color="auto" w:fill="D6F3E8"/>
          </w:tcPr>
          <w:p>
            <w:pPr>
              <w:spacing w:after="0"/>
              <w:rPr>
                <w:sz w:val="18"/>
                <w:szCs w:val="18"/>
                <w:color w:val="auto"/>
              </w:rPr>
            </w:pPr>
          </w:p>
        </w:tc>
        <w:tc>
          <w:tcPr>
            <w:tcW w:w="22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(2,053)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17,851</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2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Cash and cash equivalents at end of period</w:t>
            </w:r>
          </w:p>
        </w:tc>
        <w:tc>
          <w:tcPr>
            <w:tcW w:w="1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28,765</w:t>
            </w:r>
          </w:p>
        </w:tc>
        <w:tc>
          <w:tcPr>
            <w:tcW w:w="260" w:type="dxa"/>
            <w:vAlign w:val="bottom"/>
            <w:tcBorders>
              <w:bottom w:val="single" w:sz="8" w:color="D6F3E8"/>
            </w:tcBorders>
            <w:shd w:val="clear" w:color="auto" w:fill="D6F3E8"/>
          </w:tcPr>
          <w:p>
            <w:pPr>
              <w:spacing w:after="0"/>
              <w:rPr>
                <w:sz w:val="21"/>
                <w:szCs w:val="21"/>
                <w:color w:val="auto"/>
              </w:rPr>
            </w:pPr>
          </w:p>
        </w:tc>
        <w:tc>
          <w:tcPr>
            <w:tcW w:w="200" w:type="dxa"/>
            <w:vAlign w:val="bottom"/>
            <w:tcBorders>
              <w:bottom w:val="single" w:sz="8" w:color="D6F3E8"/>
            </w:tcBorders>
            <w:shd w:val="clear" w:color="auto" w:fill="D6F3E8"/>
          </w:tcPr>
          <w:p>
            <w:pPr>
              <w:spacing w:after="0"/>
              <w:rPr>
                <w:sz w:val="21"/>
                <w:szCs w:val="21"/>
                <w:color w:val="auto"/>
              </w:rPr>
            </w:pPr>
          </w:p>
        </w:tc>
        <w:tc>
          <w:tcPr>
            <w:tcW w:w="220" w:type="dxa"/>
            <w:vAlign w:val="bottom"/>
            <w:tcBorders>
              <w:bottom w:val="single" w:sz="8" w:color="auto"/>
            </w:tcBorders>
            <w:shd w:val="clear" w:color="auto" w:fill="D6F3E8"/>
          </w:tcPr>
          <w:p>
            <w:pPr>
              <w:jc w:val="right"/>
              <w:ind w:right="63"/>
              <w:spacing w:after="0"/>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4,836</w:t>
            </w:r>
          </w:p>
        </w:tc>
        <w:tc>
          <w:tcPr>
            <w:tcW w:w="120" w:type="dxa"/>
            <w:vAlign w:val="bottom"/>
            <w:tcBorders>
              <w:bottom w:val="single" w:sz="8" w:color="D6F3E8"/>
            </w:tcBorders>
            <w:shd w:val="clear" w:color="auto" w:fill="D6F3E8"/>
          </w:tcPr>
          <w:p>
            <w:pPr>
              <w:spacing w:after="0"/>
              <w:rPr>
                <w:sz w:val="21"/>
                <w:szCs w:val="21"/>
                <w:color w:val="auto"/>
              </w:rPr>
            </w:pPr>
          </w:p>
        </w:tc>
        <w:tc>
          <w:tcPr>
            <w:tcW w:w="0" w:type="dxa"/>
            <w:vAlign w:val="bottom"/>
          </w:tcPr>
          <w:p>
            <w:pPr>
              <w:spacing w:after="0"/>
              <w:rPr>
                <w:sz w:val="1"/>
                <w:szCs w:val="1"/>
                <w:color w:val="auto"/>
              </w:rPr>
            </w:pPr>
          </w:p>
        </w:tc>
      </w:tr>
      <w:tr>
        <w:trPr>
          <w:trHeight w:val="344"/>
        </w:trPr>
        <w:tc>
          <w:tcPr>
            <w:tcW w:w="8280" w:type="dxa"/>
            <w:vAlign w:val="bottom"/>
            <w:gridSpan w:val="2"/>
          </w:tcPr>
          <w:p>
            <w:pPr>
              <w:spacing w:after="0"/>
              <w:rPr>
                <w:sz w:val="20"/>
                <w:szCs w:val="20"/>
                <w:color w:val="auto"/>
              </w:rPr>
            </w:pPr>
            <w:r>
              <w:rPr>
                <w:rFonts w:ascii="Arial" w:cs="Arial" w:eastAsia="Arial" w:hAnsi="Arial"/>
                <w:sz w:val="18"/>
                <w:szCs w:val="18"/>
                <w:color w:val="auto"/>
              </w:rPr>
              <w:t>Supplemental cash flow disclosure:</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8260" w:type="dxa"/>
            <w:vAlign w:val="bottom"/>
            <w:shd w:val="clear" w:color="auto" w:fill="D6F3E8"/>
          </w:tcPr>
          <w:p>
            <w:pPr>
              <w:ind w:left="140"/>
              <w:spacing w:after="0"/>
              <w:rPr>
                <w:sz w:val="20"/>
                <w:szCs w:val="20"/>
                <w:color w:val="auto"/>
              </w:rPr>
            </w:pPr>
            <w:r>
              <w:rPr>
                <w:rFonts w:ascii="Arial" w:cs="Arial" w:eastAsia="Arial" w:hAnsi="Arial"/>
                <w:sz w:val="18"/>
                <w:szCs w:val="18"/>
                <w:color w:val="auto"/>
              </w:rPr>
              <w:t>Income taxes paid</w:t>
            </w: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77</w:t>
            </w:r>
          </w:p>
        </w:tc>
        <w:tc>
          <w:tcPr>
            <w:tcW w:w="260" w:type="dxa"/>
            <w:vAlign w:val="bottom"/>
            <w:shd w:val="clear" w:color="auto" w:fill="D6F3E8"/>
          </w:tcPr>
          <w:p>
            <w:pPr>
              <w:spacing w:after="0"/>
              <w:rPr>
                <w:sz w:val="20"/>
                <w:szCs w:val="20"/>
                <w:color w:val="auto"/>
              </w:rPr>
            </w:pPr>
          </w:p>
        </w:tc>
        <w:tc>
          <w:tcPr>
            <w:tcW w:w="420" w:type="dxa"/>
            <w:vAlign w:val="bottom"/>
            <w:gridSpan w:val="2"/>
            <w:shd w:val="clear" w:color="auto" w:fill="D6F3E8"/>
          </w:tcPr>
          <w:p>
            <w:pPr>
              <w:jc w:val="right"/>
              <w:ind w:right="63"/>
              <w:spacing w:after="0"/>
              <w:rPr>
                <w:sz w:val="20"/>
                <w:szCs w:val="20"/>
                <w:color w:val="auto"/>
              </w:rPr>
            </w:pPr>
            <w:r>
              <w:rPr>
                <w:rFonts w:ascii="Arial" w:cs="Arial" w:eastAsia="Arial" w:hAnsi="Arial"/>
                <w:sz w:val="18"/>
                <w:szCs w:val="18"/>
                <w:color w:val="auto"/>
              </w:rPr>
              <w:t>$</w:t>
            </w:r>
          </w:p>
        </w:tc>
        <w:tc>
          <w:tcPr>
            <w:tcW w:w="10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D6F3E8"/>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260" w:type="dxa"/>
            <w:vAlign w:val="bottom"/>
            <w:tcBorders>
              <w:top w:val="single" w:sz="8" w:color="D6F3E8"/>
            </w:tcBorders>
            <w:shd w:val="clear" w:color="auto" w:fill="D6F3E8"/>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D6F3E8"/>
            </w:tcBorders>
            <w:shd w:val="clear" w:color="auto" w:fill="D6F3E8"/>
          </w:tcPr>
          <w:p>
            <w:pPr>
              <w:spacing w:after="0" w:line="20" w:lineRule="exact"/>
              <w:rPr>
                <w:sz w:val="1"/>
                <w:szCs w:val="1"/>
                <w:color w:val="auto"/>
              </w:rPr>
            </w:pPr>
          </w:p>
        </w:tc>
        <w:tc>
          <w:tcPr>
            <w:tcW w:w="200" w:type="dxa"/>
            <w:vAlign w:val="bottom"/>
            <w:tcBorders>
              <w:top w:val="single" w:sz="8" w:color="D6F3E8"/>
            </w:tcBorders>
            <w:shd w:val="clear" w:color="auto" w:fill="D6F3E8"/>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6068060</wp:posOffset>
            </wp:positionH>
            <wp:positionV relativeFrom="paragraph">
              <wp:posOffset>-2957830</wp:posOffset>
            </wp:positionV>
            <wp:extent cx="29146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91465" cy="8890"/>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-2957830</wp:posOffset>
            </wp:positionV>
            <wp:extent cx="774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unaudited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Winnebago Industries, Inc.</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Notes to Condensed Consolidated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Statements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Information</w:t>
      </w:r>
    </w:p>
    <w:p>
      <w:pPr>
        <w:spacing w:after="0" w:line="23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Certain of the matters discussed in this Quarterly Report on Form 10-Q are “forward-looking statements” within the meaning of Section 27A of the Securities Act of 1933, as amended, and Section 21E of the Securities Exchange Act of 1934, as amended, which involve risks and uncertainties. A number of factors could cause actual results to differ materially from these statements, including, but not limited to, interest rates and availability of credit, low consumer confidence, availability and price of fuel, a further slowdown in the economy, availability of chassis and other key component parts, sales order cancellations, slower than anticipated sales of new or existing products, new product introductions by competitors, the effect of global tensions, and other factors which may be disclosed throughout this report. Although we believe that the expectations reflected in the “forward-looking statements” are reasonable, we cannot guarantee future results, levels of activity, performance or achievements. Undue reliance should not be placed on these “forward-looking statements,” which speak only as of the date of this report. We undertake no obligation to publicly update or revise any “forward-looking statements” whether as a result of new information, future events or otherwise, except as required by law or the rules of the New York Stock Exchange.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“Company,” “we,” “our” and “us” are used interchangeably to refer to Winnebago Industries, Inc. At November 29, 2008, the Company had no subsidiaries.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w:t>
      </w:r>
    </w:p>
    <w:p>
      <w:pPr>
        <w:spacing w:after="0" w:line="231"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In our opinion, the accompanying unaudited condensed consolidated financial statements contain all adjustments, consisting of normal recurring accruals, necessary to present fairly the consolidated financial position as of November 29, 2008 and the consolidated results of operations and consolidated cash flows for the thirteen weeks ended November 29, 2008 and the fourteen weeks ended December 1, 2007. The consolidated statement of operations for the thirteen weeks ended November 29, 2008 is not necessarily indicative of the results to be expected for the full year. The balance sheet data as of August 30, 2008 was derived from audited financial statements, but does not include all of the information and footnotes required by generally accepted accounting principles for complete financial statements. These interim consolidated financial statements should be read in conjunction with the audited financial statements and notes thereto appearing in our Annual Report to Shareholders for the year ended August 30, 2008. Certain prior period information in the unaudited consolidated statements of cash flows has been condensed to conform to the current year presentation.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Pronouncements</w:t>
      </w:r>
    </w:p>
    <w:p>
      <w:pPr>
        <w:spacing w:after="0" w:line="231" w:lineRule="exact"/>
        <w:rPr>
          <w:sz w:val="20"/>
          <w:szCs w:val="20"/>
          <w:color w:val="auto"/>
        </w:rPr>
      </w:pPr>
    </w:p>
    <w:p>
      <w:pPr>
        <w:ind w:right="180"/>
        <w:spacing w:after="0" w:line="289" w:lineRule="auto"/>
        <w:rPr>
          <w:sz w:val="20"/>
          <w:szCs w:val="20"/>
          <w:color w:val="auto"/>
        </w:rPr>
      </w:pPr>
      <w:r>
        <w:rPr>
          <w:rFonts w:ascii="Arial" w:cs="Arial" w:eastAsia="Arial" w:hAnsi="Arial"/>
          <w:sz w:val="16"/>
          <w:szCs w:val="16"/>
          <w:color w:val="auto"/>
        </w:rPr>
        <w:t>In September 2006, the Financial Accounting Standards Board (FASB) issued Statement of Financial Accounting Standards (SFAS) No. 157, Fair Value Measurements. SFAS No. 157 establishes a single definition of fair value and a framework for measuring fair value, sets out a fair value hierarchy to be used to classify the source of information used in fair value measurements, and requires new disclosures of assets and liabilities measured at fair value based on their level in the hierarchy. This statement applies under other accounting pronouncements that require or permit fair value measurements. On August 31, 2008, we adopted, on a prospective basis, the SFAS No. 157 definition of fair value and became subject to the new disclosure requirements with respect to our fair value measurements of (a) nonfinancial assets and liabilities that are recognized or disclosed at fair value in our financial statements on a recurring basis and (b) all financial assets and liabilities. Our adoption did not impact our consolidated financial position or results of operations. The additional disclosures required by SFAS No. 157 are included in Note 3, Fair Value Measurements.</w:t>
      </w:r>
    </w:p>
    <w:p>
      <w:pPr>
        <w:spacing w:after="0" w:line="17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February 2007, the FASB issued SFAS No. 159, </w:t>
      </w:r>
      <w:r>
        <w:rPr>
          <w:rFonts w:ascii="Arial" w:cs="Arial" w:eastAsia="Arial" w:hAnsi="Arial"/>
          <w:sz w:val="16"/>
          <w:szCs w:val="16"/>
          <w:i w:val="1"/>
          <w:iCs w:val="1"/>
          <w:color w:val="auto"/>
        </w:rPr>
        <w:t>The Fair Value Option for Financial Assets and Financial Liabilities</w:t>
      </w:r>
      <w:r>
        <w:rPr>
          <w:rFonts w:ascii="Arial" w:cs="Arial" w:eastAsia="Arial" w:hAnsi="Arial"/>
          <w:sz w:val="16"/>
          <w:szCs w:val="16"/>
          <w:color w:val="auto"/>
        </w:rPr>
        <w:t>, including an Amendment of FASB Statement No. 115, which permits an entity to measure many financial assets and financial liabilities at fair value that are not currently required to be measured at fair value. Entities that elect the fair value option will report unrealized gains and losses in earnings at each subsequent reporting date. The fair value option may be elected on an instrument-by-instrument basis, with few exceptions. SFAS No. 159 amends previous guidance to extend the use of the fair value option to available for sale and held to maturity securities. The statement also establishes presentation and disclosure requirements to help financial statement users understand the effect of the election. On August 31, 2008, we adopted SFAS 159 and elected the fair value option. Our adoption did not have a material impact on our consolidated financial position or results of operations.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June 2008, the FASB issued a FASB Staff Position (FSP) on the FASB’s Emerging Issues Task Force (EITF) Issue No. 03-06-1, </w:t>
      </w:r>
      <w:r>
        <w:rPr>
          <w:rFonts w:ascii="Arial" w:cs="Arial" w:eastAsia="Arial" w:hAnsi="Arial"/>
          <w:sz w:val="16"/>
          <w:szCs w:val="16"/>
          <w:i w:val="1"/>
          <w:iCs w:val="1"/>
          <w:color w:val="auto"/>
        </w:rPr>
        <w:t>Determining Whether</w:t>
      </w:r>
      <w:r>
        <w:rPr>
          <w:rFonts w:ascii="Arial" w:cs="Arial" w:eastAsia="Arial" w:hAnsi="Arial"/>
          <w:sz w:val="16"/>
          <w:szCs w:val="16"/>
          <w:color w:val="auto"/>
        </w:rPr>
        <w:t xml:space="preserve"> </w:t>
      </w:r>
      <w:r>
        <w:rPr>
          <w:rFonts w:ascii="Arial" w:cs="Arial" w:eastAsia="Arial" w:hAnsi="Arial"/>
          <w:sz w:val="16"/>
          <w:szCs w:val="16"/>
          <w:i w:val="1"/>
          <w:iCs w:val="1"/>
          <w:color w:val="auto"/>
        </w:rPr>
        <w:t>Instruments Granted in Share-Based Payment Transactions Are Participating Securities</w:t>
      </w:r>
      <w:r>
        <w:rPr>
          <w:rFonts w:ascii="Arial" w:cs="Arial" w:eastAsia="Arial" w:hAnsi="Arial"/>
          <w:sz w:val="16"/>
          <w:szCs w:val="16"/>
          <w:color w:val="auto"/>
        </w:rPr>
        <w:t>, (FSP EITF 03-06-1). This FSP addresses whether instruments granted in</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payment transactions are participating securities prior to vesting and, therefore, need to be included in the earnings allocation in computing earnings per share (EPS) under the two-class method described in SFAS No. 128, Earnings Per Share. It affects entities that accrue or pay nonforfeitable cash dividends on share-based payment awards during the awards’ service period. FSP EIFT 03-06-1 is effective for fiscal years beginning after December 15, 2008 (our Fiscal 2010) and interim periods within those fiscal years and will require a retrospective adjustment to all prior period EPS. We are currently evaluating the impact this FSP will have on our calculation and presentation of EPS.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Fair Value Measurements</w:t>
      </w:r>
    </w:p>
    <w:p>
      <w:pPr>
        <w:spacing w:after="0" w:line="231" w:lineRule="exact"/>
        <w:rPr>
          <w:sz w:val="20"/>
          <w:szCs w:val="20"/>
          <w:color w:val="auto"/>
        </w:rPr>
      </w:pPr>
    </w:p>
    <w:p>
      <w:pPr>
        <w:jc w:val="both"/>
        <w:ind w:right="220"/>
        <w:spacing w:after="0" w:line="298" w:lineRule="auto"/>
        <w:rPr>
          <w:sz w:val="20"/>
          <w:szCs w:val="20"/>
          <w:color w:val="auto"/>
        </w:rPr>
      </w:pPr>
      <w:r>
        <w:rPr>
          <w:rFonts w:ascii="Arial" w:cs="Arial" w:eastAsia="Arial" w:hAnsi="Arial"/>
          <w:sz w:val="16"/>
          <w:szCs w:val="16"/>
          <w:color w:val="auto"/>
        </w:rPr>
        <w:t>As discussed in Note 2, we adopted SFAS No. 157 on August 31, 2008. This standard defines fair value, establishes a framework for measuring fair value and expands disclosure requirements about fair value measurements. SFAS No. 157 defines fair value as the price that would be received to sell an asset or paid to transfer a liability (an exit price) in the principal or most advantageous market for the asset or liability in an orderly transaction between market participants on the measurement date. The fair value hierarchy prescribed by SFAS No. 157 contains three levels as follows: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Unadjusted quoted prices that are available in active markets for the identical assets or liabilities at the measurement date.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Level 2 </w:t>
      </w:r>
      <w:r>
        <w:rPr>
          <w:rFonts w:ascii="Arial" w:cs="Arial" w:eastAsia="Arial" w:hAnsi="Arial"/>
          <w:sz w:val="16"/>
          <w:szCs w:val="16"/>
          <w:color w:val="auto"/>
        </w:rPr>
        <w:t>— Other observable inputs available at the measurement date, other than quoted prices included in Level 1, either directly or indirectly, including:</w:t>
      </w:r>
    </w:p>
    <w:p>
      <w:pPr>
        <w:spacing w:after="0" w:line="262" w:lineRule="exact"/>
        <w:rPr>
          <w:sz w:val="20"/>
          <w:szCs w:val="20"/>
          <w:color w:val="auto"/>
        </w:rPr>
      </w:pPr>
    </w:p>
    <w:p>
      <w:pPr>
        <w:ind w:left="460" w:hanging="26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similar assets or liabilities in active markets;</w:t>
      </w:r>
    </w:p>
    <w:p>
      <w:pPr>
        <w:spacing w:after="0" w:line="157" w:lineRule="exact"/>
        <w:rPr>
          <w:rFonts w:ascii="Arial" w:cs="Arial" w:eastAsia="Arial" w:hAnsi="Arial"/>
          <w:sz w:val="18"/>
          <w:szCs w:val="18"/>
          <w:color w:val="auto"/>
        </w:rPr>
      </w:pPr>
    </w:p>
    <w:p>
      <w:pPr>
        <w:ind w:left="460" w:hanging="26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Quoted prices for identical or similar assets in nonactive markets;</w:t>
      </w:r>
    </w:p>
    <w:p>
      <w:pPr>
        <w:spacing w:after="0" w:line="157" w:lineRule="exact"/>
        <w:rPr>
          <w:rFonts w:ascii="Arial" w:cs="Arial" w:eastAsia="Arial" w:hAnsi="Arial"/>
          <w:sz w:val="18"/>
          <w:szCs w:val="18"/>
          <w:color w:val="auto"/>
        </w:rPr>
      </w:pPr>
    </w:p>
    <w:p>
      <w:pPr>
        <w:ind w:left="460" w:hanging="26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other than quoted prices that are observable for the asset or liability; and</w:t>
      </w:r>
    </w:p>
    <w:p>
      <w:pPr>
        <w:spacing w:after="0" w:line="157" w:lineRule="exact"/>
        <w:rPr>
          <w:rFonts w:ascii="Arial" w:cs="Arial" w:eastAsia="Arial" w:hAnsi="Arial"/>
          <w:sz w:val="18"/>
          <w:szCs w:val="18"/>
          <w:color w:val="auto"/>
        </w:rPr>
      </w:pPr>
    </w:p>
    <w:p>
      <w:pPr>
        <w:ind w:left="460" w:hanging="260"/>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other observable market data.</w:t>
      </w:r>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Unobservable inputs that cannot be corroborated by observable market data and reflect the use of significant management judgment. These values are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determined using pricing models for which the assumptions utilize management’s estimates of market participant assumptions.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and Liabilities that are Measured at Fair Value on a Recurring Basis</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 The following table sets forth by level within the fair value hierarchy, our financial assets that were accounted for at fair value on a recurring basis at November 29, 2008, according to the valuation techniques we used to determine their fair values.:</w:t>
      </w:r>
    </w:p>
    <w:p>
      <w:pPr>
        <w:sectPr>
          <w:pgSz w:w="11900" w:h="16838" w:orient="portrait"/>
          <w:cols w:equalWidth="0" w:num="1">
            <w:col w:w="11380"/>
          </w:cols>
          <w:pgMar w:left="240" w:top="131"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millions)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5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and cash equivalents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Short-term investments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Long-term investments (includes Put Rights)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Assets that fund deferred compensation</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760" w:type="dxa"/>
            <w:vAlign w:val="bottom"/>
            <w:gridSpan w:val="5"/>
          </w:tcPr>
          <w:p>
            <w:pPr>
              <w:jc w:val="center"/>
              <w:ind w:right="112"/>
              <w:spacing w:after="0"/>
              <w:rPr>
                <w:sz w:val="20"/>
                <w:szCs w:val="20"/>
                <w:color w:val="auto"/>
              </w:rPr>
            </w:pPr>
            <w:r>
              <w:rPr>
                <w:rFonts w:ascii="Arial" w:cs="Arial" w:eastAsia="Arial" w:hAnsi="Arial"/>
                <w:sz w:val="14"/>
                <w:szCs w:val="14"/>
                <w:b w:val="1"/>
                <w:bCs w:val="1"/>
                <w:color w:val="auto"/>
                <w:w w:val="87"/>
              </w:rPr>
              <w:t>Fair Value Measurements Using Inputs</w:t>
            </w:r>
          </w:p>
        </w:tc>
        <w:tc>
          <w:tcPr>
            <w:tcW w:w="0" w:type="dxa"/>
            <w:vAlign w:val="bottom"/>
          </w:tcPr>
          <w:p>
            <w:pPr>
              <w:spacing w:after="0"/>
              <w:rPr>
                <w:sz w:val="1"/>
                <w:szCs w:val="1"/>
                <w:color w:val="auto"/>
              </w:rPr>
            </w:pPr>
          </w:p>
        </w:tc>
      </w:tr>
      <w:tr>
        <w:trPr>
          <w:trHeight w:val="161"/>
        </w:trPr>
        <w:tc>
          <w:tcPr>
            <w:tcW w:w="120" w:type="dxa"/>
            <w:vAlign w:val="bottom"/>
          </w:tcPr>
          <w:p>
            <w:pPr>
              <w:spacing w:after="0"/>
              <w:rPr>
                <w:sz w:val="14"/>
                <w:szCs w:val="14"/>
                <w:color w:val="auto"/>
              </w:rPr>
            </w:pPr>
          </w:p>
        </w:tc>
        <w:tc>
          <w:tcPr>
            <w:tcW w:w="1240" w:type="dxa"/>
            <w:vAlign w:val="bottom"/>
            <w:vMerge w:val="restart"/>
          </w:tcPr>
          <w:p>
            <w:pPr>
              <w:jc w:val="right"/>
              <w:ind w:right="239"/>
              <w:spacing w:after="0"/>
              <w:rPr>
                <w:sz w:val="20"/>
                <w:szCs w:val="20"/>
                <w:color w:val="auto"/>
              </w:rPr>
            </w:pPr>
            <w:r>
              <w:rPr>
                <w:rFonts w:ascii="Arial" w:cs="Arial" w:eastAsia="Arial" w:hAnsi="Arial"/>
                <w:sz w:val="14"/>
                <w:szCs w:val="14"/>
                <w:b w:val="1"/>
                <w:bCs w:val="1"/>
                <w:color w:val="auto"/>
              </w:rPr>
              <w:t>Fair Value at</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Considered As</w:t>
            </w: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120" w:type="dxa"/>
            <w:vAlign w:val="bottom"/>
          </w:tcPr>
          <w:p>
            <w:pPr>
              <w:spacing w:after="0" w:line="20" w:lineRule="exact"/>
              <w:rPr>
                <w:sz w:val="1"/>
                <w:szCs w:val="1"/>
                <w:color w:val="auto"/>
              </w:rPr>
            </w:pPr>
          </w:p>
        </w:tc>
        <w:tc>
          <w:tcPr>
            <w:tcW w:w="1240" w:type="dxa"/>
            <w:vAlign w:val="bottom"/>
            <w:vMerge w:val="continu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1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6"/>
              </w:rPr>
              <w:t>November 29, 2008</w:t>
            </w: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82"/>
              <w:spacing w:after="0"/>
              <w:rPr>
                <w:sz w:val="20"/>
                <w:szCs w:val="20"/>
                <w:color w:val="auto"/>
              </w:rPr>
            </w:pPr>
            <w:r>
              <w:rPr>
                <w:rFonts w:ascii="Arial" w:cs="Arial" w:eastAsia="Arial" w:hAnsi="Arial"/>
                <w:sz w:val="14"/>
                <w:szCs w:val="14"/>
                <w:b w:val="1"/>
                <w:bCs w:val="1"/>
                <w:color w:val="auto"/>
                <w:w w:val="96"/>
              </w:rPr>
              <w:t>Level 1</w:t>
            </w:r>
          </w:p>
        </w:tc>
        <w:tc>
          <w:tcPr>
            <w:tcW w:w="10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Level 2</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491"/>
        </w:trPr>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28.8</w:t>
            </w:r>
          </w:p>
        </w:tc>
        <w:tc>
          <w:tcPr>
            <w:tcW w:w="2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28.8</w:t>
            </w:r>
          </w:p>
        </w:tc>
        <w:tc>
          <w:tcPr>
            <w:tcW w:w="900" w:type="dxa"/>
            <w:vAlign w:val="bottom"/>
          </w:tcPr>
          <w:p>
            <w:pPr>
              <w:jc w:val="right"/>
              <w:ind w:right="7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7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57"/>
        </w:trPr>
        <w:tc>
          <w:tcPr>
            <w:tcW w:w="12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14.7</w:t>
            </w: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-4401185</wp:posOffset>
            </wp:positionH>
            <wp:positionV relativeFrom="paragraph">
              <wp:posOffset>-812800</wp:posOffset>
            </wp:positionV>
            <wp:extent cx="7246620" cy="163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-487045</wp:posOffset>
            </wp:positionV>
            <wp:extent cx="7246620"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-4401185</wp:posOffset>
            </wp:positionH>
            <wp:positionV relativeFrom="paragraph">
              <wp:posOffset>-161290</wp:posOffset>
            </wp:positionV>
            <wp:extent cx="72466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220" w:space="720"/>
            <w:col w:w="4440"/>
          </w:cols>
          <w:pgMar w:left="240" w:top="131" w:right="279" w:bottom="1440" w:gutter="0" w:footer="0" w:header="0"/>
          <w:type w:val="continuous"/>
        </w:sect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type w:val="continuous"/>
        </w:sectPr>
      </w:pPr>
    </w:p>
    <w:bookmarkStart w:id="7" w:name="page8"/>
    <w:bookmarkEnd w:id="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following table provides a reconciliation between the beginning and ending balances of items measured at fair value on a recurring basis in the table above that used significant unobservable inputs (Level 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Long-Term</w:t>
            </w:r>
          </w:p>
        </w:tc>
      </w:tr>
      <w:tr>
        <w:trPr>
          <w:trHeight w:val="161"/>
        </w:trPr>
        <w:tc>
          <w:tcPr>
            <w:tcW w:w="7900" w:type="dxa"/>
            <w:vAlign w:val="bottom"/>
            <w:gridSpan w:val="2"/>
          </w:tcPr>
          <w:p>
            <w:pPr>
              <w:spacing w:after="0"/>
              <w:rPr>
                <w:sz w:val="20"/>
                <w:szCs w:val="20"/>
                <w:color w:val="auto"/>
              </w:rPr>
            </w:pPr>
            <w:r>
              <w:rPr>
                <w:rFonts w:ascii="Arial" w:cs="Arial" w:eastAsia="Arial" w:hAnsi="Arial"/>
                <w:sz w:val="14"/>
                <w:szCs w:val="14"/>
                <w:b w:val="1"/>
                <w:bCs w:val="1"/>
                <w:color w:val="auto"/>
              </w:rPr>
              <w:t>(In millions)</w:t>
            </w:r>
          </w:p>
        </w:tc>
        <w:tc>
          <w:tcPr>
            <w:tcW w:w="16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Investments</w:t>
            </w:r>
          </w:p>
        </w:tc>
      </w:tr>
      <w:tr>
        <w:trPr>
          <w:trHeight w:val="210"/>
        </w:trPr>
        <w:tc>
          <w:tcPr>
            <w:tcW w:w="20" w:type="dxa"/>
            <w:vAlign w:val="bottom"/>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color w:val="auto"/>
              </w:rPr>
              <w:t>Balances at August 30, 2008</w:t>
            </w:r>
          </w:p>
        </w:tc>
        <w:tc>
          <w:tcPr>
            <w:tcW w:w="160" w:type="dxa"/>
            <w:vAlign w:val="bottom"/>
            <w:tcBorders>
              <w:top w:val="single" w:sz="8" w:color="auto"/>
            </w:tcBorders>
            <w:shd w:val="clear" w:color="auto" w:fill="D6F3E8"/>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37.5</w:t>
            </w:r>
          </w:p>
        </w:tc>
        <w:tc>
          <w:tcPr>
            <w:tcW w:w="100" w:type="dxa"/>
            <w:vAlign w:val="bottom"/>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Net realized loss included in earnings</w:t>
            </w: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(0.1)</w:t>
            </w: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color w:val="auto"/>
              </w:rPr>
              <w:t>Unrealized loss included in other comprehensive income</w:t>
            </w:r>
          </w:p>
        </w:tc>
        <w:tc>
          <w:tcPr>
            <w:tcW w:w="16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880" w:type="dxa"/>
            <w:vAlign w:val="bottom"/>
          </w:tcPr>
          <w:p>
            <w:pPr>
              <w:spacing w:after="0"/>
              <w:rPr>
                <w:sz w:val="20"/>
                <w:szCs w:val="20"/>
                <w:color w:val="auto"/>
              </w:rPr>
            </w:pPr>
            <w:r>
              <w:rPr>
                <w:rFonts w:ascii="Arial" w:cs="Arial" w:eastAsia="Arial" w:hAnsi="Arial"/>
                <w:sz w:val="18"/>
                <w:szCs w:val="18"/>
                <w:color w:val="auto"/>
              </w:rPr>
              <w:t>Purchases, sales and settlements, net</w:t>
            </w: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7880" w:type="dxa"/>
            <w:vAlign w:val="bottom"/>
            <w:shd w:val="clear" w:color="auto" w:fill="D6F3E8"/>
          </w:tcPr>
          <w:p>
            <w:pPr>
              <w:spacing w:after="0"/>
              <w:rPr>
                <w:sz w:val="20"/>
                <w:szCs w:val="20"/>
                <w:color w:val="auto"/>
              </w:rPr>
            </w:pPr>
            <w:r>
              <w:rPr>
                <w:rFonts w:ascii="Arial" w:cs="Arial" w:eastAsia="Arial" w:hAnsi="Arial"/>
                <w:sz w:val="18"/>
                <w:szCs w:val="18"/>
                <w:color w:val="auto"/>
              </w:rPr>
              <w:t>Transfers out of Level 3</w:t>
            </w:r>
          </w:p>
        </w:tc>
        <w:tc>
          <w:tcPr>
            <w:tcW w:w="160" w:type="dxa"/>
            <w:vAlign w:val="bottom"/>
            <w:shd w:val="clear" w:color="auto" w:fill="D6F3E8"/>
          </w:tcPr>
          <w:p>
            <w:pPr>
              <w:spacing w:after="0"/>
              <w:rPr>
                <w:sz w:val="18"/>
                <w:szCs w:val="18"/>
                <w:color w:val="auto"/>
              </w:rPr>
            </w:pPr>
          </w:p>
        </w:tc>
        <w:tc>
          <w:tcPr>
            <w:tcW w:w="108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(5.4)</w:t>
            </w:r>
          </w:p>
        </w:tc>
      </w:tr>
      <w:tr>
        <w:trPr>
          <w:trHeight w:val="210"/>
        </w:trPr>
        <w:tc>
          <w:tcPr>
            <w:tcW w:w="20" w:type="dxa"/>
            <w:vAlign w:val="bottom"/>
          </w:tcPr>
          <w:p>
            <w:pPr>
              <w:spacing w:after="0"/>
              <w:rPr>
                <w:sz w:val="18"/>
                <w:szCs w:val="18"/>
                <w:color w:val="auto"/>
              </w:rPr>
            </w:pPr>
          </w:p>
        </w:tc>
        <w:tc>
          <w:tcPr>
            <w:tcW w:w="7880" w:type="dxa"/>
            <w:vAlign w:val="bottom"/>
            <w:tcBorders>
              <w:top w:val="single" w:sz="8" w:color="D6F3E8"/>
            </w:tcBorders>
          </w:tcPr>
          <w:p>
            <w:pPr>
              <w:spacing w:after="0"/>
              <w:rPr>
                <w:sz w:val="20"/>
                <w:szCs w:val="20"/>
                <w:color w:val="auto"/>
              </w:rPr>
            </w:pPr>
            <w:r>
              <w:rPr>
                <w:rFonts w:ascii="Arial" w:cs="Arial" w:eastAsia="Arial" w:hAnsi="Arial"/>
                <w:sz w:val="18"/>
                <w:szCs w:val="18"/>
                <w:color w:val="auto"/>
              </w:rPr>
              <w:t>Balances at November 29, 2008</w:t>
            </w:r>
          </w:p>
        </w:tc>
        <w:tc>
          <w:tcPr>
            <w:tcW w:w="1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w:t>
            </w:r>
          </w:p>
        </w:tc>
        <w:tc>
          <w:tcPr>
            <w:tcW w:w="100" w:type="dxa"/>
            <w:vAlign w:val="bottom"/>
            <w:tcBorders>
              <w:top w:val="single" w:sz="8" w:color="D6F3E8"/>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methods and assumptions were used to estimate the fair value of each class of financial instrument:</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The carrying value of cash equivalents approximates fair value as maturities are less than three months. Our cash equivalents are comprised of</w:t>
      </w:r>
      <w:r>
        <w:rPr>
          <w:rFonts w:ascii="Arial" w:cs="Arial" w:eastAsia="Arial" w:hAnsi="Arial"/>
          <w:sz w:val="18"/>
          <w:szCs w:val="18"/>
          <w:i w:val="1"/>
          <w:iCs w:val="1"/>
          <w:color w:val="auto"/>
        </w:rPr>
        <w:t xml:space="preserve"> </w:t>
      </w:r>
      <w:r>
        <w:rPr>
          <w:rFonts w:ascii="Arial" w:cs="Arial" w:eastAsia="Arial" w:hAnsi="Arial"/>
          <w:sz w:val="18"/>
          <w:szCs w:val="18"/>
          <w:color w:val="auto"/>
        </w:rPr>
        <w:t>money market funds traded in an active market with no restrictions and are classified as Level 1.</w:t>
      </w:r>
    </w:p>
    <w:p>
      <w:pPr>
        <w:spacing w:after="0" w:line="186"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i w:val="1"/>
          <w:iCs w:val="1"/>
          <w:color w:val="auto"/>
        </w:rPr>
        <w:t xml:space="preserve">Long and Short-term Investments. </w:t>
      </w:r>
      <w:r>
        <w:rPr>
          <w:rFonts w:ascii="Arial" w:cs="Arial" w:eastAsia="Arial" w:hAnsi="Arial"/>
          <w:sz w:val="16"/>
          <w:szCs w:val="16"/>
          <w:color w:val="auto"/>
        </w:rPr>
        <w:t>Our debt securities are comprised of auction-rate securities (ARSs) and Put Rights as described in Note 4, Investments. Our</w:t>
      </w:r>
      <w:r>
        <w:rPr>
          <w:rFonts w:ascii="Arial" w:cs="Arial" w:eastAsia="Arial" w:hAnsi="Arial"/>
          <w:sz w:val="16"/>
          <w:szCs w:val="16"/>
          <w:i w:val="1"/>
          <w:iCs w:val="1"/>
          <w:color w:val="auto"/>
        </w:rPr>
        <w:t xml:space="preserve"> </w:t>
      </w:r>
      <w:r>
        <w:rPr>
          <w:rFonts w:ascii="Arial" w:cs="Arial" w:eastAsia="Arial" w:hAnsi="Arial"/>
          <w:sz w:val="16"/>
          <w:szCs w:val="16"/>
          <w:color w:val="auto"/>
        </w:rPr>
        <w:t>long-term ARS related investments are classified as Level 3 as quoted prices were unavailable due to events described in Note 4, Investments. Due to limited market information, we utilized a discounted cash flow (“DCF”) model to derive an estimate of fair value at November 29, 2008. The assumptions used in preparing the DCF model included estimates with respect to the amount and timing of future interest and principal payments, forward projections of the interest rate benchmarks, the probability of full repayment of the principal considering the credit quality and guarantees in place, and the rate of return required by investors to own such securities given the current liquidity risk associated with ARS. Our short-term ARS portfolio is classified as Level 2 as it is also in a nonactive market but inputs other than quoted prices were observable and used to value the securities.</w:t>
      </w:r>
    </w:p>
    <w:p>
      <w:pPr>
        <w:spacing w:after="0" w:line="172" w:lineRule="exact"/>
        <w:rPr>
          <w:sz w:val="20"/>
          <w:szCs w:val="20"/>
          <w:color w:val="auto"/>
        </w:rPr>
      </w:pPr>
    </w:p>
    <w:p>
      <w:pPr>
        <w:spacing w:after="0" w:line="306" w:lineRule="auto"/>
        <w:rPr>
          <w:sz w:val="20"/>
          <w:szCs w:val="20"/>
          <w:color w:val="auto"/>
        </w:rPr>
      </w:pPr>
      <w:r>
        <w:rPr>
          <w:rFonts w:ascii="Arial" w:cs="Arial" w:eastAsia="Arial" w:hAnsi="Arial"/>
          <w:sz w:val="16"/>
          <w:szCs w:val="16"/>
          <w:i w:val="1"/>
          <w:iCs w:val="1"/>
          <w:color w:val="auto"/>
        </w:rPr>
        <w:t>Marketable Equity Securities</w:t>
      </w:r>
      <w:r>
        <w:rPr>
          <w:rFonts w:ascii="Arial" w:cs="Arial" w:eastAsia="Arial" w:hAnsi="Arial"/>
          <w:sz w:val="16"/>
          <w:szCs w:val="16"/>
          <w:color w:val="auto"/>
        </w:rPr>
        <w:t>. Our marketable equity securities are measured at fair value using quoted market prices and primarily consist of equity-based mutual</w:t>
      </w:r>
      <w:r>
        <w:rPr>
          <w:rFonts w:ascii="Arial" w:cs="Arial" w:eastAsia="Arial" w:hAnsi="Arial"/>
          <w:sz w:val="16"/>
          <w:szCs w:val="16"/>
          <w:i w:val="1"/>
          <w:iCs w:val="1"/>
          <w:color w:val="auto"/>
        </w:rPr>
        <w:t xml:space="preserve"> </w:t>
      </w:r>
      <w:r>
        <w:rPr>
          <w:rFonts w:ascii="Arial" w:cs="Arial" w:eastAsia="Arial" w:hAnsi="Arial"/>
          <w:sz w:val="16"/>
          <w:szCs w:val="16"/>
          <w:color w:val="auto"/>
        </w:rPr>
        <w:t>funds. They are classified as Level 1 as they are traded in an active market for which closing stock prices are readily available. These securities fund the Executive Share Option Plan, a deferred compensation program, and are presented as other assets in the accompanying consolidated balance sheets.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Investments</w:t>
      </w:r>
    </w:p>
    <w:p>
      <w:pPr>
        <w:spacing w:after="0" w:line="23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 xml:space="preserve">We own investments in marketable securities that have been designated as “available for sale” or “trading securities” in accordance with SFAS No. 115, </w:t>
      </w:r>
      <w:r>
        <w:rPr>
          <w:rFonts w:ascii="Arial" w:cs="Arial" w:eastAsia="Arial" w:hAnsi="Arial"/>
          <w:sz w:val="18"/>
          <w:szCs w:val="18"/>
          <w:i w:val="1"/>
          <w:iCs w:val="1"/>
          <w:color w:val="auto"/>
        </w:rPr>
        <w:t>Accounting for Certain Investments in Debt and Equity Securities</w:t>
      </w:r>
      <w:r>
        <w:rPr>
          <w:rFonts w:ascii="Arial" w:cs="Arial" w:eastAsia="Arial" w:hAnsi="Arial"/>
          <w:sz w:val="18"/>
          <w:szCs w:val="18"/>
          <w:color w:val="auto"/>
        </w:rPr>
        <w:t>. Available for sale securities are carried at fair value with the unrealized gains and losses</w:t>
      </w:r>
      <w:r>
        <w:rPr>
          <w:rFonts w:ascii="Arial" w:cs="Arial" w:eastAsia="Arial" w:hAnsi="Arial"/>
          <w:sz w:val="18"/>
          <w:szCs w:val="18"/>
          <w:i w:val="1"/>
          <w:iCs w:val="1"/>
          <w:color w:val="auto"/>
        </w:rPr>
        <w:t xml:space="preserve"> </w:t>
      </w:r>
      <w:r>
        <w:rPr>
          <w:rFonts w:ascii="Arial" w:cs="Arial" w:eastAsia="Arial" w:hAnsi="Arial"/>
          <w:sz w:val="18"/>
          <w:szCs w:val="18"/>
          <w:color w:val="auto"/>
        </w:rPr>
        <w:t>reported in “Accumulated Other Comprehensive Income,” a component of stockholders’ equity. Trading securities are carried at fair value with unrealized gains and losses reported in financial income /expense.</w:t>
      </w:r>
    </w:p>
    <w:p>
      <w:pPr>
        <w:spacing w:after="0" w:line="19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At November 29, 2008, we held $39.5 million (par value) of investments comprised of tax-exempt ARSs, which are variable-rate debt securities and have a long-term maturity with the interest rate being reset through Dutch auctions that are typically held every 7, 28 or 35 days. The securities have historically traded at par and are callable at par at the option of the issuer. Interest is typically paid at the end of each auction period or semiannually. At November 29, 2008, all of the ARSs we held were AAA/Aaa rated, with most collateralized by student loans guaranteed by the U.S. government under the Federal Family Education Loan Program.</w:t>
      </w:r>
    </w:p>
    <w:p>
      <w:pPr>
        <w:spacing w:after="0" w:line="197"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We have no reason to believe that any of the underlying issuers of our ARSs are presently at risk of default. Through January 5, 2009, we have continued to receive interest payments on the ARSs in accordance with their terms. We believe we will ultimately be able to liquidate our ARS related investments without significant loss primarily due to the collateral securing ARSs and the legal settlements we have entered into with UBS AG (“UBS”). However, it could take until final maturity of the ARSs (up to 32 years) to realize our investments’ par value. Due to the changes and uncertainty in the ARS market, we believe the recovery period for these investments is likely to be longer than 12 months and as a result, we have classified these investments as long-term as of November 29, 2008. Our short-term ARS investments of $5.4 million were redeemed by the issuer at par in December 2008 via the issuer’s debt restructuring.</w:t>
      </w:r>
    </w:p>
    <w:p>
      <w:pPr>
        <w:spacing w:after="0" w:line="1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Since February 2008, most ARS auctions have failed for these securities and there is no assurance that future auctions will succeed and, as a result, our ability to liquidate our investment and fully recover the par value in the near term may be limited or not exist.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40"/>
        <w:spacing w:after="0" w:line="332" w:lineRule="auto"/>
        <w:rPr>
          <w:sz w:val="20"/>
          <w:szCs w:val="20"/>
          <w:color w:val="auto"/>
        </w:rPr>
      </w:pPr>
      <w:r>
        <w:rPr>
          <w:rFonts w:ascii="Arial" w:cs="Arial" w:eastAsia="Arial" w:hAnsi="Arial"/>
          <w:sz w:val="16"/>
          <w:szCs w:val="16"/>
          <w:color w:val="auto"/>
        </w:rPr>
        <w:t>In November 2008, we elected to participate in a rights offering by UBS, one of our brokers, which provide us with rights (the “Put Rights”) to sell UBS $13.5 million of our ARSs portfolio at par value, which we purchased through UBS, at any time during a two-year sale period beginning June 30, 2010.</w:t>
      </w:r>
    </w:p>
    <w:p>
      <w:pPr>
        <w:spacing w:after="0" w:line="139"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By electing to participate in the rights offering, we granted UBS the right, exercisable at any time prior to June 30, 2010 or during the two-year sale period, to purchase or cause the sale of our ARSs (the “Call Right”). UBS has stated that it will only exercise the Call Right for the purpose of restructurings, dispositions or other solutions that will provide their clients with par value for their ARS. UBS has agreed to pay their clients the par value of their ARS within one day of settlement of any Call Right transaction. Notwithstanding the Call Right, we are permitted to sell ARSs to parties other than UBS, in which case the Put Rights attached to the ARSs that are sold would be extinguished. We elected to adopt SFAS 159 on August 31, 2008 (details in Note 2) on the Put Rights and elected to treat this portion of our ARS portfolio as trading securities. As such, we recorded a benefit of $674,000 related to the Put Rights provided by the settlement and an other-than-temporary impairment of $806,000 on the $13.5 million (par value) portion of our ARS portfolio as we may decide not to hold until final maturity with the opportunity provided by the Put Rights.</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At November 29, 2008, there was insufficient observable ARS market information available to determine the fair value of our ARS investments, including the Put Rights. Therefore, we estimated fair value by incorporating assumptions that market participants would use in their estimates of fair value. Some of these assumptions included credit quality, final stated maturities, estimates on the probability of the issue being called prior to final maturity, impact due to extended periods of maximum auction rates and broker quotes from independent evaluators. Based on this analysis, we recorded a temporary impairment of $1.2 million related to our long-term ARS investments of $20.6 million (par value) that were not part of the UBS settlement as of November 29, 2008. These same assumptions were used to estimate the fair value of our UBS ARS portfolio described above, including the Put Rights.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Inventories</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Inventories are valued at the lower of cost or market, with cost being determined under the last-in, first-out (LIFO) method and market defined as net realizable value.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w:t>
      </w:r>
    </w:p>
    <w:p>
      <w:pPr>
        <w:spacing w:after="0" w:line="222" w:lineRule="exact"/>
        <w:rPr>
          <w:sz w:val="20"/>
          <w:szCs w:val="20"/>
          <w:color w:val="auto"/>
        </w:rPr>
      </w:pPr>
    </w:p>
    <w:tbl>
      <w:tblPr>
        <w:tblLayout w:type="fixed"/>
        <w:tblInd w:w="7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7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9"/>
              </w:rPr>
              <w:t>November 29,</w:t>
            </w:r>
          </w:p>
        </w:tc>
        <w:tc>
          <w:tcPr>
            <w:tcW w:w="160" w:type="dxa"/>
            <w:vAlign w:val="bottom"/>
          </w:tcPr>
          <w:p>
            <w:pPr>
              <w:spacing w:after="0"/>
              <w:rPr>
                <w:sz w:val="13"/>
                <w:szCs w:val="13"/>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August 30,</w:t>
            </w:r>
          </w:p>
        </w:tc>
      </w:tr>
      <w:tr>
        <w:trPr>
          <w:trHeight w:val="161"/>
        </w:trPr>
        <w:tc>
          <w:tcPr>
            <w:tcW w:w="74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2008</w:t>
            </w: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7420" w:type="dxa"/>
            <w:vAlign w:val="bottom"/>
            <w:shd w:val="clear" w:color="auto" w:fill="D6F3E8"/>
          </w:tcPr>
          <w:p>
            <w:pPr>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34,538</w:t>
            </w:r>
          </w:p>
        </w:tc>
        <w:tc>
          <w:tcPr>
            <w:tcW w:w="300" w:type="dxa"/>
            <w:vAlign w:val="bottom"/>
            <w:shd w:val="clear" w:color="auto" w:fill="D6F3E8"/>
          </w:tcPr>
          <w:p>
            <w:pPr>
              <w:spacing w:after="0"/>
              <w:rPr>
                <w:sz w:val="18"/>
                <w:szCs w:val="18"/>
                <w:color w:val="auto"/>
              </w:rPr>
            </w:pPr>
          </w:p>
        </w:tc>
        <w:tc>
          <w:tcPr>
            <w:tcW w:w="16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41,716</w:t>
            </w:r>
          </w:p>
        </w:tc>
        <w:tc>
          <w:tcPr>
            <w:tcW w:w="100" w:type="dxa"/>
            <w:vAlign w:val="bottom"/>
            <w:shd w:val="clear" w:color="auto" w:fill="D6F3E8"/>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Work-in-process</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19,201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31,187</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Raw materials</w:t>
            </w:r>
          </w:p>
        </w:tc>
        <w:tc>
          <w:tcPr>
            <w:tcW w:w="120" w:type="dxa"/>
            <w:vAlign w:val="bottom"/>
            <w:tcBorders>
              <w:bottom w:val="single" w:sz="8" w:color="auto"/>
            </w:tcBorders>
            <w:shd w:val="clear" w:color="auto" w:fill="D6F3E8"/>
          </w:tcPr>
          <w:p>
            <w:pPr>
              <w:spacing w:after="0"/>
              <w:rPr>
                <w:sz w:val="18"/>
                <w:szCs w:val="18"/>
                <w:color w:val="auto"/>
              </w:rPr>
            </w:pPr>
          </w:p>
        </w:tc>
        <w:tc>
          <w:tcPr>
            <w:tcW w:w="9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67,302</w:t>
            </w:r>
          </w:p>
        </w:tc>
        <w:tc>
          <w:tcPr>
            <w:tcW w:w="300" w:type="dxa"/>
            <w:vAlign w:val="bottom"/>
            <w:tcBorders>
              <w:bottom w:val="single" w:sz="8" w:color="D6F3E8"/>
            </w:tcBorders>
            <w:shd w:val="clear" w:color="auto" w:fill="D6F3E8"/>
          </w:tcPr>
          <w:p>
            <w:pPr>
              <w:spacing w:after="0"/>
              <w:rPr>
                <w:sz w:val="18"/>
                <w:szCs w:val="18"/>
                <w:color w:val="auto"/>
              </w:rPr>
            </w:pPr>
          </w:p>
        </w:tc>
        <w:tc>
          <w:tcPr>
            <w:tcW w:w="160" w:type="dxa"/>
            <w:vAlign w:val="bottom"/>
            <w:tcBorders>
              <w:bottom w:val="single" w:sz="8" w:color="auto"/>
            </w:tcBorders>
            <w:shd w:val="clear" w:color="auto" w:fill="D6F3E8"/>
          </w:tcPr>
          <w:p>
            <w:pPr>
              <w:spacing w:after="0"/>
              <w:rPr>
                <w:sz w:val="18"/>
                <w:szCs w:val="18"/>
                <w:color w:val="auto"/>
              </w:rPr>
            </w:pPr>
          </w:p>
        </w:tc>
        <w:tc>
          <w:tcPr>
            <w:tcW w:w="9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75,010</w:t>
            </w:r>
          </w:p>
        </w:tc>
        <w:tc>
          <w:tcPr>
            <w:tcW w:w="100" w:type="dxa"/>
            <w:vAlign w:val="bottom"/>
            <w:tcBorders>
              <w:bottom w:val="single" w:sz="8" w:color="D6F3E8"/>
            </w:tcBorders>
            <w:shd w:val="clear" w:color="auto" w:fill="D6F3E8"/>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121,041</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147,913</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D6F3E8"/>
          </w:tcPr>
          <w:p>
            <w:pPr>
              <w:spacing w:after="0"/>
              <w:rPr>
                <w:sz w:val="20"/>
                <w:szCs w:val="20"/>
                <w:color w:val="auto"/>
              </w:rPr>
            </w:pPr>
            <w:r>
              <w:rPr>
                <w:rFonts w:ascii="Arial" w:cs="Arial" w:eastAsia="Arial" w:hAnsi="Arial"/>
                <w:sz w:val="18"/>
                <w:szCs w:val="18"/>
                <w:color w:val="auto"/>
              </w:rPr>
              <w:t>LIFO reserve</w:t>
            </w:r>
          </w:p>
        </w:tc>
        <w:tc>
          <w:tcPr>
            <w:tcW w:w="12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240"/>
              <w:spacing w:after="0"/>
              <w:rPr>
                <w:sz w:val="20"/>
                <w:szCs w:val="20"/>
                <w:color w:val="auto"/>
              </w:rPr>
            </w:pPr>
            <w:r>
              <w:rPr>
                <w:rFonts w:ascii="Arial" w:cs="Arial" w:eastAsia="Arial" w:hAnsi="Arial"/>
                <w:sz w:val="18"/>
                <w:szCs w:val="18"/>
                <w:color w:val="auto"/>
              </w:rPr>
              <w:t>(37,747)</w:t>
            </w:r>
          </w:p>
        </w:tc>
        <w:tc>
          <w:tcPr>
            <w:tcW w:w="160" w:type="dxa"/>
            <w:vAlign w:val="bottom"/>
            <w:shd w:val="clear" w:color="auto" w:fill="D6F3E8"/>
          </w:tcPr>
          <w:p>
            <w:pPr>
              <w:spacing w:after="0"/>
              <w:rPr>
                <w:sz w:val="18"/>
                <w:szCs w:val="18"/>
                <w:color w:val="auto"/>
              </w:rPr>
            </w:pPr>
          </w:p>
        </w:tc>
        <w:tc>
          <w:tcPr>
            <w:tcW w:w="1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(37,317)</w:t>
            </w:r>
          </w:p>
        </w:tc>
      </w:tr>
      <w:tr>
        <w:trPr>
          <w:trHeight w:val="210"/>
        </w:trPr>
        <w:tc>
          <w:tcPr>
            <w:tcW w:w="20" w:type="dxa"/>
            <w:vAlign w:val="bottom"/>
          </w:tcPr>
          <w:p>
            <w:pPr>
              <w:spacing w:after="0"/>
              <w:rPr>
                <w:sz w:val="18"/>
                <w:szCs w:val="18"/>
                <w:color w:val="auto"/>
              </w:rPr>
            </w:pPr>
          </w:p>
        </w:tc>
        <w:tc>
          <w:tcPr>
            <w:tcW w:w="7420" w:type="dxa"/>
            <w:vAlign w:val="bottom"/>
            <w:tcBorders>
              <w:top w:val="single" w:sz="8" w:color="D6F3E8"/>
            </w:tcBorders>
          </w:tcPr>
          <w:p>
            <w:pPr>
              <w:spacing w:after="0"/>
              <w:rPr>
                <w:sz w:val="20"/>
                <w:szCs w:val="20"/>
                <w:color w:val="auto"/>
              </w:rPr>
            </w:pPr>
            <w:r>
              <w:rPr>
                <w:rFonts w:ascii="Arial" w:cs="Arial" w:eastAsia="Arial" w:hAnsi="Arial"/>
                <w:sz w:val="18"/>
                <w:szCs w:val="18"/>
                <w:color w:val="auto"/>
              </w:rPr>
              <w:t>Total inventories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83,294</w:t>
            </w:r>
          </w:p>
        </w:tc>
        <w:tc>
          <w:tcPr>
            <w:tcW w:w="300" w:type="dxa"/>
            <w:vAlign w:val="bottom"/>
            <w:tcBorders>
              <w:top w:val="single" w:sz="8" w:color="D6F3E8"/>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110,596</w:t>
            </w:r>
          </w:p>
        </w:tc>
        <w:tc>
          <w:tcPr>
            <w:tcW w:w="100" w:type="dxa"/>
            <w:vAlign w:val="bottom"/>
            <w:tcBorders>
              <w:top w:val="single" w:sz="8" w:color="D6F3E8"/>
            </w:tcBorders>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5871210</wp:posOffset>
            </wp:positionH>
            <wp:positionV relativeFrom="paragraph">
              <wp:posOffset>-170815</wp:posOffset>
            </wp:positionV>
            <wp:extent cx="1885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6754495</wp:posOffset>
            </wp:positionH>
            <wp:positionV relativeFrom="paragraph">
              <wp:posOffset>-170815</wp:posOffset>
            </wp:positionV>
            <wp:extent cx="6032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Warranty</w:t>
      </w:r>
    </w:p>
    <w:p>
      <w:pPr>
        <w:spacing w:after="0" w:line="231"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We provide our motor home customers a comprehensive 12-month/15,000-mile warranty on the Class A, Class B and Class C coaches, and a 3-year/36,000-mile structural warranty on Class A and Class C sidewalls and floors. We have also incurred costs for certain warranty-type expenses which occurred after the normal warranty period. We have voluntarily agreed to pay such costs to help protect the reputation of our products and the goodwill of our customers. We record our warranty liabilities based on our estimate of the amounts necessary to settle future and existing claims on products sold as of the balance sheet date.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product warranty liability are as follows:</w:t>
      </w:r>
    </w:p>
    <w:p>
      <w:pPr>
        <w:spacing w:after="0" w:line="222" w:lineRule="exact"/>
        <w:rPr>
          <w:sz w:val="20"/>
          <w:szCs w:val="20"/>
          <w:color w:val="auto"/>
        </w:rPr>
      </w:pPr>
    </w:p>
    <w:tbl>
      <w:tblPr>
        <w:tblLayout w:type="fixed"/>
        <w:tblInd w:w="6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Thirteen</w:t>
            </w: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86"/>
              </w:rPr>
              <w:t>Fourteen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5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Weeks Ended</w:t>
            </w:r>
          </w:p>
        </w:tc>
        <w:tc>
          <w:tcPr>
            <w:tcW w:w="8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52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November 29, 2008</w:t>
            </w:r>
          </w:p>
        </w:tc>
        <w:tc>
          <w:tcPr>
            <w:tcW w:w="120" w:type="dxa"/>
            <w:vAlign w:val="bottom"/>
          </w:tcPr>
          <w:p>
            <w:pPr>
              <w:spacing w:after="0"/>
              <w:rPr>
                <w:sz w:val="17"/>
                <w:szCs w:val="17"/>
                <w:color w:val="auto"/>
              </w:rPr>
            </w:pPr>
          </w:p>
        </w:tc>
        <w:tc>
          <w:tcPr>
            <w:tcW w:w="12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87"/>
              </w:rPr>
              <w:t>December 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shd w:val="clear" w:color="auto" w:fill="D6F3E8"/>
          </w:tcPr>
          <w:p>
            <w:pPr>
              <w:spacing w:after="0"/>
              <w:rPr>
                <w:sz w:val="20"/>
                <w:szCs w:val="20"/>
                <w:color w:val="auto"/>
              </w:rPr>
            </w:pPr>
            <w:r>
              <w:rPr>
                <w:rFonts w:ascii="Arial" w:cs="Arial" w:eastAsia="Arial" w:hAnsi="Arial"/>
                <w:sz w:val="18"/>
                <w:szCs w:val="18"/>
                <w:color w:val="auto"/>
              </w:rPr>
              <w:t>Balance at beginning of period</w:t>
            </w:r>
          </w:p>
        </w:tc>
        <w:tc>
          <w:tcPr>
            <w:tcW w:w="20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9,859</w:t>
            </w:r>
          </w:p>
        </w:tc>
        <w:tc>
          <w:tcPr>
            <w:tcW w:w="18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260" w:type="dxa"/>
            <w:vAlign w:val="bottom"/>
            <w:tcBorders>
              <w:top w:val="single" w:sz="8" w:color="auto"/>
            </w:tcBorders>
            <w:shd w:val="clear" w:color="auto" w:fill="D6F3E8"/>
          </w:tcPr>
          <w:p>
            <w:pPr>
              <w:jc w:val="right"/>
              <w:ind w:right="108"/>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11,259</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ind w:left="140"/>
              <w:spacing w:after="0"/>
              <w:rPr>
                <w:sz w:val="20"/>
                <w:szCs w:val="20"/>
                <w:color w:val="auto"/>
              </w:rPr>
            </w:pPr>
            <w:r>
              <w:rPr>
                <w:rFonts w:ascii="Arial" w:cs="Arial" w:eastAsia="Arial" w:hAnsi="Arial"/>
                <w:sz w:val="18"/>
                <w:szCs w:val="18"/>
                <w:color w:val="auto"/>
              </w:rPr>
              <w:t>Provision</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1,153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3,824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shd w:val="clear" w:color="auto" w:fill="D6F3E8"/>
          </w:tcPr>
          <w:p>
            <w:pPr>
              <w:ind w:left="140"/>
              <w:spacing w:after="0"/>
              <w:rPr>
                <w:sz w:val="20"/>
                <w:szCs w:val="20"/>
                <w:color w:val="auto"/>
              </w:rPr>
            </w:pPr>
            <w:r>
              <w:rPr>
                <w:rFonts w:ascii="Arial" w:cs="Arial" w:eastAsia="Arial" w:hAnsi="Arial"/>
                <w:sz w:val="18"/>
                <w:szCs w:val="18"/>
                <w:color w:val="auto"/>
              </w:rPr>
              <w:t>Claims paid</w:t>
            </w:r>
          </w:p>
        </w:tc>
        <w:tc>
          <w:tcPr>
            <w:tcW w:w="20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120"/>
              <w:spacing w:after="0"/>
              <w:rPr>
                <w:sz w:val="20"/>
                <w:szCs w:val="20"/>
                <w:color w:val="auto"/>
              </w:rPr>
            </w:pPr>
            <w:r>
              <w:rPr>
                <w:rFonts w:ascii="Arial" w:cs="Arial" w:eastAsia="Arial" w:hAnsi="Arial"/>
                <w:sz w:val="18"/>
                <w:szCs w:val="18"/>
                <w:color w:val="auto"/>
              </w:rPr>
              <w:t>(2,306)</w:t>
            </w:r>
          </w:p>
        </w:tc>
        <w:tc>
          <w:tcPr>
            <w:tcW w:w="120" w:type="dxa"/>
            <w:vAlign w:val="bottom"/>
            <w:shd w:val="clear" w:color="auto" w:fill="D6F3E8"/>
          </w:tcPr>
          <w:p>
            <w:pPr>
              <w:spacing w:after="0"/>
              <w:rPr>
                <w:sz w:val="18"/>
                <w:szCs w:val="18"/>
                <w:color w:val="auto"/>
              </w:rPr>
            </w:pPr>
          </w:p>
        </w:tc>
        <w:tc>
          <w:tcPr>
            <w:tcW w:w="260" w:type="dxa"/>
            <w:vAlign w:val="bottom"/>
            <w:shd w:val="clear" w:color="auto" w:fill="D6F3E8"/>
          </w:tcPr>
          <w:p>
            <w:pPr>
              <w:spacing w:after="0"/>
              <w:rPr>
                <w:sz w:val="18"/>
                <w:szCs w:val="18"/>
                <w:color w:val="auto"/>
              </w:rPr>
            </w:pPr>
          </w:p>
        </w:tc>
        <w:tc>
          <w:tcPr>
            <w:tcW w:w="9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(3,659)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500" w:type="dxa"/>
            <w:vAlign w:val="bottom"/>
            <w:shd w:val="clear" w:color="auto" w:fill="D6F3E8"/>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20" w:type="dxa"/>
            <w:vAlign w:val="bottom"/>
            <w:shd w:val="clear" w:color="auto" w:fill="D6F3E8"/>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8,706</w:t>
            </w:r>
          </w:p>
        </w:tc>
        <w:tc>
          <w:tcPr>
            <w:tcW w:w="180" w:type="dxa"/>
            <w:vAlign w:val="bottom"/>
          </w:tcPr>
          <w:p>
            <w:pPr>
              <w:spacing w:after="0"/>
              <w:rPr>
                <w:sz w:val="18"/>
                <w:szCs w:val="18"/>
                <w:color w:val="auto"/>
              </w:rPr>
            </w:pPr>
          </w:p>
        </w:tc>
        <w:tc>
          <w:tcPr>
            <w:tcW w:w="38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5905500</wp:posOffset>
            </wp:positionH>
            <wp:positionV relativeFrom="paragraph">
              <wp:posOffset>-170815</wp:posOffset>
            </wp:positionV>
            <wp:extent cx="18859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88595" cy="8890"/>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-170815</wp:posOffset>
            </wp:positionV>
            <wp:extent cx="603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We also incur costs as a result of additional service actions not covered by our warranties, including product recalls and customer satisfaction actions.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231"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 xml:space="preserve">We account for income taxes under the provisions of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 Judgment is required in assessing the future tax consequences of events that have been recognized in our financial statements or tax returns.</w:t>
      </w:r>
    </w:p>
    <w:p>
      <w:pPr>
        <w:spacing w:after="0" w:line="19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of November 29, 2008, our total unrecognized tax benefits were $9.3 million of which, if recognized, $5.4 million would positively affect our effective tax rate. It is our policy to recognize interest and penalties accrued relative to unrecognized tax benefits into tax expense. As of November 29, 2008, we had accrued $3.0 million in interest and penalties.</w:t>
      </w:r>
    </w:p>
    <w:p>
      <w:pPr>
        <w:spacing w:after="0" w:line="194"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We file tax returns in the U.S. federal jurisdiction, as well as various international and state jurisdictions. A number of years may elapse before an uncertain tax position is audited and finally resolved, and it is often very difficult to predict the outcome of such audits. Our federal returns are not subject to examination prior to Fiscal 2004. Periodically, various state and local jurisdictions conduct audits, therefore, a variety of other years are subject to state and local jurisdiction review.</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color w:val="auto"/>
        </w:rPr>
        <w:t>We do not believe within the next twelve months there will be a significant change in the total amount of unrecognized tax benefits as of November 29, 2008.</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Employee and Retiree Benefits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Reserves for long-term postretirement health care and deferred compensation benefits are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37"/>
              <w:spacing w:after="0"/>
              <w:rPr>
                <w:sz w:val="20"/>
                <w:szCs w:val="20"/>
                <w:color w:val="auto"/>
              </w:rPr>
            </w:pPr>
            <w:r>
              <w:rPr>
                <w:rFonts w:ascii="Arial" w:cs="Arial" w:eastAsia="Arial" w:hAnsi="Arial"/>
                <w:sz w:val="14"/>
                <w:szCs w:val="14"/>
                <w:b w:val="1"/>
                <w:bCs w:val="1"/>
                <w:color w:val="auto"/>
                <w:w w:val="87"/>
              </w:rPr>
              <w:t>November 29,</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tcPr>
          <w:p>
            <w:pPr>
              <w:ind w:left="60"/>
              <w:spacing w:after="0"/>
              <w:rPr>
                <w:sz w:val="20"/>
                <w:szCs w:val="20"/>
                <w:color w:val="auto"/>
              </w:rPr>
            </w:pPr>
            <w:r>
              <w:rPr>
                <w:rFonts w:ascii="Arial" w:cs="Arial" w:eastAsia="Arial" w:hAnsi="Arial"/>
                <w:sz w:val="14"/>
                <w:szCs w:val="14"/>
                <w:b w:val="1"/>
                <w:bCs w:val="1"/>
                <w:color w:val="auto"/>
              </w:rPr>
              <w:t>August 30,</w:t>
            </w:r>
          </w:p>
        </w:tc>
      </w:tr>
      <w:tr>
        <w:trPr>
          <w:trHeight w:val="161"/>
        </w:trPr>
        <w:tc>
          <w:tcPr>
            <w:tcW w:w="904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2008</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r>
      <w:tr>
        <w:trPr>
          <w:trHeight w:val="250"/>
        </w:trPr>
        <w:tc>
          <w:tcPr>
            <w:tcW w:w="20" w:type="dxa"/>
            <w:vAlign w:val="bottom"/>
          </w:tcPr>
          <w:p>
            <w:pPr>
              <w:spacing w:after="0"/>
              <w:rPr>
                <w:sz w:val="21"/>
                <w:szCs w:val="21"/>
                <w:color w:val="auto"/>
              </w:rPr>
            </w:pPr>
          </w:p>
        </w:tc>
        <w:tc>
          <w:tcPr>
            <w:tcW w:w="9020" w:type="dxa"/>
            <w:vAlign w:val="bottom"/>
            <w:shd w:val="clear" w:color="auto" w:fill="D6F3E8"/>
          </w:tcPr>
          <w:p>
            <w:pPr>
              <w:spacing w:after="0" w:line="250" w:lineRule="exact"/>
              <w:rPr>
                <w:sz w:val="20"/>
                <w:szCs w:val="20"/>
                <w:color w:val="auto"/>
              </w:rPr>
            </w:pPr>
            <w:r>
              <w:rPr>
                <w:rFonts w:ascii="Arial" w:cs="Arial" w:eastAsia="Arial" w:hAnsi="Arial"/>
                <w:sz w:val="17"/>
                <w:szCs w:val="17"/>
                <w:color w:val="auto"/>
              </w:rPr>
              <w:t xml:space="preserve">Postretirement health care benefit cost </w:t>
            </w:r>
            <w:r>
              <w:rPr>
                <w:rFonts w:ascii="Arial" w:cs="Arial" w:eastAsia="Arial" w:hAnsi="Arial"/>
                <w:sz w:val="28"/>
                <w:szCs w:val="28"/>
                <w:color w:val="auto"/>
                <w:vertAlign w:val="superscript"/>
              </w:rPr>
              <w:t>(1)</w:t>
            </w:r>
          </w:p>
        </w:tc>
        <w:tc>
          <w:tcPr>
            <w:tcW w:w="100" w:type="dxa"/>
            <w:vAlign w:val="bottom"/>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30,154</w:t>
            </w:r>
          </w:p>
        </w:tc>
        <w:tc>
          <w:tcPr>
            <w:tcW w:w="36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29,752</w:t>
            </w:r>
          </w:p>
        </w:tc>
      </w:tr>
      <w:tr>
        <w:trPr>
          <w:trHeight w:val="257"/>
        </w:trPr>
        <w:tc>
          <w:tcPr>
            <w:tcW w:w="20" w:type="dxa"/>
            <w:vAlign w:val="bottom"/>
          </w:tcPr>
          <w:p>
            <w:pPr>
              <w:spacing w:after="0"/>
              <w:rPr>
                <w:sz w:val="22"/>
                <w:szCs w:val="22"/>
                <w:color w:val="auto"/>
              </w:rPr>
            </w:pPr>
          </w:p>
        </w:tc>
        <w:tc>
          <w:tcPr>
            <w:tcW w:w="9020" w:type="dxa"/>
            <w:vAlign w:val="bottom"/>
          </w:tcPr>
          <w:p>
            <w:pPr>
              <w:spacing w:after="0" w:line="256" w:lineRule="exact"/>
              <w:rPr>
                <w:sz w:val="20"/>
                <w:szCs w:val="20"/>
                <w:color w:val="auto"/>
              </w:rPr>
            </w:pPr>
            <w:r>
              <w:rPr>
                <w:rFonts w:ascii="Arial" w:cs="Arial" w:eastAsia="Arial" w:hAnsi="Arial"/>
                <w:sz w:val="18"/>
                <w:szCs w:val="18"/>
                <w:color w:val="auto"/>
              </w:rPr>
              <w:t xml:space="preserve">Non-qualified deferred compensation </w:t>
            </w:r>
            <w:r>
              <w:rPr>
                <w:rFonts w:ascii="Arial" w:cs="Arial" w:eastAsia="Arial" w:hAnsi="Arial"/>
                <w:sz w:val="29"/>
                <w:szCs w:val="29"/>
                <w:color w:val="auto"/>
                <w:vertAlign w:val="superscript"/>
              </w:rPr>
              <w:t>(2)</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24,018</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24,155</w:t>
            </w:r>
          </w:p>
        </w:tc>
      </w:tr>
      <w:tr>
        <w:trPr>
          <w:trHeight w:val="216"/>
        </w:trPr>
        <w:tc>
          <w:tcPr>
            <w:tcW w:w="20" w:type="dxa"/>
            <w:vAlign w:val="bottom"/>
          </w:tcPr>
          <w:p>
            <w:pPr>
              <w:spacing w:after="0"/>
              <w:rPr>
                <w:sz w:val="18"/>
                <w:szCs w:val="18"/>
                <w:color w:val="auto"/>
              </w:rPr>
            </w:pPr>
          </w:p>
        </w:tc>
        <w:tc>
          <w:tcPr>
            <w:tcW w:w="9020" w:type="dxa"/>
            <w:vAlign w:val="bottom"/>
            <w:shd w:val="clear" w:color="auto" w:fill="D6F3E8"/>
          </w:tcPr>
          <w:p>
            <w:pPr>
              <w:spacing w:after="0"/>
              <w:rPr>
                <w:sz w:val="20"/>
                <w:szCs w:val="20"/>
                <w:color w:val="auto"/>
              </w:rPr>
            </w:pPr>
            <w:r>
              <w:rPr>
                <w:rFonts w:ascii="Arial" w:cs="Arial" w:eastAsia="Arial" w:hAnsi="Arial"/>
                <w:sz w:val="18"/>
                <w:szCs w:val="18"/>
                <w:color w:val="auto"/>
              </w:rPr>
              <w:t>Executive share option plan liability</w:t>
            </w:r>
          </w:p>
        </w:tc>
        <w:tc>
          <w:tcPr>
            <w:tcW w:w="1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7,028</w:t>
            </w:r>
          </w:p>
        </w:tc>
        <w:tc>
          <w:tcPr>
            <w:tcW w:w="22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10,999</w:t>
            </w:r>
          </w:p>
        </w:tc>
      </w:tr>
      <w:tr>
        <w:trPr>
          <w:trHeight w:val="257"/>
        </w:trPr>
        <w:tc>
          <w:tcPr>
            <w:tcW w:w="20" w:type="dxa"/>
            <w:vAlign w:val="bottom"/>
          </w:tcPr>
          <w:p>
            <w:pPr>
              <w:spacing w:after="0"/>
              <w:rPr>
                <w:sz w:val="22"/>
                <w:szCs w:val="22"/>
                <w:color w:val="auto"/>
              </w:rPr>
            </w:pPr>
          </w:p>
        </w:tc>
        <w:tc>
          <w:tcPr>
            <w:tcW w:w="9020" w:type="dxa"/>
            <w:vAlign w:val="bottom"/>
          </w:tcPr>
          <w:p>
            <w:pPr>
              <w:spacing w:after="0" w:line="256" w:lineRule="exact"/>
              <w:rPr>
                <w:sz w:val="20"/>
                <w:szCs w:val="20"/>
                <w:color w:val="auto"/>
              </w:rPr>
            </w:pPr>
            <w:r>
              <w:rPr>
                <w:rFonts w:ascii="Arial" w:cs="Arial" w:eastAsia="Arial" w:hAnsi="Arial"/>
                <w:sz w:val="18"/>
                <w:szCs w:val="18"/>
                <w:color w:val="auto"/>
              </w:rPr>
              <w:t xml:space="preserve">Split-dollar benefit liability </w:t>
            </w:r>
            <w:r>
              <w:rPr>
                <w:rFonts w:ascii="Arial" w:cs="Arial" w:eastAsia="Arial" w:hAnsi="Arial"/>
                <w:sz w:val="29"/>
                <w:szCs w:val="29"/>
                <w:color w:val="auto"/>
                <w:vertAlign w:val="superscript"/>
              </w:rPr>
              <w:t>(3)</w:t>
            </w:r>
          </w:p>
        </w:tc>
        <w:tc>
          <w:tcPr>
            <w:tcW w:w="10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2,944</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2,767</w:t>
            </w:r>
          </w:p>
        </w:tc>
      </w:tr>
      <w:tr>
        <w:trPr>
          <w:trHeight w:val="216"/>
        </w:trPr>
        <w:tc>
          <w:tcPr>
            <w:tcW w:w="20" w:type="dxa"/>
            <w:vAlign w:val="bottom"/>
          </w:tcPr>
          <w:p>
            <w:pPr>
              <w:spacing w:after="0"/>
              <w:rPr>
                <w:sz w:val="18"/>
                <w:szCs w:val="18"/>
                <w:color w:val="auto"/>
              </w:rPr>
            </w:pPr>
          </w:p>
        </w:tc>
        <w:tc>
          <w:tcPr>
            <w:tcW w:w="902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Executive deferred compensation</w:t>
            </w:r>
          </w:p>
        </w:tc>
        <w:tc>
          <w:tcPr>
            <w:tcW w:w="100" w:type="dxa"/>
            <w:vAlign w:val="bottom"/>
            <w:tcBorders>
              <w:bottom w:val="single" w:sz="8" w:color="auto"/>
            </w:tcBorders>
            <w:shd w:val="clear" w:color="auto" w:fill="D6F3E8"/>
          </w:tcPr>
          <w:p>
            <w:pPr>
              <w:spacing w:after="0"/>
              <w:rPr>
                <w:sz w:val="18"/>
                <w:szCs w:val="18"/>
                <w:color w:val="auto"/>
              </w:rPr>
            </w:pPr>
          </w:p>
        </w:tc>
        <w:tc>
          <w:tcPr>
            <w:tcW w:w="94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49</w:t>
            </w:r>
          </w:p>
        </w:tc>
        <w:tc>
          <w:tcPr>
            <w:tcW w:w="22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auto"/>
            </w:tcBorders>
            <w:shd w:val="clear" w:color="auto" w:fill="D6F3E8"/>
          </w:tcPr>
          <w:p>
            <w:pPr>
              <w:spacing w:after="0"/>
              <w:rPr>
                <w:sz w:val="18"/>
                <w:szCs w:val="18"/>
                <w:color w:val="auto"/>
              </w:rPr>
            </w:pPr>
          </w:p>
        </w:tc>
        <w:tc>
          <w:tcPr>
            <w:tcW w:w="880" w:type="dxa"/>
            <w:vAlign w:val="bottom"/>
            <w:tcBorders>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D6F3E8"/>
            </w:tcBorders>
            <w:shd w:val="clear" w:color="auto" w:fill="D6F3E8"/>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9020" w:type="dxa"/>
            <w:vAlign w:val="bottom"/>
          </w:tcPr>
          <w:p>
            <w:pPr>
              <w:spacing w:after="0"/>
              <w:rPr>
                <w:sz w:val="20"/>
                <w:szCs w:val="20"/>
                <w:color w:val="auto"/>
              </w:rPr>
            </w:pPr>
            <w:r>
              <w:rPr>
                <w:rFonts w:ascii="Arial" w:cs="Arial" w:eastAsia="Arial" w:hAnsi="Arial"/>
                <w:sz w:val="18"/>
                <w:szCs w:val="18"/>
                <w:color w:val="auto"/>
              </w:rPr>
              <w:t>Total postretirement health care and deferred compensation benefits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64,193</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67,729</w:t>
            </w:r>
          </w:p>
        </w:tc>
      </w:tr>
      <w:tr>
        <w:trPr>
          <w:trHeight w:val="20"/>
        </w:trPr>
        <w:tc>
          <w:tcPr>
            <w:tcW w:w="20" w:type="dxa"/>
            <w:vAlign w:val="bottom"/>
          </w:tcPr>
          <w:p>
            <w:pPr>
              <w:spacing w:after="0" w:line="20" w:lineRule="exact"/>
              <w:rPr>
                <w:sz w:val="1"/>
                <w:szCs w:val="1"/>
                <w:color w:val="auto"/>
              </w:rPr>
            </w:pPr>
          </w:p>
        </w:tc>
        <w:tc>
          <w:tcPr>
            <w:tcW w:w="90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89" w:lineRule="exact"/>
        <w:rPr>
          <w:sz w:val="20"/>
          <w:szCs w:val="20"/>
          <w:color w:val="auto"/>
        </w:rPr>
      </w:pPr>
    </w:p>
    <w:p>
      <w:pPr>
        <w:ind w:left="460" w:right="160" w:hanging="452"/>
        <w:spacing w:after="0" w:line="194" w:lineRule="auto"/>
        <w:tabs>
          <w:tab w:leader="none" w:pos="46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current portion of accrued postretirement benefit cost of $1.2 million and $1.1 million as of November 29, 2008 and August 30, 2008, respectively, is included within other accrued expenses.</w:t>
      </w:r>
    </w:p>
    <w:p>
      <w:pPr>
        <w:spacing w:after="0" w:line="35" w:lineRule="exact"/>
        <w:rPr>
          <w:rFonts w:ascii="Arial" w:cs="Arial" w:eastAsia="Arial" w:hAnsi="Arial"/>
          <w:sz w:val="29"/>
          <w:szCs w:val="29"/>
          <w:color w:val="auto"/>
          <w:vertAlign w:val="superscript"/>
        </w:rPr>
      </w:pPr>
    </w:p>
    <w:p>
      <w:pPr>
        <w:ind w:left="460" w:right="420" w:hanging="452"/>
        <w:spacing w:after="0" w:line="194" w:lineRule="auto"/>
        <w:tabs>
          <w:tab w:leader="none" w:pos="46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current portion of deferred compensation liability of $2.5 million and $2.4 million as of November 29, 2008 and August 30, 2008, respectively, is included within accrued compensation.</w:t>
      </w:r>
    </w:p>
    <w:p>
      <w:pPr>
        <w:spacing w:after="0" w:line="35" w:lineRule="exact"/>
        <w:rPr>
          <w:rFonts w:ascii="Arial" w:cs="Arial" w:eastAsia="Arial" w:hAnsi="Arial"/>
          <w:sz w:val="29"/>
          <w:szCs w:val="29"/>
          <w:color w:val="auto"/>
          <w:vertAlign w:val="superscript"/>
        </w:rPr>
      </w:pPr>
    </w:p>
    <w:p>
      <w:pPr>
        <w:ind w:left="460" w:right="260" w:hanging="452"/>
        <w:spacing w:after="0" w:line="194" w:lineRule="auto"/>
        <w:tabs>
          <w:tab w:leader="none" w:pos="460" w:val="left"/>
        </w:tabs>
        <w:numPr>
          <w:ilvl w:val="0"/>
          <w:numId w:val="4"/>
        </w:numPr>
        <w:rPr>
          <w:rFonts w:ascii="Arial" w:cs="Arial" w:eastAsia="Arial" w:hAnsi="Arial"/>
          <w:sz w:val="29"/>
          <w:szCs w:val="29"/>
          <w:color w:val="auto"/>
          <w:vertAlign w:val="superscript"/>
        </w:rPr>
      </w:pPr>
      <w:r>
        <w:rPr>
          <w:rFonts w:ascii="Arial" w:cs="Arial" w:eastAsia="Arial" w:hAnsi="Arial"/>
          <w:sz w:val="18"/>
          <w:szCs w:val="18"/>
          <w:color w:val="auto"/>
        </w:rPr>
        <w:t>The current portion of the split-dollar liability of $184,000 and $186,000 as of November 29, 2008 and August 30, 2008, respectively, is included within accrued compensation.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Postretirement Health Care Benefits</w:t>
      </w:r>
    </w:p>
    <w:p>
      <w:pPr>
        <w:spacing w:after="0" w:line="225" w:lineRule="exact"/>
        <w:rPr>
          <w:sz w:val="20"/>
          <w:szCs w:val="20"/>
          <w:color w:val="auto"/>
        </w:rPr>
      </w:pPr>
    </w:p>
    <w:p>
      <w:pPr>
        <w:jc w:val="both"/>
        <w:ind w:right="200"/>
        <w:spacing w:after="0" w:line="306" w:lineRule="auto"/>
        <w:rPr>
          <w:sz w:val="20"/>
          <w:szCs w:val="20"/>
          <w:color w:val="auto"/>
        </w:rPr>
      </w:pPr>
      <w:r>
        <w:rPr>
          <w:rFonts w:ascii="Arial" w:cs="Arial" w:eastAsia="Arial" w:hAnsi="Arial"/>
          <w:sz w:val="16"/>
          <w:szCs w:val="16"/>
          <w:color w:val="auto"/>
        </w:rPr>
        <w:t>We provide certain health care and other benefits for retired employees hired before April 1, 2001, who have fulfilled eligibility requirements of age 55 with 15 years of continuous service. Retirees are required to pay a monthly premium for medical coverage based on years of service at retirement and then current age. Our postretirement health care plan currently is not funded. We use a September 1 measurement date for this plan.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Net periodic postretirement benefit income consisted of the following components: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Thirteen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Fourteen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5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5"/>
          </w:tcPr>
          <w:p>
            <w:pPr>
              <w:jc w:val="right"/>
              <w:ind w:right="899"/>
              <w:spacing w:after="0"/>
              <w:rPr>
                <w:sz w:val="20"/>
                <w:szCs w:val="20"/>
                <w:color w:val="auto"/>
              </w:rPr>
            </w:pPr>
            <w:r>
              <w:rPr>
                <w:rFonts w:ascii="Arial" w:cs="Arial" w:eastAsia="Arial" w:hAnsi="Arial"/>
                <w:sz w:val="14"/>
                <w:szCs w:val="14"/>
                <w:b w:val="1"/>
                <w:bCs w:val="1"/>
                <w:color w:val="auto"/>
              </w:rPr>
              <w:t>Weeks Ended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85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1"/>
              </w:rPr>
              <w:t>November 29, 2008</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6"/>
              </w:rPr>
              <w:t>December 1, 2007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60" w:type="dxa"/>
            <w:vAlign w:val="bottom"/>
            <w:shd w:val="clear" w:color="auto" w:fill="D6F3E8"/>
          </w:tcPr>
          <w:p>
            <w:pPr>
              <w:spacing w:after="0"/>
              <w:rPr>
                <w:sz w:val="20"/>
                <w:szCs w:val="20"/>
                <w:color w:val="auto"/>
              </w:rPr>
            </w:pPr>
            <w:r>
              <w:rPr>
                <w:rFonts w:ascii="Arial" w:cs="Arial" w:eastAsia="Arial" w:hAnsi="Arial"/>
                <w:sz w:val="18"/>
                <w:szCs w:val="18"/>
                <w:color w:val="auto"/>
              </w:rPr>
              <w:t>Interest cost</w:t>
            </w:r>
          </w:p>
        </w:tc>
        <w:tc>
          <w:tcPr>
            <w:tcW w:w="220" w:type="dxa"/>
            <w:vAlign w:val="bottom"/>
            <w:tcBorders>
              <w:top w:val="single" w:sz="8" w:color="auto"/>
            </w:tcBorders>
            <w:shd w:val="clear" w:color="auto" w:fill="D6F3E8"/>
          </w:tcPr>
          <w:p>
            <w:pPr>
              <w:jc w:val="right"/>
              <w:ind w:right="66"/>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530</w:t>
            </w:r>
          </w:p>
        </w:tc>
        <w:tc>
          <w:tcPr>
            <w:tcW w:w="14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529</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Service cost</w:t>
            </w: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60" w:type="dxa"/>
            <w:vAlign w:val="bottom"/>
            <w:shd w:val="clear" w:color="auto" w:fill="D6F3E8"/>
          </w:tcPr>
          <w:p>
            <w:pPr>
              <w:spacing w:after="0"/>
              <w:rPr>
                <w:sz w:val="20"/>
                <w:szCs w:val="20"/>
                <w:color w:val="auto"/>
              </w:rPr>
            </w:pPr>
            <w:r>
              <w:rPr>
                <w:rFonts w:ascii="Arial" w:cs="Arial" w:eastAsia="Arial" w:hAnsi="Arial"/>
                <w:sz w:val="18"/>
                <w:szCs w:val="18"/>
                <w:color w:val="auto"/>
              </w:rPr>
              <w:t>Net amortization and deferral</w:t>
            </w:r>
          </w:p>
        </w:tc>
        <w:tc>
          <w:tcPr>
            <w:tcW w:w="220" w:type="dxa"/>
            <w:vAlign w:val="bottom"/>
            <w:shd w:val="clear" w:color="auto" w:fill="D6F3E8"/>
          </w:tcPr>
          <w:p>
            <w:pPr>
              <w:spacing w:after="0"/>
              <w:rPr>
                <w:sz w:val="18"/>
                <w:szCs w:val="18"/>
                <w:color w:val="auto"/>
              </w:rPr>
            </w:pPr>
          </w:p>
        </w:tc>
        <w:tc>
          <w:tcPr>
            <w:tcW w:w="1180" w:type="dxa"/>
            <w:vAlign w:val="bottom"/>
            <w:gridSpan w:val="2"/>
            <w:shd w:val="clear" w:color="auto" w:fill="D6F3E8"/>
          </w:tcPr>
          <w:p>
            <w:pPr>
              <w:jc w:val="right"/>
              <w:ind w:right="80"/>
              <w:spacing w:after="0"/>
              <w:rPr>
                <w:sz w:val="20"/>
                <w:szCs w:val="20"/>
                <w:color w:val="auto"/>
              </w:rPr>
            </w:pPr>
            <w:r>
              <w:rPr>
                <w:rFonts w:ascii="Arial" w:cs="Arial" w:eastAsia="Arial" w:hAnsi="Arial"/>
                <w:sz w:val="18"/>
                <w:szCs w:val="18"/>
                <w:color w:val="auto"/>
              </w:rPr>
              <w:t>(874)</w:t>
            </w:r>
          </w:p>
        </w:tc>
        <w:tc>
          <w:tcPr>
            <w:tcW w:w="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6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60" w:type="dxa"/>
            <w:vAlign w:val="bottom"/>
            <w:shd w:val="clear" w:color="auto" w:fill="D6F3E8"/>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8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60" w:type="dxa"/>
            <w:vAlign w:val="bottom"/>
          </w:tcPr>
          <w:p>
            <w:pPr>
              <w:spacing w:after="0"/>
              <w:rPr>
                <w:sz w:val="20"/>
                <w:szCs w:val="20"/>
                <w:color w:val="auto"/>
              </w:rPr>
            </w:pPr>
            <w:r>
              <w:rPr>
                <w:rFonts w:ascii="Arial" w:cs="Arial" w:eastAsia="Arial" w:hAnsi="Arial"/>
                <w:sz w:val="18"/>
                <w:szCs w:val="18"/>
                <w:color w:val="auto"/>
              </w:rPr>
              <w:t>Net periodic postretirement benefit income</w:t>
            </w:r>
          </w:p>
        </w:tc>
        <w:tc>
          <w:tcPr>
            <w:tcW w:w="220" w:type="dxa"/>
            <w:vAlign w:val="bottom"/>
          </w:tcPr>
          <w:p>
            <w:pPr>
              <w:jc w:val="right"/>
              <w:ind w:right="66"/>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6248400</wp:posOffset>
            </wp:positionH>
            <wp:positionV relativeFrom="paragraph">
              <wp:posOffset>-170815</wp:posOffset>
            </wp:positionV>
            <wp:extent cx="14605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-170815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8"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For accounting purposes, we recognized income from the plan for the first quarters of both Fiscal 2009 and Fiscal 2008 due to the amortization of the cost savings from the September 2004 amendment. However, we are still obligated to pay the cost of previously accrued and earned retiree benefits and paid approximately $192,000 and $243,000 of such benefits for the thirteen weeks ended November 29, 2008 and the fourteen weeks ended December 1, 2007, respectively.</w:t>
      </w:r>
    </w:p>
    <w:p>
      <w:pPr>
        <w:sectPr>
          <w:pgSz w:w="11900" w:h="16838" w:orient="portrait"/>
          <w:cols w:equalWidth="0" w:num="1">
            <w:col w:w="11420"/>
          </w:cols>
          <w:pgMar w:left="240" w:top="131" w:right="239" w:bottom="1440" w:gutter="0" w:footer="0" w:header="0"/>
        </w:sectPr>
      </w:pP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175260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Contingent Liabilities and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Commitments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Generally, companies in the RV industry enter into repurchase agreements with lending institutions which have provided wholesale floorplan financing to dealers. Most dealers’ motor homes are financed on a “floorplan” basis under which a bank or finance company lends the dealer all, or substantially all, of the purchase price, collateralized by a security interest in the motor homes purchased.</w:t>
      </w:r>
    </w:p>
    <w:p>
      <w:pPr>
        <w:spacing w:after="0" w:line="194"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agreements provide that our liability will not exceed 100 percent of the dealer invoice and provide for periodic liability reductions based on the time since the date of the original invoice. Our contingent liability on these repurchase agreements was approximately $142.6 million at November 29, 2008.</w:t>
      </w:r>
    </w:p>
    <w:p>
      <w:pPr>
        <w:spacing w:after="0" w:line="161"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certain instances, we also repurchase inventory from our dealers due to state law and regulatory requirements or relationship terminations. Although laws vary from state to state, some have laws in place that require manufacturers of motor vehicles to repurchase current inventory if a dealership exits the business. Incremental repurchase exposure, beyond existing repurchase agreements, related to dealer inventory in states that we have had historical experience of repurchasing inventory totaled $12.8 million at November 29, 2008.</w:t>
      </w:r>
    </w:p>
    <w:p>
      <w:pPr>
        <w:spacing w:after="0" w:line="19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reserve methodology used to record an estimated expense and loss reserve in each accounting period is based on current known facts and projected based on expected losses for all types of inventory repurchases. This potential loss reserve is presented as other accrued liabilities in the accompanying consolidated balance sheets. Repurchase sales are not recorded as a revenue transaction, but the net difference between the original repurchase price and the resale price will be recorded against the loss reserve, which is a deduction from gross revenue.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activity for repurchased units is as follows:</w:t>
      </w:r>
    </w:p>
    <w:p>
      <w:pPr>
        <w:spacing w:after="0" w:line="222"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61"/>
              <w:spacing w:after="0"/>
              <w:rPr>
                <w:sz w:val="20"/>
                <w:szCs w:val="20"/>
                <w:color w:val="auto"/>
              </w:rPr>
            </w:pPr>
            <w:r>
              <w:rPr>
                <w:rFonts w:ascii="Arial" w:cs="Arial" w:eastAsia="Arial" w:hAnsi="Arial"/>
                <w:sz w:val="14"/>
                <w:szCs w:val="14"/>
                <w:b w:val="1"/>
                <w:bCs w:val="1"/>
                <w:color w:val="auto"/>
                <w:w w:val="94"/>
              </w:rPr>
              <w:t>Thirteen</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Fourteen</w:t>
            </w:r>
          </w:p>
        </w:tc>
      </w:tr>
      <w:tr>
        <w:trPr>
          <w:trHeight w:val="161"/>
        </w:trPr>
        <w:tc>
          <w:tcPr>
            <w:tcW w:w="470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5"/>
          </w:tcPr>
          <w:p>
            <w:pPr>
              <w:ind w:left="760"/>
              <w:spacing w:after="0"/>
              <w:rPr>
                <w:sz w:val="20"/>
                <w:szCs w:val="20"/>
                <w:color w:val="auto"/>
              </w:rPr>
            </w:pPr>
            <w:r>
              <w:rPr>
                <w:rFonts w:ascii="Arial" w:cs="Arial" w:eastAsia="Arial" w:hAnsi="Arial"/>
                <w:sz w:val="14"/>
                <w:szCs w:val="14"/>
                <w:b w:val="1"/>
                <w:bCs w:val="1"/>
                <w:color w:val="auto"/>
              </w:rPr>
              <w:t>Weeks Ended</w:t>
            </w:r>
          </w:p>
        </w:tc>
      </w:tr>
      <w:tr>
        <w:trPr>
          <w:trHeight w:val="129"/>
        </w:trPr>
        <w:tc>
          <w:tcPr>
            <w:tcW w:w="47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ind w:right="61"/>
              <w:spacing w:after="0" w:line="129" w:lineRule="exact"/>
              <w:rPr>
                <w:sz w:val="20"/>
                <w:szCs w:val="20"/>
                <w:color w:val="auto"/>
              </w:rPr>
            </w:pPr>
            <w:r>
              <w:rPr>
                <w:rFonts w:ascii="Arial" w:cs="Arial" w:eastAsia="Arial" w:hAnsi="Arial"/>
                <w:sz w:val="14"/>
                <w:szCs w:val="14"/>
                <w:b w:val="1"/>
                <w:bCs w:val="1"/>
                <w:color w:val="auto"/>
                <w:w w:val="87"/>
              </w:rPr>
              <w:t>November 29,</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86"/>
              </w:rPr>
              <w:t>December 1,</w:t>
            </w:r>
          </w:p>
        </w:tc>
      </w:tr>
      <w:tr>
        <w:trPr>
          <w:trHeight w:val="161"/>
        </w:trPr>
        <w:tc>
          <w:tcPr>
            <w:tcW w:w="4700" w:type="dxa"/>
            <w:vAlign w:val="bottom"/>
          </w:tcPr>
          <w:p>
            <w:pPr>
              <w:spacing w:after="0"/>
              <w:rPr>
                <w:sz w:val="20"/>
                <w:szCs w:val="20"/>
                <w:color w:val="auto"/>
              </w:rPr>
            </w:pPr>
            <w:r>
              <w:rPr>
                <w:rFonts w:ascii="Arial" w:cs="Arial" w:eastAsia="Arial" w:hAnsi="Arial"/>
                <w:sz w:val="14"/>
                <w:szCs w:val="14"/>
                <w:b w:val="1"/>
                <w:bCs w:val="1"/>
                <w:color w:val="auto"/>
              </w:rPr>
              <w:t>(In thousands, except for units)</w:t>
            </w:r>
          </w:p>
        </w:tc>
        <w:tc>
          <w:tcPr>
            <w:tcW w:w="29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2008</w:t>
            </w:r>
          </w:p>
        </w:tc>
        <w:tc>
          <w:tcPr>
            <w:tcW w:w="3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r>
      <w:tr>
        <w:trPr>
          <w:trHeight w:val="210"/>
        </w:trPr>
        <w:tc>
          <w:tcPr>
            <w:tcW w:w="4700" w:type="dxa"/>
            <w:vAlign w:val="bottom"/>
            <w:shd w:val="clear" w:color="auto" w:fill="D6F3E8"/>
          </w:tcPr>
          <w:p>
            <w:pPr>
              <w:spacing w:after="0"/>
              <w:rPr>
                <w:sz w:val="20"/>
                <w:szCs w:val="20"/>
                <w:color w:val="auto"/>
              </w:rPr>
            </w:pPr>
            <w:r>
              <w:rPr>
                <w:rFonts w:ascii="Arial" w:cs="Arial" w:eastAsia="Arial" w:hAnsi="Arial"/>
                <w:sz w:val="18"/>
                <w:szCs w:val="18"/>
                <w:color w:val="auto"/>
              </w:rPr>
              <w:t>Inventory repurchased</w:t>
            </w:r>
          </w:p>
        </w:tc>
        <w:tc>
          <w:tcPr>
            <w:tcW w:w="29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20" w:type="dxa"/>
            <w:vAlign w:val="bottom"/>
            <w:shd w:val="clear" w:color="auto" w:fill="D6F3E8"/>
          </w:tcPr>
          <w:p>
            <w:pPr>
              <w:spacing w:after="0"/>
              <w:rPr>
                <w:sz w:val="18"/>
                <w:szCs w:val="18"/>
                <w:color w:val="auto"/>
              </w:rPr>
            </w:pPr>
          </w:p>
        </w:tc>
        <w:tc>
          <w:tcPr>
            <w:tcW w:w="3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r>
      <w:tr>
        <w:trPr>
          <w:trHeight w:val="216"/>
        </w:trPr>
        <w:tc>
          <w:tcPr>
            <w:tcW w:w="4700" w:type="dxa"/>
            <w:vAlign w:val="bottom"/>
          </w:tcPr>
          <w:p>
            <w:pPr>
              <w:ind w:left="160"/>
              <w:spacing w:after="0"/>
              <w:rPr>
                <w:sz w:val="20"/>
                <w:szCs w:val="20"/>
                <w:color w:val="auto"/>
              </w:rPr>
            </w:pPr>
            <w:r>
              <w:rPr>
                <w:rFonts w:ascii="Arial" w:cs="Arial" w:eastAsia="Arial" w:hAnsi="Arial"/>
                <w:sz w:val="18"/>
                <w:szCs w:val="18"/>
                <w:color w:val="auto"/>
              </w:rPr>
              <w:t>Units</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47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Dollars</w:t>
            </w:r>
          </w:p>
        </w:tc>
        <w:tc>
          <w:tcPr>
            <w:tcW w:w="304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4,909</w:t>
            </w:r>
          </w:p>
        </w:tc>
        <w:tc>
          <w:tcPr>
            <w:tcW w:w="440" w:type="dxa"/>
            <w:vAlign w:val="bottom"/>
            <w:gridSpan w:val="2"/>
            <w:shd w:val="clear" w:color="auto" w:fill="D6F3E8"/>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1,697</w:t>
            </w:r>
          </w:p>
        </w:tc>
        <w:tc>
          <w:tcPr>
            <w:tcW w:w="100" w:type="dxa"/>
            <w:vAlign w:val="bottom"/>
            <w:shd w:val="clear" w:color="auto" w:fill="D6F3E8"/>
          </w:tcPr>
          <w:p>
            <w:pPr>
              <w:spacing w:after="0"/>
              <w:rPr>
                <w:sz w:val="18"/>
                <w:szCs w:val="18"/>
                <w:color w:val="auto"/>
              </w:rPr>
            </w:pP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Inventory resold</w:t>
            </w:r>
          </w:p>
        </w:tc>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Units</w:t>
            </w:r>
          </w:p>
        </w:tc>
        <w:tc>
          <w:tcPr>
            <w:tcW w:w="29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42</w:t>
            </w:r>
          </w:p>
        </w:tc>
        <w:tc>
          <w:tcPr>
            <w:tcW w:w="3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D6F3E8"/>
          </w:tcPr>
          <w:p>
            <w:pPr>
              <w:spacing w:after="0"/>
              <w:rPr>
                <w:sz w:val="18"/>
                <w:szCs w:val="18"/>
                <w:color w:val="auto"/>
              </w:rPr>
            </w:pPr>
          </w:p>
        </w:tc>
      </w:tr>
      <w:tr>
        <w:trPr>
          <w:trHeight w:val="216"/>
        </w:trPr>
        <w:tc>
          <w:tcPr>
            <w:tcW w:w="4700" w:type="dxa"/>
            <w:vAlign w:val="bottom"/>
          </w:tcPr>
          <w:p>
            <w:pPr>
              <w:ind w:left="160"/>
              <w:spacing w:after="0"/>
              <w:rPr>
                <w:sz w:val="20"/>
                <w:szCs w:val="20"/>
                <w:color w:val="auto"/>
              </w:rPr>
            </w:pPr>
            <w:r>
              <w:rPr>
                <w:rFonts w:ascii="Arial" w:cs="Arial" w:eastAsia="Arial" w:hAnsi="Arial"/>
                <w:sz w:val="18"/>
                <w:szCs w:val="18"/>
                <w:color w:val="auto"/>
              </w:rPr>
              <w:t>Cash collected</w:t>
            </w:r>
          </w:p>
        </w:tc>
        <w:tc>
          <w:tcPr>
            <w:tcW w:w="30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3,337</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841</w:t>
            </w:r>
          </w:p>
        </w:tc>
        <w:tc>
          <w:tcPr>
            <w:tcW w:w="100" w:type="dxa"/>
            <w:vAlign w:val="bottom"/>
          </w:tcPr>
          <w:p>
            <w:pPr>
              <w:spacing w:after="0"/>
              <w:rPr>
                <w:sz w:val="18"/>
                <w:szCs w:val="18"/>
                <w:color w:val="auto"/>
              </w:rPr>
            </w:pPr>
          </w:p>
        </w:tc>
      </w:tr>
      <w:tr>
        <w:trPr>
          <w:trHeight w:val="216"/>
        </w:trPr>
        <w:tc>
          <w:tcPr>
            <w:tcW w:w="4700" w:type="dxa"/>
            <w:vAlign w:val="bottom"/>
            <w:shd w:val="clear" w:color="auto" w:fill="D6F3E8"/>
          </w:tcPr>
          <w:p>
            <w:pPr>
              <w:ind w:left="160"/>
              <w:spacing w:after="0"/>
              <w:rPr>
                <w:sz w:val="20"/>
                <w:szCs w:val="20"/>
                <w:color w:val="auto"/>
              </w:rPr>
            </w:pPr>
            <w:r>
              <w:rPr>
                <w:rFonts w:ascii="Arial" w:cs="Arial" w:eastAsia="Arial" w:hAnsi="Arial"/>
                <w:sz w:val="18"/>
                <w:szCs w:val="18"/>
                <w:color w:val="auto"/>
              </w:rPr>
              <w:t>Loss recognized</w:t>
            </w:r>
          </w:p>
        </w:tc>
        <w:tc>
          <w:tcPr>
            <w:tcW w:w="292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479</w:t>
            </w:r>
          </w:p>
        </w:tc>
        <w:tc>
          <w:tcPr>
            <w:tcW w:w="3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9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D6F3E8"/>
          </w:tcPr>
          <w:p>
            <w:pPr>
              <w:spacing w:after="0"/>
              <w:rPr>
                <w:sz w:val="18"/>
                <w:szCs w:val="18"/>
                <w:color w:val="auto"/>
              </w:rPr>
            </w:pPr>
          </w:p>
        </w:tc>
      </w:tr>
    </w:tbl>
    <w:p>
      <w:pPr>
        <w:spacing w:after="0" w:line="208"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During the first quarter of Fiscal 2009, we incurred a significant increase in losses associated with repurchases due to challenging motor home industry conditions. As a result, we have increased our repurchase reserve as of November 29, 2008 to provide for potential future losses. Repurchase reserves under our repurchase agreements at November 29, 2008 and August 30, 2008 were $1.7 million and $661,000, respectively.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Guarantees For Suppliers</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During the second quarter of Fiscal 2004, we entered into a five-year limited guaranty agreement (“Guaranty Agreement”) with a leasing corporation (“Landlord”) and an unaffiliated third-party paint supplier (the “Supplier”). The Landlord constructed a paint facility through debt financing on land adjoining our Charles City manufacturing plant for the Supplier. The Landlord and the Supplier have signed a ten-year lease agreement which commenced on August 1, 2004. The Guarantee Agreement states that we will guarantee the first 60 monthly lease payments (totaling approximately $1.6 million of which $208,000 was remaining as of November 29, 2008). In the event of rental default before August 2009 and the Supplier’s failure to correct the default, the Landlord shall give us (Guarantor) written notice of its intent to terminate said lease. At the time of this notification, we will have various options that we must exercise in a timely manner. One is to exercise an option to purchase the real estate with improvements from the Landlord. The price we would pay would be the outstanding loan owed by the Landlord to construct the paint facility, which was approximately $1.3 million as of November 29, 2008. As of November 29, 2008, the Supplier is current with its lease payment obligations to the Landlord. In August 2004, approximately $315,000 was recorded by us as the estimated fair value for the guarantee. As of November 29, 2008, the fair value of the guarantee was approximately $42,000 and presented as prepaid expenses and other accrued liabilities in the accompanying consolidated balance sheets.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right="260"/>
        <w:spacing w:after="0" w:line="298"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Per Share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calculation of basic and diluted income per share: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Thirteen</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Fourteen</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6"/>
          </w:tcPr>
          <w:p>
            <w:pPr>
              <w:ind w:left="700"/>
              <w:spacing w:after="0"/>
              <w:rPr>
                <w:sz w:val="20"/>
                <w:szCs w:val="20"/>
                <w:color w:val="auto"/>
              </w:rPr>
            </w:pPr>
            <w:r>
              <w:rPr>
                <w:rFonts w:ascii="Arial" w:cs="Arial" w:eastAsia="Arial" w:hAnsi="Arial"/>
                <w:sz w:val="14"/>
                <w:szCs w:val="14"/>
                <w:b w:val="1"/>
                <w:bCs w:val="1"/>
                <w:color w:val="auto"/>
              </w:rPr>
              <w:t>Weeks Ended</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jc w:val="center"/>
              <w:ind w:right="300"/>
              <w:spacing w:after="0" w:line="129" w:lineRule="exact"/>
              <w:rPr>
                <w:sz w:val="20"/>
                <w:szCs w:val="20"/>
                <w:color w:val="auto"/>
              </w:rPr>
            </w:pPr>
            <w:r>
              <w:rPr>
                <w:rFonts w:ascii="Arial" w:cs="Arial" w:eastAsia="Arial" w:hAnsi="Arial"/>
                <w:sz w:val="14"/>
                <w:szCs w:val="14"/>
                <w:b w:val="1"/>
                <w:bCs w:val="1"/>
                <w:color w:val="auto"/>
                <w:w w:val="87"/>
              </w:rPr>
              <w:t>November 29,</w:t>
            </w: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58"/>
              <w:spacing w:after="0" w:line="129" w:lineRule="exact"/>
              <w:rPr>
                <w:sz w:val="20"/>
                <w:szCs w:val="20"/>
                <w:color w:val="auto"/>
              </w:rPr>
            </w:pPr>
            <w:r>
              <w:rPr>
                <w:rFonts w:ascii="Arial" w:cs="Arial" w:eastAsia="Arial" w:hAnsi="Arial"/>
                <w:sz w:val="14"/>
                <w:szCs w:val="14"/>
                <w:b w:val="1"/>
                <w:bCs w:val="1"/>
                <w:color w:val="auto"/>
                <w:w w:val="86"/>
              </w:rPr>
              <w:t>December 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920" w:type="dxa"/>
            <w:vAlign w:val="bottom"/>
            <w:gridSpan w:val="4"/>
          </w:tcPr>
          <w:p>
            <w:pPr>
              <w:spacing w:after="0"/>
              <w:rPr>
                <w:sz w:val="20"/>
                <w:szCs w:val="20"/>
                <w:color w:val="auto"/>
              </w:rPr>
            </w:pPr>
            <w:r>
              <w:rPr>
                <w:rFonts w:ascii="Arial" w:cs="Arial" w:eastAsia="Arial" w:hAnsi="Arial"/>
                <w:sz w:val="14"/>
                <w:szCs w:val="14"/>
                <w:b w:val="1"/>
                <w:bCs w:val="1"/>
                <w:color w:val="auto"/>
              </w:rPr>
              <w:t>(In thousands, except per share data)</w:t>
            </w: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9"/>
              </w:rPr>
              <w:t>2008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8"/>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900" w:type="dxa"/>
            <w:vAlign w:val="bottom"/>
            <w:gridSpan w:val="3"/>
            <w:shd w:val="clear" w:color="auto" w:fill="D6F3E8"/>
          </w:tcPr>
          <w:p>
            <w:pPr>
              <w:spacing w:after="0" w:line="170" w:lineRule="exact"/>
              <w:rPr>
                <w:sz w:val="20"/>
                <w:szCs w:val="20"/>
                <w:color w:val="auto"/>
              </w:rPr>
            </w:pPr>
            <w:r>
              <w:rPr>
                <w:rFonts w:ascii="Arial" w:cs="Arial" w:eastAsia="Arial" w:hAnsi="Arial"/>
                <w:sz w:val="18"/>
                <w:szCs w:val="18"/>
                <w:color w:val="auto"/>
              </w:rPr>
              <w:t>(Loss) income per share - basic</w:t>
            </w:r>
          </w:p>
        </w:tc>
        <w:tc>
          <w:tcPr>
            <w:tcW w:w="100" w:type="dxa"/>
            <w:vAlign w:val="bottom"/>
            <w:shd w:val="clear" w:color="auto" w:fill="D6F3E8"/>
          </w:tcPr>
          <w:p>
            <w:pPr>
              <w:spacing w:after="0"/>
              <w:rPr>
                <w:sz w:val="16"/>
                <w:szCs w:val="16"/>
                <w:color w:val="auto"/>
              </w:rPr>
            </w:pPr>
          </w:p>
        </w:tc>
        <w:tc>
          <w:tcPr>
            <w:tcW w:w="940" w:type="dxa"/>
            <w:vAlign w:val="bottom"/>
            <w:shd w:val="clear" w:color="auto" w:fill="D6F3E8"/>
          </w:tcPr>
          <w:p>
            <w:pPr>
              <w:spacing w:after="0"/>
              <w:rPr>
                <w:sz w:val="16"/>
                <w:szCs w:val="16"/>
                <w:color w:val="auto"/>
              </w:rPr>
            </w:pPr>
          </w:p>
        </w:tc>
        <w:tc>
          <w:tcPr>
            <w:tcW w:w="200" w:type="dxa"/>
            <w:vAlign w:val="bottom"/>
            <w:shd w:val="clear" w:color="auto" w:fill="D6F3E8"/>
          </w:tcPr>
          <w:p>
            <w:pPr>
              <w:spacing w:after="0"/>
              <w:rPr>
                <w:sz w:val="16"/>
                <w:szCs w:val="16"/>
                <w:color w:val="auto"/>
              </w:rPr>
            </w:pPr>
          </w:p>
        </w:tc>
        <w:tc>
          <w:tcPr>
            <w:tcW w:w="140" w:type="dxa"/>
            <w:vAlign w:val="bottom"/>
            <w:shd w:val="clear" w:color="auto" w:fill="D6F3E8"/>
          </w:tcPr>
          <w:p>
            <w:pPr>
              <w:spacing w:after="0"/>
              <w:rPr>
                <w:sz w:val="16"/>
                <w:szCs w:val="16"/>
                <w:color w:val="auto"/>
              </w:rPr>
            </w:pPr>
          </w:p>
        </w:tc>
        <w:tc>
          <w:tcPr>
            <w:tcW w:w="120" w:type="dxa"/>
            <w:vAlign w:val="bottom"/>
            <w:shd w:val="clear" w:color="auto" w:fill="D6F3E8"/>
          </w:tcPr>
          <w:p>
            <w:pPr>
              <w:spacing w:after="0"/>
              <w:rPr>
                <w:sz w:val="16"/>
                <w:szCs w:val="16"/>
                <w:color w:val="auto"/>
              </w:rPr>
            </w:pPr>
          </w:p>
        </w:tc>
        <w:tc>
          <w:tcPr>
            <w:tcW w:w="900" w:type="dxa"/>
            <w:vAlign w:val="bottom"/>
            <w:shd w:val="clear" w:color="auto" w:fill="D6F3E8"/>
          </w:tcPr>
          <w:p>
            <w:pPr>
              <w:spacing w:after="0"/>
              <w:rPr>
                <w:sz w:val="16"/>
                <w:szCs w:val="16"/>
                <w:color w:val="auto"/>
              </w:rPr>
            </w:pPr>
          </w:p>
        </w:tc>
        <w:tc>
          <w:tcPr>
            <w:tcW w:w="10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8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Net (loss) income</w:t>
            </w:r>
          </w:p>
        </w:tc>
        <w:tc>
          <w:tcPr>
            <w:tcW w:w="6720" w:type="dxa"/>
            <w:vAlign w:val="bottom"/>
            <w:tcBorders>
              <w:top w:val="single" w:sz="8" w:color="D6F3E8"/>
            </w:tcBorders>
            <w:gridSpan w:val="2"/>
          </w:tcPr>
          <w:p>
            <w:pPr>
              <w:spacing w:after="0"/>
              <w:rPr>
                <w:sz w:val="18"/>
                <w:szCs w:val="18"/>
                <w:color w:val="auto"/>
              </w:rPr>
            </w:pPr>
          </w:p>
        </w:tc>
        <w:tc>
          <w:tcPr>
            <w:tcW w:w="100" w:type="dxa"/>
            <w:vAlign w:val="bottom"/>
            <w:tcBorders>
              <w:top w:val="single" w:sz="8" w:color="D6F3E8"/>
            </w:tcBorders>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D6F3E8"/>
            </w:tcBorders>
            <w:gridSpan w:val="2"/>
          </w:tcPr>
          <w:p>
            <w:pPr>
              <w:jc w:val="right"/>
              <w:ind w:right="140"/>
              <w:spacing w:after="0"/>
              <w:rPr>
                <w:sz w:val="20"/>
                <w:szCs w:val="20"/>
                <w:color w:val="auto"/>
              </w:rPr>
            </w:pPr>
            <w:r>
              <w:rPr>
                <w:rFonts w:ascii="Arial" w:cs="Arial" w:eastAsia="Arial" w:hAnsi="Arial"/>
                <w:sz w:val="18"/>
                <w:szCs w:val="18"/>
                <w:color w:val="auto"/>
              </w:rPr>
              <w:t>(9,596)</w:t>
            </w:r>
          </w:p>
        </w:tc>
        <w:tc>
          <w:tcPr>
            <w:tcW w:w="260" w:type="dxa"/>
            <w:vAlign w:val="bottom"/>
            <w:tcBorders>
              <w:top w:val="single" w:sz="8" w:color="D6F3E8"/>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D6F3E8"/>
            </w:tcBorders>
            <w:gridSpan w:val="2"/>
          </w:tcPr>
          <w:p>
            <w:pPr>
              <w:jc w:val="right"/>
              <w:ind w:right="100"/>
              <w:spacing w:after="0"/>
              <w:rPr>
                <w:sz w:val="20"/>
                <w:szCs w:val="20"/>
                <w:color w:val="auto"/>
              </w:rPr>
            </w:pPr>
            <w:r>
              <w:rPr>
                <w:rFonts w:ascii="Arial" w:cs="Arial" w:eastAsia="Arial" w:hAnsi="Arial"/>
                <w:sz w:val="18"/>
                <w:szCs w:val="18"/>
                <w:color w:val="auto"/>
              </w:rPr>
              <w:t>9,962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tcBorders>
              <w:bottom w:val="single" w:sz="8" w:color="D6F3E8"/>
            </w:tcBorders>
            <w:gridSpan w:val="3"/>
            <w:shd w:val="clear" w:color="auto" w:fill="D6F3E8"/>
          </w:tcPr>
          <w:p>
            <w:pPr>
              <w:ind w:left="1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bottom w:val="single" w:sz="8" w:color="auto"/>
            </w:tcBorders>
            <w:shd w:val="clear" w:color="auto" w:fill="D6F3E8"/>
          </w:tcPr>
          <w:p>
            <w:pPr>
              <w:spacing w:after="0"/>
              <w:rPr>
                <w:sz w:val="18"/>
                <w:szCs w:val="18"/>
                <w:color w:val="auto"/>
              </w:rPr>
            </w:pP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29,027</w:t>
            </w:r>
          </w:p>
        </w:tc>
        <w:tc>
          <w:tcPr>
            <w:tcW w:w="200" w:type="dxa"/>
            <w:vAlign w:val="bottom"/>
            <w:tcBorders>
              <w:bottom w:val="single" w:sz="8" w:color="D6F3E8"/>
            </w:tcBorders>
            <w:shd w:val="clear" w:color="auto" w:fill="D6F3E8"/>
          </w:tcPr>
          <w:p>
            <w:pPr>
              <w:spacing w:after="0"/>
              <w:rPr>
                <w:sz w:val="18"/>
                <w:szCs w:val="18"/>
                <w:color w:val="auto"/>
              </w:rPr>
            </w:pPr>
          </w:p>
        </w:tc>
        <w:tc>
          <w:tcPr>
            <w:tcW w:w="14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29,352</w:t>
            </w:r>
          </w:p>
        </w:tc>
        <w:tc>
          <w:tcPr>
            <w:tcW w:w="100" w:type="dxa"/>
            <w:vAlign w:val="bottom"/>
            <w:tcBorders>
              <w:bottom w:val="single" w:sz="8" w:color="D6F3E8"/>
            </w:tcBorders>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gridSpan w:val="3"/>
          </w:tcPr>
          <w:p>
            <w:pPr>
              <w:ind w:left="140"/>
              <w:spacing w:after="0"/>
              <w:rPr>
                <w:sz w:val="20"/>
                <w:szCs w:val="20"/>
                <w:color w:val="auto"/>
              </w:rPr>
            </w:pPr>
            <w:r>
              <w:rPr>
                <w:rFonts w:ascii="Arial" w:cs="Arial" w:eastAsia="Arial" w:hAnsi="Arial"/>
                <w:sz w:val="18"/>
                <w:szCs w:val="18"/>
                <w:color w:val="auto"/>
              </w:rPr>
              <w:t>Net (loss) income per share - basic</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2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1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080" w:type="dxa"/>
            <w:vAlign w:val="bottom"/>
            <w:tcBorders>
              <w:bottom w:val="single" w:sz="8" w:color="auto"/>
            </w:tcBorders>
            <w:gridSpan w:val="2"/>
            <w:shd w:val="clear" w:color="auto" w:fill="D6F3E8"/>
          </w:tcPr>
          <w:p>
            <w:pPr>
              <w:spacing w:after="0" w:line="176" w:lineRule="exact"/>
              <w:rPr>
                <w:sz w:val="20"/>
                <w:szCs w:val="20"/>
                <w:color w:val="auto"/>
              </w:rPr>
            </w:pPr>
            <w:r>
              <w:rPr>
                <w:rFonts w:ascii="Arial" w:cs="Arial" w:eastAsia="Arial" w:hAnsi="Arial"/>
                <w:sz w:val="18"/>
                <w:szCs w:val="18"/>
                <w:color w:val="auto"/>
                <w:w w:val="87"/>
              </w:rPr>
              <w:t>(Loss) income per share - assuming dilution</w:t>
            </w:r>
          </w:p>
        </w:tc>
        <w:tc>
          <w:tcPr>
            <w:tcW w:w="5820" w:type="dxa"/>
            <w:vAlign w:val="bottom"/>
            <w:tcBorders>
              <w:bottom w:val="single" w:sz="8" w:color="D6F3E8"/>
            </w:tcBorders>
            <w:shd w:val="clear" w:color="auto" w:fill="D6F3E8"/>
          </w:tcPr>
          <w:p>
            <w:pPr>
              <w:spacing w:after="0"/>
              <w:rPr>
                <w:sz w:val="17"/>
                <w:szCs w:val="17"/>
                <w:color w:val="auto"/>
              </w:rPr>
            </w:pPr>
          </w:p>
        </w:tc>
        <w:tc>
          <w:tcPr>
            <w:tcW w:w="100" w:type="dxa"/>
            <w:vAlign w:val="bottom"/>
            <w:tcBorders>
              <w:bottom w:val="single" w:sz="8" w:color="D6F3E8"/>
            </w:tcBorders>
            <w:shd w:val="clear" w:color="auto" w:fill="D6F3E8"/>
          </w:tcPr>
          <w:p>
            <w:pPr>
              <w:spacing w:after="0"/>
              <w:rPr>
                <w:sz w:val="17"/>
                <w:szCs w:val="17"/>
                <w:color w:val="auto"/>
              </w:rPr>
            </w:pPr>
          </w:p>
        </w:tc>
        <w:tc>
          <w:tcPr>
            <w:tcW w:w="940" w:type="dxa"/>
            <w:vAlign w:val="bottom"/>
            <w:tcBorders>
              <w:bottom w:val="single" w:sz="8" w:color="D6F3E8"/>
            </w:tcBorders>
            <w:shd w:val="clear" w:color="auto" w:fill="D6F3E8"/>
          </w:tcPr>
          <w:p>
            <w:pPr>
              <w:spacing w:after="0"/>
              <w:rPr>
                <w:sz w:val="17"/>
                <w:szCs w:val="17"/>
                <w:color w:val="auto"/>
              </w:rPr>
            </w:pPr>
          </w:p>
        </w:tc>
        <w:tc>
          <w:tcPr>
            <w:tcW w:w="200" w:type="dxa"/>
            <w:vAlign w:val="bottom"/>
            <w:tcBorders>
              <w:bottom w:val="single" w:sz="8" w:color="D6F3E8"/>
            </w:tcBorders>
            <w:shd w:val="clear" w:color="auto" w:fill="D6F3E8"/>
          </w:tcPr>
          <w:p>
            <w:pPr>
              <w:spacing w:after="0"/>
              <w:rPr>
                <w:sz w:val="17"/>
                <w:szCs w:val="17"/>
                <w:color w:val="auto"/>
              </w:rPr>
            </w:pPr>
          </w:p>
        </w:tc>
        <w:tc>
          <w:tcPr>
            <w:tcW w:w="140" w:type="dxa"/>
            <w:vAlign w:val="bottom"/>
            <w:tcBorders>
              <w:bottom w:val="single" w:sz="8" w:color="D6F3E8"/>
            </w:tcBorders>
            <w:shd w:val="clear" w:color="auto" w:fill="D6F3E8"/>
          </w:tcPr>
          <w:p>
            <w:pPr>
              <w:spacing w:after="0"/>
              <w:rPr>
                <w:sz w:val="17"/>
                <w:szCs w:val="17"/>
                <w:color w:val="auto"/>
              </w:rPr>
            </w:pPr>
          </w:p>
        </w:tc>
        <w:tc>
          <w:tcPr>
            <w:tcW w:w="120" w:type="dxa"/>
            <w:vAlign w:val="bottom"/>
            <w:tcBorders>
              <w:bottom w:val="single" w:sz="8" w:color="D6F3E8"/>
            </w:tcBorders>
            <w:shd w:val="clear" w:color="auto" w:fill="D6F3E8"/>
          </w:tcPr>
          <w:p>
            <w:pPr>
              <w:spacing w:after="0"/>
              <w:rPr>
                <w:sz w:val="17"/>
                <w:szCs w:val="17"/>
                <w:color w:val="auto"/>
              </w:rPr>
            </w:pPr>
          </w:p>
        </w:tc>
        <w:tc>
          <w:tcPr>
            <w:tcW w:w="900" w:type="dxa"/>
            <w:vAlign w:val="bottom"/>
            <w:tcBorders>
              <w:bottom w:val="single" w:sz="8" w:color="D6F3E8"/>
            </w:tcBorders>
            <w:shd w:val="clear" w:color="auto" w:fill="D6F3E8"/>
          </w:tcPr>
          <w:p>
            <w:pPr>
              <w:spacing w:after="0"/>
              <w:rPr>
                <w:sz w:val="17"/>
                <w:szCs w:val="17"/>
                <w:color w:val="auto"/>
              </w:rPr>
            </w:pPr>
          </w:p>
        </w:tc>
        <w:tc>
          <w:tcPr>
            <w:tcW w:w="100" w:type="dxa"/>
            <w:vAlign w:val="bottom"/>
            <w:tcBorders>
              <w:bottom w:val="single" w:sz="8" w:color="D6F3E8"/>
            </w:tcBorders>
            <w:shd w:val="clear" w:color="auto" w:fill="D6F3E8"/>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ind w:left="140"/>
              <w:spacing w:after="0"/>
              <w:rPr>
                <w:sz w:val="20"/>
                <w:szCs w:val="20"/>
                <w:color w:val="auto"/>
              </w:rPr>
            </w:pPr>
            <w:r>
              <w:rPr>
                <w:rFonts w:ascii="Arial" w:cs="Arial" w:eastAsia="Arial" w:hAnsi="Arial"/>
                <w:sz w:val="18"/>
                <w:szCs w:val="18"/>
                <w:color w:val="auto"/>
              </w:rPr>
              <w:t>Net (loss) income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(9,596)</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9,962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gridSpan w:val="3"/>
            <w:shd w:val="clear" w:color="auto" w:fill="D6F3E8"/>
          </w:tcPr>
          <w:p>
            <w:pPr>
              <w:ind w:left="140"/>
              <w:spacing w:after="0"/>
              <w:rPr>
                <w:sz w:val="20"/>
                <w:szCs w:val="20"/>
                <w:color w:val="auto"/>
              </w:rPr>
            </w:pPr>
            <w:r>
              <w:rPr>
                <w:rFonts w:ascii="Arial" w:cs="Arial" w:eastAsia="Arial" w:hAnsi="Arial"/>
                <w:sz w:val="18"/>
                <w:szCs w:val="18"/>
                <w:color w:val="auto"/>
              </w:rPr>
              <w:t>Weighted average shares outstanding</w:t>
            </w:r>
          </w:p>
        </w:tc>
        <w:tc>
          <w:tcPr>
            <w:tcW w:w="100" w:type="dxa"/>
            <w:vAlign w:val="bottom"/>
            <w:tcBorders>
              <w:top w:val="single" w:sz="8" w:color="auto"/>
            </w:tcBorders>
            <w:shd w:val="clear" w:color="auto" w:fill="D6F3E8"/>
          </w:tcPr>
          <w:p>
            <w:pPr>
              <w:spacing w:after="0"/>
              <w:rPr>
                <w:sz w:val="18"/>
                <w:szCs w:val="18"/>
                <w:color w:val="auto"/>
              </w:rPr>
            </w:pPr>
          </w:p>
        </w:tc>
        <w:tc>
          <w:tcPr>
            <w:tcW w:w="9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29,027</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29,352</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ind w:left="140"/>
              <w:spacing w:after="0"/>
              <w:rPr>
                <w:sz w:val="20"/>
                <w:szCs w:val="20"/>
                <w:color w:val="auto"/>
              </w:rPr>
            </w:pPr>
            <w:r>
              <w:rPr>
                <w:rFonts w:ascii="Arial" w:cs="Arial" w:eastAsia="Arial" w:hAnsi="Arial"/>
                <w:sz w:val="18"/>
                <w:szCs w:val="18"/>
                <w:color w:val="auto"/>
              </w:rPr>
              <w:t>Dilutive impact of options and awards outstanding</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00" w:type="dxa"/>
            <w:vAlign w:val="bottom"/>
            <w:gridSpan w:val="3"/>
            <w:shd w:val="clear" w:color="auto" w:fill="D6F3E8"/>
          </w:tcPr>
          <w:p>
            <w:pPr>
              <w:ind w:left="140"/>
              <w:spacing w:after="0"/>
              <w:rPr>
                <w:sz w:val="20"/>
                <w:szCs w:val="20"/>
                <w:color w:val="auto"/>
              </w:rPr>
            </w:pPr>
            <w:r>
              <w:rPr>
                <w:rFonts w:ascii="Arial" w:cs="Arial" w:eastAsia="Arial" w:hAnsi="Arial"/>
                <w:sz w:val="18"/>
                <w:szCs w:val="18"/>
                <w:color w:val="auto"/>
              </w:rPr>
              <w:t>Weighted average shares and potential dilutive shares outstanding</w:t>
            </w:r>
          </w:p>
        </w:tc>
        <w:tc>
          <w:tcPr>
            <w:tcW w:w="100" w:type="dxa"/>
            <w:vAlign w:val="bottom"/>
            <w:tcBorders>
              <w:top w:val="single" w:sz="8" w:color="auto"/>
            </w:tcBorders>
            <w:shd w:val="clear" w:color="auto" w:fill="D6F3E8"/>
          </w:tcPr>
          <w:p>
            <w:pPr>
              <w:spacing w:after="0"/>
              <w:rPr>
                <w:sz w:val="18"/>
                <w:szCs w:val="18"/>
                <w:color w:val="auto"/>
              </w:rPr>
            </w:pPr>
          </w:p>
        </w:tc>
        <w:tc>
          <w:tcPr>
            <w:tcW w:w="9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29,039</w:t>
            </w:r>
          </w:p>
        </w:tc>
        <w:tc>
          <w:tcPr>
            <w:tcW w:w="200" w:type="dxa"/>
            <w:vAlign w:val="bottom"/>
            <w:shd w:val="clear" w:color="auto" w:fill="D6F3E8"/>
          </w:tcPr>
          <w:p>
            <w:pPr>
              <w:spacing w:after="0"/>
              <w:rPr>
                <w:sz w:val="18"/>
                <w:szCs w:val="18"/>
                <w:color w:val="auto"/>
              </w:rPr>
            </w:pPr>
          </w:p>
        </w:tc>
        <w:tc>
          <w:tcPr>
            <w:tcW w:w="140" w:type="dxa"/>
            <w:vAlign w:val="bottom"/>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29,440</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00" w:type="dxa"/>
            <w:vAlign w:val="bottom"/>
            <w:gridSpan w:val="3"/>
          </w:tcPr>
          <w:p>
            <w:pPr>
              <w:ind w:left="140"/>
              <w:spacing w:after="0"/>
              <w:rPr>
                <w:sz w:val="20"/>
                <w:szCs w:val="20"/>
                <w:color w:val="auto"/>
              </w:rPr>
            </w:pPr>
            <w:r>
              <w:rPr>
                <w:rFonts w:ascii="Arial" w:cs="Arial" w:eastAsia="Arial" w:hAnsi="Arial"/>
                <w:sz w:val="18"/>
                <w:szCs w:val="18"/>
                <w:color w:val="auto"/>
              </w:rPr>
              <w:t>Net (loss) income per share - assuming dilution</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(0.33)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40"/>
        <w:spacing w:after="0" w:line="306" w:lineRule="auto"/>
        <w:rPr>
          <w:sz w:val="20"/>
          <w:szCs w:val="20"/>
          <w:color w:val="auto"/>
        </w:rPr>
      </w:pPr>
      <w:r>
        <w:rPr>
          <w:rFonts w:ascii="Arial" w:cs="Arial" w:eastAsia="Arial" w:hAnsi="Arial"/>
          <w:sz w:val="16"/>
          <w:szCs w:val="16"/>
          <w:color w:val="auto"/>
        </w:rPr>
        <w:t xml:space="preserve">For the thirteen weeks ended November 29, 2008 and the fourteen weeks ended December 1, 2007, there were options outstanding to purchase 1,022,566 shares and 897,148 shares, respectively, of common stock at an average price of $27.31 and $29.52, respectively, which were not included in the computation of diluted income per share because they are considered anti-dilutive under the treasury stock method per SFAS No. 128, </w:t>
      </w:r>
      <w:r>
        <w:rPr>
          <w:rFonts w:ascii="Arial" w:cs="Arial" w:eastAsia="Arial" w:hAnsi="Arial"/>
          <w:sz w:val="16"/>
          <w:szCs w:val="16"/>
          <w:i w:val="1"/>
          <w:iCs w:val="1"/>
          <w:color w:val="auto"/>
        </w:rPr>
        <w:t>Earnings Per Share</w:t>
      </w:r>
      <w:r>
        <w:rPr>
          <w:rFonts w:ascii="Arial" w:cs="Arial" w:eastAsia="Arial" w:hAnsi="Arial"/>
          <w:sz w:val="16"/>
          <w:szCs w:val="16"/>
          <w:color w:val="auto"/>
        </w:rPr>
        <w:t xml:space="preserve"> (as amended).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Comprehensive Income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Comprehensive income, net of tax, consists of:</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Thirteen</w:t>
            </w:r>
          </w:p>
        </w:tc>
        <w:tc>
          <w:tcPr>
            <w:tcW w:w="12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Fourteen</w:t>
            </w:r>
          </w:p>
        </w:tc>
        <w:tc>
          <w:tcPr>
            <w:tcW w:w="40" w:type="dxa"/>
            <w:vAlign w:val="bottom"/>
          </w:tcPr>
          <w:p>
            <w:pPr>
              <w:spacing w:after="0"/>
              <w:rPr>
                <w:sz w:val="14"/>
                <w:szCs w:val="14"/>
                <w:color w:val="auto"/>
              </w:rPr>
            </w:pPr>
          </w:p>
        </w:tc>
      </w:tr>
      <w:tr>
        <w:trPr>
          <w:trHeight w:val="161"/>
        </w:trPr>
        <w:tc>
          <w:tcPr>
            <w:tcW w:w="4160" w:type="dxa"/>
            <w:vAlign w:val="bottom"/>
          </w:tcPr>
          <w:p>
            <w:pPr>
              <w:spacing w:after="0"/>
              <w:rPr>
                <w:sz w:val="14"/>
                <w:szCs w:val="14"/>
                <w:color w:val="auto"/>
              </w:rPr>
            </w:pPr>
          </w:p>
        </w:tc>
        <w:tc>
          <w:tcPr>
            <w:tcW w:w="4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Weeks Ended</w:t>
            </w:r>
          </w:p>
        </w:tc>
        <w:tc>
          <w:tcPr>
            <w:tcW w:w="40" w:type="dxa"/>
            <w:vAlign w:val="bottom"/>
          </w:tcPr>
          <w:p>
            <w:pPr>
              <w:spacing w:after="0"/>
              <w:rPr>
                <w:sz w:val="14"/>
                <w:szCs w:val="14"/>
                <w:color w:val="auto"/>
              </w:rPr>
            </w:pPr>
          </w:p>
        </w:tc>
      </w:tr>
      <w:tr>
        <w:trPr>
          <w:trHeight w:val="129"/>
        </w:trPr>
        <w:tc>
          <w:tcPr>
            <w:tcW w:w="416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7"/>
              </w:rPr>
              <w:t>November 29,</w:t>
            </w:r>
          </w:p>
        </w:tc>
        <w:tc>
          <w:tcPr>
            <w:tcW w:w="12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center"/>
              <w:ind w:right="60"/>
              <w:spacing w:after="0" w:line="129" w:lineRule="exact"/>
              <w:rPr>
                <w:sz w:val="20"/>
                <w:szCs w:val="20"/>
                <w:color w:val="auto"/>
              </w:rPr>
            </w:pPr>
            <w:r>
              <w:rPr>
                <w:rFonts w:ascii="Arial" w:cs="Arial" w:eastAsia="Arial" w:hAnsi="Arial"/>
                <w:sz w:val="14"/>
                <w:szCs w:val="14"/>
                <w:b w:val="1"/>
                <w:bCs w:val="1"/>
                <w:color w:val="auto"/>
                <w:w w:val="86"/>
              </w:rPr>
              <w:t>December 1,</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1"/>
        </w:trPr>
        <w:tc>
          <w:tcPr>
            <w:tcW w:w="41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47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21"/>
              <w:spacing w:after="0"/>
              <w:rPr>
                <w:sz w:val="20"/>
                <w:szCs w:val="20"/>
                <w:color w:val="auto"/>
              </w:rPr>
            </w:pPr>
            <w:r>
              <w:rPr>
                <w:rFonts w:ascii="Arial" w:cs="Arial" w:eastAsia="Arial" w:hAnsi="Arial"/>
                <w:sz w:val="14"/>
                <w:szCs w:val="14"/>
                <w:b w:val="1"/>
                <w:bCs w:val="1"/>
                <w:color w:val="auto"/>
                <w:w w:val="89"/>
              </w:rPr>
              <w:t>2008</w:t>
            </w:r>
          </w:p>
        </w:tc>
        <w:tc>
          <w:tcPr>
            <w:tcW w:w="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83"/>
              </w:rPr>
              <w:t>2007</w:t>
            </w: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160" w:type="dxa"/>
            <w:vAlign w:val="bottom"/>
            <w:shd w:val="clear" w:color="auto" w:fill="D6F3E8"/>
          </w:tcPr>
          <w:p>
            <w:pPr>
              <w:spacing w:after="0"/>
              <w:rPr>
                <w:sz w:val="20"/>
                <w:szCs w:val="20"/>
                <w:color w:val="auto"/>
              </w:rPr>
            </w:pPr>
            <w:r>
              <w:rPr>
                <w:rFonts w:ascii="Arial" w:cs="Arial" w:eastAsia="Arial" w:hAnsi="Arial"/>
                <w:sz w:val="18"/>
                <w:szCs w:val="18"/>
                <w:color w:val="auto"/>
              </w:rPr>
              <w:t>Net (loss) income</w:t>
            </w:r>
          </w:p>
        </w:tc>
        <w:tc>
          <w:tcPr>
            <w:tcW w:w="4760" w:type="dxa"/>
            <w:vAlign w:val="bottom"/>
            <w:shd w:val="clear" w:color="auto" w:fill="D6F3E8"/>
          </w:tcPr>
          <w:p>
            <w:pPr>
              <w:spacing w:after="0"/>
              <w:rPr>
                <w:sz w:val="18"/>
                <w:szCs w:val="18"/>
                <w:color w:val="auto"/>
              </w:rPr>
            </w:pPr>
          </w:p>
        </w:tc>
        <w:tc>
          <w:tcPr>
            <w:tcW w:w="10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(9,596)</w:t>
            </w:r>
          </w:p>
        </w:tc>
        <w:tc>
          <w:tcPr>
            <w:tcW w:w="340" w:type="dxa"/>
            <w:vAlign w:val="bottom"/>
            <w:shd w:val="clear" w:color="auto" w:fill="D6F3E8"/>
          </w:tcPr>
          <w:p>
            <w:pPr>
              <w:spacing w:after="0"/>
              <w:rPr>
                <w:sz w:val="18"/>
                <w:szCs w:val="18"/>
                <w:color w:val="auto"/>
              </w:rPr>
            </w:pPr>
          </w:p>
        </w:tc>
        <w:tc>
          <w:tcPr>
            <w:tcW w:w="120" w:type="dxa"/>
            <w:vAlign w:val="bottom"/>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9,962</w:t>
            </w:r>
          </w:p>
        </w:tc>
        <w:tc>
          <w:tcPr>
            <w:tcW w:w="10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Temporary impairment of investments</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r>
      <w:tr>
        <w:trPr>
          <w:trHeight w:val="216"/>
        </w:trPr>
        <w:tc>
          <w:tcPr>
            <w:tcW w:w="4160" w:type="dxa"/>
            <w:vAlign w:val="bottom"/>
            <w:shd w:val="clear" w:color="auto" w:fill="D6F3E8"/>
          </w:tcPr>
          <w:p>
            <w:pPr>
              <w:spacing w:after="0"/>
              <w:rPr>
                <w:sz w:val="20"/>
                <w:szCs w:val="20"/>
                <w:color w:val="auto"/>
              </w:rPr>
            </w:pPr>
            <w:r>
              <w:rPr>
                <w:rFonts w:ascii="Arial" w:cs="Arial" w:eastAsia="Arial" w:hAnsi="Arial"/>
                <w:sz w:val="18"/>
                <w:szCs w:val="18"/>
                <w:color w:val="auto"/>
              </w:rPr>
              <w:t>Amortization of prior service credit</w:t>
            </w:r>
          </w:p>
        </w:tc>
        <w:tc>
          <w:tcPr>
            <w:tcW w:w="476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28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(633)</w:t>
            </w:r>
          </w:p>
        </w:tc>
        <w:tc>
          <w:tcPr>
            <w:tcW w:w="120" w:type="dxa"/>
            <w:vAlign w:val="bottom"/>
            <w:shd w:val="clear" w:color="auto" w:fill="D6F3E8"/>
          </w:tcPr>
          <w:p>
            <w:pPr>
              <w:spacing w:after="0"/>
              <w:rPr>
                <w:sz w:val="18"/>
                <w:szCs w:val="18"/>
                <w:color w:val="auto"/>
              </w:rPr>
            </w:pPr>
          </w:p>
        </w:tc>
        <w:tc>
          <w:tcPr>
            <w:tcW w:w="10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(709)</w:t>
            </w:r>
          </w:p>
        </w:tc>
        <w:tc>
          <w:tcPr>
            <w:tcW w:w="40" w:type="dxa"/>
            <w:vAlign w:val="bottom"/>
          </w:tcPr>
          <w:p>
            <w:pPr>
              <w:spacing w:after="0"/>
              <w:rPr>
                <w:sz w:val="18"/>
                <w:szCs w:val="18"/>
                <w:color w:val="auto"/>
              </w:rPr>
            </w:pP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Amortization of actuarial loss</w:t>
            </w:r>
          </w:p>
        </w:tc>
        <w:tc>
          <w:tcPr>
            <w:tcW w:w="4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106</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158</w:t>
            </w:r>
          </w:p>
        </w:tc>
        <w:tc>
          <w:tcPr>
            <w:tcW w:w="40" w:type="dxa"/>
            <w:vAlign w:val="bottom"/>
          </w:tcPr>
          <w:p>
            <w:pPr>
              <w:spacing w:after="0"/>
              <w:rPr>
                <w:sz w:val="18"/>
                <w:szCs w:val="18"/>
                <w:color w:val="auto"/>
              </w:rPr>
            </w:pPr>
          </w:p>
        </w:tc>
      </w:tr>
      <w:tr>
        <w:trPr>
          <w:trHeight w:val="250"/>
        </w:trPr>
        <w:tc>
          <w:tcPr>
            <w:tcW w:w="416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Comprehensive (loss) income</w:t>
            </w:r>
          </w:p>
        </w:tc>
        <w:tc>
          <w:tcPr>
            <w:tcW w:w="4760" w:type="dxa"/>
            <w:vAlign w:val="bottom"/>
            <w:tcBorders>
              <w:bottom w:val="single" w:sz="8" w:color="D6F3E8"/>
            </w:tcBorders>
            <w:shd w:val="clear" w:color="auto" w:fill="D6F3E8"/>
          </w:tcPr>
          <w:p>
            <w:pPr>
              <w:spacing w:after="0"/>
              <w:rPr>
                <w:sz w:val="21"/>
                <w:szCs w:val="21"/>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(9,660)</w:t>
            </w:r>
          </w:p>
        </w:tc>
        <w:tc>
          <w:tcPr>
            <w:tcW w:w="34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9,411</w:t>
            </w:r>
          </w:p>
        </w:tc>
        <w:tc>
          <w:tcPr>
            <w:tcW w:w="100" w:type="dxa"/>
            <w:vAlign w:val="bottom"/>
            <w:tcBorders>
              <w:bottom w:val="single" w:sz="8" w:color="D6F3E8"/>
            </w:tcBorders>
            <w:shd w:val="clear" w:color="auto" w:fill="D6F3E8"/>
          </w:tcPr>
          <w:p>
            <w:pPr>
              <w:spacing w:after="0"/>
              <w:rPr>
                <w:sz w:val="21"/>
                <w:szCs w:val="21"/>
                <w:color w:val="auto"/>
              </w:rPr>
            </w:pPr>
          </w:p>
        </w:tc>
        <w:tc>
          <w:tcPr>
            <w:tcW w:w="40" w:type="dxa"/>
            <w:vAlign w:val="bottom"/>
          </w:tcPr>
          <w:p>
            <w:pPr>
              <w:spacing w:after="0"/>
              <w:rPr>
                <w:sz w:val="21"/>
                <w:szCs w:val="21"/>
                <w:color w:val="auto"/>
              </w:rPr>
            </w:pPr>
          </w:p>
        </w:tc>
      </w:tr>
      <w:tr>
        <w:trPr>
          <w:trHeight w:val="411"/>
        </w:trPr>
        <w:tc>
          <w:tcPr>
            <w:tcW w:w="4160" w:type="dxa"/>
            <w:vAlign w:val="bottom"/>
          </w:tcPr>
          <w:p>
            <w:pPr>
              <w:spacing w:after="0"/>
              <w:rPr>
                <w:sz w:val="24"/>
                <w:szCs w:val="24"/>
                <w:color w:val="auto"/>
              </w:rPr>
            </w:pPr>
          </w:p>
        </w:tc>
        <w:tc>
          <w:tcPr>
            <w:tcW w:w="4760" w:type="dxa"/>
            <w:vAlign w:val="bottom"/>
          </w:tcPr>
          <w:p>
            <w:pPr>
              <w:jc w:val="right"/>
              <w:ind w:right="30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2"/>
        </w:trPr>
        <w:tc>
          <w:tcPr>
            <w:tcW w:w="4160" w:type="dxa"/>
            <w:vAlign w:val="bottom"/>
            <w:tcBorders>
              <w:bottom w:val="single" w:sz="8" w:color="808080"/>
            </w:tcBorders>
          </w:tcPr>
          <w:p>
            <w:pPr>
              <w:spacing w:after="0"/>
              <w:rPr>
                <w:sz w:val="21"/>
                <w:szCs w:val="21"/>
                <w:color w:val="auto"/>
              </w:rPr>
            </w:pPr>
          </w:p>
        </w:tc>
        <w:tc>
          <w:tcPr>
            <w:tcW w:w="476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94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6325235</wp:posOffset>
            </wp:positionH>
            <wp:positionV relativeFrom="paragraph">
              <wp:posOffset>-464820</wp:posOffset>
            </wp:positionV>
            <wp:extent cx="2146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-447675</wp:posOffset>
            </wp:positionV>
            <wp:extent cx="2146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9"/>
          <w:szCs w:val="19"/>
          <w:b w:val="1"/>
          <w:bCs w:val="1"/>
          <w:color w:val="auto"/>
        </w:rPr>
        <w:t>Management’s Discussion and Analysis of Financial Condition and Results of Operations</w:t>
      </w:r>
    </w:p>
    <w:p>
      <w:pPr>
        <w:spacing w:after="0" w:line="225"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It is suggested that this management’s discussion be read in conjunction with the Management’s Discussion and Analysis included in our Annual Report to Shareholders for the year ended August 30, 2008.</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Overview</w:t>
      </w:r>
    </w:p>
    <w:p>
      <w:pPr>
        <w:spacing w:after="0" w:line="23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Winnebago Industries, Inc. is a leading motor home manufacturer with a proud history of manufacturing recreation vehicles for the last 50 years. Our strategy is to manufacture quality motor homes in a profitable manner. We produce all of our motor homes in highly vertically integrated manufacturing facilities in the state of Iowa. We distribute our product through independent dealers throughout the United States and Canada, who then retail the product to the end consumer. For calendar year through October 2008, we led the industry in combined retail unit market share with 18.6 percent of Class A and Class C motor homes in the U.S. We began producing Class B motor homes in February2008 and in the U.S. for calendar 2008, have a 3.2 percent retail unit market share through September. In Canada, we also led the industry in combined retail unit market share of Class A and Class C motor homes, with 18.8 percent for calendar 2008 through September. All of the retail unit market share information provided in this paragraph is according to Statistical Surveys, Inc.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and Business Outlook</w:t>
      </w:r>
    </w:p>
    <w:p>
      <w:pPr>
        <w:spacing w:after="0" w:line="231"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The RV industry has seen a substantial reduction in wholesale motor home shipments and retail registrations during Calendar 2008 that has continued to deteriorate throughout the year. This dynamic is evidenced in the table below:</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Calendar Year</w:t>
            </w:r>
          </w:p>
        </w:tc>
        <w:tc>
          <w:tcPr>
            <w:tcW w:w="80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320" w:type="dxa"/>
            <w:vAlign w:val="bottom"/>
            <w:tcBorders>
              <w:bottom w:val="single" w:sz="8" w:color="auto"/>
            </w:tcBorders>
            <w:gridSpan w:val="4"/>
          </w:tcPr>
          <w:p>
            <w:pPr>
              <w:jc w:val="right"/>
              <w:ind w:right="640"/>
              <w:spacing w:after="0"/>
              <w:rPr>
                <w:sz w:val="20"/>
                <w:szCs w:val="20"/>
                <w:color w:val="auto"/>
              </w:rPr>
            </w:pPr>
            <w:r>
              <w:rPr>
                <w:rFonts w:ascii="Arial" w:cs="Arial" w:eastAsia="Arial" w:hAnsi="Arial"/>
                <w:sz w:val="14"/>
                <w:szCs w:val="14"/>
                <w:b w:val="1"/>
                <w:bCs w:val="1"/>
                <w:color w:val="auto"/>
                <w:w w:val="99"/>
              </w:rPr>
              <w:t xml:space="preserve">Wholesale Shipments </w:t>
            </w:r>
            <w:r>
              <w:rPr>
                <w:rFonts w:ascii="Arial" w:cs="Arial" w:eastAsia="Arial" w:hAnsi="Arial"/>
                <w:sz w:val="22"/>
                <w:szCs w:val="22"/>
                <w:b w:val="1"/>
                <w:bCs w:val="1"/>
                <w:color w:val="auto"/>
                <w:w w:val="99"/>
                <w:vertAlign w:val="superscript"/>
              </w:rPr>
              <w:t>(1)</w:t>
            </w:r>
          </w:p>
        </w:tc>
        <w:tc>
          <w:tcPr>
            <w:tcW w:w="800" w:type="dxa"/>
            <w:vAlign w:val="bottom"/>
            <w:tcBorders>
              <w:bottom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Retail Registrations</w:t>
            </w:r>
            <w:r>
              <w:rPr>
                <w:rFonts w:ascii="Arial" w:cs="Arial" w:eastAsia="Arial" w:hAnsi="Arial"/>
                <w:sz w:val="22"/>
                <w:szCs w:val="22"/>
                <w:b w:val="1"/>
                <w:bCs w:val="1"/>
                <w:color w:val="auto"/>
                <w:vertAlign w:val="superscript"/>
              </w:rPr>
              <w:t>(2)</w:t>
            </w:r>
          </w:p>
        </w:tc>
        <w:tc>
          <w:tcPr>
            <w:tcW w:w="8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540" w:type="dxa"/>
            <w:vAlign w:val="bottom"/>
            <w:gridSpan w:val="2"/>
          </w:tcPr>
          <w:p>
            <w:pPr>
              <w:spacing w:after="0"/>
              <w:rPr>
                <w:sz w:val="20"/>
                <w:szCs w:val="20"/>
                <w:color w:val="auto"/>
              </w:rPr>
            </w:pPr>
            <w:r>
              <w:rPr>
                <w:rFonts w:ascii="Arial" w:cs="Arial" w:eastAsia="Arial" w:hAnsi="Arial"/>
                <w:sz w:val="14"/>
                <w:szCs w:val="14"/>
                <w:b w:val="1"/>
                <w:bCs w:val="1"/>
                <w:color w:val="auto"/>
              </w:rPr>
              <w:t>(In units)</w:t>
            </w:r>
          </w:p>
        </w:tc>
        <w:tc>
          <w:tcPr>
            <w:tcW w:w="8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2008</w:t>
            </w:r>
          </w:p>
        </w:tc>
        <w:tc>
          <w:tcPr>
            <w:tcW w:w="360" w:type="dxa"/>
            <w:vAlign w:val="bottom"/>
          </w:tcPr>
          <w:p>
            <w:pPr>
              <w:spacing w:after="0"/>
              <w:rPr>
                <w:sz w:val="14"/>
                <w:szCs w:val="14"/>
                <w:color w:val="auto"/>
              </w:rPr>
            </w:pPr>
          </w:p>
        </w:tc>
        <w:tc>
          <w:tcPr>
            <w:tcW w:w="80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2007</w:t>
            </w:r>
          </w:p>
        </w:tc>
        <w:tc>
          <w:tcPr>
            <w:tcW w:w="360" w:type="dxa"/>
            <w:vAlign w:val="bottom"/>
          </w:tcPr>
          <w:p>
            <w:pPr>
              <w:spacing w:after="0"/>
              <w:rPr>
                <w:sz w:val="14"/>
                <w:szCs w:val="14"/>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4"/>
                <w:szCs w:val="14"/>
                <w:b w:val="1"/>
                <w:bCs w:val="1"/>
                <w:color w:val="auto"/>
              </w:rPr>
              <w:t>Decrease</w:t>
            </w:r>
          </w:p>
        </w:tc>
        <w:tc>
          <w:tcPr>
            <w:tcW w:w="36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Decrease</w:t>
            </w:r>
          </w:p>
        </w:tc>
        <w:tc>
          <w:tcPr>
            <w:tcW w:w="340" w:type="dxa"/>
            <w:vAlign w:val="bottom"/>
          </w:tcPr>
          <w:p>
            <w:pPr>
              <w:spacing w:after="0"/>
              <w:rPr>
                <w:sz w:val="14"/>
                <w:szCs w:val="14"/>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8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80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rPr>
              <w:t>Decrease</w:t>
            </w:r>
          </w:p>
        </w:tc>
        <w:tc>
          <w:tcPr>
            <w:tcW w:w="320" w:type="dxa"/>
            <w:vAlign w:val="bottom"/>
          </w:tcPr>
          <w:p>
            <w:pPr>
              <w:spacing w:after="0"/>
              <w:rPr>
                <w:sz w:val="14"/>
                <w:szCs w:val="14"/>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Decrease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520" w:type="dxa"/>
            <w:vAlign w:val="bottom"/>
            <w:shd w:val="clear" w:color="auto" w:fill="D6F3E8"/>
          </w:tcPr>
          <w:p>
            <w:pPr>
              <w:spacing w:after="0"/>
              <w:rPr>
                <w:sz w:val="20"/>
                <w:szCs w:val="20"/>
                <w:color w:val="auto"/>
              </w:rPr>
            </w:pPr>
            <w:r>
              <w:rPr>
                <w:rFonts w:ascii="Arial" w:cs="Arial" w:eastAsia="Arial" w:hAnsi="Arial"/>
                <w:sz w:val="18"/>
                <w:szCs w:val="18"/>
                <w:color w:val="auto"/>
              </w:rPr>
              <w:t>First Quarter</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10,400</w:t>
            </w:r>
          </w:p>
        </w:tc>
        <w:tc>
          <w:tcPr>
            <w:tcW w:w="36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13,600</w:t>
            </w:r>
          </w:p>
        </w:tc>
        <w:tc>
          <w:tcPr>
            <w:tcW w:w="36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(3,200)</w:t>
            </w:r>
          </w:p>
        </w:tc>
        <w:tc>
          <w:tcPr>
            <w:tcW w:w="360" w:type="dxa"/>
            <w:vAlign w:val="bottom"/>
            <w:shd w:val="clear" w:color="auto" w:fill="D6F3E8"/>
          </w:tcPr>
          <w:p>
            <w:pPr>
              <w:spacing w:after="0"/>
              <w:rPr>
                <w:sz w:val="18"/>
                <w:szCs w:val="18"/>
                <w:color w:val="auto"/>
              </w:rPr>
            </w:pPr>
          </w:p>
        </w:tc>
        <w:tc>
          <w:tcPr>
            <w:tcW w:w="11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(23.5)</w:t>
            </w:r>
          </w:p>
        </w:tc>
        <w:tc>
          <w:tcPr>
            <w:tcW w:w="780" w:type="dxa"/>
            <w:vAlign w:val="bottom"/>
            <w:shd w:val="clear" w:color="auto" w:fill="D6F3E8"/>
          </w:tcPr>
          <w:p>
            <w:pPr>
              <w:jc w:val="right"/>
              <w:spacing w:after="0"/>
              <w:rPr>
                <w:sz w:val="20"/>
                <w:szCs w:val="20"/>
                <w:color w:val="auto"/>
              </w:rPr>
            </w:pPr>
            <w:r>
              <w:rPr>
                <w:rFonts w:ascii="Arial" w:cs="Arial" w:eastAsia="Arial" w:hAnsi="Arial"/>
                <w:sz w:val="18"/>
                <w:szCs w:val="18"/>
                <w:color w:val="auto"/>
              </w:rPr>
              <w:t>8,600</w:t>
            </w:r>
          </w:p>
        </w:tc>
        <w:tc>
          <w:tcPr>
            <w:tcW w:w="34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11,500</w:t>
            </w:r>
          </w:p>
        </w:tc>
        <w:tc>
          <w:tcPr>
            <w:tcW w:w="32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(2,900)</w:t>
            </w:r>
          </w:p>
        </w:tc>
        <w:tc>
          <w:tcPr>
            <w:tcW w:w="32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Second Quarter</w:t>
            </w:r>
          </w:p>
        </w:tc>
        <w:tc>
          <w:tcPr>
            <w:tcW w:w="800" w:type="dxa"/>
            <w:vAlign w:val="bottom"/>
          </w:tcPr>
          <w:p>
            <w:pPr>
              <w:jc w:val="right"/>
              <w:spacing w:after="0"/>
              <w:rPr>
                <w:sz w:val="20"/>
                <w:szCs w:val="20"/>
                <w:color w:val="auto"/>
              </w:rPr>
            </w:pPr>
            <w:r>
              <w:rPr>
                <w:rFonts w:ascii="Arial" w:cs="Arial" w:eastAsia="Arial" w:hAnsi="Arial"/>
                <w:sz w:val="18"/>
                <w:szCs w:val="18"/>
                <w:color w:val="auto"/>
              </w:rPr>
              <w:t>8,600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15,000</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(6,400)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(42.7)</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9,200</w:t>
            </w:r>
          </w:p>
        </w:tc>
        <w:tc>
          <w:tcPr>
            <w:tcW w:w="800" w:type="dxa"/>
            <w:vAlign w:val="bottom"/>
          </w:tcPr>
          <w:p>
            <w:pPr>
              <w:jc w:val="right"/>
              <w:spacing w:after="0"/>
              <w:rPr>
                <w:sz w:val="20"/>
                <w:szCs w:val="20"/>
                <w:color w:val="auto"/>
              </w:rPr>
            </w:pPr>
            <w:r>
              <w:rPr>
                <w:rFonts w:ascii="Arial" w:cs="Arial" w:eastAsia="Arial" w:hAnsi="Arial"/>
                <w:sz w:val="18"/>
                <w:szCs w:val="18"/>
                <w:color w:val="auto"/>
              </w:rPr>
              <w:t>15,200</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(6,000)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D6F3E8"/>
          </w:tcPr>
          <w:p>
            <w:pPr>
              <w:spacing w:after="0"/>
              <w:rPr>
                <w:sz w:val="20"/>
                <w:szCs w:val="20"/>
                <w:color w:val="auto"/>
              </w:rPr>
            </w:pPr>
            <w:r>
              <w:rPr>
                <w:rFonts w:ascii="Arial" w:cs="Arial" w:eastAsia="Arial" w:hAnsi="Arial"/>
                <w:sz w:val="18"/>
                <w:szCs w:val="18"/>
                <w:color w:val="auto"/>
              </w:rPr>
              <w:t>Third Quarter</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4,600</w:t>
            </w:r>
          </w:p>
        </w:tc>
        <w:tc>
          <w:tcPr>
            <w:tcW w:w="116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12,400</w:t>
            </w:r>
          </w:p>
        </w:tc>
        <w:tc>
          <w:tcPr>
            <w:tcW w:w="1520" w:type="dxa"/>
            <w:vAlign w:val="bottom"/>
            <w:gridSpan w:val="3"/>
            <w:shd w:val="clear" w:color="auto" w:fill="D6F3E8"/>
          </w:tcPr>
          <w:p>
            <w:pPr>
              <w:jc w:val="right"/>
              <w:ind w:right="300"/>
              <w:spacing w:after="0"/>
              <w:rPr>
                <w:sz w:val="20"/>
                <w:szCs w:val="20"/>
                <w:color w:val="auto"/>
              </w:rPr>
            </w:pPr>
            <w:r>
              <w:rPr>
                <w:rFonts w:ascii="Arial" w:cs="Arial" w:eastAsia="Arial" w:hAnsi="Arial"/>
                <w:sz w:val="18"/>
                <w:szCs w:val="18"/>
                <w:color w:val="auto"/>
              </w:rPr>
              <w:t>(7,800)</w:t>
            </w:r>
          </w:p>
        </w:tc>
        <w:tc>
          <w:tcPr>
            <w:tcW w:w="11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(62.9)</w:t>
            </w:r>
          </w:p>
        </w:tc>
        <w:tc>
          <w:tcPr>
            <w:tcW w:w="112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6,100</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12,400</w:t>
            </w:r>
          </w:p>
        </w:tc>
        <w:tc>
          <w:tcPr>
            <w:tcW w:w="1440" w:type="dxa"/>
            <w:vAlign w:val="bottom"/>
            <w:gridSpan w:val="3"/>
            <w:shd w:val="clear" w:color="auto" w:fill="D6F3E8"/>
          </w:tcPr>
          <w:p>
            <w:pPr>
              <w:jc w:val="right"/>
              <w:ind w:right="280"/>
              <w:spacing w:after="0"/>
              <w:rPr>
                <w:sz w:val="20"/>
                <w:szCs w:val="20"/>
                <w:color w:val="auto"/>
              </w:rPr>
            </w:pPr>
            <w:r>
              <w:rPr>
                <w:rFonts w:ascii="Arial" w:cs="Arial" w:eastAsia="Arial" w:hAnsi="Arial"/>
                <w:sz w:val="18"/>
                <w:szCs w:val="18"/>
                <w:color w:val="auto"/>
              </w:rPr>
              <w:t>(6,300)</w:t>
            </w:r>
          </w:p>
        </w:tc>
        <w:tc>
          <w:tcPr>
            <w:tcW w:w="9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October</w:t>
            </w: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4,300</w:t>
            </w:r>
          </w:p>
        </w:tc>
        <w:tc>
          <w:tcPr>
            <w:tcW w:w="1520" w:type="dxa"/>
            <w:vAlign w:val="bottom"/>
            <w:gridSpan w:val="3"/>
          </w:tcPr>
          <w:p>
            <w:pPr>
              <w:jc w:val="right"/>
              <w:ind w:right="300"/>
              <w:spacing w:after="0"/>
              <w:rPr>
                <w:sz w:val="20"/>
                <w:szCs w:val="20"/>
                <w:color w:val="auto"/>
              </w:rPr>
            </w:pPr>
            <w:r>
              <w:rPr>
                <w:rFonts w:ascii="Arial" w:cs="Arial" w:eastAsia="Arial" w:hAnsi="Arial"/>
                <w:sz w:val="18"/>
                <w:szCs w:val="18"/>
                <w:color w:val="auto"/>
              </w:rPr>
              <w:t>(2,800)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(65.1)</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1,700</w:t>
            </w:r>
          </w:p>
        </w:tc>
        <w:tc>
          <w:tcPr>
            <w:tcW w:w="800" w:type="dxa"/>
            <w:vAlign w:val="bottom"/>
          </w:tcPr>
          <w:p>
            <w:pPr>
              <w:jc w:val="right"/>
              <w:spacing w:after="0"/>
              <w:rPr>
                <w:sz w:val="20"/>
                <w:szCs w:val="20"/>
                <w:color w:val="auto"/>
              </w:rPr>
            </w:pPr>
            <w:r>
              <w:rPr>
                <w:rFonts w:ascii="Arial" w:cs="Arial" w:eastAsia="Arial" w:hAnsi="Arial"/>
                <w:sz w:val="18"/>
                <w:szCs w:val="18"/>
                <w:color w:val="auto"/>
              </w:rPr>
              <w:t>3,300</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(1,600)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20" w:type="dxa"/>
            <w:vAlign w:val="bottom"/>
            <w:shd w:val="clear" w:color="auto" w:fill="D6F3E8"/>
          </w:tcPr>
          <w:p>
            <w:pPr>
              <w:spacing w:after="0"/>
              <w:rPr>
                <w:sz w:val="20"/>
                <w:szCs w:val="20"/>
                <w:color w:val="auto"/>
              </w:rPr>
            </w:pPr>
            <w:r>
              <w:rPr>
                <w:rFonts w:ascii="Arial" w:cs="Arial" w:eastAsia="Arial" w:hAnsi="Arial"/>
                <w:sz w:val="18"/>
                <w:szCs w:val="18"/>
                <w:color w:val="auto"/>
              </w:rPr>
              <w:t>November</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700</w:t>
            </w:r>
          </w:p>
        </w:tc>
        <w:tc>
          <w:tcPr>
            <w:tcW w:w="36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3,100</w:t>
            </w:r>
          </w:p>
        </w:tc>
        <w:tc>
          <w:tcPr>
            <w:tcW w:w="36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300"/>
              <w:spacing w:after="0"/>
              <w:rPr>
                <w:sz w:val="20"/>
                <w:szCs w:val="20"/>
                <w:color w:val="auto"/>
              </w:rPr>
            </w:pPr>
            <w:r>
              <w:rPr>
                <w:rFonts w:ascii="Arial" w:cs="Arial" w:eastAsia="Arial" w:hAnsi="Arial"/>
                <w:sz w:val="18"/>
                <w:szCs w:val="18"/>
                <w:color w:val="auto"/>
              </w:rPr>
              <w:t>(2,400)</w:t>
            </w:r>
          </w:p>
        </w:tc>
        <w:tc>
          <w:tcPr>
            <w:tcW w:w="11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(77.4)</w:t>
            </w:r>
          </w:p>
        </w:tc>
        <w:tc>
          <w:tcPr>
            <w:tcW w:w="780" w:type="dxa"/>
            <w:vAlign w:val="bottom"/>
            <w:shd w:val="clear" w:color="auto" w:fill="D6F3E8"/>
          </w:tcPr>
          <w:p>
            <w:pPr>
              <w:spacing w:after="0"/>
              <w:rPr>
                <w:sz w:val="18"/>
                <w:szCs w:val="18"/>
                <w:color w:val="auto"/>
              </w:rPr>
            </w:pPr>
          </w:p>
        </w:tc>
        <w:tc>
          <w:tcPr>
            <w:tcW w:w="34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320" w:type="dxa"/>
            <w:vAlign w:val="bottom"/>
            <w:shd w:val="clear" w:color="auto" w:fill="D6F3E8"/>
          </w:tcPr>
          <w:p>
            <w:pPr>
              <w:spacing w:after="0"/>
              <w:rPr>
                <w:sz w:val="18"/>
                <w:szCs w:val="18"/>
                <w:color w:val="auto"/>
              </w:rPr>
            </w:pPr>
          </w:p>
        </w:tc>
        <w:tc>
          <w:tcPr>
            <w:tcW w:w="80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2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520" w:type="dxa"/>
            <w:vAlign w:val="bottom"/>
          </w:tcPr>
          <w:p>
            <w:pPr>
              <w:spacing w:after="0"/>
              <w:rPr>
                <w:sz w:val="20"/>
                <w:szCs w:val="20"/>
                <w:color w:val="auto"/>
              </w:rPr>
            </w:pPr>
            <w:r>
              <w:rPr>
                <w:rFonts w:ascii="Arial" w:cs="Arial" w:eastAsia="Arial" w:hAnsi="Arial"/>
                <w:sz w:val="18"/>
                <w:szCs w:val="18"/>
                <w:color w:val="auto"/>
              </w:rPr>
              <w:t>Calendar Year to Date</w:t>
            </w:r>
          </w:p>
        </w:tc>
        <w:tc>
          <w:tcPr>
            <w:tcW w:w="800" w:type="dxa"/>
            <w:vAlign w:val="bottom"/>
          </w:tcPr>
          <w:p>
            <w:pPr>
              <w:jc w:val="right"/>
              <w:spacing w:after="0"/>
              <w:rPr>
                <w:sz w:val="20"/>
                <w:szCs w:val="20"/>
                <w:color w:val="auto"/>
              </w:rPr>
            </w:pPr>
            <w:r>
              <w:rPr>
                <w:rFonts w:ascii="Arial" w:cs="Arial" w:eastAsia="Arial" w:hAnsi="Arial"/>
                <w:sz w:val="18"/>
                <w:szCs w:val="18"/>
                <w:color w:val="auto"/>
              </w:rPr>
              <w:t>25,800</w:t>
            </w: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48,400</w:t>
            </w:r>
          </w:p>
        </w:tc>
        <w:tc>
          <w:tcPr>
            <w:tcW w:w="36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(22,600)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(46.7)</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25,600</w:t>
            </w:r>
          </w:p>
        </w:tc>
        <w:tc>
          <w:tcPr>
            <w:tcW w:w="800" w:type="dxa"/>
            <w:vAlign w:val="bottom"/>
          </w:tcPr>
          <w:p>
            <w:pPr>
              <w:jc w:val="right"/>
              <w:spacing w:after="0"/>
              <w:rPr>
                <w:sz w:val="20"/>
                <w:szCs w:val="20"/>
                <w:color w:val="auto"/>
              </w:rPr>
            </w:pPr>
            <w:r>
              <w:rPr>
                <w:rFonts w:ascii="Arial" w:cs="Arial" w:eastAsia="Arial" w:hAnsi="Arial"/>
                <w:sz w:val="18"/>
                <w:szCs w:val="18"/>
                <w:color w:val="auto"/>
              </w:rPr>
              <w:t>42,400</w:t>
            </w:r>
          </w:p>
        </w:tc>
        <w:tc>
          <w:tcPr>
            <w:tcW w:w="1440" w:type="dxa"/>
            <w:vAlign w:val="bottom"/>
            <w:gridSpan w:val="3"/>
          </w:tcPr>
          <w:p>
            <w:pPr>
              <w:jc w:val="right"/>
              <w:ind w:right="280"/>
              <w:spacing w:after="0"/>
              <w:rPr>
                <w:sz w:val="20"/>
                <w:szCs w:val="20"/>
                <w:color w:val="auto"/>
              </w:rPr>
            </w:pPr>
            <w:r>
              <w:rPr>
                <w:rFonts w:ascii="Arial" w:cs="Arial" w:eastAsia="Arial" w:hAnsi="Arial"/>
                <w:sz w:val="18"/>
                <w:szCs w:val="18"/>
                <w:color w:val="auto"/>
              </w:rPr>
              <w:t>(16,800)</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3598545</wp:posOffset>
            </wp:positionH>
            <wp:positionV relativeFrom="paragraph">
              <wp:posOffset>-170815</wp:posOffset>
            </wp:positionV>
            <wp:extent cx="2228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4335780</wp:posOffset>
            </wp:positionH>
            <wp:positionV relativeFrom="paragraph">
              <wp:posOffset>-170815</wp:posOffset>
            </wp:positionV>
            <wp:extent cx="2146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169" w:lineRule="exact"/>
        <w:rPr>
          <w:sz w:val="20"/>
          <w:szCs w:val="20"/>
          <w:color w:val="auto"/>
        </w:rPr>
      </w:pPr>
    </w:p>
    <w:p>
      <w:pPr>
        <w:ind w:left="580" w:hanging="572"/>
        <w:spacing w:after="0"/>
        <w:tabs>
          <w:tab w:leader="none" w:pos="580"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As reported by the Recreation Vehicle Industry Association (RVIA) Class A and C wholesale shipments through November 2008 and 2007.</w:t>
      </w:r>
    </w:p>
    <w:p>
      <w:pPr>
        <w:spacing w:after="0" w:line="48" w:lineRule="exact"/>
        <w:rPr>
          <w:rFonts w:ascii="Arial" w:cs="Arial" w:eastAsia="Arial" w:hAnsi="Arial"/>
          <w:sz w:val="28"/>
          <w:szCs w:val="28"/>
          <w:color w:val="auto"/>
          <w:vertAlign w:val="superscript"/>
        </w:rPr>
      </w:pPr>
    </w:p>
    <w:p>
      <w:pPr>
        <w:ind w:left="580" w:right="160" w:hanging="572"/>
        <w:spacing w:after="0" w:line="188" w:lineRule="auto"/>
        <w:tabs>
          <w:tab w:leader="none" w:pos="580" w:val="left"/>
        </w:tabs>
        <w:numPr>
          <w:ilvl w:val="0"/>
          <w:numId w:val="5"/>
        </w:numPr>
        <w:rPr>
          <w:rFonts w:ascii="Arial" w:cs="Arial" w:eastAsia="Arial" w:hAnsi="Arial"/>
          <w:sz w:val="29"/>
          <w:szCs w:val="29"/>
          <w:color w:val="auto"/>
          <w:vertAlign w:val="superscript"/>
        </w:rPr>
      </w:pPr>
      <w:r>
        <w:rPr>
          <w:rFonts w:ascii="Arial" w:cs="Arial" w:eastAsia="Arial" w:hAnsi="Arial"/>
          <w:sz w:val="18"/>
          <w:szCs w:val="18"/>
          <w:color w:val="auto"/>
        </w:rPr>
        <w:t>As reported by Statistical Surveys, Inc. Class A and C U.S. Retail Registrations through October 2008 and 2007, rounded to the nearest thousand. As of January 6, 2009, Retail Registration activity for November 2008 was not available.</w:t>
      </w:r>
    </w:p>
    <w:p>
      <w:pPr>
        <w:spacing w:after="0" w:line="21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motorized market has been significantly impacted by highly unstable market conditions. The tightening of the wholesale and retail credit markets, low consumer confidence, and the uncertainty of fuel prices are placing pressure on retail sales and our dealers continue to be cautious in the amount of inventory they are willing to carry. Dealers continue to sell older model-year units and are not reordering inventory on a one-for-one basis, which negatively affects manufacturers’ shipments and backlog. The decline in wholesale and retail demand has directly impacted our gross margins as we have produced and delivered far fewer units in recent quarters and also we have had to increase our discounts to meet competitive pricing and provide retail incentives to help dealers move inventory.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Order backlog for our motor homes was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tcPr>
          <w:p>
            <w:pPr>
              <w:ind w:left="20"/>
              <w:spacing w:after="0" w:line="129" w:lineRule="exact"/>
              <w:rPr>
                <w:sz w:val="20"/>
                <w:szCs w:val="20"/>
                <w:color w:val="auto"/>
              </w:rPr>
            </w:pPr>
            <w:r>
              <w:rPr>
                <w:rFonts w:ascii="Arial" w:cs="Arial" w:eastAsia="Arial" w:hAnsi="Arial"/>
                <w:sz w:val="14"/>
                <w:szCs w:val="14"/>
                <w:b w:val="1"/>
                <w:bCs w:val="1"/>
                <w:color w:val="auto"/>
              </w:rPr>
              <w:t>November 29,</w:t>
            </w:r>
          </w:p>
        </w:tc>
        <w:tc>
          <w:tcPr>
            <w:tcW w:w="820" w:type="dxa"/>
            <w:vAlign w:val="bottom"/>
          </w:tcPr>
          <w:p>
            <w:pPr>
              <w:jc w:val="right"/>
              <w:ind w:right="97"/>
              <w:spacing w:after="0" w:line="129" w:lineRule="exact"/>
              <w:rPr>
                <w:sz w:val="20"/>
                <w:szCs w:val="20"/>
                <w:color w:val="auto"/>
              </w:rPr>
            </w:pPr>
            <w:r>
              <w:rPr>
                <w:rFonts w:ascii="Arial" w:cs="Arial" w:eastAsia="Arial" w:hAnsi="Arial"/>
                <w:sz w:val="14"/>
                <w:szCs w:val="14"/>
                <w:b w:val="1"/>
                <w:bCs w:val="1"/>
                <w:color w:val="auto"/>
              </w:rPr>
              <w:t>Product</w:t>
            </w:r>
          </w:p>
        </w:tc>
        <w:tc>
          <w:tcPr>
            <w:tcW w:w="3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60" w:type="dxa"/>
            <w:vAlign w:val="bottom"/>
            <w:gridSpan w:val="2"/>
          </w:tcPr>
          <w:p>
            <w:pPr>
              <w:jc w:val="right"/>
              <w:ind w:right="440"/>
              <w:spacing w:after="0" w:line="129" w:lineRule="exact"/>
              <w:rPr>
                <w:sz w:val="20"/>
                <w:szCs w:val="20"/>
                <w:color w:val="auto"/>
              </w:rPr>
            </w:pPr>
            <w:r>
              <w:rPr>
                <w:rFonts w:ascii="Arial" w:cs="Arial" w:eastAsia="Arial" w:hAnsi="Arial"/>
                <w:sz w:val="14"/>
                <w:szCs w:val="14"/>
                <w:b w:val="1"/>
                <w:bCs w:val="1"/>
                <w:color w:val="auto"/>
                <w:w w:val="84"/>
              </w:rPr>
              <w:t>December 1,</w:t>
            </w:r>
          </w:p>
        </w:tc>
        <w:tc>
          <w:tcPr>
            <w:tcW w:w="1220" w:type="dxa"/>
            <w:vAlign w:val="bottom"/>
            <w:gridSpan w:val="3"/>
          </w:tcPr>
          <w:p>
            <w:pPr>
              <w:jc w:val="center"/>
              <w:ind w:right="440"/>
              <w:spacing w:after="0" w:line="129" w:lineRule="exact"/>
              <w:rPr>
                <w:sz w:val="20"/>
                <w:szCs w:val="20"/>
                <w:color w:val="auto"/>
              </w:rPr>
            </w:pPr>
            <w:r>
              <w:rPr>
                <w:rFonts w:ascii="Arial" w:cs="Arial" w:eastAsia="Arial" w:hAnsi="Arial"/>
                <w:sz w:val="14"/>
                <w:szCs w:val="14"/>
                <w:b w:val="1"/>
                <w:bCs w:val="1"/>
                <w:color w:val="auto"/>
                <w:w w:val="86"/>
              </w:rPr>
              <w:t>Product</w:t>
            </w:r>
          </w:p>
        </w:tc>
        <w:tc>
          <w:tcPr>
            <w:tcW w:w="1020" w:type="dxa"/>
            <w:vAlign w:val="bottom"/>
            <w:gridSpan w:val="2"/>
          </w:tcPr>
          <w:p>
            <w:pPr>
              <w:jc w:val="right"/>
              <w:ind w:right="420"/>
              <w:spacing w:after="0" w:line="129" w:lineRule="exact"/>
              <w:rPr>
                <w:sz w:val="20"/>
                <w:szCs w:val="20"/>
                <w:color w:val="auto"/>
              </w:rPr>
            </w:pPr>
            <w:r>
              <w:rPr>
                <w:rFonts w:ascii="Arial" w:cs="Arial" w:eastAsia="Arial" w:hAnsi="Arial"/>
                <w:sz w:val="14"/>
                <w:szCs w:val="14"/>
                <w:b w:val="1"/>
                <w:bCs w:val="1"/>
                <w:color w:val="auto"/>
                <w:w w:val="80"/>
              </w:rPr>
              <w:t>(Decrease)</w:t>
            </w:r>
          </w:p>
        </w:tc>
        <w:tc>
          <w:tcPr>
            <w:tcW w:w="800" w:type="dxa"/>
            <w:vAlign w:val="bottom"/>
          </w:tcPr>
          <w:p>
            <w:pPr>
              <w:jc w:val="right"/>
              <w:ind w:right="256"/>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jc w:val="right"/>
              <w:ind w:right="296"/>
              <w:spacing w:after="0"/>
              <w:rPr>
                <w:sz w:val="20"/>
                <w:szCs w:val="20"/>
                <w:color w:val="auto"/>
              </w:rPr>
            </w:pPr>
            <w:r>
              <w:rPr>
                <w:rFonts w:ascii="Arial" w:cs="Arial" w:eastAsia="Arial" w:hAnsi="Arial"/>
                <w:sz w:val="14"/>
                <w:szCs w:val="14"/>
                <w:b w:val="1"/>
                <w:bCs w:val="1"/>
                <w:color w:val="auto"/>
              </w:rPr>
              <w:t>2008</w:t>
            </w:r>
          </w:p>
        </w:tc>
        <w:tc>
          <w:tcPr>
            <w:tcW w:w="340" w:type="dxa"/>
            <w:vAlign w:val="bottom"/>
          </w:tcPr>
          <w:p>
            <w:pPr>
              <w:spacing w:after="0"/>
              <w:rPr>
                <w:sz w:val="14"/>
                <w:szCs w:val="14"/>
                <w:color w:val="auto"/>
              </w:rPr>
            </w:pPr>
          </w:p>
        </w:tc>
        <w:tc>
          <w:tcPr>
            <w:tcW w:w="820" w:type="dxa"/>
            <w:vAlign w:val="bottom"/>
          </w:tcPr>
          <w:p>
            <w:pPr>
              <w:jc w:val="right"/>
              <w:ind w:right="117"/>
              <w:spacing w:after="0"/>
              <w:rPr>
                <w:sz w:val="20"/>
                <w:szCs w:val="20"/>
                <w:color w:val="auto"/>
              </w:rPr>
            </w:pPr>
            <w:r>
              <w:rPr>
                <w:rFonts w:ascii="Arial" w:cs="Arial" w:eastAsia="Arial" w:hAnsi="Arial"/>
                <w:sz w:val="14"/>
                <w:szCs w:val="14"/>
                <w:b w:val="1"/>
                <w:bCs w:val="1"/>
                <w:color w:val="auto"/>
              </w:rPr>
              <w:t>Mix %</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238"/>
              <w:spacing w:after="0"/>
              <w:rPr>
                <w:sz w:val="20"/>
                <w:szCs w:val="20"/>
                <w:color w:val="auto"/>
              </w:rPr>
            </w:pPr>
            <w:r>
              <w:rPr>
                <w:rFonts w:ascii="Arial" w:cs="Arial" w:eastAsia="Arial" w:hAnsi="Arial"/>
                <w:sz w:val="14"/>
                <w:szCs w:val="14"/>
                <w:b w:val="1"/>
                <w:bCs w:val="1"/>
                <w:color w:val="auto"/>
              </w:rPr>
              <w:t>2007</w:t>
            </w:r>
          </w:p>
        </w:tc>
        <w:tc>
          <w:tcPr>
            <w:tcW w:w="340" w:type="dxa"/>
            <w:vAlign w:val="bottom"/>
          </w:tcPr>
          <w:p>
            <w:pPr>
              <w:spacing w:after="0"/>
              <w:rPr>
                <w:sz w:val="14"/>
                <w:szCs w:val="14"/>
                <w:color w:val="auto"/>
              </w:rPr>
            </w:pPr>
          </w:p>
        </w:tc>
        <w:tc>
          <w:tcPr>
            <w:tcW w:w="122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rPr>
              <w:t>Mix %</w:t>
            </w:r>
          </w:p>
        </w:tc>
        <w:tc>
          <w:tcPr>
            <w:tcW w:w="10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1"/>
              </w:rPr>
              <w:t>Increase</w:t>
            </w:r>
          </w:p>
        </w:tc>
        <w:tc>
          <w:tcPr>
            <w:tcW w:w="9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420" w:type="dxa"/>
            <w:vAlign w:val="bottom"/>
            <w:shd w:val="clear" w:color="auto" w:fill="D6F3E8"/>
          </w:tcPr>
          <w:p>
            <w:pPr>
              <w:spacing w:after="0"/>
              <w:rPr>
                <w:sz w:val="20"/>
                <w:szCs w:val="20"/>
                <w:color w:val="auto"/>
              </w:rPr>
            </w:pPr>
            <w:r>
              <w:rPr>
                <w:rFonts w:ascii="Arial" w:cs="Arial" w:eastAsia="Arial" w:hAnsi="Arial"/>
                <w:sz w:val="18"/>
                <w:szCs w:val="18"/>
                <w:color w:val="auto"/>
              </w:rPr>
              <w:t>Class A gas</w:t>
            </w:r>
          </w:p>
        </w:tc>
        <w:tc>
          <w:tcPr>
            <w:tcW w:w="104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9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84</w:t>
            </w:r>
          </w:p>
        </w:tc>
        <w:tc>
          <w:tcPr>
            <w:tcW w:w="340" w:type="dxa"/>
            <w:vAlign w:val="bottom"/>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24.9</w:t>
            </w:r>
          </w:p>
        </w:tc>
        <w:tc>
          <w:tcPr>
            <w:tcW w:w="360" w:type="dxa"/>
            <w:vAlign w:val="bottom"/>
            <w:shd w:val="clear" w:color="auto" w:fill="D6F3E8"/>
          </w:tcPr>
          <w:p>
            <w:pPr>
              <w:spacing w:after="0"/>
              <w:rPr>
                <w:sz w:val="18"/>
                <w:szCs w:val="18"/>
                <w:color w:val="auto"/>
              </w:rPr>
            </w:pPr>
          </w:p>
        </w:tc>
        <w:tc>
          <w:tcPr>
            <w:tcW w:w="80" w:type="dxa"/>
            <w:vAlign w:val="bottom"/>
            <w:tcBorders>
              <w:top w:val="single" w:sz="8" w:color="auto"/>
            </w:tcBorders>
            <w:shd w:val="clear" w:color="auto" w:fill="D6F3E8"/>
          </w:tcPr>
          <w:p>
            <w:pPr>
              <w:spacing w:after="0"/>
              <w:rPr>
                <w:sz w:val="18"/>
                <w:szCs w:val="18"/>
                <w:color w:val="auto"/>
              </w:rPr>
            </w:pPr>
          </w:p>
        </w:tc>
        <w:tc>
          <w:tcPr>
            <w:tcW w:w="8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449</w:t>
            </w:r>
          </w:p>
        </w:tc>
        <w:tc>
          <w:tcPr>
            <w:tcW w:w="340" w:type="dxa"/>
            <w:vAlign w:val="bottom"/>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24.5</w:t>
            </w:r>
          </w:p>
        </w:tc>
        <w:tc>
          <w:tcPr>
            <w:tcW w:w="32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7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(365)</w:t>
            </w:r>
          </w:p>
        </w:tc>
        <w:tc>
          <w:tcPr>
            <w:tcW w:w="320" w:type="dxa"/>
            <w:vAlign w:val="bottom"/>
            <w:shd w:val="clear" w:color="auto" w:fill="D6F3E8"/>
          </w:tcPr>
          <w:p>
            <w:pPr>
              <w:spacing w:after="0"/>
              <w:rPr>
                <w:sz w:val="18"/>
                <w:szCs w:val="18"/>
                <w:color w:val="auto"/>
              </w:rPr>
            </w:pPr>
          </w:p>
        </w:tc>
        <w:tc>
          <w:tcPr>
            <w:tcW w:w="8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(81.3)</w:t>
            </w:r>
          </w:p>
        </w:tc>
        <w:tc>
          <w:tcPr>
            <w:tcW w:w="100" w:type="dxa"/>
            <w:vAlign w:val="bottom"/>
            <w:shd w:val="clear" w:color="auto" w:fill="D6F3E8"/>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Class A diesel</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299</w:t>
            </w:r>
          </w:p>
        </w:tc>
        <w:tc>
          <w:tcPr>
            <w:tcW w:w="80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(264)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shd w:val="clear" w:color="auto" w:fill="D6F3E8"/>
          </w:tcPr>
          <w:p>
            <w:pPr>
              <w:spacing w:after="0"/>
              <w:rPr>
                <w:sz w:val="20"/>
                <w:szCs w:val="20"/>
                <w:color w:val="auto"/>
              </w:rPr>
            </w:pPr>
            <w:r>
              <w:rPr>
                <w:rFonts w:ascii="Arial" w:cs="Arial" w:eastAsia="Arial" w:hAnsi="Arial"/>
                <w:sz w:val="18"/>
                <w:szCs w:val="18"/>
                <w:color w:val="auto"/>
              </w:rPr>
              <w:t>Total Class A</w:t>
            </w:r>
          </w:p>
        </w:tc>
        <w:tc>
          <w:tcPr>
            <w:tcW w:w="10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w:t>
            </w:r>
          </w:p>
        </w:tc>
        <w:tc>
          <w:tcPr>
            <w:tcW w:w="34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35.2</w:t>
            </w:r>
          </w:p>
        </w:tc>
        <w:tc>
          <w:tcPr>
            <w:tcW w:w="3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748</w:t>
            </w:r>
          </w:p>
        </w:tc>
        <w:tc>
          <w:tcPr>
            <w:tcW w:w="340" w:type="dxa"/>
            <w:vAlign w:val="bottom"/>
            <w:shd w:val="clear" w:color="auto" w:fill="D6F3E8"/>
          </w:tcPr>
          <w:p>
            <w:pPr>
              <w:spacing w:after="0"/>
              <w:rPr>
                <w:sz w:val="18"/>
                <w:szCs w:val="18"/>
                <w:color w:val="auto"/>
              </w:rPr>
            </w:pP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40.8</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7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(629)</w:t>
            </w:r>
          </w:p>
        </w:tc>
        <w:tc>
          <w:tcPr>
            <w:tcW w:w="320" w:type="dxa"/>
            <w:vAlign w:val="bottom"/>
            <w:shd w:val="clear" w:color="auto" w:fill="D6F3E8"/>
          </w:tcPr>
          <w:p>
            <w:pPr>
              <w:spacing w:after="0"/>
              <w:rPr>
                <w:sz w:val="18"/>
                <w:szCs w:val="18"/>
                <w:color w:val="auto"/>
              </w:rPr>
            </w:pPr>
          </w:p>
        </w:tc>
        <w:tc>
          <w:tcPr>
            <w:tcW w:w="9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Class B</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D6F3E8"/>
          </w:tcPr>
          <w:p>
            <w:pPr>
              <w:spacing w:after="0"/>
              <w:rPr>
                <w:sz w:val="20"/>
                <w:szCs w:val="20"/>
                <w:color w:val="auto"/>
              </w:rPr>
            </w:pPr>
            <w:r>
              <w:rPr>
                <w:rFonts w:ascii="Arial" w:cs="Arial" w:eastAsia="Arial" w:hAnsi="Arial"/>
                <w:sz w:val="18"/>
                <w:szCs w:val="18"/>
                <w:color w:val="auto"/>
              </w:rPr>
              <w:t>Class C</w:t>
            </w:r>
          </w:p>
        </w:tc>
        <w:tc>
          <w:tcPr>
            <w:tcW w:w="10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211</w:t>
            </w:r>
          </w:p>
        </w:tc>
        <w:tc>
          <w:tcPr>
            <w:tcW w:w="340" w:type="dxa"/>
            <w:vAlign w:val="bottom"/>
            <w:shd w:val="clear" w:color="auto" w:fill="D6F3E8"/>
          </w:tcPr>
          <w:p>
            <w:pPr>
              <w:spacing w:after="0"/>
              <w:rPr>
                <w:sz w:val="18"/>
                <w:szCs w:val="18"/>
                <w:color w:val="auto"/>
              </w:rPr>
            </w:pPr>
          </w:p>
        </w:tc>
        <w:tc>
          <w:tcPr>
            <w:tcW w:w="8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62.4</w:t>
            </w:r>
          </w:p>
        </w:tc>
        <w:tc>
          <w:tcPr>
            <w:tcW w:w="360" w:type="dxa"/>
            <w:vAlign w:val="bottom"/>
            <w:shd w:val="clear" w:color="auto" w:fill="D6F3E8"/>
          </w:tcPr>
          <w:p>
            <w:pPr>
              <w:spacing w:after="0"/>
              <w:rPr>
                <w:sz w:val="18"/>
                <w:szCs w:val="18"/>
                <w:color w:val="auto"/>
              </w:rPr>
            </w:pPr>
          </w:p>
        </w:tc>
        <w:tc>
          <w:tcPr>
            <w:tcW w:w="80" w:type="dxa"/>
            <w:vAlign w:val="bottom"/>
            <w:shd w:val="clear" w:color="auto" w:fill="D6F3E8"/>
          </w:tcPr>
          <w:p>
            <w:pPr>
              <w:spacing w:after="0"/>
              <w:rPr>
                <w:sz w:val="18"/>
                <w:szCs w:val="18"/>
                <w:color w:val="auto"/>
              </w:rPr>
            </w:pP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1,085</w:t>
            </w:r>
          </w:p>
        </w:tc>
        <w:tc>
          <w:tcPr>
            <w:tcW w:w="8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59.2</w:t>
            </w:r>
          </w:p>
        </w:tc>
        <w:tc>
          <w:tcPr>
            <w:tcW w:w="32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10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(874)</w:t>
            </w:r>
          </w:p>
        </w:tc>
        <w:tc>
          <w:tcPr>
            <w:tcW w:w="9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20" w:type="dxa"/>
            <w:vAlign w:val="bottom"/>
            <w:shd w:val="clear" w:color="auto" w:fill="D6F3E8"/>
          </w:tcPr>
          <w:p>
            <w:pPr>
              <w:spacing w:after="0" w:line="20" w:lineRule="exact"/>
              <w:rPr>
                <w:sz w:val="1"/>
                <w:szCs w:val="1"/>
                <w:color w:val="auto"/>
              </w:rPr>
            </w:pPr>
          </w:p>
        </w:tc>
        <w:tc>
          <w:tcPr>
            <w:tcW w:w="104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Total backlog</w:t>
            </w: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338</w:t>
            </w: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1,833</w:t>
            </w: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8"/>
                <w:szCs w:val="18"/>
                <w:color w:val="auto"/>
              </w:rPr>
              <w:t>(1,495)</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0"/>
        </w:trPr>
        <w:tc>
          <w:tcPr>
            <w:tcW w:w="3440" w:type="dxa"/>
            <w:vAlign w:val="bottom"/>
            <w:gridSpan w:val="2"/>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3420" w:type="dxa"/>
            <w:vAlign w:val="bottom"/>
            <w:shd w:val="clear" w:color="auto" w:fill="D6F3E8"/>
          </w:tcPr>
          <w:p>
            <w:pPr>
              <w:spacing w:after="0" w:line="189" w:lineRule="exact"/>
              <w:rPr>
                <w:sz w:val="20"/>
                <w:szCs w:val="20"/>
                <w:color w:val="auto"/>
              </w:rPr>
            </w:pPr>
            <w:r>
              <w:rPr>
                <w:rFonts w:ascii="Arial" w:cs="Arial" w:eastAsia="Arial" w:hAnsi="Arial"/>
                <w:sz w:val="18"/>
                <w:szCs w:val="18"/>
                <w:color w:val="auto"/>
              </w:rPr>
              <w:t>Total approximate revenue dollars</w:t>
            </w:r>
          </w:p>
        </w:tc>
        <w:tc>
          <w:tcPr>
            <w:tcW w:w="1040" w:type="dxa"/>
            <w:vAlign w:val="bottom"/>
            <w:shd w:val="clear" w:color="auto" w:fill="D6F3E8"/>
          </w:tcPr>
          <w:p>
            <w:pPr>
              <w:spacing w:after="0"/>
              <w:rPr>
                <w:sz w:val="16"/>
                <w:szCs w:val="16"/>
                <w:color w:val="auto"/>
              </w:rPr>
            </w:pPr>
          </w:p>
        </w:tc>
        <w:tc>
          <w:tcPr>
            <w:tcW w:w="100" w:type="dxa"/>
            <w:vAlign w:val="bottom"/>
            <w:shd w:val="clear" w:color="auto" w:fill="D6F3E8"/>
          </w:tcPr>
          <w:p>
            <w:pPr>
              <w:spacing w:after="0"/>
              <w:rPr>
                <w:sz w:val="16"/>
                <w:szCs w:val="16"/>
                <w:color w:val="auto"/>
              </w:rPr>
            </w:pPr>
          </w:p>
        </w:tc>
        <w:tc>
          <w:tcPr>
            <w:tcW w:w="940" w:type="dxa"/>
            <w:vAlign w:val="bottom"/>
            <w:shd w:val="clear" w:color="auto" w:fill="D6F3E8"/>
          </w:tcPr>
          <w:p>
            <w:pPr>
              <w:spacing w:after="0"/>
              <w:rPr>
                <w:sz w:val="16"/>
                <w:szCs w:val="16"/>
                <w:color w:val="auto"/>
              </w:rPr>
            </w:pPr>
          </w:p>
        </w:tc>
        <w:tc>
          <w:tcPr>
            <w:tcW w:w="340" w:type="dxa"/>
            <w:vAlign w:val="bottom"/>
            <w:shd w:val="clear" w:color="auto" w:fill="D6F3E8"/>
          </w:tcPr>
          <w:p>
            <w:pPr>
              <w:spacing w:after="0"/>
              <w:rPr>
                <w:sz w:val="16"/>
                <w:szCs w:val="16"/>
                <w:color w:val="auto"/>
              </w:rPr>
            </w:pPr>
          </w:p>
        </w:tc>
        <w:tc>
          <w:tcPr>
            <w:tcW w:w="820" w:type="dxa"/>
            <w:vAlign w:val="bottom"/>
            <w:shd w:val="clear" w:color="auto" w:fill="D6F3E8"/>
          </w:tcPr>
          <w:p>
            <w:pPr>
              <w:spacing w:after="0"/>
              <w:rPr>
                <w:sz w:val="16"/>
                <w:szCs w:val="16"/>
                <w:color w:val="auto"/>
              </w:rPr>
            </w:pPr>
          </w:p>
        </w:tc>
        <w:tc>
          <w:tcPr>
            <w:tcW w:w="360" w:type="dxa"/>
            <w:vAlign w:val="bottom"/>
            <w:shd w:val="clear" w:color="auto" w:fill="D6F3E8"/>
          </w:tcPr>
          <w:p>
            <w:pPr>
              <w:spacing w:after="0"/>
              <w:rPr>
                <w:sz w:val="16"/>
                <w:szCs w:val="16"/>
                <w:color w:val="auto"/>
              </w:rPr>
            </w:pPr>
          </w:p>
        </w:tc>
        <w:tc>
          <w:tcPr>
            <w:tcW w:w="80" w:type="dxa"/>
            <w:vAlign w:val="bottom"/>
            <w:shd w:val="clear" w:color="auto" w:fill="D6F3E8"/>
          </w:tcPr>
          <w:p>
            <w:pPr>
              <w:spacing w:after="0"/>
              <w:rPr>
                <w:sz w:val="16"/>
                <w:szCs w:val="16"/>
                <w:color w:val="auto"/>
              </w:rPr>
            </w:pPr>
          </w:p>
        </w:tc>
        <w:tc>
          <w:tcPr>
            <w:tcW w:w="820" w:type="dxa"/>
            <w:vAlign w:val="bottom"/>
            <w:shd w:val="clear" w:color="auto" w:fill="D6F3E8"/>
          </w:tcPr>
          <w:p>
            <w:pPr>
              <w:spacing w:after="0"/>
              <w:rPr>
                <w:sz w:val="16"/>
                <w:szCs w:val="16"/>
                <w:color w:val="auto"/>
              </w:rPr>
            </w:pPr>
          </w:p>
        </w:tc>
        <w:tc>
          <w:tcPr>
            <w:tcW w:w="340" w:type="dxa"/>
            <w:vAlign w:val="bottom"/>
            <w:shd w:val="clear" w:color="auto" w:fill="D6F3E8"/>
          </w:tcPr>
          <w:p>
            <w:pPr>
              <w:spacing w:after="0"/>
              <w:rPr>
                <w:sz w:val="16"/>
                <w:szCs w:val="16"/>
                <w:color w:val="auto"/>
              </w:rPr>
            </w:pPr>
          </w:p>
        </w:tc>
        <w:tc>
          <w:tcPr>
            <w:tcW w:w="800" w:type="dxa"/>
            <w:vAlign w:val="bottom"/>
            <w:shd w:val="clear" w:color="auto" w:fill="D6F3E8"/>
          </w:tcPr>
          <w:p>
            <w:pPr>
              <w:spacing w:after="0"/>
              <w:rPr>
                <w:sz w:val="16"/>
                <w:szCs w:val="16"/>
                <w:color w:val="auto"/>
              </w:rPr>
            </w:pPr>
          </w:p>
        </w:tc>
        <w:tc>
          <w:tcPr>
            <w:tcW w:w="320" w:type="dxa"/>
            <w:vAlign w:val="bottom"/>
            <w:shd w:val="clear" w:color="auto" w:fill="D6F3E8"/>
          </w:tcPr>
          <w:p>
            <w:pPr>
              <w:spacing w:after="0"/>
              <w:rPr>
                <w:sz w:val="16"/>
                <w:szCs w:val="16"/>
                <w:color w:val="auto"/>
              </w:rPr>
            </w:pPr>
          </w:p>
        </w:tc>
        <w:tc>
          <w:tcPr>
            <w:tcW w:w="100" w:type="dxa"/>
            <w:vAlign w:val="bottom"/>
            <w:shd w:val="clear" w:color="auto" w:fill="D6F3E8"/>
          </w:tcPr>
          <w:p>
            <w:pPr>
              <w:spacing w:after="0"/>
              <w:rPr>
                <w:sz w:val="16"/>
                <w:szCs w:val="16"/>
                <w:color w:val="auto"/>
              </w:rPr>
            </w:pPr>
          </w:p>
        </w:tc>
        <w:tc>
          <w:tcPr>
            <w:tcW w:w="700" w:type="dxa"/>
            <w:vAlign w:val="bottom"/>
            <w:shd w:val="clear" w:color="auto" w:fill="D6F3E8"/>
          </w:tcPr>
          <w:p>
            <w:pPr>
              <w:spacing w:after="0"/>
              <w:rPr>
                <w:sz w:val="16"/>
                <w:szCs w:val="16"/>
                <w:color w:val="auto"/>
              </w:rPr>
            </w:pPr>
          </w:p>
        </w:tc>
        <w:tc>
          <w:tcPr>
            <w:tcW w:w="320" w:type="dxa"/>
            <w:vAlign w:val="bottom"/>
            <w:shd w:val="clear" w:color="auto" w:fill="D6F3E8"/>
          </w:tcPr>
          <w:p>
            <w:pPr>
              <w:spacing w:after="0"/>
              <w:rPr>
                <w:sz w:val="16"/>
                <w:szCs w:val="16"/>
                <w:color w:val="auto"/>
              </w:rPr>
            </w:pPr>
          </w:p>
        </w:tc>
        <w:tc>
          <w:tcPr>
            <w:tcW w:w="800" w:type="dxa"/>
            <w:vAlign w:val="bottom"/>
            <w:shd w:val="clear" w:color="auto" w:fill="D6F3E8"/>
          </w:tcPr>
          <w:p>
            <w:pPr>
              <w:spacing w:after="0"/>
              <w:rPr>
                <w:sz w:val="16"/>
                <w:szCs w:val="16"/>
                <w:color w:val="auto"/>
              </w:rPr>
            </w:pPr>
          </w:p>
        </w:tc>
        <w:tc>
          <w:tcPr>
            <w:tcW w:w="100" w:type="dxa"/>
            <w:vAlign w:val="bottom"/>
            <w:shd w:val="clear" w:color="auto" w:fill="D6F3E8"/>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3420" w:type="dxa"/>
            <w:vAlign w:val="bottom"/>
            <w:shd w:val="clear" w:color="auto" w:fill="D6F3E8"/>
          </w:tcPr>
          <w:p>
            <w:pPr>
              <w:ind w:left="140"/>
              <w:spacing w:after="0" w:line="263" w:lineRule="exact"/>
              <w:rPr>
                <w:sz w:val="20"/>
                <w:szCs w:val="20"/>
                <w:color w:val="auto"/>
              </w:rPr>
            </w:pPr>
            <w:r>
              <w:rPr>
                <w:rFonts w:ascii="Arial" w:cs="Arial" w:eastAsia="Arial" w:hAnsi="Arial"/>
                <w:sz w:val="18"/>
                <w:szCs w:val="18"/>
                <w:color w:val="auto"/>
              </w:rPr>
              <w:t xml:space="preserve">(in millions) </w:t>
            </w:r>
            <w:r>
              <w:rPr>
                <w:rFonts w:ascii="Arial" w:cs="Arial" w:eastAsia="Arial" w:hAnsi="Arial"/>
                <w:sz w:val="29"/>
                <w:szCs w:val="29"/>
                <w:color w:val="auto"/>
                <w:vertAlign w:val="superscript"/>
              </w:rPr>
              <w:t>(1)</w:t>
            </w:r>
          </w:p>
        </w:tc>
        <w:tc>
          <w:tcPr>
            <w:tcW w:w="1140" w:type="dxa"/>
            <w:vAlign w:val="bottom"/>
            <w:gridSpan w:val="2"/>
            <w:shd w:val="clear" w:color="auto" w:fill="D6F3E8"/>
          </w:tcPr>
          <w:p>
            <w:pPr>
              <w:jc w:val="right"/>
              <w:ind w:righ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27.6</w:t>
            </w:r>
          </w:p>
        </w:tc>
        <w:tc>
          <w:tcPr>
            <w:tcW w:w="340" w:type="dxa"/>
            <w:vAlign w:val="bottom"/>
            <w:shd w:val="clear" w:color="auto" w:fill="D6F3E8"/>
          </w:tcPr>
          <w:p>
            <w:pPr>
              <w:spacing w:after="0"/>
              <w:rPr>
                <w:sz w:val="24"/>
                <w:szCs w:val="24"/>
                <w:color w:val="auto"/>
              </w:rPr>
            </w:pPr>
          </w:p>
        </w:tc>
        <w:tc>
          <w:tcPr>
            <w:tcW w:w="820" w:type="dxa"/>
            <w:vAlign w:val="bottom"/>
            <w:shd w:val="clear" w:color="auto" w:fill="D6F3E8"/>
          </w:tcPr>
          <w:p>
            <w:pPr>
              <w:spacing w:after="0"/>
              <w:rPr>
                <w:sz w:val="24"/>
                <w:szCs w:val="24"/>
                <w:color w:val="auto"/>
              </w:rPr>
            </w:pPr>
          </w:p>
        </w:tc>
        <w:tc>
          <w:tcPr>
            <w:tcW w:w="44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161.7</w:t>
            </w:r>
          </w:p>
        </w:tc>
        <w:tc>
          <w:tcPr>
            <w:tcW w:w="1220" w:type="dxa"/>
            <w:vAlign w:val="bottom"/>
            <w:gridSpan w:val="3"/>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(134.1)</w:t>
            </w:r>
          </w:p>
        </w:tc>
        <w:tc>
          <w:tcPr>
            <w:tcW w:w="90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20" w:type="dxa"/>
            <w:vAlign w:val="bottom"/>
            <w:tcBorders>
              <w:top w:val="single" w:sz="8" w:color="D6F3E8"/>
            </w:tcBorders>
            <w:shd w:val="clear" w:color="auto" w:fill="D6F3E8"/>
          </w:tcPr>
          <w:p>
            <w:pPr>
              <w:spacing w:after="0" w:line="20" w:lineRule="exact"/>
              <w:rPr>
                <w:sz w:val="1"/>
                <w:szCs w:val="1"/>
                <w:color w:val="auto"/>
              </w:rPr>
            </w:pPr>
          </w:p>
        </w:tc>
        <w:tc>
          <w:tcPr>
            <w:tcW w:w="1040" w:type="dxa"/>
            <w:vAlign w:val="bottom"/>
            <w:tcBorders>
              <w:top w:val="single" w:sz="8" w:color="D6F3E8"/>
            </w:tcBorders>
            <w:shd w:val="clear" w:color="auto" w:fill="D6F3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820" w:type="dxa"/>
            <w:vAlign w:val="bottom"/>
            <w:tcBorders>
              <w:top w:val="single" w:sz="8" w:color="D6F3E8"/>
            </w:tcBorders>
            <w:shd w:val="clear" w:color="auto" w:fill="D6F3E8"/>
          </w:tcPr>
          <w:p>
            <w:pPr>
              <w:spacing w:after="0" w:line="20" w:lineRule="exact"/>
              <w:rPr>
                <w:sz w:val="1"/>
                <w:szCs w:val="1"/>
                <w:color w:val="auto"/>
              </w:rPr>
            </w:pPr>
          </w:p>
        </w:tc>
        <w:tc>
          <w:tcPr>
            <w:tcW w:w="360" w:type="dxa"/>
            <w:vAlign w:val="bottom"/>
            <w:tcBorders>
              <w:top w:val="single" w:sz="8" w:color="D6F3E8"/>
            </w:tcBorders>
            <w:shd w:val="clear" w:color="auto" w:fill="D6F3E8"/>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D6F3E8"/>
            </w:tcBorders>
            <w:shd w:val="clear" w:color="auto" w:fill="D6F3E8"/>
          </w:tcPr>
          <w:p>
            <w:pPr>
              <w:spacing w:after="0" w:line="20" w:lineRule="exact"/>
              <w:rPr>
                <w:sz w:val="1"/>
                <w:szCs w:val="1"/>
                <w:color w:val="auto"/>
              </w:rPr>
            </w:pPr>
          </w:p>
        </w:tc>
        <w:tc>
          <w:tcPr>
            <w:tcW w:w="800" w:type="dxa"/>
            <w:vAlign w:val="bottom"/>
            <w:tcBorders>
              <w:top w:val="single" w:sz="8" w:color="D6F3E8"/>
            </w:tcBorders>
            <w:shd w:val="clear" w:color="auto" w:fill="D6F3E8"/>
          </w:tcPr>
          <w:p>
            <w:pPr>
              <w:spacing w:after="0" w:line="20" w:lineRule="exact"/>
              <w:rPr>
                <w:sz w:val="1"/>
                <w:szCs w:val="1"/>
                <w:color w:val="auto"/>
              </w:rPr>
            </w:pPr>
          </w:p>
        </w:tc>
        <w:tc>
          <w:tcPr>
            <w:tcW w:w="320" w:type="dxa"/>
            <w:vAlign w:val="bottom"/>
            <w:tcBorders>
              <w:top w:val="single" w:sz="8" w:color="D6F3E8"/>
            </w:tcBorders>
            <w:shd w:val="clear" w:color="auto" w:fill="D6F3E8"/>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D6F3E8"/>
            </w:tcBorders>
            <w:shd w:val="clear" w:color="auto" w:fill="D6F3E8"/>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D6F3E8"/>
            </w:tcBorders>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continue"/>
          </w:tcPr>
          <w:p>
            <w:pPr>
              <w:spacing w:after="0"/>
              <w:rPr>
                <w:sz w:val="17"/>
                <w:szCs w:val="17"/>
                <w:color w:val="auto"/>
              </w:rPr>
            </w:pPr>
          </w:p>
        </w:tc>
        <w:tc>
          <w:tcPr>
            <w:tcW w:w="3420" w:type="dxa"/>
            <w:vAlign w:val="bottom"/>
          </w:tcPr>
          <w:p>
            <w:pPr>
              <w:spacing w:after="0" w:line="196" w:lineRule="exact"/>
              <w:rPr>
                <w:sz w:val="20"/>
                <w:szCs w:val="20"/>
                <w:color w:val="auto"/>
              </w:rPr>
            </w:pPr>
            <w:r>
              <w:rPr>
                <w:rFonts w:ascii="Arial" w:cs="Arial" w:eastAsia="Arial" w:hAnsi="Arial"/>
                <w:sz w:val="18"/>
                <w:szCs w:val="18"/>
                <w:color w:val="auto"/>
              </w:rPr>
              <w:t>Dealer inventory (units)</w:t>
            </w: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right"/>
              <w:spacing w:after="0" w:line="196" w:lineRule="exact"/>
              <w:rPr>
                <w:sz w:val="20"/>
                <w:szCs w:val="20"/>
                <w:color w:val="auto"/>
              </w:rPr>
            </w:pPr>
            <w:r>
              <w:rPr>
                <w:rFonts w:ascii="Arial" w:cs="Arial" w:eastAsia="Arial" w:hAnsi="Arial"/>
                <w:sz w:val="18"/>
                <w:szCs w:val="18"/>
                <w:color w:val="auto"/>
              </w:rPr>
              <w:t>3,269</w:t>
            </w: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4,364</w:t>
            </w: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(1,095)</w:t>
            </w:r>
          </w:p>
        </w:tc>
        <w:tc>
          <w:tcPr>
            <w:tcW w:w="90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6471285</wp:posOffset>
            </wp:positionH>
            <wp:positionV relativeFrom="paragraph">
              <wp:posOffset>-659765</wp:posOffset>
            </wp:positionV>
            <wp:extent cx="21463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-659765</wp:posOffset>
            </wp:positionV>
            <wp:extent cx="685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-187960</wp:posOffset>
            </wp:positionV>
            <wp:extent cx="2146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-170815</wp:posOffset>
            </wp:positionV>
            <wp:extent cx="2146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-187960</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-170815</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28" w:lineRule="exact"/>
        <w:rPr>
          <w:sz w:val="20"/>
          <w:szCs w:val="20"/>
          <w:color w:val="auto"/>
        </w:rPr>
      </w:pPr>
    </w:p>
    <w:p>
      <w:pPr>
        <w:ind w:left="580" w:right="180" w:hanging="572"/>
        <w:spacing w:after="0" w:line="228" w:lineRule="auto"/>
        <w:tabs>
          <w:tab w:leader="none" w:pos="580" w:val="left"/>
        </w:tabs>
        <w:numPr>
          <w:ilvl w:val="0"/>
          <w:numId w:val="6"/>
        </w:numPr>
        <w:rPr>
          <w:rFonts w:ascii="Arial" w:cs="Arial" w:eastAsia="Arial" w:hAnsi="Arial"/>
          <w:sz w:val="25"/>
          <w:szCs w:val="25"/>
          <w:color w:val="auto"/>
          <w:vertAlign w:val="superscript"/>
        </w:rPr>
      </w:pPr>
      <w:r>
        <w:rPr>
          <w:rFonts w:ascii="Arial" w:cs="Arial" w:eastAsia="Arial" w:hAnsi="Arial"/>
          <w:sz w:val="15"/>
          <w:szCs w:val="15"/>
          <w:color w:val="auto"/>
        </w:rPr>
        <w:t>We include in our backlog all accepted purchase orders from dealers to be shipped within the next six months. Orders in backlog can be canceled or postponed at the option of the purchaser at any time without penalty and, therefore, backlog may not necessarily be an accurate measure of future sales.</w:t>
      </w:r>
    </w:p>
    <w:p>
      <w:pPr>
        <w:sectPr>
          <w:pgSz w:w="11900" w:h="16838" w:orient="portrait"/>
          <w:cols w:equalWidth="0" w:num="1">
            <w:col w:w="11420"/>
          </w:cols>
          <w:pgMar w:left="240" w:top="131" w:right="239" w:bottom="1440" w:gutter="0" w:footer="0" w:header="0"/>
        </w:sect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3" w:name="page14"/>
    <w:bookmarkEnd w:id="13"/>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When retail credit availability and consumer confidence improve, we expect to see a rebound in sales from dealers ordering units for stock and expect to benefit from our ability to ramp up production. A longer-term positive outlook for the recreation vehicle industry is supported by favorable demographics as baby boomers reach the age where they historically have accounted for the bulk of retail RV sales. Also, a University of Michigan study indicates that, the older and younger segments of the population have shown more interest in the motor home lifestyle.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31" w:lineRule="exact"/>
        <w:rPr>
          <w:sz w:val="20"/>
          <w:szCs w:val="20"/>
          <w:color w:val="auto"/>
        </w:rPr>
      </w:pPr>
    </w:p>
    <w:p>
      <w:pPr>
        <w:ind w:right="100"/>
        <w:spacing w:after="0" w:line="314" w:lineRule="auto"/>
        <w:rPr>
          <w:sz w:val="20"/>
          <w:szCs w:val="20"/>
          <w:color w:val="auto"/>
        </w:rPr>
      </w:pPr>
      <w:r>
        <w:rPr>
          <w:rFonts w:ascii="Arial" w:cs="Arial" w:eastAsia="Arial" w:hAnsi="Arial"/>
          <w:sz w:val="15"/>
          <w:szCs w:val="15"/>
          <w:color w:val="auto"/>
        </w:rPr>
        <w:t>Our consolidated financial statements are prepared in accordance with generally accepted accounting principles (GAAP). In connection with the preparation of our financial statements, we are required to make assumptions and estimates about future events and apply judgments that affect the reported amounts of assets, liabilities, revenue, expenses and the related disclosures. We base our assumptions, estimates and judgments on historical experience, current trends and other factors that we believe to be relevant at the time our consolidated financial statements are prepared. On a regular basis, we review the accounting policies, assumptions, estimates and judgments to ensure that our financial statements are presented fairly and in accordance with GAAP. However, because future events and their effects cannot be determined with certainty, actual results could differ from our assumptions and estimates and such differences could be material.</w:t>
      </w:r>
    </w:p>
    <w:p>
      <w:pPr>
        <w:spacing w:after="0" w:line="159"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believe that the following accounting estimates and policies are the most critical to aid in fully understanding and evaluating our reported financial results and they require our most difficult, subjective or complex judgments resulting from the need to make estimates about the effect of matters that are inherently uncertain. We have reviewed these critical accounting estimates and related disclosures with the Audit Committee of our Board.</w:t>
      </w:r>
    </w:p>
    <w:p>
      <w:pPr>
        <w:spacing w:after="0" w:line="155" w:lineRule="exact"/>
        <w:rPr>
          <w:sz w:val="20"/>
          <w:szCs w:val="20"/>
          <w:color w:val="auto"/>
        </w:rPr>
      </w:pPr>
    </w:p>
    <w:p>
      <w:pPr>
        <w:jc w:val="both"/>
        <w:ind w:right="60"/>
        <w:spacing w:after="0" w:line="310"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Generally, revenues for motor homes are recorded when all of the following conditions are met: an order for a product has been received</w:t>
      </w:r>
      <w:r>
        <w:rPr>
          <w:rFonts w:ascii="Arial" w:cs="Arial" w:eastAsia="Arial" w:hAnsi="Arial"/>
          <w:sz w:val="16"/>
          <w:szCs w:val="16"/>
          <w:b w:val="1"/>
          <w:bCs w:val="1"/>
          <w:color w:val="auto"/>
        </w:rPr>
        <w:t xml:space="preserve"> </w:t>
      </w:r>
      <w:r>
        <w:rPr>
          <w:rFonts w:ascii="Arial" w:cs="Arial" w:eastAsia="Arial" w:hAnsi="Arial"/>
          <w:sz w:val="16"/>
          <w:szCs w:val="16"/>
          <w:color w:val="auto"/>
        </w:rPr>
        <w:t>from a dealer, written or verbal approval for payment has been received from the dealer’s floorplan financing institution and the product is delivered to the dealer who placed the order. Most sales are financed under floorplan financing arrangements with banks or finance companies.</w:t>
      </w:r>
    </w:p>
    <w:p>
      <w:pPr>
        <w:spacing w:after="0" w:line="15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Revenues from the sales of our OEM and motor home-related parts are recorded as the products are shipped from our location. The title of ownership transfers on these products as they leave our location due to the freight terms of F.O.B. - Forest City, Iowa.</w:t>
      </w:r>
    </w:p>
    <w:p>
      <w:pPr>
        <w:spacing w:after="0" w:line="180" w:lineRule="exact"/>
        <w:rPr>
          <w:sz w:val="20"/>
          <w:szCs w:val="20"/>
          <w:color w:val="auto"/>
        </w:rPr>
      </w:pPr>
    </w:p>
    <w:p>
      <w:pPr>
        <w:ind w:right="160"/>
        <w:spacing w:after="0" w:line="326" w:lineRule="auto"/>
        <w:rPr>
          <w:sz w:val="20"/>
          <w:szCs w:val="20"/>
          <w:color w:val="auto"/>
        </w:rPr>
      </w:pPr>
      <w:r>
        <w:rPr>
          <w:rFonts w:ascii="Arial" w:cs="Arial" w:eastAsia="Arial" w:hAnsi="Arial"/>
          <w:sz w:val="15"/>
          <w:szCs w:val="15"/>
          <w:b w:val="1"/>
          <w:bCs w:val="1"/>
          <w:color w:val="auto"/>
        </w:rPr>
        <w:t xml:space="preserve">Postretirement Benefits Obligations and Costs. </w:t>
      </w:r>
      <w:r>
        <w:rPr>
          <w:rFonts w:ascii="Arial" w:cs="Arial" w:eastAsia="Arial" w:hAnsi="Arial"/>
          <w:sz w:val="15"/>
          <w:szCs w:val="15"/>
          <w:color w:val="auto"/>
        </w:rPr>
        <w:t>We provide certain health care and other benefits for retired employees hired before April 1, 2001, who have</w:t>
      </w:r>
      <w:r>
        <w:rPr>
          <w:rFonts w:ascii="Arial" w:cs="Arial" w:eastAsia="Arial" w:hAnsi="Arial"/>
          <w:sz w:val="15"/>
          <w:szCs w:val="15"/>
          <w:b w:val="1"/>
          <w:bCs w:val="1"/>
          <w:color w:val="auto"/>
        </w:rPr>
        <w:t xml:space="preserve"> </w:t>
      </w:r>
      <w:r>
        <w:rPr>
          <w:rFonts w:ascii="Arial" w:cs="Arial" w:eastAsia="Arial" w:hAnsi="Arial"/>
          <w:sz w:val="15"/>
          <w:szCs w:val="15"/>
          <w:color w:val="auto"/>
        </w:rPr>
        <w:t>fulfilled eligibility requirements at age 55 with 15 years of continuous service. Postretirement benefit liabilities are determined by actuaries using assumptions about the discount rate and health care cost-trend rates. Thus, a significant increase or decrease in interest rates could have a significant impact on our operating results. Further discussion of our postretirement benefit plan and related assumptions is included in Note 8 to the Consolidated Financial Statements.</w:t>
      </w:r>
    </w:p>
    <w:p>
      <w:pPr>
        <w:spacing w:after="0" w:line="143"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color w:val="auto"/>
        </w:rPr>
        <w:t>Repurchase Commitments</w:t>
      </w:r>
      <w:r>
        <w:rPr>
          <w:rFonts w:ascii="Arial" w:cs="Arial" w:eastAsia="Arial" w:hAnsi="Arial"/>
          <w:sz w:val="16"/>
          <w:szCs w:val="16"/>
          <w:color w:val="auto"/>
        </w:rPr>
        <w:t>. It is customary practice for companies in the recreation vehicle industry to enter into repurchase agreements with financing</w:t>
      </w:r>
      <w:r>
        <w:rPr>
          <w:rFonts w:ascii="Arial" w:cs="Arial" w:eastAsia="Arial" w:hAnsi="Arial"/>
          <w:sz w:val="16"/>
          <w:szCs w:val="16"/>
          <w:b w:val="1"/>
          <w:bCs w:val="1"/>
          <w:color w:val="auto"/>
        </w:rPr>
        <w:t xml:space="preserve"> </w:t>
      </w:r>
      <w:r>
        <w:rPr>
          <w:rFonts w:ascii="Arial" w:cs="Arial" w:eastAsia="Arial" w:hAnsi="Arial"/>
          <w:sz w:val="16"/>
          <w:szCs w:val="16"/>
          <w:color w:val="auto"/>
        </w:rPr>
        <w:t>institutions to provide financing to their dealers. Our agreements generally provide that, in the event of a default by a dealer in its obligation to these credit sources, we will repurchase vehicles sold to the dealer that have not been resold to retail customers. With our repurchase agreements, our obligation ceases when the amount for which we are contingently liable to the lending institution has been outstanding for more than 12 months. The contingent liability under these agreements approximates the outstanding principal balance owed by the dealer for units subject to the repurchase agreement, less any scheduled principal payments. In certain instances, we also repurchase inventory from our dealers due to state law or regulatory requirements or relationship terminations. Our risk of loss is reduced by the potential resale value of any products that are subject to repurchase and is spread over numerous dealers and financial institutions. Given the tightening of credit standards by lenders, we currently expect that repurchase activity will be higher than has historically been the case and it may be necessary to offer greater discounts in order to relocate such product to alternative dealers during current market conditions. To the extent that dealers are reducing their inventories, which they have been doing in recent months, our overall exposure to repurchase agreements is likewise reduced. Further discussion of our repurchase commitments and related assumptions is included in Note 9 to the Consolidated Financial Statements.</w:t>
      </w:r>
    </w:p>
    <w:p>
      <w:pPr>
        <w:spacing w:after="0" w:line="17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color w:val="auto"/>
        </w:rPr>
        <w:t xml:space="preserve">Warranty. </w:t>
      </w:r>
      <w:r>
        <w:rPr>
          <w:rFonts w:ascii="Arial" w:cs="Arial" w:eastAsia="Arial" w:hAnsi="Arial"/>
          <w:sz w:val="16"/>
          <w:szCs w:val="16"/>
          <w:color w:val="auto"/>
        </w:rPr>
        <w:t>We provide with the purchase of any new motor home, a comprehensive 12-month/15,000-mile warranty on Class A, Class B and Class C motor</w:t>
      </w:r>
      <w:r>
        <w:rPr>
          <w:rFonts w:ascii="Arial" w:cs="Arial" w:eastAsia="Arial" w:hAnsi="Arial"/>
          <w:sz w:val="16"/>
          <w:szCs w:val="16"/>
          <w:b w:val="1"/>
          <w:bCs w:val="1"/>
          <w:color w:val="auto"/>
        </w:rPr>
        <w:t xml:space="preserve"> </w:t>
      </w:r>
      <w:r>
        <w:rPr>
          <w:rFonts w:ascii="Arial" w:cs="Arial" w:eastAsia="Arial" w:hAnsi="Arial"/>
          <w:sz w:val="16"/>
          <w:szCs w:val="16"/>
          <w:color w:val="auto"/>
        </w:rPr>
        <w:t>homes and a 3-year/36,000-mile warranty on Class A and Class C sidewalls and floors. Estimated costs related to product warranty are accrued at the time of sale and are based upon past warranty claims and unit sales history and adjusted as required to reflect actual costs incurred, as information becomes available. A significant increase in dealership labor rates, the cost of parts or the frequency of claims could have a material adverse impact on our operating results for the period or periods in which such claims or additional costs materialize. We also incur costs as a result of additional service actions not covered by our warranties, including product recalls and customer satisfaction actions. Estimated costs are accrued at the time the service action is implemented and are based upon past claim rate experiences and the estimated cost of the repairs. Further discussion of our warranty costs and associated accruals is included in Note 6 to the Consolidated Financial Statements.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0"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Prior to Fiscal 2007, we granted stock options to our key employees and nonemployee directors as part of their compensation. In</w:t>
      </w:r>
      <w:r>
        <w:rPr>
          <w:rFonts w:ascii="Arial" w:cs="Arial" w:eastAsia="Arial" w:hAnsi="Arial"/>
          <w:sz w:val="18"/>
          <w:szCs w:val="18"/>
          <w:b w:val="1"/>
          <w:bCs w:val="1"/>
          <w:color w:val="auto"/>
        </w:rPr>
        <w:t xml:space="preserve"> </w:t>
      </w:r>
      <w:r>
        <w:rPr>
          <w:rFonts w:ascii="Arial" w:cs="Arial" w:eastAsia="Arial" w:hAnsi="Arial"/>
          <w:sz w:val="18"/>
          <w:szCs w:val="18"/>
          <w:color w:val="auto"/>
        </w:rPr>
        <w:t>Fiscal 2007 and 2008, we granted restricted stock awards to key employees and nonemployee directors instead of stock options. However, no stock options or awards were granted in the first quarter of Fiscal 2009.</w:t>
      </w:r>
    </w:p>
    <w:p>
      <w:pPr>
        <w:spacing w:after="0" w:line="192"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The amount of stock-based compensation expense incurred and to be incurred in future periods is dependent upon a number of factors, such as the number of options and shares granted, the timing of stock option exercises, the age of the recipient and actual forfeiture rates.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The value of the restricted stock is based on the closing price of our common stock on the date of grant.</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fair value of each award is amortized on a straight-line basis over the requisite service period or to an employee’s eligible retirement date, if earlier. This amortization method is used because our awards typically vest over three years, beginning one year after date of grant or upon retirement if earlier; thus, options and restricted stock awards are expensed immediately upon grant for retirement-eligible employees. This feature accelerates expense in the period of grant (typically our first fiscal quarter) and creates an uneven pattern of stock-based compensation that results in relatively higher expense in our first fiscal quarter and relatively lower expense in our second through fourth quarters. The impact of this feature is significant since a majority of our awards are made to retirement-eligible employees.</w:t>
      </w:r>
    </w:p>
    <w:p>
      <w:pPr>
        <w:spacing w:after="0" w:line="192"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16"/>
          <w:szCs w:val="16"/>
          <w:color w:val="auto"/>
        </w:rPr>
        <w:t>We have reserves for other loss exposures, such as litigation, taxes, product liability, repurchase commitments, worker’s compensation, employee medical</w:t>
      </w:r>
      <w:r>
        <w:rPr>
          <w:rFonts w:ascii="Arial" w:cs="Arial" w:eastAsia="Arial" w:hAnsi="Arial"/>
          <w:sz w:val="16"/>
          <w:szCs w:val="16"/>
          <w:b w:val="1"/>
          <w:bCs w:val="1"/>
          <w:color w:val="auto"/>
        </w:rPr>
        <w:t xml:space="preserve"> </w:t>
      </w:r>
      <w:r>
        <w:rPr>
          <w:rFonts w:ascii="Arial" w:cs="Arial" w:eastAsia="Arial" w:hAnsi="Arial"/>
          <w:sz w:val="16"/>
          <w:szCs w:val="16"/>
          <w:color w:val="auto"/>
        </w:rPr>
        <w:t>claims, inventory and accounts receivable. We also have loss exposure on loan guarantees. Establishing loss reserves for these matters requires the use of estimates and judgment in regards to risk exposure and ultimate liability. We estimate losses under the programs using consistent and appropriate methods; however, changes in assumptions could materially affect our recorded liabilities for loss.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Current Quarter Compared to the Comparable Quarter Last Year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an analysis of changes in key items included in the consolidated statements of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14"/>
                <w:szCs w:val="14"/>
                <w:color w:val="auto"/>
              </w:rPr>
            </w:pPr>
          </w:p>
        </w:tc>
        <w:tc>
          <w:tcPr>
            <w:tcW w:w="226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Fourteen Weeks Ended</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2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(In thousands, except percent</w:t>
            </w: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7"/>
              </w:rPr>
              <w:t>November 29,</w:t>
            </w: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6"/>
              </w:rPr>
              <w:t>December 1,</w:t>
            </w: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4"/>
              </w:rPr>
              <w:t>% of</w:t>
            </w: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200" w:type="dxa"/>
            <w:vAlign w:val="bottom"/>
          </w:tcPr>
          <w:p>
            <w:pPr>
              <w:ind w:left="140"/>
              <w:spacing w:after="0"/>
              <w:rPr>
                <w:sz w:val="20"/>
                <w:szCs w:val="20"/>
                <w:color w:val="auto"/>
              </w:rPr>
            </w:pPr>
            <w:r>
              <w:rPr>
                <w:rFonts w:ascii="Arial" w:cs="Arial" w:eastAsia="Arial" w:hAnsi="Arial"/>
                <w:sz w:val="14"/>
                <w:szCs w:val="14"/>
                <w:b w:val="1"/>
                <w:bCs w:val="1"/>
                <w:color w:val="auto"/>
              </w:rPr>
              <w:t>and per share data)</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57"/>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14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4"/>
              </w:rPr>
              <w:t>Revenues</w:t>
            </w:r>
          </w:p>
        </w:tc>
        <w:tc>
          <w:tcPr>
            <w:tcW w:w="120" w:type="dxa"/>
            <w:vAlign w:val="bottom"/>
          </w:tcPr>
          <w:p>
            <w:pPr>
              <w:spacing w:after="0"/>
              <w:rPr>
                <w:sz w:val="14"/>
                <w:szCs w:val="14"/>
                <w:color w:val="auto"/>
              </w:rPr>
            </w:pPr>
          </w:p>
        </w:tc>
        <w:tc>
          <w:tcPr>
            <w:tcW w:w="90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2007</w:t>
            </w: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81"/>
              </w:rPr>
              <w:t>Revenues</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Increase</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D6F3E8"/>
          </w:tcPr>
          <w:p>
            <w:pPr>
              <w:spacing w:after="0"/>
              <w:rPr>
                <w:sz w:val="20"/>
                <w:szCs w:val="20"/>
                <w:color w:val="auto"/>
              </w:rPr>
            </w:pPr>
            <w:r>
              <w:rPr>
                <w:rFonts w:ascii="Arial" w:cs="Arial" w:eastAsia="Arial" w:hAnsi="Arial"/>
                <w:sz w:val="18"/>
                <w:szCs w:val="18"/>
                <w:color w:val="auto"/>
              </w:rPr>
              <w:t>Net revenues</w:t>
            </w:r>
          </w:p>
        </w:tc>
        <w:tc>
          <w:tcPr>
            <w:tcW w:w="24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69,398</w:t>
            </w:r>
          </w:p>
        </w:tc>
        <w:tc>
          <w:tcPr>
            <w:tcW w:w="320" w:type="dxa"/>
            <w:vAlign w:val="bottom"/>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60" w:type="dxa"/>
            <w:vAlign w:val="bottom"/>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215,142</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100.0</w:t>
            </w:r>
          </w:p>
        </w:tc>
        <w:tc>
          <w:tcPr>
            <w:tcW w:w="32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(145,744)</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(67.7)</w:t>
            </w:r>
          </w:p>
        </w:tc>
        <w:tc>
          <w:tcPr>
            <w:tcW w:w="10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78,292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112.8</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189,502</w:t>
            </w:r>
          </w:p>
        </w:tc>
        <w:tc>
          <w:tcPr>
            <w:tcW w:w="1020" w:type="dxa"/>
            <w:vAlign w:val="bottom"/>
          </w:tcPr>
          <w:p>
            <w:pPr>
              <w:jc w:val="right"/>
              <w:spacing w:after="0"/>
              <w:rPr>
                <w:sz w:val="20"/>
                <w:szCs w:val="20"/>
                <w:color w:val="auto"/>
              </w:rPr>
            </w:pPr>
            <w:r>
              <w:rPr>
                <w:rFonts w:ascii="Arial" w:cs="Arial" w:eastAsia="Arial" w:hAnsi="Arial"/>
                <w:sz w:val="18"/>
                <w:szCs w:val="18"/>
                <w:color w:val="auto"/>
              </w:rPr>
              <w:t>88.1</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(111,210)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Gross (deficit) profit</w:t>
            </w:r>
          </w:p>
        </w:tc>
        <w:tc>
          <w:tcPr>
            <w:tcW w:w="240" w:type="dxa"/>
            <w:vAlign w:val="bottom"/>
            <w:tcBorders>
              <w:bottom w:val="single" w:sz="8" w:color="D6F3E8"/>
            </w:tcBorders>
            <w:shd w:val="clear" w:color="auto" w:fill="D6F3E8"/>
          </w:tcPr>
          <w:p>
            <w:pPr>
              <w:spacing w:after="0"/>
              <w:rPr>
                <w:sz w:val="18"/>
                <w:szCs w:val="18"/>
                <w:color w:val="auto"/>
              </w:rPr>
            </w:pPr>
          </w:p>
        </w:tc>
        <w:tc>
          <w:tcPr>
            <w:tcW w:w="100" w:type="dxa"/>
            <w:vAlign w:val="bottom"/>
            <w:tcBorders>
              <w:top w:val="single" w:sz="8" w:color="auto"/>
              <w:bottom w:val="single" w:sz="8" w:color="auto"/>
            </w:tcBorders>
            <w:shd w:val="clear" w:color="auto" w:fill="D6F3E8"/>
          </w:tcPr>
          <w:p>
            <w:pPr>
              <w:spacing w:after="0"/>
              <w:rPr>
                <w:sz w:val="18"/>
                <w:szCs w:val="18"/>
                <w:color w:val="auto"/>
              </w:rPr>
            </w:pPr>
          </w:p>
        </w:tc>
        <w:tc>
          <w:tcPr>
            <w:tcW w:w="960" w:type="dxa"/>
            <w:vAlign w:val="bottom"/>
            <w:tcBorders>
              <w:top w:val="single" w:sz="8" w:color="auto"/>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(8,894)</w:t>
            </w:r>
          </w:p>
        </w:tc>
        <w:tc>
          <w:tcPr>
            <w:tcW w:w="320" w:type="dxa"/>
            <w:vAlign w:val="bottom"/>
            <w:tcBorders>
              <w:bottom w:val="single" w:sz="8" w:color="D6F3E8"/>
            </w:tcBorders>
            <w:shd w:val="clear" w:color="auto" w:fill="D6F3E8"/>
          </w:tcPr>
          <w:p>
            <w:pPr>
              <w:spacing w:after="0"/>
              <w:rPr>
                <w:sz w:val="18"/>
                <w:szCs w:val="18"/>
                <w:color w:val="auto"/>
              </w:rPr>
            </w:pP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(12.8)</w:t>
            </w:r>
          </w:p>
        </w:tc>
        <w:tc>
          <w:tcPr>
            <w:tcW w:w="360" w:type="dxa"/>
            <w:vAlign w:val="bottom"/>
            <w:tcBorders>
              <w:bottom w:val="single" w:sz="8" w:color="D6F3E8"/>
            </w:tcBorders>
            <w:shd w:val="clear" w:color="auto" w:fill="D6F3E8"/>
          </w:tcPr>
          <w:p>
            <w:pPr>
              <w:spacing w:after="0"/>
              <w:rPr>
                <w:sz w:val="18"/>
                <w:szCs w:val="18"/>
                <w:color w:val="auto"/>
              </w:rPr>
            </w:pPr>
          </w:p>
        </w:tc>
        <w:tc>
          <w:tcPr>
            <w:tcW w:w="120" w:type="dxa"/>
            <w:vAlign w:val="bottom"/>
            <w:tcBorders>
              <w:top w:val="single" w:sz="8" w:color="auto"/>
              <w:bottom w:val="single" w:sz="8" w:color="auto"/>
            </w:tcBorders>
            <w:shd w:val="clear" w:color="auto" w:fill="D6F3E8"/>
          </w:tcPr>
          <w:p>
            <w:pPr>
              <w:spacing w:after="0"/>
              <w:rPr>
                <w:sz w:val="18"/>
                <w:szCs w:val="18"/>
                <w:color w:val="auto"/>
              </w:rPr>
            </w:pP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25,640</w:t>
            </w:r>
          </w:p>
        </w:tc>
        <w:tc>
          <w:tcPr>
            <w:tcW w:w="340" w:type="dxa"/>
            <w:vAlign w:val="bottom"/>
            <w:tcBorders>
              <w:bottom w:val="single" w:sz="8" w:color="D6F3E8"/>
            </w:tcBorders>
            <w:shd w:val="clear" w:color="auto" w:fill="D6F3E8"/>
          </w:tcPr>
          <w:p>
            <w:pPr>
              <w:spacing w:after="0"/>
              <w:rPr>
                <w:sz w:val="18"/>
                <w:szCs w:val="18"/>
                <w:color w:val="auto"/>
              </w:rPr>
            </w:pP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11.9</w:t>
            </w:r>
          </w:p>
        </w:tc>
        <w:tc>
          <w:tcPr>
            <w:tcW w:w="320" w:type="dxa"/>
            <w:vAlign w:val="bottom"/>
            <w:tcBorders>
              <w:bottom w:val="single" w:sz="8" w:color="auto"/>
            </w:tcBorders>
            <w:shd w:val="clear" w:color="auto" w:fill="D6F3E8"/>
          </w:tcPr>
          <w:p>
            <w:pPr>
              <w:spacing w:after="0"/>
              <w:rPr>
                <w:sz w:val="18"/>
                <w:szCs w:val="18"/>
                <w:color w:val="auto"/>
              </w:rPr>
            </w:pPr>
          </w:p>
        </w:tc>
        <w:tc>
          <w:tcPr>
            <w:tcW w:w="160" w:type="dxa"/>
            <w:vAlign w:val="bottom"/>
            <w:tcBorders>
              <w:top w:val="single" w:sz="8" w:color="auto"/>
              <w:bottom w:val="single" w:sz="8" w:color="auto"/>
            </w:tcBorders>
            <w:shd w:val="clear" w:color="auto" w:fill="D6F3E8"/>
          </w:tcPr>
          <w:p>
            <w:pPr>
              <w:spacing w:after="0"/>
              <w:rPr>
                <w:sz w:val="18"/>
                <w:szCs w:val="18"/>
                <w:color w:val="auto"/>
              </w:rPr>
            </w:pP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(34,534)</w:t>
            </w:r>
          </w:p>
        </w:tc>
        <w:tc>
          <w:tcPr>
            <w:tcW w:w="340" w:type="dxa"/>
            <w:vAlign w:val="bottom"/>
            <w:tcBorders>
              <w:bottom w:val="single" w:sz="8" w:color="D6F3E8"/>
            </w:tcBorders>
            <w:shd w:val="clear" w:color="auto" w:fill="D6F3E8"/>
          </w:tcPr>
          <w:p>
            <w:pPr>
              <w:spacing w:after="0"/>
              <w:rPr>
                <w:sz w:val="18"/>
                <w:szCs w:val="18"/>
                <w:color w:val="auto"/>
              </w:rPr>
            </w:pP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(134.7)</w:t>
            </w:r>
          </w:p>
        </w:tc>
        <w:tc>
          <w:tcPr>
            <w:tcW w:w="100" w:type="dxa"/>
            <w:vAlign w:val="bottom"/>
            <w:tcBorders>
              <w:bottom w:val="single" w:sz="8" w:color="D6F3E8"/>
            </w:tcBorders>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Selling</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3,665</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5,605</w:t>
            </w: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(1,940)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D6F3E8"/>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4,331</w:t>
            </w:r>
          </w:p>
        </w:tc>
        <w:tc>
          <w:tcPr>
            <w:tcW w:w="3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6.2</w:t>
            </w:r>
          </w:p>
        </w:tc>
        <w:tc>
          <w:tcPr>
            <w:tcW w:w="3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6,451</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3.0</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(2,120)</w:t>
            </w:r>
          </w:p>
        </w:tc>
        <w:tc>
          <w:tcPr>
            <w:tcW w:w="11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(32.9)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shd w:val="clear" w:color="auto" w:fill="D6F3E8"/>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D6F3E8"/>
            </w:tcBorders>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7,996</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12,056</w:t>
            </w: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(4,060)</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(33.7)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D6F3E8"/>
          </w:tcPr>
          <w:p>
            <w:pPr>
              <w:spacing w:after="0"/>
              <w:rPr>
                <w:sz w:val="20"/>
                <w:szCs w:val="20"/>
                <w:color w:val="auto"/>
              </w:rPr>
            </w:pPr>
            <w:r>
              <w:rPr>
                <w:rFonts w:ascii="Arial" w:cs="Arial" w:eastAsia="Arial" w:hAnsi="Arial"/>
                <w:sz w:val="18"/>
                <w:szCs w:val="18"/>
                <w:color w:val="auto"/>
              </w:rPr>
              <w:t>Operating (loss) income</w:t>
            </w:r>
          </w:p>
        </w:tc>
        <w:tc>
          <w:tcPr>
            <w:tcW w:w="24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9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(16,890)</w:t>
            </w:r>
          </w:p>
        </w:tc>
        <w:tc>
          <w:tcPr>
            <w:tcW w:w="320" w:type="dxa"/>
            <w:vAlign w:val="bottom"/>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(24.3)</w:t>
            </w:r>
          </w:p>
        </w:tc>
        <w:tc>
          <w:tcPr>
            <w:tcW w:w="360" w:type="dxa"/>
            <w:vAlign w:val="bottom"/>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13,584</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6.3</w:t>
            </w:r>
          </w:p>
        </w:tc>
        <w:tc>
          <w:tcPr>
            <w:tcW w:w="32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(30,474)</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(224.3)</w:t>
            </w:r>
          </w:p>
        </w:tc>
        <w:tc>
          <w:tcPr>
            <w:tcW w:w="10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Financial income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524</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0.7</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1,240</w:t>
            </w:r>
          </w:p>
        </w:tc>
        <w:tc>
          <w:tcPr>
            <w:tcW w:w="1020" w:type="dxa"/>
            <w:vAlign w:val="bottom"/>
          </w:tcPr>
          <w:p>
            <w:pPr>
              <w:jc w:val="right"/>
              <w:spacing w:after="0"/>
              <w:rPr>
                <w:sz w:val="20"/>
                <w:szCs w:val="20"/>
                <w:color w:val="auto"/>
              </w:rPr>
            </w:pPr>
            <w:r>
              <w:rPr>
                <w:rFonts w:ascii="Arial" w:cs="Arial" w:eastAsia="Arial" w:hAnsi="Arial"/>
                <w:sz w:val="18"/>
                <w:szCs w:val="18"/>
                <w:color w:val="auto"/>
              </w:rPr>
              <w:t>0.6</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(716)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(57.7)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D6F3E8"/>
          </w:tcPr>
          <w:p>
            <w:pPr>
              <w:spacing w:after="0"/>
              <w:rPr>
                <w:sz w:val="20"/>
                <w:szCs w:val="20"/>
                <w:color w:val="auto"/>
              </w:rPr>
            </w:pPr>
            <w:r>
              <w:rPr>
                <w:rFonts w:ascii="Arial" w:cs="Arial" w:eastAsia="Arial" w:hAnsi="Arial"/>
                <w:sz w:val="18"/>
                <w:szCs w:val="18"/>
                <w:color w:val="auto"/>
              </w:rPr>
              <w:t>(Loss) income before income taxes</w:t>
            </w:r>
          </w:p>
        </w:tc>
        <w:tc>
          <w:tcPr>
            <w:tcW w:w="24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9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(16,366)</w:t>
            </w:r>
          </w:p>
        </w:tc>
        <w:tc>
          <w:tcPr>
            <w:tcW w:w="320" w:type="dxa"/>
            <w:vAlign w:val="bottom"/>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(23.6)</w:t>
            </w:r>
          </w:p>
        </w:tc>
        <w:tc>
          <w:tcPr>
            <w:tcW w:w="360" w:type="dxa"/>
            <w:vAlign w:val="bottom"/>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14,824</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6.9</w:t>
            </w:r>
          </w:p>
        </w:tc>
        <w:tc>
          <w:tcPr>
            <w:tcW w:w="32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(31,190)</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(210.4)</w:t>
            </w:r>
          </w:p>
        </w:tc>
        <w:tc>
          <w:tcPr>
            <w:tcW w:w="10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(Benefit) provision for taxes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(6,770)</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color w:val="auto"/>
              </w:rPr>
              <w:t>(9.8)</w:t>
            </w: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4,862</w:t>
            </w:r>
          </w:p>
        </w:tc>
        <w:tc>
          <w:tcPr>
            <w:tcW w:w="1020" w:type="dxa"/>
            <w:vAlign w:val="bottom"/>
          </w:tcPr>
          <w:p>
            <w:pPr>
              <w:jc w:val="right"/>
              <w:spacing w:after="0"/>
              <w:rPr>
                <w:sz w:val="20"/>
                <w:szCs w:val="20"/>
                <w:color w:val="auto"/>
              </w:rPr>
            </w:pPr>
            <w:r>
              <w:rPr>
                <w:rFonts w:ascii="Arial" w:cs="Arial" w:eastAsia="Arial" w:hAnsi="Arial"/>
                <w:sz w:val="18"/>
                <w:szCs w:val="18"/>
                <w:color w:val="auto"/>
              </w:rPr>
              <w:t>2.3</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(11,632)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(239.2)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200" w:type="dxa"/>
            <w:vAlign w:val="bottom"/>
            <w:tcBorders>
              <w:bottom w:val="single" w:sz="8" w:color="D6F3E8"/>
            </w:tcBorders>
            <w:shd w:val="clear" w:color="auto" w:fill="D6F3E8"/>
          </w:tcPr>
          <w:p>
            <w:pPr>
              <w:spacing w:after="0"/>
              <w:rPr>
                <w:sz w:val="20"/>
                <w:szCs w:val="20"/>
                <w:color w:val="auto"/>
              </w:rPr>
            </w:pPr>
            <w:r>
              <w:rPr>
                <w:rFonts w:ascii="Arial" w:cs="Arial" w:eastAsia="Arial" w:hAnsi="Arial"/>
                <w:sz w:val="18"/>
                <w:szCs w:val="18"/>
                <w:color w:val="auto"/>
              </w:rPr>
              <w:t>Net (loss) income</w:t>
            </w:r>
          </w:p>
        </w:tc>
        <w:tc>
          <w:tcPr>
            <w:tcW w:w="240" w:type="dxa"/>
            <w:vAlign w:val="bottom"/>
            <w:tcBorders>
              <w:bottom w:val="single" w:sz="8" w:color="D6F3E8"/>
            </w:tcBorders>
            <w:shd w:val="clear" w:color="auto" w:fill="D6F3E8"/>
          </w:tcPr>
          <w:p>
            <w:pPr>
              <w:spacing w:after="0"/>
              <w:rPr>
                <w:sz w:val="21"/>
                <w:szCs w:val="21"/>
                <w:color w:val="auto"/>
              </w:rPr>
            </w:pPr>
          </w:p>
        </w:tc>
        <w:tc>
          <w:tcPr>
            <w:tcW w:w="1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(9,596)</w:t>
            </w:r>
          </w:p>
        </w:tc>
        <w:tc>
          <w:tcPr>
            <w:tcW w:w="320" w:type="dxa"/>
            <w:vAlign w:val="bottom"/>
            <w:tcBorders>
              <w:bottom w:val="single" w:sz="8" w:color="D6F3E8"/>
            </w:tcBorders>
            <w:shd w:val="clear" w:color="auto" w:fill="D6F3E8"/>
          </w:tcPr>
          <w:p>
            <w:pPr>
              <w:spacing w:after="0"/>
              <w:rPr>
                <w:sz w:val="21"/>
                <w:szCs w:val="21"/>
                <w:color w:val="auto"/>
              </w:rPr>
            </w:pPr>
          </w:p>
        </w:tc>
        <w:tc>
          <w:tcPr>
            <w:tcW w:w="104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(13.8)</w:t>
            </w:r>
          </w:p>
        </w:tc>
        <w:tc>
          <w:tcPr>
            <w:tcW w:w="360" w:type="dxa"/>
            <w:vAlign w:val="bottom"/>
            <w:tcBorders>
              <w:bottom w:val="single" w:sz="8" w:color="D6F3E8"/>
            </w:tcBorders>
            <w:shd w:val="clear" w:color="auto" w:fill="D6F3E8"/>
          </w:tcPr>
          <w:p>
            <w:pPr>
              <w:spacing w:after="0"/>
              <w:rPr>
                <w:sz w:val="21"/>
                <w:szCs w:val="21"/>
                <w:color w:val="auto"/>
              </w:rPr>
            </w:pPr>
          </w:p>
        </w:tc>
        <w:tc>
          <w:tcPr>
            <w:tcW w:w="1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9,962</w:t>
            </w:r>
          </w:p>
        </w:tc>
        <w:tc>
          <w:tcPr>
            <w:tcW w:w="340" w:type="dxa"/>
            <w:vAlign w:val="bottom"/>
            <w:tcBorders>
              <w:bottom w:val="single" w:sz="8" w:color="D6F3E8"/>
            </w:tcBorders>
            <w:shd w:val="clear" w:color="auto" w:fill="D6F3E8"/>
          </w:tcPr>
          <w:p>
            <w:pPr>
              <w:spacing w:after="0"/>
              <w:rPr>
                <w:sz w:val="21"/>
                <w:szCs w:val="21"/>
                <w:color w:val="auto"/>
              </w:rPr>
            </w:pP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4.6</w:t>
            </w:r>
          </w:p>
        </w:tc>
        <w:tc>
          <w:tcPr>
            <w:tcW w:w="320" w:type="dxa"/>
            <w:vAlign w:val="bottom"/>
            <w:tcBorders>
              <w:bottom w:val="single" w:sz="8" w:color="D6F3E8"/>
            </w:tcBorders>
            <w:shd w:val="clear" w:color="auto" w:fill="D6F3E8"/>
          </w:tcPr>
          <w:p>
            <w:pPr>
              <w:spacing w:after="0"/>
              <w:rPr>
                <w:sz w:val="21"/>
                <w:szCs w:val="21"/>
                <w:color w:val="auto"/>
              </w:rPr>
            </w:pPr>
          </w:p>
        </w:tc>
        <w:tc>
          <w:tcPr>
            <w:tcW w:w="1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(19,558)</w:t>
            </w:r>
          </w:p>
        </w:tc>
        <w:tc>
          <w:tcPr>
            <w:tcW w:w="340" w:type="dxa"/>
            <w:vAlign w:val="bottom"/>
            <w:tcBorders>
              <w:bottom w:val="single" w:sz="8" w:color="D6F3E8"/>
            </w:tcBorders>
            <w:shd w:val="clear" w:color="auto" w:fill="D6F3E8"/>
          </w:tcPr>
          <w:p>
            <w:pPr>
              <w:spacing w:after="0"/>
              <w:rPr>
                <w:sz w:val="21"/>
                <w:szCs w:val="21"/>
                <w:color w:val="auto"/>
              </w:rPr>
            </w:pPr>
          </w:p>
        </w:tc>
        <w:tc>
          <w:tcPr>
            <w:tcW w:w="1020" w:type="dxa"/>
            <w:vAlign w:val="bottom"/>
            <w:tcBorders>
              <w:top w:val="single" w:sz="8" w:color="auto"/>
              <w:bottom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(196.3)</w:t>
            </w:r>
          </w:p>
        </w:tc>
        <w:tc>
          <w:tcPr>
            <w:tcW w:w="100" w:type="dxa"/>
            <w:vAlign w:val="bottom"/>
            <w:tcBorders>
              <w:bottom w:val="single" w:sz="8" w:color="D6F3E8"/>
            </w:tcBorders>
            <w:shd w:val="clear" w:color="auto" w:fill="D6F3E8"/>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3200" w:type="dxa"/>
            <w:vAlign w:val="bottom"/>
          </w:tcPr>
          <w:p>
            <w:pPr>
              <w:spacing w:after="0" w:line="196" w:lineRule="exact"/>
              <w:rPr>
                <w:sz w:val="20"/>
                <w:szCs w:val="20"/>
                <w:color w:val="auto"/>
              </w:rPr>
            </w:pPr>
            <w:r>
              <w:rPr>
                <w:rFonts w:ascii="Arial" w:cs="Arial" w:eastAsia="Arial" w:hAnsi="Arial"/>
                <w:sz w:val="18"/>
                <w:szCs w:val="18"/>
                <w:color w:val="auto"/>
              </w:rPr>
              <w:t>Diluted (loss) income per share</w:t>
            </w:r>
          </w:p>
        </w:tc>
        <w:tc>
          <w:tcPr>
            <w:tcW w:w="34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(0.33)</w:t>
            </w:r>
          </w:p>
        </w:tc>
        <w:tc>
          <w:tcPr>
            <w:tcW w:w="10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340"/>
              <w:spacing w:after="0" w:line="196" w:lineRule="exact"/>
              <w:rPr>
                <w:sz w:val="20"/>
                <w:szCs w:val="20"/>
                <w:color w:val="auto"/>
              </w:rPr>
            </w:pPr>
            <w:r>
              <w:rPr>
                <w:rFonts w:ascii="Arial" w:cs="Arial" w:eastAsia="Arial" w:hAnsi="Arial"/>
                <w:sz w:val="18"/>
                <w:szCs w:val="18"/>
                <w:color w:val="auto"/>
              </w:rPr>
              <w:t>0.34</w:t>
            </w:r>
          </w:p>
        </w:tc>
        <w:tc>
          <w:tcPr>
            <w:tcW w:w="1020" w:type="dxa"/>
            <w:vAlign w:val="bottom"/>
          </w:tcPr>
          <w:p>
            <w:pPr>
              <w:spacing w:after="0"/>
              <w:rPr>
                <w:sz w:val="17"/>
                <w:szCs w:val="17"/>
                <w:color w:val="auto"/>
              </w:rPr>
            </w:pPr>
          </w:p>
        </w:tc>
        <w:tc>
          <w:tcPr>
            <w:tcW w:w="4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80"/>
              <w:spacing w:after="0" w:line="196" w:lineRule="exact"/>
              <w:rPr>
                <w:sz w:val="20"/>
                <w:szCs w:val="20"/>
                <w:color w:val="auto"/>
              </w:rPr>
            </w:pPr>
            <w:r>
              <w:rPr>
                <w:rFonts w:ascii="Arial" w:cs="Arial" w:eastAsia="Arial" w:hAnsi="Arial"/>
                <w:sz w:val="18"/>
                <w:szCs w:val="18"/>
                <w:color w:val="auto"/>
              </w:rPr>
              <w:t>(0.67)</w:t>
            </w:r>
          </w:p>
        </w:tc>
        <w:tc>
          <w:tcPr>
            <w:tcW w:w="112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(197.1)</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60" w:type="dxa"/>
            <w:vAlign w:val="bottom"/>
            <w:tcBorders>
              <w:top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tcBorders>
          </w:tcPr>
          <w:p>
            <w:pPr>
              <w:spacing w:after="0" w:line="20" w:lineRule="exact"/>
              <w:rPr>
                <w:sz w:val="1"/>
                <w:szCs w:val="1"/>
                <w:color w:val="auto"/>
              </w:rPr>
            </w:pPr>
          </w:p>
        </w:tc>
        <w:tc>
          <w:tcPr>
            <w:tcW w:w="8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200" w:type="dxa"/>
            <w:vAlign w:val="bottom"/>
            <w:tcBorders>
              <w:bottom w:val="single" w:sz="8" w:color="D6F3E8"/>
            </w:tcBorders>
            <w:shd w:val="clear" w:color="auto" w:fill="D6F3E8"/>
          </w:tcPr>
          <w:p>
            <w:pPr>
              <w:spacing w:after="0" w:line="196" w:lineRule="exact"/>
              <w:rPr>
                <w:sz w:val="20"/>
                <w:szCs w:val="20"/>
                <w:color w:val="auto"/>
              </w:rPr>
            </w:pPr>
            <w:r>
              <w:rPr>
                <w:rFonts w:ascii="Arial" w:cs="Arial" w:eastAsia="Arial" w:hAnsi="Arial"/>
                <w:sz w:val="18"/>
                <w:szCs w:val="18"/>
                <w:color w:val="auto"/>
                <w:w w:val="98"/>
              </w:rPr>
              <w:t>Fully diluted average shares outstanding</w:t>
            </w:r>
          </w:p>
        </w:tc>
        <w:tc>
          <w:tcPr>
            <w:tcW w:w="240" w:type="dxa"/>
            <w:vAlign w:val="bottom"/>
            <w:tcBorders>
              <w:bottom w:val="single" w:sz="8" w:color="D6F3E8"/>
            </w:tcBorders>
            <w:shd w:val="clear" w:color="auto" w:fill="D6F3E8"/>
          </w:tcPr>
          <w:p>
            <w:pPr>
              <w:spacing w:after="0"/>
              <w:rPr>
                <w:sz w:val="20"/>
                <w:szCs w:val="20"/>
                <w:color w:val="auto"/>
              </w:rPr>
            </w:pPr>
          </w:p>
        </w:tc>
        <w:tc>
          <w:tcPr>
            <w:tcW w:w="100" w:type="dxa"/>
            <w:vAlign w:val="bottom"/>
            <w:tcBorders>
              <w:top w:val="single" w:sz="8" w:color="auto"/>
              <w:bottom w:val="single" w:sz="8" w:color="auto"/>
            </w:tcBorders>
            <w:shd w:val="clear" w:color="auto" w:fill="D6F3E8"/>
          </w:tcPr>
          <w:p>
            <w:pPr>
              <w:spacing w:after="0"/>
              <w:rPr>
                <w:sz w:val="20"/>
                <w:szCs w:val="20"/>
                <w:color w:val="auto"/>
              </w:rPr>
            </w:pPr>
          </w:p>
        </w:tc>
        <w:tc>
          <w:tcPr>
            <w:tcW w:w="960" w:type="dxa"/>
            <w:vAlign w:val="bottom"/>
            <w:tcBorders>
              <w:top w:val="single" w:sz="8" w:color="auto"/>
              <w:bottom w:val="single" w:sz="8" w:color="auto"/>
              <w:right w:val="single" w:sz="8" w:color="D6F3E8"/>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29,039</w:t>
            </w:r>
          </w:p>
        </w:tc>
        <w:tc>
          <w:tcPr>
            <w:tcW w:w="320" w:type="dxa"/>
            <w:vAlign w:val="bottom"/>
            <w:tcBorders>
              <w:bottom w:val="single" w:sz="8" w:color="D6F3E8"/>
            </w:tcBorders>
            <w:shd w:val="clear" w:color="auto" w:fill="D6F3E8"/>
          </w:tcPr>
          <w:p>
            <w:pPr>
              <w:spacing w:after="0"/>
              <w:rPr>
                <w:sz w:val="20"/>
                <w:szCs w:val="20"/>
                <w:color w:val="auto"/>
              </w:rPr>
            </w:pPr>
          </w:p>
        </w:tc>
        <w:tc>
          <w:tcPr>
            <w:tcW w:w="1040" w:type="dxa"/>
            <w:vAlign w:val="bottom"/>
            <w:tcBorders>
              <w:bottom w:val="single" w:sz="8" w:color="D6F3E8"/>
            </w:tcBorders>
            <w:shd w:val="clear" w:color="auto" w:fill="D6F3E8"/>
          </w:tcPr>
          <w:p>
            <w:pPr>
              <w:spacing w:after="0"/>
              <w:rPr>
                <w:sz w:val="20"/>
                <w:szCs w:val="20"/>
                <w:color w:val="auto"/>
              </w:rPr>
            </w:pPr>
          </w:p>
        </w:tc>
        <w:tc>
          <w:tcPr>
            <w:tcW w:w="360" w:type="dxa"/>
            <w:vAlign w:val="bottom"/>
            <w:tcBorders>
              <w:bottom w:val="single" w:sz="8" w:color="D6F3E8"/>
            </w:tcBorders>
            <w:shd w:val="clear" w:color="auto" w:fill="D6F3E8"/>
          </w:tcPr>
          <w:p>
            <w:pPr>
              <w:spacing w:after="0"/>
              <w:rPr>
                <w:sz w:val="20"/>
                <w:szCs w:val="20"/>
                <w:color w:val="auto"/>
              </w:rPr>
            </w:pPr>
          </w:p>
        </w:tc>
        <w:tc>
          <w:tcPr>
            <w:tcW w:w="120" w:type="dxa"/>
            <w:vAlign w:val="bottom"/>
            <w:tcBorders>
              <w:top w:val="single" w:sz="8" w:color="auto"/>
              <w:bottom w:val="single" w:sz="8" w:color="auto"/>
            </w:tcBorders>
            <w:shd w:val="clear" w:color="auto" w:fill="D6F3E8"/>
          </w:tcPr>
          <w:p>
            <w:pPr>
              <w:spacing w:after="0"/>
              <w:rPr>
                <w:sz w:val="20"/>
                <w:szCs w:val="20"/>
                <w:color w:val="auto"/>
              </w:rPr>
            </w:pPr>
          </w:p>
        </w:tc>
        <w:tc>
          <w:tcPr>
            <w:tcW w:w="90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29,440</w:t>
            </w:r>
          </w:p>
        </w:tc>
        <w:tc>
          <w:tcPr>
            <w:tcW w:w="340" w:type="dxa"/>
            <w:vAlign w:val="bottom"/>
            <w:tcBorders>
              <w:bottom w:val="single" w:sz="8" w:color="D6F3E8"/>
            </w:tcBorders>
            <w:shd w:val="clear" w:color="auto" w:fill="D6F3E8"/>
          </w:tcPr>
          <w:p>
            <w:pPr>
              <w:spacing w:after="0"/>
              <w:rPr>
                <w:sz w:val="20"/>
                <w:szCs w:val="20"/>
                <w:color w:val="auto"/>
              </w:rPr>
            </w:pPr>
          </w:p>
        </w:tc>
        <w:tc>
          <w:tcPr>
            <w:tcW w:w="1020" w:type="dxa"/>
            <w:vAlign w:val="bottom"/>
            <w:tcBorders>
              <w:bottom w:val="single" w:sz="8" w:color="D6F3E8"/>
            </w:tcBorders>
            <w:shd w:val="clear" w:color="auto" w:fill="D6F3E8"/>
          </w:tcPr>
          <w:p>
            <w:pPr>
              <w:spacing w:after="0"/>
              <w:rPr>
                <w:sz w:val="20"/>
                <w:szCs w:val="20"/>
                <w:color w:val="auto"/>
              </w:rPr>
            </w:pPr>
          </w:p>
        </w:tc>
        <w:tc>
          <w:tcPr>
            <w:tcW w:w="320" w:type="dxa"/>
            <w:vAlign w:val="bottom"/>
            <w:tcBorders>
              <w:bottom w:val="single" w:sz="8" w:color="D6F3E8"/>
            </w:tcBorders>
            <w:shd w:val="clear" w:color="auto" w:fill="D6F3E8"/>
          </w:tcPr>
          <w:p>
            <w:pPr>
              <w:spacing w:after="0"/>
              <w:rPr>
                <w:sz w:val="20"/>
                <w:szCs w:val="20"/>
                <w:color w:val="auto"/>
              </w:rPr>
            </w:pPr>
          </w:p>
        </w:tc>
        <w:tc>
          <w:tcPr>
            <w:tcW w:w="160" w:type="dxa"/>
            <w:vAlign w:val="bottom"/>
            <w:tcBorders>
              <w:top w:val="single" w:sz="8" w:color="auto"/>
              <w:bottom w:val="single" w:sz="8" w:color="auto"/>
            </w:tcBorders>
            <w:shd w:val="clear" w:color="auto" w:fill="D6F3E8"/>
          </w:tcPr>
          <w:p>
            <w:pPr>
              <w:spacing w:after="0"/>
              <w:rPr>
                <w:sz w:val="20"/>
                <w:szCs w:val="20"/>
                <w:color w:val="auto"/>
              </w:rPr>
            </w:pPr>
          </w:p>
        </w:tc>
        <w:tc>
          <w:tcPr>
            <w:tcW w:w="86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(401)</w:t>
            </w:r>
          </w:p>
        </w:tc>
        <w:tc>
          <w:tcPr>
            <w:tcW w:w="340" w:type="dxa"/>
            <w:vAlign w:val="bottom"/>
            <w:tcBorders>
              <w:bottom w:val="single" w:sz="8" w:color="D6F3E8"/>
            </w:tcBorders>
            <w:shd w:val="clear" w:color="auto" w:fill="D6F3E8"/>
          </w:tcPr>
          <w:p>
            <w:pPr>
              <w:spacing w:after="0"/>
              <w:rPr>
                <w:sz w:val="20"/>
                <w:szCs w:val="20"/>
                <w:color w:val="auto"/>
              </w:rPr>
            </w:pPr>
          </w:p>
        </w:tc>
        <w:tc>
          <w:tcPr>
            <w:tcW w:w="1020" w:type="dxa"/>
            <w:vAlign w:val="bottom"/>
            <w:tcBorders>
              <w:top w:val="single" w:sz="8" w:color="auto"/>
              <w:bottom w:val="single" w:sz="8" w:color="auto"/>
            </w:tcBorders>
            <w:shd w:val="clear" w:color="auto" w:fill="D6F3E8"/>
          </w:tcPr>
          <w:p>
            <w:pPr>
              <w:jc w:val="right"/>
              <w:spacing w:after="0" w:line="196" w:lineRule="exact"/>
              <w:rPr>
                <w:sz w:val="20"/>
                <w:szCs w:val="20"/>
                <w:color w:val="auto"/>
              </w:rPr>
            </w:pPr>
            <w:r>
              <w:rPr>
                <w:rFonts w:ascii="Arial" w:cs="Arial" w:eastAsia="Arial" w:hAnsi="Arial"/>
                <w:sz w:val="18"/>
                <w:szCs w:val="18"/>
                <w:color w:val="auto"/>
              </w:rPr>
              <w:t>(1.4)</w:t>
            </w:r>
          </w:p>
        </w:tc>
        <w:tc>
          <w:tcPr>
            <w:tcW w:w="100" w:type="dxa"/>
            <w:vAlign w:val="bottom"/>
            <w:tcBorders>
              <w:bottom w:val="single" w:sz="8" w:color="D6F3E8"/>
            </w:tcBorders>
            <w:shd w:val="clear" w:color="auto" w:fill="D6F3E8"/>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1"/>
        </w:trPr>
        <w:tc>
          <w:tcPr>
            <w:tcW w:w="3220" w:type="dxa"/>
            <w:vAlign w:val="bottom"/>
            <w:gridSpan w:val="2"/>
          </w:tcPr>
          <w:p>
            <w:pPr>
              <w:spacing w:after="0"/>
              <w:rPr>
                <w:sz w:val="20"/>
                <w:szCs w:val="20"/>
                <w:color w:val="auto"/>
              </w:rPr>
            </w:pPr>
            <w:r>
              <w:rPr>
                <w:rFonts w:ascii="Arial" w:cs="Arial" w:eastAsia="Arial" w:hAnsi="Arial"/>
                <w:sz w:val="18"/>
                <w:szCs w:val="18"/>
                <w:color w:val="auto"/>
                <w:w w:val="98"/>
              </w:rPr>
              <w:t>Unit deliveries consisted of the following:</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80" w:type="dxa"/>
            <w:vAlign w:val="bottom"/>
            <w:gridSpan w:val="4"/>
          </w:tcPr>
          <w:p>
            <w:pPr>
              <w:jc w:val="right"/>
              <w:ind w:right="920"/>
              <w:spacing w:after="0"/>
              <w:rPr>
                <w:sz w:val="20"/>
                <w:szCs w:val="20"/>
                <w:color w:val="auto"/>
              </w:rPr>
            </w:pPr>
            <w:r>
              <w:rPr>
                <w:rFonts w:ascii="Arial" w:cs="Arial" w:eastAsia="Arial" w:hAnsi="Arial"/>
                <w:sz w:val="14"/>
                <w:szCs w:val="14"/>
                <w:b w:val="1"/>
                <w:bCs w:val="1"/>
                <w:color w:val="auto"/>
              </w:rPr>
              <w:t>Thirteen Weeks Ended</w:t>
            </w:r>
          </w:p>
        </w:tc>
        <w:tc>
          <w:tcPr>
            <w:tcW w:w="120" w:type="dxa"/>
            <w:vAlign w:val="bottom"/>
          </w:tcPr>
          <w:p>
            <w:pPr>
              <w:spacing w:after="0"/>
              <w:rPr>
                <w:sz w:val="24"/>
                <w:szCs w:val="24"/>
                <w:color w:val="auto"/>
              </w:rPr>
            </w:pPr>
          </w:p>
        </w:tc>
        <w:tc>
          <w:tcPr>
            <w:tcW w:w="2260" w:type="dxa"/>
            <w:vAlign w:val="bottom"/>
            <w:gridSpan w:val="3"/>
          </w:tcPr>
          <w:p>
            <w:pPr>
              <w:jc w:val="right"/>
              <w:ind w:right="436"/>
              <w:spacing w:after="0"/>
              <w:rPr>
                <w:sz w:val="20"/>
                <w:szCs w:val="20"/>
                <w:color w:val="auto"/>
              </w:rPr>
            </w:pPr>
            <w:r>
              <w:rPr>
                <w:rFonts w:ascii="Arial" w:cs="Arial" w:eastAsia="Arial" w:hAnsi="Arial"/>
                <w:sz w:val="14"/>
                <w:szCs w:val="14"/>
                <w:b w:val="1"/>
                <w:bCs w:val="1"/>
                <w:color w:val="auto"/>
              </w:rPr>
              <w:t>Fourteen Weeks Ended</w:t>
            </w: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gridSpan w:val="2"/>
          </w:tcPr>
          <w:p>
            <w:pPr>
              <w:jc w:val="center"/>
              <w:ind w:right="440"/>
              <w:spacing w:after="0" w:line="129" w:lineRule="exact"/>
              <w:rPr>
                <w:sz w:val="20"/>
                <w:szCs w:val="20"/>
                <w:color w:val="auto"/>
              </w:rPr>
            </w:pPr>
            <w:r>
              <w:rPr>
                <w:rFonts w:ascii="Arial" w:cs="Arial" w:eastAsia="Arial" w:hAnsi="Arial"/>
                <w:sz w:val="14"/>
                <w:szCs w:val="14"/>
                <w:b w:val="1"/>
                <w:bCs w:val="1"/>
                <w:color w:val="auto"/>
                <w:w w:val="87"/>
              </w:rPr>
              <w:t>November 29,</w:t>
            </w:r>
          </w:p>
        </w:tc>
        <w:tc>
          <w:tcPr>
            <w:tcW w:w="10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Product Mix</w:t>
            </w:r>
          </w:p>
        </w:tc>
        <w:tc>
          <w:tcPr>
            <w:tcW w:w="36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6"/>
              </w:rPr>
              <w:t>December 1,</w:t>
            </w: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9"/>
              </w:rPr>
              <w:t>Product Mix</w:t>
            </w:r>
          </w:p>
        </w:tc>
        <w:tc>
          <w:tcPr>
            <w:tcW w:w="3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gridSpan w:val="2"/>
          </w:tcPr>
          <w:p>
            <w:pPr>
              <w:jc w:val="center"/>
              <w:ind w:right="480"/>
              <w:spacing w:after="0" w:line="129" w:lineRule="exact"/>
              <w:rPr>
                <w:sz w:val="20"/>
                <w:szCs w:val="20"/>
                <w:color w:val="auto"/>
              </w:rPr>
            </w:pPr>
            <w:r>
              <w:rPr>
                <w:rFonts w:ascii="Arial" w:cs="Arial" w:eastAsia="Arial" w:hAnsi="Arial"/>
                <w:sz w:val="14"/>
                <w:szCs w:val="14"/>
                <w:b w:val="1"/>
                <w:bCs w:val="1"/>
                <w:color w:val="auto"/>
                <w:w w:val="83"/>
              </w:rPr>
              <w:t>(Decrease)</w:t>
            </w:r>
          </w:p>
        </w:tc>
        <w:tc>
          <w:tcPr>
            <w:tcW w:w="102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3220" w:type="dxa"/>
            <w:vAlign w:val="bottom"/>
            <w:gridSpan w:val="2"/>
          </w:tcPr>
          <w:p>
            <w:pPr>
              <w:spacing w:after="0"/>
              <w:rPr>
                <w:sz w:val="20"/>
                <w:szCs w:val="20"/>
                <w:color w:val="auto"/>
              </w:rPr>
            </w:pPr>
            <w:r>
              <w:rPr>
                <w:rFonts w:ascii="Arial" w:cs="Arial" w:eastAsia="Arial" w:hAnsi="Arial"/>
                <w:sz w:val="14"/>
                <w:szCs w:val="14"/>
                <w:b w:val="1"/>
                <w:bCs w:val="1"/>
                <w:color w:val="auto"/>
              </w:rPr>
              <w:t>Motor home unit deliveries: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jc w:val="center"/>
              <w:ind w:right="57"/>
              <w:spacing w:after="0"/>
              <w:rPr>
                <w:sz w:val="20"/>
                <w:szCs w:val="20"/>
                <w:color w:val="auto"/>
              </w:rPr>
            </w:pPr>
            <w:r>
              <w:rPr>
                <w:rFonts w:ascii="Arial" w:cs="Arial" w:eastAsia="Arial" w:hAnsi="Arial"/>
                <w:sz w:val="14"/>
                <w:szCs w:val="14"/>
                <w:b w:val="1"/>
                <w:bCs w:val="1"/>
                <w:color w:val="auto"/>
                <w:w w:val="83"/>
              </w:rPr>
              <w:t>2008</w:t>
            </w:r>
          </w:p>
        </w:tc>
        <w:tc>
          <w:tcPr>
            <w:tcW w:w="32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jc w:val="center"/>
              <w:ind w:right="37"/>
              <w:spacing w:after="0"/>
              <w:rPr>
                <w:sz w:val="20"/>
                <w:szCs w:val="20"/>
                <w:color w:val="auto"/>
              </w:rPr>
            </w:pPr>
            <w:r>
              <w:rPr>
                <w:rFonts w:ascii="Arial" w:cs="Arial" w:eastAsia="Arial" w:hAnsi="Arial"/>
                <w:sz w:val="14"/>
                <w:szCs w:val="14"/>
                <w:b w:val="1"/>
                <w:bCs w:val="1"/>
                <w:color w:val="auto"/>
                <w:w w:val="83"/>
              </w:rPr>
              <w:t>2007</w:t>
            </w:r>
          </w:p>
        </w:tc>
        <w:tc>
          <w:tcPr>
            <w:tcW w:w="34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rPr>
              <w:t>%</w:t>
            </w: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4"/>
              </w:rPr>
              <w:t>Increase</w:t>
            </w:r>
          </w:p>
        </w:tc>
        <w:tc>
          <w:tcPr>
            <w:tcW w:w="11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Change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shd w:val="clear" w:color="auto" w:fill="D6F3E8"/>
          </w:tcPr>
          <w:p>
            <w:pPr>
              <w:spacing w:after="0"/>
              <w:rPr>
                <w:sz w:val="20"/>
                <w:szCs w:val="20"/>
                <w:color w:val="auto"/>
              </w:rPr>
            </w:pPr>
            <w:r>
              <w:rPr>
                <w:rFonts w:ascii="Arial" w:cs="Arial" w:eastAsia="Arial" w:hAnsi="Arial"/>
                <w:sz w:val="18"/>
                <w:szCs w:val="18"/>
                <w:color w:val="auto"/>
              </w:rPr>
              <w:t>Class A gas</w:t>
            </w:r>
          </w:p>
        </w:tc>
        <w:tc>
          <w:tcPr>
            <w:tcW w:w="240" w:type="dxa"/>
            <w:vAlign w:val="bottom"/>
            <w:shd w:val="clear" w:color="auto" w:fill="D6F3E8"/>
          </w:tcPr>
          <w:p>
            <w:pPr>
              <w:spacing w:after="0"/>
              <w:rPr>
                <w:sz w:val="18"/>
                <w:szCs w:val="18"/>
                <w:color w:val="auto"/>
              </w:rPr>
            </w:pPr>
          </w:p>
        </w:tc>
        <w:tc>
          <w:tcPr>
            <w:tcW w:w="100" w:type="dxa"/>
            <w:vAlign w:val="bottom"/>
            <w:tcBorders>
              <w:top w:val="single" w:sz="8" w:color="auto"/>
            </w:tcBorders>
            <w:shd w:val="clear" w:color="auto" w:fill="D6F3E8"/>
          </w:tcPr>
          <w:p>
            <w:pPr>
              <w:spacing w:after="0"/>
              <w:rPr>
                <w:sz w:val="18"/>
                <w:szCs w:val="18"/>
                <w:color w:val="auto"/>
              </w:rPr>
            </w:pPr>
          </w:p>
        </w:tc>
        <w:tc>
          <w:tcPr>
            <w:tcW w:w="960" w:type="dxa"/>
            <w:vAlign w:val="bottom"/>
            <w:tcBorders>
              <w:top w:val="single" w:sz="8" w:color="auto"/>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165</w:t>
            </w:r>
          </w:p>
        </w:tc>
        <w:tc>
          <w:tcPr>
            <w:tcW w:w="320" w:type="dxa"/>
            <w:vAlign w:val="bottom"/>
            <w:shd w:val="clear" w:color="auto" w:fill="D6F3E8"/>
          </w:tcPr>
          <w:p>
            <w:pPr>
              <w:spacing w:after="0"/>
              <w:rPr>
                <w:sz w:val="18"/>
                <w:szCs w:val="18"/>
                <w:color w:val="auto"/>
              </w:rPr>
            </w:pPr>
          </w:p>
        </w:tc>
        <w:tc>
          <w:tcPr>
            <w:tcW w:w="10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25.2</w:t>
            </w:r>
          </w:p>
        </w:tc>
        <w:tc>
          <w:tcPr>
            <w:tcW w:w="360" w:type="dxa"/>
            <w:vAlign w:val="bottom"/>
            <w:shd w:val="clear" w:color="auto" w:fill="D6F3E8"/>
          </w:tcPr>
          <w:p>
            <w:pPr>
              <w:spacing w:after="0"/>
              <w:rPr>
                <w:sz w:val="18"/>
                <w:szCs w:val="18"/>
                <w:color w:val="auto"/>
              </w:rPr>
            </w:pPr>
          </w:p>
        </w:tc>
        <w:tc>
          <w:tcPr>
            <w:tcW w:w="120" w:type="dxa"/>
            <w:vAlign w:val="bottom"/>
            <w:tcBorders>
              <w:top w:val="single" w:sz="8" w:color="auto"/>
            </w:tcBorders>
            <w:shd w:val="clear" w:color="auto" w:fill="D6F3E8"/>
          </w:tcPr>
          <w:p>
            <w:pPr>
              <w:spacing w:after="0"/>
              <w:rPr>
                <w:sz w:val="18"/>
                <w:szCs w:val="18"/>
                <w:color w:val="auto"/>
              </w:rPr>
            </w:pPr>
          </w:p>
        </w:tc>
        <w:tc>
          <w:tcPr>
            <w:tcW w:w="9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836</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38.8</w:t>
            </w:r>
          </w:p>
        </w:tc>
        <w:tc>
          <w:tcPr>
            <w:tcW w:w="32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spacing w:after="0"/>
              <w:rPr>
                <w:sz w:val="18"/>
                <w:szCs w:val="18"/>
                <w:color w:val="auto"/>
              </w:rPr>
            </w:pPr>
          </w:p>
        </w:tc>
        <w:tc>
          <w:tcPr>
            <w:tcW w:w="8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(671)</w:t>
            </w:r>
          </w:p>
        </w:tc>
        <w:tc>
          <w:tcPr>
            <w:tcW w:w="340" w:type="dxa"/>
            <w:vAlign w:val="bottom"/>
            <w:shd w:val="clear" w:color="auto" w:fill="D6F3E8"/>
          </w:tcPr>
          <w:p>
            <w:pPr>
              <w:spacing w:after="0"/>
              <w:rPr>
                <w:sz w:val="18"/>
                <w:szCs w:val="18"/>
                <w:color w:val="auto"/>
              </w:rPr>
            </w:pPr>
          </w:p>
        </w:tc>
        <w:tc>
          <w:tcPr>
            <w:tcW w:w="102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(80.3)</w:t>
            </w:r>
          </w:p>
        </w:tc>
        <w:tc>
          <w:tcPr>
            <w:tcW w:w="100" w:type="dxa"/>
            <w:vAlign w:val="bottom"/>
            <w:shd w:val="clear" w:color="auto" w:fill="D6F3E8"/>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Class A diesel</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118</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363</w:t>
            </w:r>
          </w:p>
        </w:tc>
        <w:tc>
          <w:tcPr>
            <w:tcW w:w="1020" w:type="dxa"/>
            <w:vAlign w:val="bottom"/>
          </w:tcPr>
          <w:p>
            <w:pPr>
              <w:jc w:val="right"/>
              <w:spacing w:after="0"/>
              <w:rPr>
                <w:sz w:val="20"/>
                <w:szCs w:val="20"/>
                <w:color w:val="auto"/>
              </w:rPr>
            </w:pPr>
            <w:r>
              <w:rPr>
                <w:rFonts w:ascii="Arial" w:cs="Arial" w:eastAsia="Arial" w:hAnsi="Arial"/>
                <w:sz w:val="18"/>
                <w:szCs w:val="18"/>
                <w:color w:val="auto"/>
              </w:rPr>
              <w:t>16.8</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(245)</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auto"/>
            </w:tcBorders>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00" w:type="dxa"/>
            <w:vAlign w:val="bottom"/>
            <w:shd w:val="clear" w:color="auto" w:fill="D6F3E8"/>
          </w:tcPr>
          <w:p>
            <w:pPr>
              <w:spacing w:after="0"/>
              <w:rPr>
                <w:sz w:val="20"/>
                <w:szCs w:val="20"/>
                <w:color w:val="auto"/>
              </w:rPr>
            </w:pPr>
            <w:r>
              <w:rPr>
                <w:rFonts w:ascii="Arial" w:cs="Arial" w:eastAsia="Arial" w:hAnsi="Arial"/>
                <w:sz w:val="18"/>
                <w:szCs w:val="18"/>
                <w:color w:val="auto"/>
              </w:rPr>
              <w:t>Total Class A</w:t>
            </w: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283</w:t>
            </w:r>
          </w:p>
        </w:tc>
        <w:tc>
          <w:tcPr>
            <w:tcW w:w="3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43.2</w:t>
            </w:r>
          </w:p>
        </w:tc>
        <w:tc>
          <w:tcPr>
            <w:tcW w:w="3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9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1,199</w:t>
            </w:r>
          </w:p>
        </w:tc>
        <w:tc>
          <w:tcPr>
            <w:tcW w:w="340" w:type="dxa"/>
            <w:vAlign w:val="bottom"/>
            <w:shd w:val="clear" w:color="auto" w:fill="D6F3E8"/>
          </w:tcPr>
          <w:p>
            <w:pPr>
              <w:spacing w:after="0"/>
              <w:rPr>
                <w:sz w:val="18"/>
                <w:szCs w:val="18"/>
                <w:color w:val="auto"/>
              </w:rPr>
            </w:pP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55.6</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8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(916)</w:t>
            </w:r>
          </w:p>
        </w:tc>
        <w:tc>
          <w:tcPr>
            <w:tcW w:w="340" w:type="dxa"/>
            <w:vAlign w:val="bottom"/>
            <w:shd w:val="clear" w:color="auto" w:fill="D6F3E8"/>
          </w:tcPr>
          <w:p>
            <w:pPr>
              <w:spacing w:after="0"/>
              <w:rPr>
                <w:sz w:val="18"/>
                <w:szCs w:val="18"/>
                <w:color w:val="auto"/>
              </w:rPr>
            </w:pPr>
          </w:p>
        </w:tc>
        <w:tc>
          <w:tcPr>
            <w:tcW w:w="11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(76.4)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Class B</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shd w:val="clear" w:color="auto" w:fill="D6F3E8"/>
          </w:tcPr>
          <w:p>
            <w:pPr>
              <w:spacing w:after="0"/>
              <w:rPr>
                <w:sz w:val="20"/>
                <w:szCs w:val="20"/>
                <w:color w:val="auto"/>
              </w:rPr>
            </w:pPr>
            <w:r>
              <w:rPr>
                <w:rFonts w:ascii="Arial" w:cs="Arial" w:eastAsia="Arial" w:hAnsi="Arial"/>
                <w:sz w:val="18"/>
                <w:szCs w:val="18"/>
                <w:color w:val="auto"/>
              </w:rPr>
              <w:t>Class C</w:t>
            </w:r>
          </w:p>
        </w:tc>
        <w:tc>
          <w:tcPr>
            <w:tcW w:w="240" w:type="dxa"/>
            <w:vAlign w:val="bottom"/>
            <w:shd w:val="clear" w:color="auto" w:fill="D6F3E8"/>
          </w:tcPr>
          <w:p>
            <w:pPr>
              <w:spacing w:after="0"/>
              <w:rPr>
                <w:sz w:val="18"/>
                <w:szCs w:val="18"/>
                <w:color w:val="auto"/>
              </w:rPr>
            </w:pPr>
          </w:p>
        </w:tc>
        <w:tc>
          <w:tcPr>
            <w:tcW w:w="100" w:type="dxa"/>
            <w:vAlign w:val="bottom"/>
            <w:shd w:val="clear" w:color="auto" w:fill="D6F3E8"/>
          </w:tcPr>
          <w:p>
            <w:pPr>
              <w:spacing w:after="0"/>
              <w:rPr>
                <w:sz w:val="18"/>
                <w:szCs w:val="18"/>
                <w:color w:val="auto"/>
              </w:rPr>
            </w:pPr>
          </w:p>
        </w:tc>
        <w:tc>
          <w:tcPr>
            <w:tcW w:w="960" w:type="dxa"/>
            <w:vAlign w:val="bottom"/>
            <w:tcBorders>
              <w:right w:val="single" w:sz="8" w:color="D6F3E8"/>
            </w:tcBorders>
            <w:shd w:val="clear" w:color="auto" w:fill="D6F3E8"/>
          </w:tcPr>
          <w:p>
            <w:pPr>
              <w:jc w:val="right"/>
              <w:spacing w:after="0"/>
              <w:rPr>
                <w:sz w:val="20"/>
                <w:szCs w:val="20"/>
                <w:color w:val="auto"/>
              </w:rPr>
            </w:pPr>
            <w:r>
              <w:rPr>
                <w:rFonts w:ascii="Arial" w:cs="Arial" w:eastAsia="Arial" w:hAnsi="Arial"/>
                <w:sz w:val="18"/>
                <w:szCs w:val="18"/>
                <w:color w:val="auto"/>
              </w:rPr>
              <w:t>338</w:t>
            </w:r>
          </w:p>
        </w:tc>
        <w:tc>
          <w:tcPr>
            <w:tcW w:w="320" w:type="dxa"/>
            <w:vAlign w:val="bottom"/>
            <w:shd w:val="clear" w:color="auto" w:fill="D6F3E8"/>
          </w:tcPr>
          <w:p>
            <w:pPr>
              <w:spacing w:after="0"/>
              <w:rPr>
                <w:sz w:val="18"/>
                <w:szCs w:val="18"/>
                <w:color w:val="auto"/>
              </w:rPr>
            </w:pPr>
          </w:p>
        </w:tc>
        <w:tc>
          <w:tcPr>
            <w:tcW w:w="1040" w:type="dxa"/>
            <w:vAlign w:val="bottom"/>
            <w:shd w:val="clear" w:color="auto" w:fill="D6F3E8"/>
          </w:tcPr>
          <w:p>
            <w:pPr>
              <w:jc w:val="right"/>
              <w:spacing w:after="0"/>
              <w:rPr>
                <w:sz w:val="20"/>
                <w:szCs w:val="20"/>
                <w:color w:val="auto"/>
              </w:rPr>
            </w:pPr>
            <w:r>
              <w:rPr>
                <w:rFonts w:ascii="Arial" w:cs="Arial" w:eastAsia="Arial" w:hAnsi="Arial"/>
                <w:sz w:val="18"/>
                <w:szCs w:val="18"/>
                <w:color w:val="auto"/>
              </w:rPr>
              <w:t>51.5</w:t>
            </w:r>
          </w:p>
        </w:tc>
        <w:tc>
          <w:tcPr>
            <w:tcW w:w="360" w:type="dxa"/>
            <w:vAlign w:val="bottom"/>
            <w:shd w:val="clear" w:color="auto" w:fill="D6F3E8"/>
          </w:tcPr>
          <w:p>
            <w:pPr>
              <w:spacing w:after="0"/>
              <w:rPr>
                <w:sz w:val="18"/>
                <w:szCs w:val="18"/>
                <w:color w:val="auto"/>
              </w:rPr>
            </w:pPr>
          </w:p>
        </w:tc>
        <w:tc>
          <w:tcPr>
            <w:tcW w:w="120" w:type="dxa"/>
            <w:vAlign w:val="bottom"/>
            <w:shd w:val="clear" w:color="auto" w:fill="D6F3E8"/>
          </w:tcPr>
          <w:p>
            <w:pPr>
              <w:spacing w:after="0"/>
              <w:rPr>
                <w:sz w:val="18"/>
                <w:szCs w:val="18"/>
                <w:color w:val="auto"/>
              </w:rPr>
            </w:pPr>
          </w:p>
        </w:tc>
        <w:tc>
          <w:tcPr>
            <w:tcW w:w="1240" w:type="dxa"/>
            <w:vAlign w:val="bottom"/>
            <w:gridSpan w:val="2"/>
            <w:shd w:val="clear" w:color="auto" w:fill="D6F3E8"/>
          </w:tcPr>
          <w:p>
            <w:pPr>
              <w:jc w:val="right"/>
              <w:ind w:right="340"/>
              <w:spacing w:after="0"/>
              <w:rPr>
                <w:sz w:val="20"/>
                <w:szCs w:val="20"/>
                <w:color w:val="auto"/>
              </w:rPr>
            </w:pPr>
            <w:r>
              <w:rPr>
                <w:rFonts w:ascii="Arial" w:cs="Arial" w:eastAsia="Arial" w:hAnsi="Arial"/>
                <w:sz w:val="18"/>
                <w:szCs w:val="18"/>
                <w:color w:val="auto"/>
              </w:rPr>
              <w:t>956</w:t>
            </w:r>
          </w:p>
        </w:tc>
        <w:tc>
          <w:tcPr>
            <w:tcW w:w="10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44.4</w:t>
            </w:r>
          </w:p>
        </w:tc>
        <w:tc>
          <w:tcPr>
            <w:tcW w:w="32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20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(618)</w:t>
            </w:r>
          </w:p>
        </w:tc>
        <w:tc>
          <w:tcPr>
            <w:tcW w:w="1120" w:type="dxa"/>
            <w:vAlign w:val="bottom"/>
            <w:gridSpan w:val="2"/>
            <w:shd w:val="clear" w:color="auto" w:fill="D6F3E8"/>
          </w:tcPr>
          <w:p>
            <w:pPr>
              <w:jc w:val="right"/>
              <w:ind w:right="40"/>
              <w:spacing w:after="0"/>
              <w:rPr>
                <w:sz w:val="20"/>
                <w:szCs w:val="20"/>
                <w:color w:val="auto"/>
              </w:rPr>
            </w:pPr>
            <w:r>
              <w:rPr>
                <w:rFonts w:ascii="Arial" w:cs="Arial" w:eastAsia="Arial" w:hAnsi="Arial"/>
                <w:sz w:val="18"/>
                <w:szCs w:val="18"/>
                <w:color w:val="auto"/>
              </w:rPr>
              <w:t>(64.6)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shd w:val="clear" w:color="auto" w:fill="D6F3E8"/>
          </w:tcPr>
          <w:p>
            <w:pPr>
              <w:spacing w:after="0" w:line="20" w:lineRule="exact"/>
              <w:rPr>
                <w:sz w:val="1"/>
                <w:szCs w:val="1"/>
                <w:color w:val="auto"/>
              </w:rPr>
            </w:pPr>
          </w:p>
        </w:tc>
        <w:tc>
          <w:tcPr>
            <w:tcW w:w="240" w:type="dxa"/>
            <w:vAlign w:val="bottom"/>
            <w:shd w:val="clear" w:color="auto" w:fill="D6F3E8"/>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tcBorders>
              <w:right w:val="single" w:sz="8" w:color="D6F3E8"/>
            </w:tcBorders>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60" w:type="dxa"/>
            <w:vAlign w:val="bottom"/>
            <w:shd w:val="clear" w:color="auto" w:fill="D6F3E8"/>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Pr>
          <w:p>
            <w:pPr>
              <w:ind w:left="140"/>
              <w:spacing w:after="0"/>
              <w:rPr>
                <w:sz w:val="20"/>
                <w:szCs w:val="20"/>
                <w:color w:val="auto"/>
              </w:rPr>
            </w:pPr>
            <w:r>
              <w:rPr>
                <w:rFonts w:ascii="Arial" w:cs="Arial" w:eastAsia="Arial" w:hAnsi="Arial"/>
                <w:sz w:val="18"/>
                <w:szCs w:val="18"/>
                <w:color w:val="auto"/>
              </w:rPr>
              <w:t>Total deliveries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656</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100.0</w:t>
            </w: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2,155</w:t>
            </w:r>
          </w:p>
        </w:tc>
        <w:tc>
          <w:tcPr>
            <w:tcW w:w="1020" w:type="dxa"/>
            <w:vAlign w:val="bottom"/>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(1,499)</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(69.6)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2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Borders>
              <w:bottom w:val="single" w:sz="8" w:color="808080"/>
            </w:tcBorders>
          </w:tcPr>
          <w:p>
            <w:pPr>
              <w:spacing w:after="0"/>
              <w:rPr>
                <w:sz w:val="21"/>
                <w:szCs w:val="21"/>
                <w:color w:val="auto"/>
              </w:rPr>
            </w:pPr>
          </w:p>
        </w:tc>
        <w:tc>
          <w:tcPr>
            <w:tcW w:w="3200" w:type="dxa"/>
            <w:vAlign w:val="bottom"/>
            <w:tcBorders>
              <w:bottom w:val="single" w:sz="8" w:color="808080"/>
            </w:tcBorders>
          </w:tcPr>
          <w:p>
            <w:pPr>
              <w:spacing w:after="0"/>
              <w:rPr>
                <w:sz w:val="21"/>
                <w:szCs w:val="21"/>
                <w:color w:val="auto"/>
              </w:rPr>
            </w:pPr>
          </w:p>
        </w:tc>
        <w:tc>
          <w:tcPr>
            <w:tcW w:w="24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96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104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90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320" w:type="dxa"/>
            <w:vAlign w:val="bottom"/>
            <w:tcBorders>
              <w:bottom w:val="single" w:sz="8" w:color="808080"/>
            </w:tcBorders>
          </w:tcPr>
          <w:p>
            <w:pPr>
              <w:spacing w:after="0"/>
              <w:rPr>
                <w:sz w:val="21"/>
                <w:szCs w:val="21"/>
                <w:color w:val="auto"/>
              </w:rPr>
            </w:pPr>
          </w:p>
        </w:tc>
        <w:tc>
          <w:tcPr>
            <w:tcW w:w="160" w:type="dxa"/>
            <w:vAlign w:val="bottom"/>
            <w:tcBorders>
              <w:bottom w:val="single" w:sz="8" w:color="808080"/>
            </w:tcBorders>
          </w:tcPr>
          <w:p>
            <w:pPr>
              <w:spacing w:after="0"/>
              <w:rPr>
                <w:sz w:val="21"/>
                <w:szCs w:val="21"/>
                <w:color w:val="auto"/>
              </w:rPr>
            </w:pPr>
          </w:p>
        </w:tc>
        <w:tc>
          <w:tcPr>
            <w:tcW w:w="860" w:type="dxa"/>
            <w:vAlign w:val="bottom"/>
            <w:tcBorders>
              <w:bottom w:val="single" w:sz="8" w:color="808080"/>
            </w:tcBorders>
          </w:tcPr>
          <w:p>
            <w:pPr>
              <w:spacing w:after="0"/>
              <w:rPr>
                <w:sz w:val="21"/>
                <w:szCs w:val="21"/>
                <w:color w:val="auto"/>
              </w:rPr>
            </w:pPr>
          </w:p>
        </w:tc>
        <w:tc>
          <w:tcPr>
            <w:tcW w:w="340" w:type="dxa"/>
            <w:vAlign w:val="bottom"/>
            <w:tcBorders>
              <w:bottom w:val="single" w:sz="8" w:color="808080"/>
            </w:tcBorders>
          </w:tcPr>
          <w:p>
            <w:pPr>
              <w:spacing w:after="0"/>
              <w:rPr>
                <w:sz w:val="21"/>
                <w:szCs w:val="21"/>
                <w:color w:val="auto"/>
              </w:rPr>
            </w:pPr>
          </w:p>
        </w:tc>
        <w:tc>
          <w:tcPr>
            <w:tcW w:w="102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2852420</wp:posOffset>
            </wp:positionH>
            <wp:positionV relativeFrom="paragraph">
              <wp:posOffset>-3517265</wp:posOffset>
            </wp:positionV>
            <wp:extent cx="22288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-3517265</wp:posOffset>
            </wp:positionV>
            <wp:extent cx="22288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-3517265</wp:posOffset>
            </wp:positionV>
            <wp:extent cx="21463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-3517265</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-3234690</wp:posOffset>
            </wp:positionV>
            <wp:extent cx="2146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-3234690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-2376805</wp:posOffset>
            </wp:positionV>
            <wp:extent cx="2228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-2359660</wp:posOffset>
            </wp:positionV>
            <wp:extent cx="2228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-2376805</wp:posOffset>
            </wp:positionV>
            <wp:extent cx="22288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3735705</wp:posOffset>
            </wp:positionH>
            <wp:positionV relativeFrom="paragraph">
              <wp:posOffset>-2359660</wp:posOffset>
            </wp:positionV>
            <wp:extent cx="22288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22885"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-2376805</wp:posOffset>
            </wp:positionV>
            <wp:extent cx="21463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-2359660</wp:posOffset>
            </wp:positionV>
            <wp:extent cx="21463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-2376805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-2359660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-2051050</wp:posOffset>
            </wp:positionV>
            <wp:extent cx="21463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-2033905</wp:posOffset>
            </wp:positionV>
            <wp:extent cx="21463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-2051050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7183120</wp:posOffset>
            </wp:positionH>
            <wp:positionV relativeFrom="paragraph">
              <wp:posOffset>-2033905</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6325235</wp:posOffset>
            </wp:positionH>
            <wp:positionV relativeFrom="paragraph">
              <wp:posOffset>-610235</wp:posOffset>
            </wp:positionV>
            <wp:extent cx="21463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31" w:right="19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Net revenues for the thirteen weeks ended November 29, 2008 decreased $145.7 million, or 67.7 percent when compared to the fourteen weeks ended December 1, 2007, primarily as a result of a 69.6 percent decrease in motor home unit deliveries (70.7 percent decline in revenue dollars). Also, our motor home average selling price during the thirteen weeks ended November 29, 2008 decreased 3.8 percent when compared to the fourteen weeks ended December 1, 2007 due to an unfavorable mix and a higher level of wholesale incentives. The decrease in revenues for motor home parts and services and other manufactured products was 29.5 percent when comparing the thirteen weeks ended November 29, 2008 to the fourteen weeks ended December 1, 2007.</w:t>
      </w:r>
    </w:p>
    <w:p>
      <w:pPr>
        <w:spacing w:after="0" w:line="170"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Gross (deficit) profit for the thirteen weeks ended November 29, 2008 was a deficit of $8.9 million, or (12.8) percent of net revenues, compared to a gross profit of $25.6 million or 11.9 percent of net revenues during the fourteen weeks ended December 1, 2007. The deterioration of margin was primarily due to a significant reduction in production resulting in lower absorption of fixed costs. Also contributing to the reduced margins were additional wholesale and retail promotional programs as well as an increase in the repurchase reserve provision.</w:t>
      </w:r>
    </w:p>
    <w:p>
      <w:pPr>
        <w:spacing w:after="0" w:line="197"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Selling expenses decreased $1.9 million, or 34.6 percent, during the thirteen weeks ended November 29, 2008. However, as a percent of net revenues, selling expenses were 5.3 percent and 2.6 percent during the thirteen weeks ended November 29, 2009 and the fourteen weeks ended December 1, 2007, respectively. The decreases in dollars in selling expenses for the thirteen weeks ended November 29, 2008 were due to reductions in advertising expenses of $840,000 (in part due to the fact that the Louisville Show, RVIA’s National RV Show was held in the first quarter of Fiscal 2008 as compared to the second quarter of Fiscal 2009) and a $730,000 reduction in labor-related expenses as a result of reduced headcount, lower salesmen incentives and lower stock compensation.</w:t>
      </w:r>
    </w:p>
    <w:p>
      <w:pPr>
        <w:spacing w:after="0" w:line="154"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General and administrative expenses decreased $2.1 million, or 32.9 percent, during the thirteen weeks ended November 29, 2008. However, as a percent of net revenues, general and administrative expenses were 6.2 percent and 3.0 percent during the thirteen weeks ended November 29, 2008 and the fourteen weeks ended December 1, 2007, respectively. The decrease in dollars in general and administrative expenses for the thirteen weeks ended November 29, 2008 were due to a reduction of $1.3 million in restricted stock awards as the Company did not grant stock awards in the first quarter of Fiscal 2009 and a reduction of $900,000 in management incentive compensation expense.</w:t>
      </w:r>
    </w:p>
    <w:p>
      <w:pPr>
        <w:spacing w:after="0" w:line="197" w:lineRule="exact"/>
        <w:rPr>
          <w:sz w:val="20"/>
          <w:szCs w:val="20"/>
          <w:color w:val="auto"/>
        </w:rPr>
      </w:pPr>
    </w:p>
    <w:p>
      <w:pPr>
        <w:jc w:val="both"/>
        <w:ind w:right="120"/>
        <w:spacing w:after="0" w:line="306" w:lineRule="auto"/>
        <w:rPr>
          <w:sz w:val="20"/>
          <w:szCs w:val="20"/>
          <w:color w:val="auto"/>
        </w:rPr>
      </w:pPr>
      <w:r>
        <w:rPr>
          <w:rFonts w:ascii="Arial" w:cs="Arial" w:eastAsia="Arial" w:hAnsi="Arial"/>
          <w:sz w:val="16"/>
          <w:szCs w:val="16"/>
          <w:color w:val="auto"/>
        </w:rPr>
        <w:t>Financial income decreased $716,000, or 57.7 percent, during the thirteen weeks ended November 29, 2008. The decrease in financial income was due primarily to a decrease of investment balances of approximately $49 million and a decrease in the yield of .20%. In addition, the realized impairment on ARS of $806,000 was offset by the valuation of the Put Options of $764,000. See Note 4 to the Consolidated Financial Statements.</w:t>
      </w:r>
    </w:p>
    <w:p>
      <w:pPr>
        <w:spacing w:after="0" w:line="16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The overall effective income tax rate for the thirteen weeks ended November 29, 2008 was a benefit of (41.4) percent compared to an expense of 32.8 percent for the fourteen weeks ended December 1, 2007. The following table breaks down the two aforementioned tax rates: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87"/>
              </w:rPr>
              <w:t>Thirteen Weeks Ended</w:t>
            </w:r>
          </w:p>
        </w:tc>
        <w:tc>
          <w:tcPr>
            <w:tcW w:w="300" w:type="dxa"/>
            <w:vAlign w:val="bottom"/>
          </w:tcPr>
          <w:p>
            <w:pPr>
              <w:spacing w:after="0"/>
              <w:rPr>
                <w:sz w:val="14"/>
                <w:szCs w:val="14"/>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Fourteen Weeks Ended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16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080" w:type="dxa"/>
            <w:vAlign w:val="bottom"/>
            <w:tcBorders>
              <w:top w:val="single" w:sz="8" w:color="auto"/>
            </w:tcBorders>
            <w:gridSpan w:val="3"/>
          </w:tcPr>
          <w:p>
            <w:pPr>
              <w:jc w:val="center"/>
              <w:ind w:right="260"/>
              <w:spacing w:after="0" w:line="129" w:lineRule="exact"/>
              <w:rPr>
                <w:sz w:val="20"/>
                <w:szCs w:val="20"/>
                <w:color w:val="auto"/>
              </w:rPr>
            </w:pPr>
            <w:r>
              <w:rPr>
                <w:rFonts w:ascii="Arial" w:cs="Arial" w:eastAsia="Arial" w:hAnsi="Arial"/>
                <w:sz w:val="14"/>
                <w:szCs w:val="14"/>
                <w:b w:val="1"/>
                <w:bCs w:val="1"/>
                <w:color w:val="auto"/>
                <w:w w:val="86"/>
              </w:rPr>
              <w:t>November 29, 2008</w:t>
            </w:r>
          </w:p>
        </w:tc>
        <w:tc>
          <w:tcPr>
            <w:tcW w:w="3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1740" w:type="dxa"/>
            <w:vAlign w:val="bottom"/>
            <w:tcBorders>
              <w:top w:val="single" w:sz="8" w:color="auto"/>
            </w:tcBorders>
            <w:gridSpan w:val="3"/>
          </w:tcPr>
          <w:p>
            <w:pPr>
              <w:jc w:val="center"/>
              <w:spacing w:after="0" w:line="129" w:lineRule="exact"/>
              <w:rPr>
                <w:sz w:val="20"/>
                <w:szCs w:val="20"/>
                <w:color w:val="auto"/>
              </w:rPr>
            </w:pPr>
            <w:r>
              <w:rPr>
                <w:rFonts w:ascii="Arial" w:cs="Arial" w:eastAsia="Arial" w:hAnsi="Arial"/>
                <w:sz w:val="14"/>
                <w:szCs w:val="14"/>
                <w:b w:val="1"/>
                <w:bCs w:val="1"/>
                <w:color w:val="auto"/>
                <w:w w:val="86"/>
              </w:rPr>
              <w:t>December 1, 2007</w:t>
            </w:r>
          </w:p>
        </w:tc>
        <w:tc>
          <w:tcPr>
            <w:tcW w:w="3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1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9"/>
              </w:rPr>
              <w:t>Effective</w:t>
            </w: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85"/>
              </w:rPr>
              <w:t>Effective</w:t>
            </w:r>
          </w:p>
        </w:tc>
        <w:tc>
          <w:tcPr>
            <w:tcW w:w="0" w:type="dxa"/>
            <w:vAlign w:val="bottom"/>
          </w:tcPr>
          <w:p>
            <w:pPr>
              <w:spacing w:after="0"/>
              <w:rPr>
                <w:sz w:val="1"/>
                <w:szCs w:val="1"/>
                <w:color w:val="auto"/>
              </w:rPr>
            </w:pPr>
          </w:p>
        </w:tc>
      </w:tr>
      <w:tr>
        <w:trPr>
          <w:trHeight w:val="161"/>
        </w:trPr>
        <w:tc>
          <w:tcPr>
            <w:tcW w:w="61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80" w:type="dxa"/>
            <w:vAlign w:val="bottom"/>
            <w:tcBorders>
              <w:bottom w:val="single" w:sz="8" w:color="auto"/>
            </w:tcBorders>
          </w:tcPr>
          <w:p>
            <w:pPr>
              <w:jc w:val="center"/>
              <w:ind w:left="272"/>
              <w:spacing w:after="0"/>
              <w:rPr>
                <w:sz w:val="20"/>
                <w:szCs w:val="20"/>
                <w:color w:val="auto"/>
              </w:rPr>
            </w:pPr>
            <w:r>
              <w:rPr>
                <w:rFonts w:ascii="Arial" w:cs="Arial" w:eastAsia="Arial" w:hAnsi="Arial"/>
                <w:sz w:val="14"/>
                <w:szCs w:val="14"/>
                <w:b w:val="1"/>
                <w:bCs w:val="1"/>
                <w:color w:val="auto"/>
                <w:w w:val="85"/>
              </w:rPr>
              <w:t>Rate</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160" w:type="dxa"/>
            <w:vAlign w:val="bottom"/>
            <w:shd w:val="clear" w:color="auto" w:fill="D6F3E8"/>
          </w:tcPr>
          <w:p>
            <w:pPr>
              <w:spacing w:after="0" w:line="250" w:lineRule="exact"/>
              <w:rPr>
                <w:sz w:val="20"/>
                <w:szCs w:val="20"/>
                <w:color w:val="auto"/>
              </w:rPr>
            </w:pPr>
            <w:r>
              <w:rPr>
                <w:rFonts w:ascii="Arial" w:cs="Arial" w:eastAsia="Arial" w:hAnsi="Arial"/>
                <w:sz w:val="17"/>
                <w:szCs w:val="17"/>
                <w:color w:val="auto"/>
              </w:rPr>
              <w:t xml:space="preserve">Tax (benefit) provision before discrete items </w:t>
            </w:r>
            <w:r>
              <w:rPr>
                <w:rFonts w:ascii="Arial" w:cs="Arial" w:eastAsia="Arial" w:hAnsi="Arial"/>
                <w:sz w:val="28"/>
                <w:szCs w:val="28"/>
                <w:color w:val="auto"/>
                <w:vertAlign w:val="superscript"/>
              </w:rPr>
              <w:t>(1)</w:t>
            </w:r>
          </w:p>
        </w:tc>
        <w:tc>
          <w:tcPr>
            <w:tcW w:w="320" w:type="dxa"/>
            <w:vAlign w:val="bottom"/>
            <w:shd w:val="clear" w:color="auto" w:fill="D6F3E8"/>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(6,496)</w:t>
            </w:r>
          </w:p>
        </w:tc>
        <w:tc>
          <w:tcPr>
            <w:tcW w:w="13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(39.7%)</w:t>
            </w:r>
          </w:p>
        </w:tc>
        <w:tc>
          <w:tcPr>
            <w:tcW w:w="300" w:type="dxa"/>
            <w:vAlign w:val="bottom"/>
            <w:shd w:val="clear" w:color="auto" w:fill="D6F3E8"/>
          </w:tcPr>
          <w:p>
            <w:pPr>
              <w:jc w:val="right"/>
              <w:ind w:right="112"/>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D6F3E8"/>
          </w:tcPr>
          <w:p>
            <w:pPr>
              <w:jc w:val="right"/>
              <w:spacing w:after="0"/>
              <w:rPr>
                <w:sz w:val="20"/>
                <w:szCs w:val="20"/>
                <w:color w:val="auto"/>
              </w:rPr>
            </w:pPr>
            <w:r>
              <w:rPr>
                <w:rFonts w:ascii="Arial" w:cs="Arial" w:eastAsia="Arial" w:hAnsi="Arial"/>
                <w:sz w:val="18"/>
                <w:szCs w:val="18"/>
                <w:color w:val="auto"/>
              </w:rPr>
              <w:t>4,862</w:t>
            </w:r>
          </w:p>
        </w:tc>
        <w:tc>
          <w:tcPr>
            <w:tcW w:w="340" w:type="dxa"/>
            <w:vAlign w:val="bottom"/>
            <w:shd w:val="clear" w:color="auto" w:fill="D6F3E8"/>
          </w:tcPr>
          <w:p>
            <w:pPr>
              <w:spacing w:after="0"/>
              <w:rPr>
                <w:sz w:val="21"/>
                <w:szCs w:val="21"/>
                <w:color w:val="auto"/>
              </w:rPr>
            </w:pPr>
          </w:p>
        </w:tc>
        <w:tc>
          <w:tcPr>
            <w:tcW w:w="680" w:type="dxa"/>
            <w:vAlign w:val="bottom"/>
            <w:shd w:val="clear" w:color="auto" w:fill="D6F3E8"/>
          </w:tcPr>
          <w:p>
            <w:pPr>
              <w:spacing w:after="0"/>
              <w:rPr>
                <w:sz w:val="21"/>
                <w:szCs w:val="21"/>
                <w:color w:val="auto"/>
              </w:rPr>
            </w:pPr>
          </w:p>
        </w:tc>
        <w:tc>
          <w:tcPr>
            <w:tcW w:w="480" w:type="dxa"/>
            <w:vAlign w:val="bottom"/>
            <w:gridSpan w:val="2"/>
            <w:shd w:val="clear" w:color="auto" w:fill="D6F3E8"/>
          </w:tcPr>
          <w:p>
            <w:pPr>
              <w:jc w:val="right"/>
              <w:spacing w:after="0"/>
              <w:rPr>
                <w:sz w:val="20"/>
                <w:szCs w:val="20"/>
                <w:color w:val="auto"/>
              </w:rPr>
            </w:pPr>
            <w:r>
              <w:rPr>
                <w:rFonts w:ascii="Arial" w:cs="Arial" w:eastAsia="Arial" w:hAnsi="Arial"/>
                <w:sz w:val="18"/>
                <w:szCs w:val="18"/>
                <w:color w:val="auto"/>
                <w:w w:val="90"/>
              </w:rPr>
              <w:t>32.8%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Discrete items:</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160" w:type="dxa"/>
            <w:vAlign w:val="bottom"/>
            <w:shd w:val="clear" w:color="auto" w:fill="D6F3E8"/>
          </w:tcPr>
          <w:p>
            <w:pPr>
              <w:ind w:left="140"/>
              <w:spacing w:after="0" w:line="256" w:lineRule="exact"/>
              <w:rPr>
                <w:sz w:val="20"/>
                <w:szCs w:val="20"/>
                <w:color w:val="auto"/>
              </w:rPr>
            </w:pPr>
            <w:r>
              <w:rPr>
                <w:rFonts w:ascii="Arial" w:cs="Arial" w:eastAsia="Arial" w:hAnsi="Arial"/>
                <w:sz w:val="18"/>
                <w:szCs w:val="18"/>
                <w:color w:val="auto"/>
              </w:rPr>
              <w:t xml:space="preserve">Tax planning initiatives </w:t>
            </w:r>
            <w:r>
              <w:rPr>
                <w:rFonts w:ascii="Arial" w:cs="Arial" w:eastAsia="Arial" w:hAnsi="Arial"/>
                <w:sz w:val="29"/>
                <w:szCs w:val="29"/>
                <w:color w:val="auto"/>
                <w:vertAlign w:val="superscript"/>
              </w:rPr>
              <w:t>(2)</w:t>
            </w:r>
          </w:p>
        </w:tc>
        <w:tc>
          <w:tcPr>
            <w:tcW w:w="320" w:type="dxa"/>
            <w:vAlign w:val="bottom"/>
            <w:shd w:val="clear" w:color="auto" w:fill="D6F3E8"/>
          </w:tcPr>
          <w:p>
            <w:pPr>
              <w:spacing w:after="0"/>
              <w:rPr>
                <w:sz w:val="22"/>
                <w:szCs w:val="22"/>
                <w:color w:val="auto"/>
              </w:rPr>
            </w:pPr>
          </w:p>
        </w:tc>
        <w:tc>
          <w:tcPr>
            <w:tcW w:w="106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(274)</w:t>
            </w:r>
          </w:p>
        </w:tc>
        <w:tc>
          <w:tcPr>
            <w:tcW w:w="1340" w:type="dxa"/>
            <w:vAlign w:val="bottom"/>
            <w:gridSpan w:val="2"/>
            <w:shd w:val="clear" w:color="auto" w:fill="D6F3E8"/>
          </w:tcPr>
          <w:p>
            <w:pPr>
              <w:jc w:val="right"/>
              <w:ind w:right="280"/>
              <w:spacing w:after="0"/>
              <w:rPr>
                <w:sz w:val="20"/>
                <w:szCs w:val="20"/>
                <w:color w:val="auto"/>
              </w:rPr>
            </w:pPr>
            <w:r>
              <w:rPr>
                <w:rFonts w:ascii="Arial" w:cs="Arial" w:eastAsia="Arial" w:hAnsi="Arial"/>
                <w:sz w:val="18"/>
                <w:szCs w:val="18"/>
                <w:color w:val="auto"/>
              </w:rPr>
              <w:t>(1.7%)</w:t>
            </w:r>
          </w:p>
        </w:tc>
        <w:tc>
          <w:tcPr>
            <w:tcW w:w="300" w:type="dxa"/>
            <w:vAlign w:val="bottom"/>
            <w:shd w:val="clear" w:color="auto" w:fill="D6F3E8"/>
          </w:tcPr>
          <w:p>
            <w:pPr>
              <w:spacing w:after="0"/>
              <w:rPr>
                <w:sz w:val="22"/>
                <w:szCs w:val="22"/>
                <w:color w:val="auto"/>
              </w:rPr>
            </w:pPr>
          </w:p>
        </w:tc>
        <w:tc>
          <w:tcPr>
            <w:tcW w:w="1740" w:type="dxa"/>
            <w:vAlign w:val="bottom"/>
            <w:gridSpan w:val="3"/>
            <w:shd w:val="clear" w:color="auto" w:fill="D6F3E8"/>
          </w:tcPr>
          <w:p>
            <w:pPr>
              <w:jc w:val="right"/>
              <w:ind w:right="952"/>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D6F3E8"/>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160" w:type="dxa"/>
            <w:vAlign w:val="bottom"/>
            <w:shd w:val="clear" w:color="auto" w:fill="D6F3E8"/>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D6F3E8"/>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shd w:val="clear" w:color="auto" w:fill="D6F3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160" w:type="dxa"/>
            <w:vAlign w:val="bottom"/>
          </w:tcPr>
          <w:p>
            <w:pPr>
              <w:spacing w:after="0"/>
              <w:rPr>
                <w:sz w:val="20"/>
                <w:szCs w:val="20"/>
                <w:color w:val="auto"/>
              </w:rPr>
            </w:pPr>
            <w:r>
              <w:rPr>
                <w:rFonts w:ascii="Arial" w:cs="Arial" w:eastAsia="Arial" w:hAnsi="Arial"/>
                <w:sz w:val="18"/>
                <w:szCs w:val="18"/>
                <w:color w:val="auto"/>
              </w:rPr>
              <w:t>Total (benefit) provision for taxes</w:t>
            </w:r>
          </w:p>
        </w:tc>
        <w:tc>
          <w:tcPr>
            <w:tcW w:w="320" w:type="dxa"/>
            <w:vAlign w:val="bottom"/>
          </w:tcPr>
          <w:p>
            <w:pPr>
              <w:jc w:val="right"/>
              <w:ind w:right="163"/>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(6,770)</w:t>
            </w: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(41.4%)</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4,862</w:t>
            </w:r>
          </w:p>
        </w:tc>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80" w:type="dxa"/>
            <w:vAlign w:val="bottom"/>
            <w:gridSpan w:val="2"/>
          </w:tcPr>
          <w:p>
            <w:pPr>
              <w:jc w:val="right"/>
              <w:spacing w:after="0" w:line="210" w:lineRule="exact"/>
              <w:rPr>
                <w:sz w:val="20"/>
                <w:szCs w:val="20"/>
                <w:color w:val="auto"/>
              </w:rPr>
            </w:pPr>
            <w:r>
              <w:rPr>
                <w:rFonts w:ascii="Arial" w:cs="Arial" w:eastAsia="Arial" w:hAnsi="Arial"/>
                <w:sz w:val="14"/>
                <w:szCs w:val="14"/>
                <w:color w:val="auto"/>
              </w:rPr>
              <w:t>32.8</w:t>
            </w:r>
            <w:r>
              <w:rPr>
                <w:rFonts w:ascii="Arial" w:cs="Arial" w:eastAsia="Arial" w:hAnsi="Arial"/>
                <w:sz w:val="24"/>
                <w:szCs w:val="24"/>
                <w:color w:val="auto"/>
                <w:vertAlign w:val="sub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4584700</wp:posOffset>
            </wp:positionH>
            <wp:positionV relativeFrom="paragraph">
              <wp:posOffset>-170815</wp:posOffset>
            </wp:positionV>
            <wp:extent cx="21463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14630" cy="8890"/>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-170815</wp:posOffset>
            </wp:positionV>
            <wp:extent cx="21463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4630" cy="8890"/>
                    </a:xfrm>
                    <a:prstGeom prst="rect">
                      <a:avLst/>
                    </a:prstGeom>
                    <a:noFill/>
                  </pic:spPr>
                </pic:pic>
              </a:graphicData>
            </a:graphic>
          </wp:anchor>
        </w:drawing>
      </w:r>
    </w:p>
    <w:p>
      <w:pPr>
        <w:spacing w:after="0" w:line="269" w:lineRule="exact"/>
        <w:rPr>
          <w:sz w:val="20"/>
          <w:szCs w:val="20"/>
          <w:color w:val="auto"/>
        </w:rPr>
      </w:pPr>
    </w:p>
    <w:p>
      <w:pPr>
        <w:ind w:left="580" w:right="260" w:hanging="572"/>
        <w:spacing w:after="0" w:line="194" w:lineRule="auto"/>
        <w:tabs>
          <w:tab w:leader="none" w:pos="58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The effective tax benefit in the current quarter was higher than the tax expense for the same quarter last year primarily due to the impact of tax exempt income.</w:t>
      </w:r>
    </w:p>
    <w:p>
      <w:pPr>
        <w:spacing w:after="0" w:line="35" w:lineRule="exact"/>
        <w:rPr>
          <w:rFonts w:ascii="Arial" w:cs="Arial" w:eastAsia="Arial" w:hAnsi="Arial"/>
          <w:sz w:val="29"/>
          <w:szCs w:val="29"/>
          <w:color w:val="auto"/>
          <w:vertAlign w:val="superscript"/>
        </w:rPr>
      </w:pPr>
    </w:p>
    <w:p>
      <w:pPr>
        <w:ind w:left="580" w:right="440" w:hanging="572"/>
        <w:spacing w:after="0" w:line="194" w:lineRule="auto"/>
        <w:tabs>
          <w:tab w:leader="none" w:pos="580" w:val="left"/>
        </w:tabs>
        <w:numPr>
          <w:ilvl w:val="0"/>
          <w:numId w:val="7"/>
        </w:numPr>
        <w:rPr>
          <w:rFonts w:ascii="Arial" w:cs="Arial" w:eastAsia="Arial" w:hAnsi="Arial"/>
          <w:sz w:val="29"/>
          <w:szCs w:val="29"/>
          <w:color w:val="auto"/>
          <w:vertAlign w:val="superscript"/>
        </w:rPr>
      </w:pPr>
      <w:r>
        <w:rPr>
          <w:rFonts w:ascii="Arial" w:cs="Arial" w:eastAsia="Arial" w:hAnsi="Arial"/>
          <w:sz w:val="18"/>
          <w:szCs w:val="18"/>
          <w:color w:val="auto"/>
        </w:rPr>
        <w:t>Benefits of $274,000 for the thirteen weeks ended November 29, 2008 were recorded due to tax planning initiatives that were recognized during the quarter.</w:t>
      </w:r>
    </w:p>
    <w:p>
      <w:pPr>
        <w:spacing w:after="0" w:line="211"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Net (loss) income was a loss of $9.6 million or $.33 per diluted share for the thirteen weeks ended November 29, 2008 compared to net income of $10.0 million or $.34 per diluted share for the fourteen weeks ended December 1, 2007. (See Note 10 to the Consolidated Financial Statements.)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Analysis of Financial Condition, Liquidity and Resources</w:t>
      </w:r>
    </w:p>
    <w:p>
      <w:pPr>
        <w:spacing w:after="0" w:line="231" w:lineRule="exact"/>
        <w:rPr>
          <w:sz w:val="20"/>
          <w:szCs w:val="20"/>
          <w:color w:val="auto"/>
        </w:rPr>
      </w:pPr>
    </w:p>
    <w:p>
      <w:pPr>
        <w:ind w:right="440"/>
        <w:spacing w:after="0" w:line="259" w:lineRule="auto"/>
        <w:rPr>
          <w:sz w:val="20"/>
          <w:szCs w:val="20"/>
          <w:color w:val="auto"/>
        </w:rPr>
      </w:pPr>
      <w:r>
        <w:rPr>
          <w:rFonts w:ascii="Arial" w:cs="Arial" w:eastAsia="Arial" w:hAnsi="Arial"/>
          <w:sz w:val="18"/>
          <w:szCs w:val="18"/>
          <w:color w:val="auto"/>
        </w:rPr>
        <w:t>Cash and cash equivalents totaled $28.8 million and $17.9 million as of November 29, 2008 and August 30, 2008, respectively. Short-term and long-term investments net of temporary impairments totaled $38.2 million as of November 29, 2008 and $40.6 million as of August 30, 2008. These investments were comprised of ARSs. (See Note 4 to the Consolidated Financial Statements.)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Until February 2008, the ARS market was highly liquid. Starting the week of February 11, 2008, a substantial number of auctions “failed,” meaning that there was not enough demand to sell all of the securities that holders desired to sell at auction. From February 11, 2008 through our first fiscal quarter ending, November 29, 2008, we successfully sold $20.5 million of our $60 million portfolio at par value. The securities for which auctions have failed will continue to accrue interest at the contractual rate and be auctioned generally every 35 days until the auction succeeds, the issuer calls the securities or the securities mature. We continue to believe that we will ultimately recover all amounts invested in these ARSs. Management does not believe that the current illiquidity of these securities will have a material impact on our ability to execute our current business plan. In December 2008, we were able to redeem two separate ARS at par value for $5.4 million, which was classified as a short-term investment at fiscal quarter end.</w:t>
      </w:r>
    </w:p>
    <w:p>
      <w:pPr>
        <w:spacing w:after="0" w:line="172"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On September 17, 2008, we entered into a Credit and Security Agreement with Wells Fargo (Credit Agreement). The Credit Agreement provides for a $25.0 million maximum revolving credit facility (Credit Facility), based on certain accounts receivable and inventory accounts, expiring on September 17, 2010, unless terminated earlier in accordance with its terms. Interest on loans under the Credit Agreement will be a rate equal to either LIBOR plus 1.5% to 2.5% or prime rate plus (0.75)% to 0.25%. No borrowings have been made under the Credit Facility through January 6, 2009. The Credit Facility provides increased financial flexibility and, if needed, will be used for working capital and for other general corporate purposes.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Working capital at November 29, 2008 and August 30, 2008 was $101.9 million and $108.5 million, respectively, a decrease of $6.6 million. We currently expect cash on hand, funds generated from operations (if any) and the availability on the new Credit Facility to be sufficient to cover both short-term and long-term operation requirements.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Cash provided by operating activities was $12.9 million during the thirteen weeks ended November 29, 2008, compared to $7.6 million during the fourteen weeks ended December 1, 2007. Cash provided by operating activities in the current quarter was primarily attributable to a $27.3 million reduction of inventory, offset by a net loss of operations of $9.6 million and decreases in accounts payable and accrued expenses of $6.0 million.</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Cash provided by investing activities was due primarily to proceeds from the sale of short-term investments of $3.1 million in the thirteen weeks ended November 29, 2008. During the fourteen weeks ended December 1, 2007, we had proceeds of $163.4 million from sales and purchases of $150.0 million in short-term investments. Other uses of cash were $689,000 and $1.5 million for manufacturing equipment and facilities purchases in the thirteen weeks ended November 29, 2008 and the fourteen weeks ended December 1, 2007, respectively.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3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primary use of cash in financing activities for the thirteen weeks ended November 29, 2008 was $3.5 million for payments of dividends on October 6, 2008, for shareholders of record as of September 5, 2008. On October 16, 2008, the Company announced that it would suspend cash dividends payments in order to conserve capital and maintain liquidity, pending subsequent review of the cash dividend policy throughout the remainder of the fiscal year. Primary uses of cash in financing activities for the fourteen weeks ended December 1, 2007 were $17.5 million for repurchases of outstanding common stock and payments of $3.5 million in dividends.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Use of Funds</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Estimated uses of our liquid assets, at November 29, 2008 for the remainder of Fiscal 2009 include capital spending of approximately $4 million primarily for manufacturing equipment and facilities.</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3.</w:t>
      </w:r>
      <w:r>
        <w:rPr>
          <w:sz w:val="20"/>
          <w:szCs w:val="20"/>
          <w:color w:val="auto"/>
        </w:rPr>
        <w:tab/>
      </w:r>
      <w:r>
        <w:rPr>
          <w:rFonts w:ascii="Arial" w:cs="Arial" w:eastAsia="Arial" w:hAnsi="Arial"/>
          <w:sz w:val="19"/>
          <w:szCs w:val="19"/>
          <w:b w:val="1"/>
          <w:bCs w:val="1"/>
          <w:color w:val="auto"/>
        </w:rPr>
        <w:t>Quantitative and Qualitative Disclosures About Market Risk</w:t>
      </w:r>
    </w:p>
    <w:p>
      <w:pPr>
        <w:spacing w:after="0" w:line="225" w:lineRule="exact"/>
        <w:rPr>
          <w:sz w:val="20"/>
          <w:szCs w:val="20"/>
          <w:color w:val="auto"/>
        </w:rPr>
      </w:pPr>
    </w:p>
    <w:p>
      <w:pPr>
        <w:ind w:right="440"/>
        <w:spacing w:after="0" w:line="298" w:lineRule="auto"/>
        <w:rPr>
          <w:sz w:val="20"/>
          <w:szCs w:val="20"/>
          <w:color w:val="auto"/>
        </w:rPr>
      </w:pPr>
      <w:r>
        <w:rPr>
          <w:rFonts w:ascii="Arial" w:cs="Arial" w:eastAsia="Arial" w:hAnsi="Arial"/>
          <w:sz w:val="16"/>
          <w:szCs w:val="16"/>
          <w:color w:val="auto"/>
        </w:rPr>
        <w:t>We are exposed to market risks related to fluctuations in interest rates on marketable investments, investments underlying a company-owned life insurance program (COLI) and variable rate debt under our revolving credit facility. With respect to the COLI program, the underlying investments are subject to both interest rate risk and equity market risk. We have not drawn on the Credit Facility as of January 6, 2009. We do not currently use interest rate swaps, futures contracts or options on futures, or other types of derivative financial instruments.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6"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Our investments are comprised of ARSs. These securities have historically traded at par and are callable at par at the option of the issuer. Interest is typically paid at the end of each auction period or semiannually. At the end of the fiscal quarter, all of the long-term ARSs we held were AAA/Aaa rated with most collateralized by student loans guaranteed by the U.S. Government under the Federal Family Education Loan Program. Until Fiscal 2008, the auction rate securities market was highly liquid. During Fiscal 2008, a substantial number of auctions “failed,” meaning that there was not enough demand to sell the entire issue of the securities that holders desired to sell at auction. The immediate effect of a failed auction is that certain holders cannot sell the securities at auction and the interest or dividend rate on the security generally resets to a maximum auction rate. In the case of a failed auction, with respect to the ARSs held by us, the ARS is deemed not currently liquid. In the case of funds invested by us in ARSs which are the subject of a failed auction, we may not be able to access the funds prior to maturity without a loss of principal, unless a future auction on these investments is successful or the issuer calls the security pursuant to a mandatory tender or redemption.</w:t>
      </w:r>
    </w:p>
    <w:p>
      <w:pPr>
        <w:spacing w:after="0" w:line="174"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Additional information regarding our investment portfolio is detailed in Note 4 to the Consolidated Financial Statements for the period ended November 29, 2008.</w:t>
      </w:r>
    </w:p>
    <w:p>
      <w:pPr>
        <w:spacing w:after="0" w:line="18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We do not believe that future market equity or interest rate risks related to our marketable investments or debt obligations will have a material impact on our results.</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4.</w:t>
      </w:r>
      <w:r>
        <w:rPr>
          <w:sz w:val="20"/>
          <w:szCs w:val="20"/>
          <w:color w:val="auto"/>
        </w:rPr>
        <w:tab/>
      </w:r>
      <w:r>
        <w:rPr>
          <w:rFonts w:ascii="Arial" w:cs="Arial" w:eastAsia="Arial" w:hAnsi="Arial"/>
          <w:sz w:val="19"/>
          <w:szCs w:val="19"/>
          <w:b w:val="1"/>
          <w:bCs w:val="1"/>
          <w:color w:val="auto"/>
        </w:rPr>
        <w:t>Controls and Procedures</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As of the end of the period covered by this report, we, with the participation of our Chief Executive Officer and Chief Financial Officer, conducted an evaluation of the effectiveness of the design and operation of our disclosure controls and procedures, as required by Securities Exchange Act of 1934, as amended (the “Exchange Act”) Rule 13a-15(f). Based on this evaluation, the Chief Executive Officer and Chief Financial Officer have concluded that our disclosure controls and procedures were effective to ensure that information required to be disclosed by us in the reports that we file or submit under the Exchange Act is recorded, processed, summarized and reported within the time periods specified by the SEC’s rules and forms.</w:t>
      </w:r>
    </w:p>
    <w:p>
      <w:pPr>
        <w:spacing w:after="0" w:line="170"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including the Chief Executive Officer and the Chief Financial Officer, do not expect that our disclosure controls and procedures will prevent all errors or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 xml:space="preserve">We are responsible for establishing and maintaining adequate internal control over financial reporting as defined in Exchange Act Rule 13a-15(f). We conducted an evaluation of the effectiveness of our internal control over financial reporting based on the framework and criteria established in </w:t>
      </w:r>
      <w:r>
        <w:rPr>
          <w:rFonts w:ascii="Arial" w:cs="Arial" w:eastAsia="Arial" w:hAnsi="Arial"/>
          <w:sz w:val="18"/>
          <w:szCs w:val="18"/>
          <w:i w:val="1"/>
          <w:iCs w:val="1"/>
          <w:color w:val="auto"/>
        </w:rPr>
        <w:t>Internal Control - Integrated</w:t>
      </w:r>
      <w:r>
        <w:rPr>
          <w:rFonts w:ascii="Arial" w:cs="Arial" w:eastAsia="Arial" w:hAnsi="Arial"/>
          <w:sz w:val="18"/>
          <w:szCs w:val="18"/>
          <w:color w:val="auto"/>
        </w:rPr>
        <w:t xml:space="preserve"> </w:t>
      </w:r>
      <w:r>
        <w:rPr>
          <w:rFonts w:ascii="Arial" w:cs="Arial" w:eastAsia="Arial" w:hAnsi="Arial"/>
          <w:sz w:val="18"/>
          <w:szCs w:val="18"/>
          <w:i w:val="1"/>
          <w:iCs w:val="1"/>
          <w:color w:val="auto"/>
        </w:rPr>
        <w:t>Framework</w:t>
      </w:r>
      <w:r>
        <w:rPr>
          <w:rFonts w:ascii="Arial" w:cs="Arial" w:eastAsia="Arial" w:hAnsi="Arial"/>
          <w:sz w:val="18"/>
          <w:szCs w:val="18"/>
          <w:color w:val="auto"/>
        </w:rPr>
        <w:t>, issued by the Committee of Sponsoring Organizations of the Treadway Commission. Based on this evaluation, our management concluded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internal control over financial reporting was effective as of November 29, 2008. During our assessment, we did not identify any material weaknesses in our internal control over financial reporting.</w:t>
      </w:r>
    </w:p>
    <w:p>
      <w:pPr>
        <w:spacing w:after="0" w:line="197"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There have been no significant changes in our internal controls or in other factors which could significantly affect internal controls over financial reporting subsequent to the date we carried out its evaluation.</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In connection with the evaluation of internal control over financial reporting described above, no changes in our internal control over financing reporting were identified that occurred during the first quarter of Fiscal 2009 that have materially affected, or are reasonably likely to materially affect, our internal control over financial reporting.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355"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PART II.</w:t>
        <w:tab/>
        <w:t>OTHER INFORMATION</w:t>
      </w:r>
    </w:p>
    <w:p>
      <w:pPr>
        <w:spacing w:after="0" w:line="139"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1.</w:t>
      </w:r>
      <w:r>
        <w:rPr>
          <w:sz w:val="20"/>
          <w:szCs w:val="20"/>
          <w:color w:val="auto"/>
        </w:rPr>
        <w:tab/>
      </w:r>
      <w:r>
        <w:rPr>
          <w:rFonts w:ascii="Arial" w:cs="Arial" w:eastAsia="Arial" w:hAnsi="Arial"/>
          <w:sz w:val="18"/>
          <w:szCs w:val="18"/>
          <w:b w:val="1"/>
          <w:bCs w:val="1"/>
          <w:color w:val="auto"/>
        </w:rPr>
        <w:t>Legal Proceedings</w:t>
      </w:r>
    </w:p>
    <w:p>
      <w:pPr>
        <w:spacing w:after="0" w:line="158" w:lineRule="exact"/>
        <w:rPr>
          <w:sz w:val="20"/>
          <w:szCs w:val="20"/>
          <w:color w:val="auto"/>
        </w:rPr>
      </w:pPr>
    </w:p>
    <w:p>
      <w:pPr>
        <w:ind w:left="1160" w:right="40"/>
        <w:spacing w:after="0" w:line="298" w:lineRule="auto"/>
        <w:rPr>
          <w:sz w:val="20"/>
          <w:szCs w:val="20"/>
          <w:color w:val="auto"/>
        </w:rPr>
      </w:pPr>
      <w:r>
        <w:rPr>
          <w:rFonts w:ascii="Arial" w:cs="Arial" w:eastAsia="Arial" w:hAnsi="Arial"/>
          <w:sz w:val="16"/>
          <w:szCs w:val="16"/>
          <w:color w:val="auto"/>
        </w:rPr>
        <w:t>We are involved in various legal proceedings which are ordinary routine litigation incidental to our business, some of which are covered in whole or in part by insurance. While it is impossible to estimate with certainty the ultimate legal and financial liability with respect to this litigation, we believe that while the final resolution of any such litigation may have an impact on our consolidated results for a particular reporting period, the ultimate disposition of such litigation will not have any material adverse effect on our financial position, results of operations or liquidity.</w:t>
      </w:r>
    </w:p>
    <w:p>
      <w:pPr>
        <w:spacing w:after="0" w:line="80"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2.</w:t>
      </w:r>
      <w:r>
        <w:rPr>
          <w:sz w:val="20"/>
          <w:szCs w:val="20"/>
          <w:color w:val="auto"/>
        </w:rPr>
        <w:tab/>
      </w:r>
      <w:r>
        <w:rPr>
          <w:rFonts w:ascii="Arial" w:cs="Arial" w:eastAsia="Arial" w:hAnsi="Arial"/>
          <w:sz w:val="18"/>
          <w:szCs w:val="18"/>
          <w:b w:val="1"/>
          <w:bCs w:val="1"/>
          <w:color w:val="auto"/>
        </w:rPr>
        <w:t>Unregistered Sales of Equity Securities and Use of Proceeds</w:t>
      </w:r>
    </w:p>
    <w:p>
      <w:pPr>
        <w:spacing w:after="0" w:line="158" w:lineRule="exact"/>
        <w:rPr>
          <w:sz w:val="20"/>
          <w:szCs w:val="20"/>
          <w:color w:val="auto"/>
        </w:rPr>
      </w:pPr>
    </w:p>
    <w:p>
      <w:pPr>
        <w:ind w:left="1160" w:right="20"/>
        <w:spacing w:after="0" w:line="306"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first quarter of Fiscal 2009, 14,836 shares were repurchased under this authorization for an aggregate consideration of approximately $162,000.</w:t>
      </w:r>
    </w:p>
    <w:p>
      <w:pPr>
        <w:spacing w:after="0" w:line="9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This table provides information with respect to purchases by us of shares of our common stock during each fiscal month of the first quarter of</w:t>
      </w:r>
    </w:p>
    <w:p>
      <w:pPr>
        <w:spacing w:after="0" w:line="38"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Fiscal 2009:</w:t>
      </w:r>
    </w:p>
    <w:p>
      <w:pPr>
        <w:spacing w:after="0" w:line="243"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Approximate Dollar</w:t>
            </w:r>
          </w:p>
        </w:tc>
      </w:tr>
      <w:tr>
        <w:trPr>
          <w:trHeight w:val="149"/>
        </w:trPr>
        <w:tc>
          <w:tcPr>
            <w:tcW w:w="1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Number of Shares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Value of Shares That</w:t>
            </w:r>
          </w:p>
        </w:tc>
      </w:tr>
      <w:tr>
        <w:trPr>
          <w:trHeight w:val="149"/>
        </w:trPr>
        <w:tc>
          <w:tcPr>
            <w:tcW w:w="1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Total Number</w:t>
            </w:r>
          </w:p>
        </w:tc>
        <w:tc>
          <w:tcPr>
            <w:tcW w:w="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May Yet Be</w:t>
            </w:r>
          </w:p>
        </w:tc>
      </w:tr>
      <w:tr>
        <w:trPr>
          <w:trHeight w:val="149"/>
        </w:trPr>
        <w:tc>
          <w:tcPr>
            <w:tcW w:w="19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5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1"/>
              </w:rPr>
              <w:t>of Shares</w:t>
            </w:r>
          </w:p>
        </w:tc>
        <w:tc>
          <w:tcPr>
            <w:tcW w:w="160" w:type="dxa"/>
            <w:vAlign w:val="bottom"/>
          </w:tcPr>
          <w:p>
            <w:pPr>
              <w:spacing w:after="0"/>
              <w:rPr>
                <w:sz w:val="12"/>
                <w:szCs w:val="12"/>
                <w:color w:val="auto"/>
              </w:rPr>
            </w:pPr>
          </w:p>
        </w:tc>
        <w:tc>
          <w:tcPr>
            <w:tcW w:w="110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w w:val="92"/>
              </w:rPr>
              <w:t>Average Price</w:t>
            </w:r>
          </w:p>
        </w:tc>
        <w:tc>
          <w:tcPr>
            <w:tcW w:w="340" w:type="dxa"/>
            <w:vAlign w:val="bottom"/>
          </w:tcPr>
          <w:p>
            <w:pPr>
              <w:spacing w:after="0"/>
              <w:rPr>
                <w:sz w:val="12"/>
                <w:szCs w:val="12"/>
                <w:color w:val="auto"/>
              </w:rPr>
            </w:pPr>
          </w:p>
        </w:tc>
        <w:tc>
          <w:tcPr>
            <w:tcW w:w="18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7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Purchased Under the</w:t>
            </w:r>
          </w:p>
        </w:tc>
      </w:tr>
      <w:tr>
        <w:trPr>
          <w:trHeight w:val="161"/>
        </w:trPr>
        <w:tc>
          <w:tcPr>
            <w:tcW w:w="1940" w:type="dxa"/>
            <w:vAlign w:val="bottom"/>
          </w:tcPr>
          <w:p>
            <w:pPr>
              <w:ind w:left="780"/>
              <w:spacing w:after="0"/>
              <w:rPr>
                <w:sz w:val="20"/>
                <w:szCs w:val="20"/>
                <w:color w:val="auto"/>
              </w:rPr>
            </w:pPr>
            <w:r>
              <w:rPr>
                <w:rFonts w:ascii="Arial" w:cs="Arial" w:eastAsia="Arial" w:hAnsi="Arial"/>
                <w:sz w:val="14"/>
                <w:szCs w:val="14"/>
                <w:b w:val="1"/>
                <w:bCs w:val="1"/>
                <w:color w:val="auto"/>
              </w:rPr>
              <w:t>Period</w:t>
            </w:r>
          </w:p>
        </w:tc>
        <w:tc>
          <w:tcPr>
            <w:tcW w:w="1260" w:type="dxa"/>
            <w:vAlign w:val="bottom"/>
          </w:tcPr>
          <w:p>
            <w:pPr>
              <w:spacing w:after="0"/>
              <w:rPr>
                <w:sz w:val="14"/>
                <w:szCs w:val="14"/>
                <w:color w:val="auto"/>
              </w:rPr>
            </w:pPr>
          </w:p>
        </w:tc>
        <w:tc>
          <w:tcPr>
            <w:tcW w:w="15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Purchased</w:t>
            </w:r>
          </w:p>
        </w:tc>
        <w:tc>
          <w:tcPr>
            <w:tcW w:w="160" w:type="dxa"/>
            <w:vAlign w:val="bottom"/>
          </w:tcPr>
          <w:p>
            <w:pPr>
              <w:spacing w:after="0"/>
              <w:rPr>
                <w:sz w:val="14"/>
                <w:szCs w:val="14"/>
                <w:color w:val="auto"/>
              </w:rPr>
            </w:pPr>
          </w:p>
        </w:tc>
        <w:tc>
          <w:tcPr>
            <w:tcW w:w="1100" w:type="dxa"/>
            <w:vAlign w:val="bottom"/>
          </w:tcPr>
          <w:p>
            <w:pPr>
              <w:jc w:val="right"/>
              <w:ind w:right="119"/>
              <w:spacing w:after="0"/>
              <w:rPr>
                <w:sz w:val="20"/>
                <w:szCs w:val="20"/>
                <w:color w:val="auto"/>
              </w:rPr>
            </w:pPr>
            <w:r>
              <w:rPr>
                <w:rFonts w:ascii="Arial" w:cs="Arial" w:eastAsia="Arial" w:hAnsi="Arial"/>
                <w:sz w:val="14"/>
                <w:szCs w:val="14"/>
                <w:b w:val="1"/>
                <w:bCs w:val="1"/>
                <w:color w:val="auto"/>
                <w:w w:val="89"/>
              </w:rPr>
              <w:t>Paid per Share</w:t>
            </w:r>
          </w:p>
        </w:tc>
        <w:tc>
          <w:tcPr>
            <w:tcW w:w="340" w:type="dxa"/>
            <w:vAlign w:val="bottom"/>
          </w:tcPr>
          <w:p>
            <w:pPr>
              <w:spacing w:after="0"/>
              <w:rPr>
                <w:sz w:val="14"/>
                <w:szCs w:val="14"/>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Plans or Programs</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Plans or Programs</w:t>
            </w:r>
          </w:p>
        </w:tc>
      </w:tr>
      <w:tr>
        <w:trPr>
          <w:trHeight w:val="210"/>
        </w:trPr>
        <w:tc>
          <w:tcPr>
            <w:tcW w:w="1940" w:type="dxa"/>
            <w:vAlign w:val="bottom"/>
            <w:tcBorders>
              <w:top w:val="single" w:sz="8" w:color="auto"/>
            </w:tcBorders>
            <w:shd w:val="clear" w:color="auto" w:fill="D6F3E8"/>
          </w:tcPr>
          <w:p>
            <w:pPr>
              <w:spacing w:after="0"/>
              <w:rPr>
                <w:sz w:val="20"/>
                <w:szCs w:val="20"/>
                <w:color w:val="auto"/>
              </w:rPr>
            </w:pPr>
            <w:r>
              <w:rPr>
                <w:rFonts w:ascii="Arial" w:cs="Arial" w:eastAsia="Arial" w:hAnsi="Arial"/>
                <w:sz w:val="18"/>
                <w:szCs w:val="18"/>
                <w:color w:val="auto"/>
              </w:rPr>
              <w:t>08/31/08 – 10/04/08</w:t>
            </w:r>
          </w:p>
        </w:tc>
        <w:tc>
          <w:tcPr>
            <w:tcW w:w="1260" w:type="dxa"/>
            <w:vAlign w:val="bottom"/>
            <w:shd w:val="clear" w:color="auto" w:fill="D6F3E8"/>
          </w:tcPr>
          <w:p>
            <w:pPr>
              <w:spacing w:after="0"/>
              <w:rPr>
                <w:sz w:val="18"/>
                <w:szCs w:val="18"/>
                <w:color w:val="auto"/>
              </w:rPr>
            </w:pPr>
          </w:p>
        </w:tc>
        <w:tc>
          <w:tcPr>
            <w:tcW w:w="11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16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1700" w:type="dxa"/>
            <w:vAlign w:val="bottom"/>
            <w:tcBorders>
              <w:top w:val="single" w:sz="8" w:color="auto"/>
            </w:tcBorders>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8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top w:val="single" w:sz="8" w:color="auto"/>
            </w:tcBorders>
            <w:shd w:val="clear" w:color="auto" w:fill="D6F3E8"/>
          </w:tcPr>
          <w:p>
            <w:pPr>
              <w:jc w:val="right"/>
              <w:spacing w:after="0"/>
              <w:rPr>
                <w:sz w:val="20"/>
                <w:szCs w:val="20"/>
                <w:color w:val="auto"/>
              </w:rPr>
            </w:pPr>
            <w:r>
              <w:rPr>
                <w:rFonts w:ascii="Arial" w:cs="Arial" w:eastAsia="Arial" w:hAnsi="Arial"/>
                <w:sz w:val="18"/>
                <w:szCs w:val="18"/>
                <w:color w:val="auto"/>
              </w:rPr>
              <w:t>59,747,639</w:t>
            </w:r>
          </w:p>
        </w:tc>
        <w:tc>
          <w:tcPr>
            <w:tcW w:w="100" w:type="dxa"/>
            <w:vAlign w:val="bottom"/>
            <w:shd w:val="clear" w:color="auto" w:fill="D6F3E8"/>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10/05/08 - 11/01/08</w:t>
            </w:r>
          </w:p>
        </w:tc>
        <w:tc>
          <w:tcPr>
            <w:tcW w:w="2420" w:type="dxa"/>
            <w:vAlign w:val="bottom"/>
            <w:gridSpan w:val="2"/>
          </w:tcPr>
          <w:p>
            <w:pPr>
              <w:jc w:val="right"/>
              <w:spacing w:after="0"/>
              <w:rPr>
                <w:sz w:val="20"/>
                <w:szCs w:val="20"/>
                <w:color w:val="auto"/>
              </w:rPr>
            </w:pPr>
            <w:r>
              <w:rPr>
                <w:rFonts w:ascii="Arial" w:cs="Arial" w:eastAsia="Arial" w:hAnsi="Arial"/>
                <w:sz w:val="18"/>
                <w:szCs w:val="18"/>
                <w:color w:val="auto"/>
              </w:rPr>
              <w:t>14,836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10.94</w:t>
            </w:r>
          </w:p>
        </w:tc>
        <w:tc>
          <w:tcPr>
            <w:tcW w:w="2220" w:type="dxa"/>
            <w:vAlign w:val="bottom"/>
            <w:gridSpan w:val="3"/>
          </w:tcPr>
          <w:p>
            <w:pPr>
              <w:jc w:val="right"/>
              <w:ind w:right="180"/>
              <w:spacing w:after="0"/>
              <w:rPr>
                <w:sz w:val="20"/>
                <w:szCs w:val="20"/>
                <w:color w:val="auto"/>
              </w:rPr>
            </w:pPr>
            <w:r>
              <w:rPr>
                <w:rFonts w:ascii="Arial" w:cs="Arial" w:eastAsia="Arial" w:hAnsi="Arial"/>
                <w:sz w:val="18"/>
                <w:szCs w:val="18"/>
                <w:color w:val="auto"/>
              </w:rPr>
              <w:t>14,836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59,585,379</w:t>
            </w:r>
          </w:p>
        </w:tc>
      </w:tr>
      <w:tr>
        <w:trPr>
          <w:trHeight w:val="216"/>
        </w:trPr>
        <w:tc>
          <w:tcPr>
            <w:tcW w:w="1940" w:type="dxa"/>
            <w:vAlign w:val="bottom"/>
            <w:shd w:val="clear" w:color="auto" w:fill="D6F3E8"/>
          </w:tcPr>
          <w:p>
            <w:pPr>
              <w:spacing w:after="0"/>
              <w:rPr>
                <w:sz w:val="20"/>
                <w:szCs w:val="20"/>
                <w:color w:val="auto"/>
              </w:rPr>
            </w:pPr>
            <w:r>
              <w:rPr>
                <w:rFonts w:ascii="Arial" w:cs="Arial" w:eastAsia="Arial" w:hAnsi="Arial"/>
                <w:sz w:val="18"/>
                <w:szCs w:val="18"/>
                <w:color w:val="auto"/>
              </w:rPr>
              <w:t>11/02/08 - 11/29/08</w:t>
            </w:r>
          </w:p>
        </w:tc>
        <w:tc>
          <w:tcPr>
            <w:tcW w:w="1260" w:type="dxa"/>
            <w:vAlign w:val="bottom"/>
            <w:shd w:val="clear" w:color="auto" w:fill="D6F3E8"/>
          </w:tcPr>
          <w:p>
            <w:pPr>
              <w:spacing w:after="0"/>
              <w:rPr>
                <w:sz w:val="18"/>
                <w:szCs w:val="18"/>
                <w:color w:val="auto"/>
              </w:rPr>
            </w:pPr>
          </w:p>
        </w:tc>
        <w:tc>
          <w:tcPr>
            <w:tcW w:w="116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160" w:type="dxa"/>
            <w:vAlign w:val="bottom"/>
            <w:shd w:val="clear" w:color="auto" w:fill="D6F3E8"/>
          </w:tcPr>
          <w:p>
            <w:pPr>
              <w:spacing w:after="0"/>
              <w:rPr>
                <w:sz w:val="18"/>
                <w:szCs w:val="18"/>
                <w:color w:val="auto"/>
              </w:rPr>
            </w:pPr>
          </w:p>
        </w:tc>
        <w:tc>
          <w:tcPr>
            <w:tcW w:w="1100" w:type="dxa"/>
            <w:vAlign w:val="bottom"/>
            <w:shd w:val="clear" w:color="auto" w:fill="D6F3E8"/>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D6F3E8"/>
          </w:tcPr>
          <w:p>
            <w:pPr>
              <w:spacing w:after="0"/>
              <w:rPr>
                <w:sz w:val="18"/>
                <w:szCs w:val="18"/>
                <w:color w:val="auto"/>
              </w:rPr>
            </w:pPr>
          </w:p>
        </w:tc>
        <w:tc>
          <w:tcPr>
            <w:tcW w:w="1880" w:type="dxa"/>
            <w:vAlign w:val="bottom"/>
            <w:gridSpan w:val="2"/>
            <w:shd w:val="clear" w:color="auto" w:fill="D6F3E8"/>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D6F3E8"/>
          </w:tcPr>
          <w:p>
            <w:pPr>
              <w:spacing w:after="0"/>
              <w:rPr>
                <w:sz w:val="18"/>
                <w:szCs w:val="18"/>
                <w:color w:val="auto"/>
              </w:rPr>
            </w:pPr>
          </w:p>
        </w:tc>
        <w:tc>
          <w:tcPr>
            <w:tcW w:w="180" w:type="dxa"/>
            <w:vAlign w:val="bottom"/>
            <w:shd w:val="clear" w:color="auto" w:fill="D6F3E8"/>
          </w:tcPr>
          <w:p>
            <w:pPr>
              <w:spacing w:after="0"/>
              <w:rPr>
                <w:sz w:val="18"/>
                <w:szCs w:val="18"/>
                <w:color w:val="auto"/>
              </w:rPr>
            </w:pPr>
          </w:p>
        </w:tc>
        <w:tc>
          <w:tcPr>
            <w:tcW w:w="1740" w:type="dxa"/>
            <w:vAlign w:val="bottom"/>
            <w:gridSpan w:val="2"/>
            <w:shd w:val="clear" w:color="auto" w:fill="D6F3E8"/>
          </w:tcPr>
          <w:p>
            <w:pPr>
              <w:jc w:val="right"/>
              <w:ind w:right="100"/>
              <w:spacing w:after="0"/>
              <w:rPr>
                <w:sz w:val="20"/>
                <w:szCs w:val="20"/>
                <w:color w:val="auto"/>
              </w:rPr>
            </w:pPr>
            <w:r>
              <w:rPr>
                <w:rFonts w:ascii="Arial" w:cs="Arial" w:eastAsia="Arial" w:hAnsi="Arial"/>
                <w:sz w:val="18"/>
                <w:szCs w:val="18"/>
                <w:color w:val="auto"/>
              </w:rPr>
              <w:t>59,585,379</w:t>
            </w:r>
          </w:p>
        </w:tc>
      </w:tr>
      <w:tr>
        <w:trPr>
          <w:trHeight w:val="20"/>
        </w:trPr>
        <w:tc>
          <w:tcPr>
            <w:tcW w:w="1940" w:type="dxa"/>
            <w:vAlign w:val="bottom"/>
            <w:shd w:val="clear" w:color="auto" w:fill="D6F3E8"/>
          </w:tcPr>
          <w:p>
            <w:pPr>
              <w:spacing w:after="0" w:line="20" w:lineRule="exact"/>
              <w:rPr>
                <w:sz w:val="1"/>
                <w:szCs w:val="1"/>
                <w:color w:val="auto"/>
              </w:rPr>
            </w:pPr>
          </w:p>
        </w:tc>
        <w:tc>
          <w:tcPr>
            <w:tcW w:w="1260" w:type="dxa"/>
            <w:vAlign w:val="bottom"/>
            <w:shd w:val="clear" w:color="auto" w:fill="D6F3E8"/>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40" w:type="dxa"/>
            <w:vAlign w:val="bottom"/>
            <w:shd w:val="clear" w:color="auto" w:fill="D6F3E8"/>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180" w:type="dxa"/>
            <w:vAlign w:val="bottom"/>
            <w:shd w:val="clear" w:color="auto" w:fill="D6F3E8"/>
          </w:tcPr>
          <w:p>
            <w:pPr>
              <w:spacing w:after="0" w:line="20" w:lineRule="exact"/>
              <w:rPr>
                <w:sz w:val="1"/>
                <w:szCs w:val="1"/>
                <w:color w:val="auto"/>
              </w:rPr>
            </w:pPr>
          </w:p>
        </w:tc>
        <w:tc>
          <w:tcPr>
            <w:tcW w:w="160" w:type="dxa"/>
            <w:vAlign w:val="bottom"/>
            <w:shd w:val="clear" w:color="auto" w:fill="D6F3E8"/>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D6F3E8"/>
          </w:tcPr>
          <w:p>
            <w:pPr>
              <w:spacing w:after="0" w:line="20" w:lineRule="exact"/>
              <w:rPr>
                <w:sz w:val="1"/>
                <w:szCs w:val="1"/>
                <w:color w:val="auto"/>
              </w:rPr>
            </w:pPr>
          </w:p>
        </w:tc>
      </w:tr>
      <w:tr>
        <w:trPr>
          <w:trHeight w:val="210"/>
        </w:trPr>
        <w:tc>
          <w:tcPr>
            <w:tcW w:w="1940" w:type="dxa"/>
            <w:vAlign w:val="bottom"/>
          </w:tcPr>
          <w:p>
            <w:pPr>
              <w:ind w:left="160"/>
              <w:spacing w:after="0"/>
              <w:rPr>
                <w:sz w:val="20"/>
                <w:szCs w:val="20"/>
                <w:color w:val="auto"/>
              </w:rPr>
            </w:pPr>
            <w:r>
              <w:rPr>
                <w:rFonts w:ascii="Arial" w:cs="Arial" w:eastAsia="Arial" w:hAnsi="Arial"/>
                <w:sz w:val="18"/>
                <w:szCs w:val="18"/>
                <w:color w:val="auto"/>
              </w:rPr>
              <w:t>Total</w:t>
            </w:r>
          </w:p>
        </w:tc>
        <w:tc>
          <w:tcPr>
            <w:tcW w:w="126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14,836</w:t>
            </w:r>
          </w:p>
        </w:tc>
        <w:tc>
          <w:tcPr>
            <w:tcW w:w="34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10.94</w:t>
            </w:r>
          </w:p>
        </w:tc>
        <w:tc>
          <w:tcPr>
            <w:tcW w:w="34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Arial" w:cs="Arial" w:eastAsia="Arial" w:hAnsi="Arial"/>
                <w:sz w:val="18"/>
                <w:szCs w:val="18"/>
                <w:color w:val="auto"/>
              </w:rPr>
              <w:t>14,836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59,585,379</w:t>
            </w:r>
          </w:p>
        </w:tc>
      </w:tr>
      <w:tr>
        <w:trPr>
          <w:trHeight w:val="20"/>
        </w:trPr>
        <w:tc>
          <w:tcPr>
            <w:tcW w:w="1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78" w:lineRule="exact"/>
        <w:rPr>
          <w:sz w:val="20"/>
          <w:szCs w:val="20"/>
          <w:color w:val="auto"/>
        </w:rPr>
      </w:pPr>
    </w:p>
    <w:p>
      <w:pPr>
        <w:spacing w:after="0"/>
        <w:tabs>
          <w:tab w:leader="none" w:pos="1140" w:val="left"/>
        </w:tabs>
        <w:rPr>
          <w:sz w:val="20"/>
          <w:szCs w:val="20"/>
          <w:color w:val="auto"/>
        </w:rPr>
      </w:pPr>
      <w:r>
        <w:rPr>
          <w:rFonts w:ascii="Arial" w:cs="Arial" w:eastAsia="Arial" w:hAnsi="Arial"/>
          <w:sz w:val="22"/>
          <w:szCs w:val="22"/>
          <w:b w:val="1"/>
          <w:bCs w:val="1"/>
          <w:color w:val="auto"/>
        </w:rPr>
        <w:t>ITEM 6.</w:t>
      </w:r>
      <w:r>
        <w:rPr>
          <w:sz w:val="20"/>
          <w:szCs w:val="20"/>
          <w:color w:val="auto"/>
        </w:rPr>
        <w:tab/>
      </w:r>
      <w:r>
        <w:rPr>
          <w:rFonts w:ascii="Arial" w:cs="Arial" w:eastAsia="Arial" w:hAnsi="Arial"/>
          <w:sz w:val="19"/>
          <w:szCs w:val="19"/>
          <w:b w:val="1"/>
          <w:bCs w:val="1"/>
          <w:color w:val="auto"/>
        </w:rPr>
        <w:t>Exhibits</w:t>
      </w:r>
    </w:p>
    <w:p>
      <w:pPr>
        <w:spacing w:after="0" w:line="158" w:lineRule="exact"/>
        <w:rPr>
          <w:sz w:val="20"/>
          <w:szCs w:val="20"/>
          <w:color w:val="auto"/>
        </w:rPr>
      </w:pPr>
    </w:p>
    <w:p>
      <w:pPr>
        <w:ind w:left="1720" w:hanging="564"/>
        <w:spacing w:after="0"/>
        <w:tabs>
          <w:tab w:leader="none" w:pos="172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Exhibits - See Exhibit Index on page 19.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SIGNATURES</w:t>
      </w:r>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78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WINNEBAGO INDUSTRIES, INC.</w:t>
            </w:r>
          </w:p>
        </w:tc>
      </w:tr>
      <w:tr>
        <w:trPr>
          <w:trHeight w:val="217"/>
        </w:trPr>
        <w:tc>
          <w:tcPr>
            <w:tcW w:w="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780" w:type="dxa"/>
            <w:vAlign w:val="bottom"/>
          </w:tcPr>
          <w:p>
            <w:pPr>
              <w:ind w:left="1980"/>
              <w:spacing w:after="0"/>
              <w:rPr>
                <w:sz w:val="20"/>
                <w:szCs w:val="20"/>
                <w:color w:val="auto"/>
              </w:rPr>
            </w:pPr>
            <w:r>
              <w:rPr>
                <w:rFonts w:ascii="Arial" w:cs="Arial" w:eastAsia="Arial" w:hAnsi="Arial"/>
                <w:sz w:val="18"/>
                <w:szCs w:val="18"/>
                <w:color w:val="auto"/>
              </w:rPr>
              <w:t>(Registrant)</w:t>
            </w:r>
          </w:p>
        </w:tc>
      </w:tr>
      <w:tr>
        <w:trPr>
          <w:trHeight w:val="357"/>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6180" w:type="dxa"/>
            <w:vAlign w:val="bottom"/>
            <w:gridSpan w:val="2"/>
          </w:tcPr>
          <w:p>
            <w:pPr>
              <w:ind w:left="700"/>
              <w:spacing w:after="0"/>
              <w:rPr>
                <w:sz w:val="20"/>
                <w:szCs w:val="20"/>
                <w:color w:val="auto"/>
              </w:rPr>
            </w:pPr>
            <w:r>
              <w:rPr>
                <w:rFonts w:ascii="Arial" w:cs="Arial" w:eastAsia="Arial" w:hAnsi="Arial"/>
                <w:sz w:val="18"/>
                <w:szCs w:val="18"/>
                <w:color w:val="auto"/>
              </w:rPr>
              <w:t>January 6, 2009</w:t>
            </w:r>
          </w:p>
        </w:tc>
        <w:tc>
          <w:tcPr>
            <w:tcW w:w="4780" w:type="dxa"/>
            <w:vAlign w:val="bottom"/>
          </w:tcPr>
          <w:p>
            <w:pPr>
              <w:spacing w:after="0"/>
              <w:rPr>
                <w:sz w:val="20"/>
                <w:szCs w:val="20"/>
                <w:color w:val="auto"/>
              </w:rPr>
            </w:pPr>
            <w:r>
              <w:rPr>
                <w:rFonts w:ascii="Arial" w:cs="Arial" w:eastAsia="Arial" w:hAnsi="Arial"/>
                <w:sz w:val="18"/>
                <w:szCs w:val="18"/>
                <w:color w:val="auto"/>
              </w:rPr>
              <w:t>/s/ Robert J. Olson</w:t>
            </w:r>
          </w:p>
        </w:tc>
      </w:tr>
      <w:tr>
        <w:trPr>
          <w:trHeight w:val="202"/>
        </w:trPr>
        <w:tc>
          <w:tcPr>
            <w:tcW w:w="460" w:type="dxa"/>
            <w:vAlign w:val="bottom"/>
          </w:tcPr>
          <w:p>
            <w:pPr>
              <w:spacing w:after="0"/>
              <w:rPr>
                <w:sz w:val="17"/>
                <w:szCs w:val="17"/>
                <w:color w:val="auto"/>
              </w:rPr>
            </w:pPr>
          </w:p>
        </w:tc>
        <w:tc>
          <w:tcPr>
            <w:tcW w:w="2520" w:type="dxa"/>
            <w:vAlign w:val="bottom"/>
            <w:tcBorders>
              <w:top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Robert J. Olson</w:t>
            </w:r>
          </w:p>
        </w:tc>
      </w:tr>
      <w:tr>
        <w:trPr>
          <w:trHeight w:val="216"/>
        </w:trPr>
        <w:tc>
          <w:tcPr>
            <w:tcW w:w="46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7"/>
              </w:rPr>
              <w:t>Chairman of the Board, Chief Executive Officer and President</w:t>
            </w:r>
          </w:p>
        </w:tc>
      </w:tr>
      <w:tr>
        <w:trPr>
          <w:trHeight w:val="222"/>
        </w:trPr>
        <w:tc>
          <w:tcPr>
            <w:tcW w:w="4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780" w:type="dxa"/>
            <w:vAlign w:val="bottom"/>
          </w:tcPr>
          <w:p>
            <w:pPr>
              <w:ind w:left="160"/>
              <w:spacing w:after="0"/>
              <w:rPr>
                <w:sz w:val="20"/>
                <w:szCs w:val="20"/>
                <w:color w:val="auto"/>
              </w:rPr>
            </w:pPr>
            <w:r>
              <w:rPr>
                <w:rFonts w:ascii="Arial" w:cs="Arial" w:eastAsia="Arial" w:hAnsi="Arial"/>
                <w:sz w:val="18"/>
                <w:szCs w:val="18"/>
                <w:color w:val="auto"/>
              </w:rPr>
              <w:t>(Principal Executive Officer)</w:t>
            </w:r>
          </w:p>
        </w:tc>
      </w:tr>
      <w:tr>
        <w:trPr>
          <w:trHeight w:val="514"/>
        </w:trPr>
        <w:tc>
          <w:tcPr>
            <w:tcW w:w="460" w:type="dxa"/>
            <w:vAlign w:val="bottom"/>
          </w:tcPr>
          <w:p>
            <w:pPr>
              <w:spacing w:after="0"/>
              <w:rPr>
                <w:sz w:val="20"/>
                <w:szCs w:val="20"/>
                <w:color w:val="auto"/>
              </w:rPr>
            </w:pPr>
            <w:r>
              <w:rPr>
                <w:rFonts w:ascii="Arial" w:cs="Arial" w:eastAsia="Arial" w:hAnsi="Arial"/>
                <w:sz w:val="18"/>
                <w:szCs w:val="18"/>
                <w:color w:val="auto"/>
              </w:rPr>
              <w:t>Date</w:t>
            </w:r>
          </w:p>
        </w:tc>
        <w:tc>
          <w:tcPr>
            <w:tcW w:w="6180" w:type="dxa"/>
            <w:vAlign w:val="bottom"/>
            <w:gridSpan w:val="2"/>
          </w:tcPr>
          <w:p>
            <w:pPr>
              <w:ind w:left="700"/>
              <w:spacing w:after="0"/>
              <w:rPr>
                <w:sz w:val="20"/>
                <w:szCs w:val="20"/>
                <w:color w:val="auto"/>
              </w:rPr>
            </w:pPr>
            <w:r>
              <w:rPr>
                <w:rFonts w:ascii="Arial" w:cs="Arial" w:eastAsia="Arial" w:hAnsi="Arial"/>
                <w:sz w:val="18"/>
                <w:szCs w:val="18"/>
                <w:color w:val="auto"/>
              </w:rPr>
              <w:t>January 6, 2009</w:t>
            </w:r>
          </w:p>
        </w:tc>
        <w:tc>
          <w:tcPr>
            <w:tcW w:w="4780" w:type="dxa"/>
            <w:vAlign w:val="bottom"/>
          </w:tcPr>
          <w:p>
            <w:pPr>
              <w:spacing w:after="0"/>
              <w:rPr>
                <w:sz w:val="20"/>
                <w:szCs w:val="20"/>
                <w:color w:val="auto"/>
              </w:rPr>
            </w:pPr>
            <w:r>
              <w:rPr>
                <w:rFonts w:ascii="Arial" w:cs="Arial" w:eastAsia="Arial" w:hAnsi="Arial"/>
                <w:sz w:val="18"/>
                <w:szCs w:val="18"/>
                <w:color w:val="auto"/>
              </w:rPr>
              <w:t>/s/ Sarah N. Nielsen</w:t>
            </w:r>
          </w:p>
        </w:tc>
      </w:tr>
      <w:tr>
        <w:trPr>
          <w:trHeight w:val="202"/>
        </w:trPr>
        <w:tc>
          <w:tcPr>
            <w:tcW w:w="460" w:type="dxa"/>
            <w:vAlign w:val="bottom"/>
          </w:tcPr>
          <w:p>
            <w:pPr>
              <w:spacing w:after="0"/>
              <w:rPr>
                <w:sz w:val="17"/>
                <w:szCs w:val="17"/>
                <w:color w:val="auto"/>
              </w:rPr>
            </w:pPr>
          </w:p>
        </w:tc>
        <w:tc>
          <w:tcPr>
            <w:tcW w:w="2520" w:type="dxa"/>
            <w:vAlign w:val="bottom"/>
            <w:tcBorders>
              <w:top w:val="single" w:sz="8" w:color="auto"/>
            </w:tcBorders>
          </w:tcPr>
          <w:p>
            <w:pPr>
              <w:spacing w:after="0"/>
              <w:rPr>
                <w:sz w:val="17"/>
                <w:szCs w:val="17"/>
                <w:color w:val="auto"/>
              </w:rPr>
            </w:pPr>
          </w:p>
        </w:tc>
        <w:tc>
          <w:tcPr>
            <w:tcW w:w="3660" w:type="dxa"/>
            <w:vAlign w:val="bottom"/>
          </w:tcPr>
          <w:p>
            <w:pPr>
              <w:spacing w:after="0"/>
              <w:rPr>
                <w:sz w:val="17"/>
                <w:szCs w:val="17"/>
                <w:color w:val="auto"/>
              </w:rPr>
            </w:pPr>
          </w:p>
        </w:tc>
        <w:tc>
          <w:tcPr>
            <w:tcW w:w="4780" w:type="dxa"/>
            <w:vAlign w:val="bottom"/>
            <w:tcBorders>
              <w:top w:val="single" w:sz="8" w:color="auto"/>
            </w:tcBorders>
          </w:tcPr>
          <w:p>
            <w:pPr>
              <w:spacing w:after="0" w:line="202" w:lineRule="exact"/>
              <w:rPr>
                <w:sz w:val="20"/>
                <w:szCs w:val="20"/>
                <w:color w:val="auto"/>
              </w:rPr>
            </w:pPr>
            <w:r>
              <w:rPr>
                <w:rFonts w:ascii="Arial" w:cs="Arial" w:eastAsia="Arial" w:hAnsi="Arial"/>
                <w:sz w:val="18"/>
                <w:szCs w:val="18"/>
                <w:color w:val="auto"/>
              </w:rPr>
              <w:t>Sarah N. Nielsen</w:t>
            </w:r>
          </w:p>
        </w:tc>
      </w:tr>
      <w:tr>
        <w:trPr>
          <w:trHeight w:val="222"/>
        </w:trPr>
        <w:tc>
          <w:tcPr>
            <w:tcW w:w="4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66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Chief Financial Officer (Principal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6" w:lineRule="exact"/>
        <w:rPr>
          <w:sz w:val="20"/>
          <w:szCs w:val="20"/>
          <w:color w:val="auto"/>
        </w:rPr>
      </w:pPr>
    </w:p>
    <w:p>
      <w:pPr>
        <w:jc w:val="center"/>
        <w:ind w:right="-259"/>
        <w:spacing w:after="0"/>
        <w:rPr>
          <w:sz w:val="20"/>
          <w:szCs w:val="20"/>
          <w:color w:val="auto"/>
        </w:rPr>
      </w:pPr>
      <w:r>
        <w:rPr>
          <w:rFonts w:ascii="Arial" w:cs="Arial" w:eastAsia="Arial" w:hAnsi="Arial"/>
          <w:sz w:val="22"/>
          <w:szCs w:val="22"/>
          <w:b w:val="1"/>
          <w:bCs w:val="1"/>
          <w:color w:val="auto"/>
        </w:rPr>
        <w:t>Exhibit Index</w:t>
      </w:r>
    </w:p>
    <w:p>
      <w:pPr>
        <w:spacing w:after="0" w:line="23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January 6, 2009.</w:t>
      </w:r>
    </w:p>
    <w:p>
      <w:pPr>
        <w:spacing w:after="0" w:line="158"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January 6, 2009.</w:t>
      </w:r>
    </w:p>
    <w:p>
      <w:pPr>
        <w:spacing w:after="0" w:line="158" w:lineRule="exact"/>
        <w:rPr>
          <w:sz w:val="20"/>
          <w:szCs w:val="20"/>
          <w:color w:val="auto"/>
        </w:rPr>
      </w:pPr>
    </w:p>
    <w:p>
      <w:pPr>
        <w:ind w:left="820" w:hanging="809"/>
        <w:spacing w:after="0" w:line="268" w:lineRule="auto"/>
        <w:tabs>
          <w:tab w:leader="none" w:pos="80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8"/>
          <w:szCs w:val="18"/>
          <w:color w:val="auto"/>
        </w:rPr>
        <w:t>Certification by the Chief Executive Officer pursuant to Section 1350, as adopted pursuant to Section 906 of the Sarbanes-Oxley Act of 2002 dated January 6, 2009.</w:t>
      </w:r>
    </w:p>
    <w:p>
      <w:pPr>
        <w:spacing w:after="0" w:line="118" w:lineRule="exact"/>
        <w:rPr>
          <w:sz w:val="20"/>
          <w:szCs w:val="20"/>
          <w:color w:val="auto"/>
        </w:rPr>
      </w:pPr>
    </w:p>
    <w:p>
      <w:pPr>
        <w:ind w:left="820" w:right="40" w:hanging="809"/>
        <w:spacing w:after="0" w:line="268" w:lineRule="auto"/>
        <w:tabs>
          <w:tab w:leader="none" w:pos="80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Certification by the Chief Financial Officer pursuant to Section 1350, as adopted pursuant to Section 906 of the Sarbanes-Oxley Act of 2002 dated January 6, 2009.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I, Robert J. Olson, Chief Executive Officer of Winnebago Industries, Inc., certify that:</w:t>
      </w:r>
    </w:p>
    <w:p>
      <w:pPr>
        <w:spacing w:after="0" w:line="158" w:lineRule="exact"/>
        <w:rPr>
          <w:sz w:val="20"/>
          <w:szCs w:val="20"/>
          <w:color w:val="auto"/>
        </w:rPr>
      </w:pPr>
    </w:p>
    <w:p>
      <w:pPr>
        <w:ind w:left="1160" w:hanging="571"/>
        <w:spacing w:after="0"/>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157" w:lineRule="exact"/>
        <w:rPr>
          <w:rFonts w:ascii="Arial" w:cs="Arial" w:eastAsia="Arial" w:hAnsi="Arial"/>
          <w:sz w:val="18"/>
          <w:szCs w:val="18"/>
          <w:color w:val="auto"/>
        </w:rPr>
      </w:pPr>
    </w:p>
    <w:p>
      <w:pPr>
        <w:ind w:left="1160" w:right="180" w:hanging="571"/>
        <w:spacing w:after="0" w:line="259"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1160" w:right="240" w:hanging="571"/>
        <w:spacing w:after="0" w:line="259"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6" w:lineRule="exact"/>
        <w:rPr>
          <w:rFonts w:ascii="Arial" w:cs="Arial" w:eastAsia="Arial" w:hAnsi="Arial"/>
          <w:sz w:val="18"/>
          <w:szCs w:val="18"/>
          <w:color w:val="auto"/>
        </w:rPr>
      </w:pPr>
    </w:p>
    <w:p>
      <w:pPr>
        <w:ind w:left="1160" w:right="200" w:hanging="571"/>
        <w:spacing w:after="0" w:line="259" w:lineRule="auto"/>
        <w:tabs>
          <w:tab w:leader="none" w:pos="11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15d-15(f)for the Registrant and have:</w:t>
      </w:r>
    </w:p>
    <w:p>
      <w:pPr>
        <w:spacing w:after="0" w:line="126" w:lineRule="exact"/>
        <w:rPr>
          <w:rFonts w:ascii="Arial" w:cs="Arial" w:eastAsia="Arial" w:hAnsi="Arial"/>
          <w:sz w:val="18"/>
          <w:szCs w:val="18"/>
          <w:color w:val="auto"/>
        </w:rPr>
      </w:pPr>
    </w:p>
    <w:p>
      <w:pPr>
        <w:ind w:left="1720" w:right="140" w:hanging="564"/>
        <w:spacing w:after="0" w:line="306" w:lineRule="auto"/>
        <w:tabs>
          <w:tab w:leader="none" w:pos="1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3" w:lineRule="exact"/>
        <w:rPr>
          <w:rFonts w:ascii="Arial" w:cs="Arial" w:eastAsia="Arial" w:hAnsi="Arial"/>
          <w:sz w:val="16"/>
          <w:szCs w:val="16"/>
          <w:color w:val="auto"/>
        </w:rPr>
      </w:pPr>
    </w:p>
    <w:p>
      <w:pPr>
        <w:ind w:left="1720" w:right="120" w:hanging="564"/>
        <w:spacing w:after="0" w:line="259" w:lineRule="auto"/>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720" w:right="160" w:hanging="564"/>
        <w:spacing w:after="0" w:line="259" w:lineRule="auto"/>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26" w:lineRule="exact"/>
        <w:rPr>
          <w:rFonts w:ascii="Arial" w:cs="Arial" w:eastAsia="Arial" w:hAnsi="Arial"/>
          <w:sz w:val="18"/>
          <w:szCs w:val="18"/>
          <w:color w:val="auto"/>
        </w:rPr>
      </w:pPr>
    </w:p>
    <w:p>
      <w:pPr>
        <w:ind w:left="1720" w:right="120" w:hanging="564"/>
        <w:spacing w:after="0" w:line="259" w:lineRule="auto"/>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180" w:hanging="571"/>
        <w:spacing w:after="0" w:line="332" w:lineRule="auto"/>
        <w:tabs>
          <w:tab w:leader="none" w:pos="116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720" w:right="540" w:hanging="564"/>
        <w:spacing w:after="0" w:line="332" w:lineRule="auto"/>
        <w:tabs>
          <w:tab w:leader="none" w:pos="1720" w:val="left"/>
        </w:tabs>
        <w:numPr>
          <w:ilvl w:val="1"/>
          <w:numId w:val="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160" w:hanging="564"/>
        <w:spacing w:after="0" w:line="268" w:lineRule="auto"/>
        <w:tabs>
          <w:tab w:leader="none" w:pos="17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Pr>
          <w:p>
            <w:pPr>
              <w:ind w:left="580"/>
              <w:spacing w:after="0"/>
              <w:rPr>
                <w:sz w:val="20"/>
                <w:szCs w:val="20"/>
                <w:color w:val="auto"/>
              </w:rPr>
            </w:pPr>
            <w:r>
              <w:rPr>
                <w:rFonts w:ascii="Arial" w:cs="Arial" w:eastAsia="Arial" w:hAnsi="Arial"/>
                <w:sz w:val="18"/>
                <w:szCs w:val="18"/>
                <w:color w:val="auto"/>
              </w:rPr>
              <w:t>Date:</w:t>
            </w:r>
          </w:p>
        </w:tc>
        <w:tc>
          <w:tcPr>
            <w:tcW w:w="27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January 6, 2009</w:t>
            </w:r>
          </w:p>
        </w:tc>
        <w:tc>
          <w:tcPr>
            <w:tcW w:w="3240" w:type="dxa"/>
            <w:vAlign w:val="bottom"/>
          </w:tcPr>
          <w:p>
            <w:pPr>
              <w:ind w:left="270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c>
          <w:tcPr>
            <w:tcW w:w="1140" w:type="dxa"/>
            <w:vAlign w:val="bottom"/>
          </w:tcPr>
          <w:p>
            <w:pPr>
              <w:spacing w:after="0"/>
              <w:rPr>
                <w:sz w:val="19"/>
                <w:szCs w:val="19"/>
                <w:color w:val="auto"/>
              </w:rPr>
            </w:pPr>
          </w:p>
        </w:tc>
      </w:tr>
      <w:tr>
        <w:trPr>
          <w:trHeight w:val="202"/>
        </w:trPr>
        <w:tc>
          <w:tcPr>
            <w:tcW w:w="1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Robert J. Olson</w:t>
            </w:r>
          </w:p>
        </w:tc>
        <w:tc>
          <w:tcPr>
            <w:tcW w:w="1140" w:type="dxa"/>
            <w:vAlign w:val="bottom"/>
          </w:tcPr>
          <w:p>
            <w:pPr>
              <w:spacing w:after="0"/>
              <w:rPr>
                <w:sz w:val="17"/>
                <w:szCs w:val="17"/>
                <w:color w:val="auto"/>
              </w:rPr>
            </w:pPr>
          </w:p>
        </w:tc>
      </w:tr>
      <w:tr>
        <w:trPr>
          <w:trHeight w:val="222"/>
        </w:trPr>
        <w:tc>
          <w:tcPr>
            <w:tcW w:w="1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40" w:type="dxa"/>
            <w:vAlign w:val="bottom"/>
          </w:tcPr>
          <w:p>
            <w:pPr>
              <w:spacing w:after="0"/>
              <w:rPr>
                <w:sz w:val="19"/>
                <w:szCs w:val="19"/>
                <w:color w:val="auto"/>
              </w:rPr>
            </w:pPr>
          </w:p>
        </w:tc>
      </w:tr>
      <w:tr>
        <w:trPr>
          <w:trHeight w:val="377"/>
        </w:trPr>
        <w:tc>
          <w:tcPr>
            <w:tcW w:w="112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2" w:name="page23"/>
    <w:bookmarkEnd w:id="22"/>
    <w:p>
      <w:pPr>
        <w:jc w:val="center"/>
        <w:ind w:right="40"/>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 Sarah N. Nielsen, Chief Financial Officer of Winnebago Industries, Inc., certify that:</w:t>
      </w:r>
    </w:p>
    <w:p>
      <w:pPr>
        <w:spacing w:after="0" w:line="239" w:lineRule="exact"/>
        <w:rPr>
          <w:sz w:val="20"/>
          <w:szCs w:val="20"/>
          <w:color w:val="auto"/>
        </w:rPr>
      </w:pPr>
    </w:p>
    <w:p>
      <w:pPr>
        <w:ind w:left="1160" w:hanging="571"/>
        <w:spacing w:after="0"/>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Winnebago Industries, Inc. (“the Registrant”);</w:t>
      </w:r>
    </w:p>
    <w:p>
      <w:pPr>
        <w:spacing w:after="0" w:line="157" w:lineRule="exact"/>
        <w:rPr>
          <w:rFonts w:ascii="Arial" w:cs="Arial" w:eastAsia="Arial" w:hAnsi="Arial"/>
          <w:sz w:val="18"/>
          <w:szCs w:val="18"/>
          <w:color w:val="auto"/>
        </w:rPr>
      </w:pPr>
    </w:p>
    <w:p>
      <w:pPr>
        <w:ind w:left="1160" w:right="180" w:hanging="571"/>
        <w:spacing w:after="0" w:line="259"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Quarterly Report does not contain any untrue statement of a material fact or omit to state a material fact necessary to make the statements made, in light of the circumstances under which such statements were made, not misleading with respect to the period covered by this Quarterly Report;</w:t>
      </w:r>
    </w:p>
    <w:p>
      <w:pPr>
        <w:spacing w:after="0" w:line="126" w:lineRule="exact"/>
        <w:rPr>
          <w:rFonts w:ascii="Arial" w:cs="Arial" w:eastAsia="Arial" w:hAnsi="Arial"/>
          <w:sz w:val="18"/>
          <w:szCs w:val="18"/>
          <w:color w:val="auto"/>
        </w:rPr>
      </w:pPr>
    </w:p>
    <w:p>
      <w:pPr>
        <w:ind w:left="1160" w:right="240" w:hanging="571"/>
        <w:spacing w:after="0" w:line="259"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Quarterly Report fairly present in all material respects the financial condition, results of operations and cash flows of the Registrant as of, and for, the periods presented in this Quarterly Report;</w:t>
      </w:r>
    </w:p>
    <w:p>
      <w:pPr>
        <w:spacing w:after="0" w:line="126" w:lineRule="exact"/>
        <w:rPr>
          <w:rFonts w:ascii="Arial" w:cs="Arial" w:eastAsia="Arial" w:hAnsi="Arial"/>
          <w:sz w:val="18"/>
          <w:szCs w:val="18"/>
          <w:color w:val="auto"/>
        </w:rPr>
      </w:pPr>
    </w:p>
    <w:p>
      <w:pPr>
        <w:ind w:left="1160" w:right="200" w:hanging="571"/>
        <w:spacing w:after="0" w:line="259" w:lineRule="auto"/>
        <w:tabs>
          <w:tab w:leader="none" w:pos="11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720" w:right="140" w:hanging="564"/>
        <w:spacing w:after="0" w:line="306" w:lineRule="auto"/>
        <w:tabs>
          <w:tab w:leader="none" w:pos="17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Quarterly Report is being prepared;</w:t>
      </w:r>
    </w:p>
    <w:p>
      <w:pPr>
        <w:spacing w:after="0" w:line="93" w:lineRule="exact"/>
        <w:rPr>
          <w:rFonts w:ascii="Arial" w:cs="Arial" w:eastAsia="Arial" w:hAnsi="Arial"/>
          <w:sz w:val="16"/>
          <w:szCs w:val="16"/>
          <w:color w:val="auto"/>
        </w:rPr>
      </w:pPr>
    </w:p>
    <w:p>
      <w:pPr>
        <w:ind w:left="1720" w:right="120" w:hanging="564"/>
        <w:spacing w:after="0" w:line="259" w:lineRule="auto"/>
        <w:tabs>
          <w:tab w:leader="none" w:pos="1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720" w:right="160" w:hanging="564"/>
        <w:spacing w:after="0" w:line="259" w:lineRule="auto"/>
        <w:tabs>
          <w:tab w:leader="none" w:pos="1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Quarterly Report our conclusions about the effectiveness of the disclosure controls and procedures, as of end of the period covered by this Quarterly Report based on such evaluation;</w:t>
      </w:r>
    </w:p>
    <w:p>
      <w:pPr>
        <w:spacing w:after="0" w:line="126" w:lineRule="exact"/>
        <w:rPr>
          <w:rFonts w:ascii="Arial" w:cs="Arial" w:eastAsia="Arial" w:hAnsi="Arial"/>
          <w:sz w:val="18"/>
          <w:szCs w:val="18"/>
          <w:color w:val="auto"/>
        </w:rPr>
      </w:pPr>
    </w:p>
    <w:p>
      <w:pPr>
        <w:ind w:left="1720" w:right="120" w:hanging="564"/>
        <w:spacing w:after="0" w:line="259" w:lineRule="auto"/>
        <w:tabs>
          <w:tab w:leader="none" w:pos="1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Quarterly Report any change in the Registrant’s internal control over financial reporting that occurred during the Registrant’s most recent fiscal quarter (the Registrant’s first fiscal quarter in this case) that has materially affected, or is reasonably likely to materially affect, the Registrant’s internal control over financial reporting;</w:t>
      </w:r>
    </w:p>
    <w:p>
      <w:pPr>
        <w:spacing w:after="0" w:line="126" w:lineRule="exact"/>
        <w:rPr>
          <w:rFonts w:ascii="Arial" w:cs="Arial" w:eastAsia="Arial" w:hAnsi="Arial"/>
          <w:sz w:val="18"/>
          <w:szCs w:val="18"/>
          <w:color w:val="auto"/>
        </w:rPr>
      </w:pPr>
    </w:p>
    <w:p>
      <w:pPr>
        <w:ind w:left="1160" w:right="180" w:hanging="571"/>
        <w:spacing w:after="0" w:line="332" w:lineRule="auto"/>
        <w:tabs>
          <w:tab w:leader="none" w:pos="11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71" w:lineRule="exact"/>
        <w:rPr>
          <w:rFonts w:ascii="Arial" w:cs="Arial" w:eastAsia="Arial" w:hAnsi="Arial"/>
          <w:sz w:val="16"/>
          <w:szCs w:val="16"/>
          <w:color w:val="auto"/>
        </w:rPr>
      </w:pPr>
    </w:p>
    <w:p>
      <w:pPr>
        <w:ind w:left="1720" w:right="540" w:hanging="564"/>
        <w:spacing w:after="0" w:line="332" w:lineRule="auto"/>
        <w:tabs>
          <w:tab w:leader="none" w:pos="172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160" w:hanging="564"/>
        <w:spacing w:after="0" w:line="268" w:lineRule="auto"/>
        <w:tabs>
          <w:tab w:leader="none" w:pos="17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involved management or other employees who have a significant role in the Registrant’s internal control over financial reporting.</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Pr>
          <w:p>
            <w:pPr>
              <w:ind w:left="580"/>
              <w:spacing w:after="0"/>
              <w:rPr>
                <w:sz w:val="20"/>
                <w:szCs w:val="20"/>
                <w:color w:val="auto"/>
              </w:rPr>
            </w:pPr>
            <w:r>
              <w:rPr>
                <w:rFonts w:ascii="Arial" w:cs="Arial" w:eastAsia="Arial" w:hAnsi="Arial"/>
                <w:sz w:val="18"/>
                <w:szCs w:val="18"/>
                <w:color w:val="auto"/>
              </w:rPr>
              <w:t>Date:</w:t>
            </w:r>
          </w:p>
        </w:tc>
        <w:tc>
          <w:tcPr>
            <w:tcW w:w="27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January 6, 2009</w:t>
            </w:r>
          </w:p>
        </w:tc>
        <w:tc>
          <w:tcPr>
            <w:tcW w:w="3240" w:type="dxa"/>
            <w:vAlign w:val="bottom"/>
          </w:tcPr>
          <w:p>
            <w:pPr>
              <w:ind w:left="270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N. Nielsen</w:t>
            </w:r>
          </w:p>
        </w:tc>
        <w:tc>
          <w:tcPr>
            <w:tcW w:w="1140" w:type="dxa"/>
            <w:vAlign w:val="bottom"/>
          </w:tcPr>
          <w:p>
            <w:pPr>
              <w:spacing w:after="0"/>
              <w:rPr>
                <w:sz w:val="19"/>
                <w:szCs w:val="19"/>
                <w:color w:val="auto"/>
              </w:rPr>
            </w:pPr>
          </w:p>
        </w:tc>
      </w:tr>
      <w:tr>
        <w:trPr>
          <w:trHeight w:val="202"/>
        </w:trPr>
        <w:tc>
          <w:tcPr>
            <w:tcW w:w="1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Sarah N. Nielsen</w:t>
            </w:r>
          </w:p>
        </w:tc>
        <w:tc>
          <w:tcPr>
            <w:tcW w:w="1140" w:type="dxa"/>
            <w:vAlign w:val="bottom"/>
          </w:tcPr>
          <w:p>
            <w:pPr>
              <w:spacing w:after="0"/>
              <w:rPr>
                <w:sz w:val="17"/>
                <w:szCs w:val="17"/>
                <w:color w:val="auto"/>
              </w:rPr>
            </w:pPr>
          </w:p>
        </w:tc>
      </w:tr>
      <w:tr>
        <w:trPr>
          <w:trHeight w:val="222"/>
        </w:trPr>
        <w:tc>
          <w:tcPr>
            <w:tcW w:w="1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40" w:type="dxa"/>
            <w:vAlign w:val="bottom"/>
          </w:tcPr>
          <w:p>
            <w:pPr>
              <w:spacing w:after="0"/>
              <w:rPr>
                <w:sz w:val="19"/>
                <w:szCs w:val="19"/>
                <w:color w:val="auto"/>
              </w:rPr>
            </w:pPr>
          </w:p>
        </w:tc>
      </w:tr>
      <w:tr>
        <w:trPr>
          <w:trHeight w:val="377"/>
        </w:trPr>
        <w:tc>
          <w:tcPr>
            <w:tcW w:w="112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3" w:name="page24"/>
    <w:bookmarkEnd w:id="23"/>
    <w:p>
      <w:pPr>
        <w:jc w:val="center"/>
        <w:ind w:right="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In connection with this Quarterly Report on Form 10-Q of Winnebago Industries, Inc. for the period ended November 29, 2008, I, Robert J. Olson, Chairman of the Board, Chief Executive Officer and President of Winnebago Industries, Inc., certify that pursuant to 18 U.S.C. §1350 as adopted pursuant to §906 of the Sarbanes-Oxley Act of 2002, that:</w:t>
      </w:r>
    </w:p>
    <w:p>
      <w:pPr>
        <w:spacing w:after="0" w:line="208" w:lineRule="exact"/>
        <w:rPr>
          <w:sz w:val="20"/>
          <w:szCs w:val="20"/>
          <w:color w:val="auto"/>
        </w:rPr>
      </w:pPr>
    </w:p>
    <w:p>
      <w:pPr>
        <w:ind w:left="1160" w:right="40" w:hanging="571"/>
        <w:spacing w:after="0" w:line="259"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November 29, 2008 as filed with the Securities and Exchange Commission on the date of this certificate, which this statement accompanies, fully complies with the requirements of Section 13(a) or 15(d) of the Securities Exchange Act of 1934, and</w:t>
      </w:r>
    </w:p>
    <w:p>
      <w:pPr>
        <w:spacing w:after="0" w:line="126" w:lineRule="exact"/>
        <w:rPr>
          <w:rFonts w:ascii="Arial" w:cs="Arial" w:eastAsia="Arial" w:hAnsi="Arial"/>
          <w:sz w:val="18"/>
          <w:szCs w:val="18"/>
          <w:color w:val="auto"/>
        </w:rPr>
      </w:pPr>
    </w:p>
    <w:p>
      <w:pPr>
        <w:ind w:left="1160" w:right="200" w:hanging="571"/>
        <w:spacing w:after="0" w:line="268" w:lineRule="auto"/>
        <w:tabs>
          <w:tab w:leader="none" w:pos="11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Pr>
          <w:p>
            <w:pPr>
              <w:ind w:left="580"/>
              <w:spacing w:after="0"/>
              <w:rPr>
                <w:sz w:val="20"/>
                <w:szCs w:val="20"/>
                <w:color w:val="auto"/>
              </w:rPr>
            </w:pPr>
            <w:r>
              <w:rPr>
                <w:rFonts w:ascii="Arial" w:cs="Arial" w:eastAsia="Arial" w:hAnsi="Arial"/>
                <w:sz w:val="18"/>
                <w:szCs w:val="18"/>
                <w:color w:val="auto"/>
              </w:rPr>
              <w:t>Date:</w:t>
            </w:r>
          </w:p>
        </w:tc>
        <w:tc>
          <w:tcPr>
            <w:tcW w:w="27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January 6, 2009</w:t>
            </w:r>
          </w:p>
        </w:tc>
        <w:tc>
          <w:tcPr>
            <w:tcW w:w="3240" w:type="dxa"/>
            <w:vAlign w:val="bottom"/>
          </w:tcPr>
          <w:p>
            <w:pPr>
              <w:ind w:left="270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Robert J. Olson</w:t>
            </w:r>
          </w:p>
        </w:tc>
        <w:tc>
          <w:tcPr>
            <w:tcW w:w="1140" w:type="dxa"/>
            <w:vAlign w:val="bottom"/>
          </w:tcPr>
          <w:p>
            <w:pPr>
              <w:spacing w:after="0"/>
              <w:rPr>
                <w:sz w:val="19"/>
                <w:szCs w:val="19"/>
                <w:color w:val="auto"/>
              </w:rPr>
            </w:pPr>
          </w:p>
        </w:tc>
      </w:tr>
      <w:tr>
        <w:trPr>
          <w:trHeight w:val="202"/>
        </w:trPr>
        <w:tc>
          <w:tcPr>
            <w:tcW w:w="1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Robert J. Olson</w:t>
            </w:r>
          </w:p>
        </w:tc>
        <w:tc>
          <w:tcPr>
            <w:tcW w:w="1140" w:type="dxa"/>
            <w:vAlign w:val="bottom"/>
          </w:tcPr>
          <w:p>
            <w:pPr>
              <w:spacing w:after="0"/>
              <w:rPr>
                <w:sz w:val="17"/>
                <w:szCs w:val="17"/>
                <w:color w:val="auto"/>
              </w:rPr>
            </w:pPr>
          </w:p>
        </w:tc>
      </w:tr>
      <w:tr>
        <w:trPr>
          <w:trHeight w:val="222"/>
        </w:trPr>
        <w:tc>
          <w:tcPr>
            <w:tcW w:w="1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140" w:type="dxa"/>
            <w:vAlign w:val="bottom"/>
          </w:tcPr>
          <w:p>
            <w:pPr>
              <w:spacing w:after="0"/>
              <w:rPr>
                <w:sz w:val="19"/>
                <w:szCs w:val="19"/>
                <w:color w:val="auto"/>
              </w:rPr>
            </w:pPr>
          </w:p>
        </w:tc>
      </w:tr>
      <w:tr>
        <w:trPr>
          <w:trHeight w:val="1349"/>
        </w:trPr>
        <w:tc>
          <w:tcPr>
            <w:tcW w:w="112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4" w:name="page25"/>
    <w:bookmarkEnd w:id="24"/>
    <w:p>
      <w:pPr>
        <w:jc w:val="center"/>
        <w:ind w:right="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(18 U.S.C. SECTION 1350)</w:t>
      </w:r>
    </w:p>
    <w:p>
      <w:pPr>
        <w:spacing w:after="0" w:line="219"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In connection with this Quarterly Report on Form 10-Q of Winnebago Industries, Inc. for the period ended November 29, 2008, I, Sarah N. Nielsen, Chief Financial Officer of Winnebago Industries, Inc., certify that pursuant to 18 U.S.C. §1350 as adopted pursuant to §906 of the Sarbanes-Oxley Act of 2002, that:</w:t>
      </w:r>
    </w:p>
    <w:p>
      <w:pPr>
        <w:spacing w:after="0" w:line="130" w:lineRule="exact"/>
        <w:rPr>
          <w:sz w:val="20"/>
          <w:szCs w:val="20"/>
          <w:color w:val="auto"/>
        </w:rPr>
      </w:pPr>
    </w:p>
    <w:p>
      <w:pPr>
        <w:ind w:left="1160" w:right="40" w:hanging="571"/>
        <w:spacing w:after="0" w:line="259"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This Quarterly Report on Form 10-Q (“periodic report”) of Winnebago Industries, Inc. (the “issuer”), for the quarter ended November 29, 2008 as filed with the Securities and Exchange Commission on the date of this certificate, which this statement accompanies, fully complies with the requirements of Section 13(a) or 15(d) of the Securities Exchange Act of 1934, and</w:t>
      </w:r>
    </w:p>
    <w:p>
      <w:pPr>
        <w:spacing w:after="0" w:line="126" w:lineRule="exact"/>
        <w:rPr>
          <w:rFonts w:ascii="Arial" w:cs="Arial" w:eastAsia="Arial" w:hAnsi="Arial"/>
          <w:sz w:val="18"/>
          <w:szCs w:val="18"/>
          <w:color w:val="auto"/>
        </w:rPr>
      </w:pPr>
    </w:p>
    <w:p>
      <w:pPr>
        <w:ind w:left="1160" w:right="200" w:hanging="571"/>
        <w:spacing w:after="0" w:line="268" w:lineRule="auto"/>
        <w:tabs>
          <w:tab w:leader="none" w:pos="11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this periodic report fairly represents, in all material respects, the financial condition and results of operations of the issuer.</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120" w:type="dxa"/>
            <w:vAlign w:val="bottom"/>
          </w:tcPr>
          <w:p>
            <w:pPr>
              <w:ind w:left="580"/>
              <w:spacing w:after="0"/>
              <w:rPr>
                <w:sz w:val="20"/>
                <w:szCs w:val="20"/>
                <w:color w:val="auto"/>
              </w:rPr>
            </w:pPr>
            <w:r>
              <w:rPr>
                <w:rFonts w:ascii="Arial" w:cs="Arial" w:eastAsia="Arial" w:hAnsi="Arial"/>
                <w:sz w:val="18"/>
                <w:szCs w:val="18"/>
                <w:color w:val="auto"/>
              </w:rPr>
              <w:t>Date:</w:t>
            </w:r>
          </w:p>
        </w:tc>
        <w:tc>
          <w:tcPr>
            <w:tcW w:w="2720" w:type="dxa"/>
            <w:vAlign w:val="bottom"/>
            <w:tcBorders>
              <w:bottom w:val="single" w:sz="8" w:color="auto"/>
            </w:tcBorders>
          </w:tcPr>
          <w:p>
            <w:pPr>
              <w:ind w:left="820"/>
              <w:spacing w:after="0"/>
              <w:rPr>
                <w:sz w:val="20"/>
                <w:szCs w:val="20"/>
                <w:color w:val="auto"/>
              </w:rPr>
            </w:pPr>
            <w:r>
              <w:rPr>
                <w:rFonts w:ascii="Arial" w:cs="Arial" w:eastAsia="Arial" w:hAnsi="Arial"/>
                <w:sz w:val="18"/>
                <w:szCs w:val="18"/>
                <w:color w:val="auto"/>
              </w:rPr>
              <w:t>January 6, 2009</w:t>
            </w:r>
          </w:p>
        </w:tc>
        <w:tc>
          <w:tcPr>
            <w:tcW w:w="3240" w:type="dxa"/>
            <w:vAlign w:val="bottom"/>
          </w:tcPr>
          <w:p>
            <w:pPr>
              <w:ind w:left="2700"/>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Sarah N. Nielsen</w:t>
            </w:r>
          </w:p>
        </w:tc>
        <w:tc>
          <w:tcPr>
            <w:tcW w:w="1140" w:type="dxa"/>
            <w:vAlign w:val="bottom"/>
          </w:tcPr>
          <w:p>
            <w:pPr>
              <w:spacing w:after="0"/>
              <w:rPr>
                <w:sz w:val="19"/>
                <w:szCs w:val="19"/>
                <w:color w:val="auto"/>
              </w:rPr>
            </w:pPr>
          </w:p>
        </w:tc>
      </w:tr>
      <w:tr>
        <w:trPr>
          <w:trHeight w:val="202"/>
        </w:trPr>
        <w:tc>
          <w:tcPr>
            <w:tcW w:w="1120" w:type="dxa"/>
            <w:vAlign w:val="bottom"/>
          </w:tcPr>
          <w:p>
            <w:pPr>
              <w:spacing w:after="0"/>
              <w:rPr>
                <w:sz w:val="17"/>
                <w:szCs w:val="17"/>
                <w:color w:val="auto"/>
              </w:rPr>
            </w:pPr>
          </w:p>
        </w:tc>
        <w:tc>
          <w:tcPr>
            <w:tcW w:w="272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3240" w:type="dxa"/>
            <w:vAlign w:val="bottom"/>
          </w:tcPr>
          <w:p>
            <w:pPr>
              <w:spacing w:after="0" w:line="202" w:lineRule="exact"/>
              <w:rPr>
                <w:sz w:val="20"/>
                <w:szCs w:val="20"/>
                <w:color w:val="auto"/>
              </w:rPr>
            </w:pPr>
            <w:r>
              <w:rPr>
                <w:rFonts w:ascii="Arial" w:cs="Arial" w:eastAsia="Arial" w:hAnsi="Arial"/>
                <w:sz w:val="18"/>
                <w:szCs w:val="18"/>
                <w:color w:val="auto"/>
              </w:rPr>
              <w:t>Sarah N. Nielsen</w:t>
            </w:r>
          </w:p>
        </w:tc>
        <w:tc>
          <w:tcPr>
            <w:tcW w:w="1140" w:type="dxa"/>
            <w:vAlign w:val="bottom"/>
          </w:tcPr>
          <w:p>
            <w:pPr>
              <w:spacing w:after="0"/>
              <w:rPr>
                <w:sz w:val="17"/>
                <w:szCs w:val="17"/>
                <w:color w:val="auto"/>
              </w:rPr>
            </w:pPr>
          </w:p>
        </w:tc>
      </w:tr>
      <w:tr>
        <w:trPr>
          <w:trHeight w:val="222"/>
        </w:trPr>
        <w:tc>
          <w:tcPr>
            <w:tcW w:w="1120" w:type="dxa"/>
            <w:vAlign w:val="bottom"/>
          </w:tcPr>
          <w:p>
            <w:pPr>
              <w:spacing w:after="0"/>
              <w:rPr>
                <w:sz w:val="19"/>
                <w:szCs w:val="19"/>
                <w:color w:val="auto"/>
              </w:rPr>
            </w:pPr>
          </w:p>
        </w:tc>
        <w:tc>
          <w:tcPr>
            <w:tcW w:w="272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324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140" w:type="dxa"/>
            <w:vAlign w:val="bottom"/>
          </w:tcPr>
          <w:p>
            <w:pPr>
              <w:spacing w:after="0"/>
              <w:rPr>
                <w:sz w:val="19"/>
                <w:szCs w:val="19"/>
                <w:color w:val="auto"/>
              </w:rPr>
            </w:pPr>
          </w:p>
        </w:tc>
      </w:tr>
      <w:tr>
        <w:trPr>
          <w:trHeight w:val="1349"/>
        </w:trPr>
        <w:tc>
          <w:tcPr>
            <w:tcW w:w="1120" w:type="dxa"/>
            <w:vAlign w:val="bottom"/>
            <w:tcBorders>
              <w:bottom w:val="single" w:sz="8" w:color="808080"/>
            </w:tcBorders>
          </w:tcPr>
          <w:p>
            <w:pPr>
              <w:spacing w:after="0"/>
              <w:rPr>
                <w:sz w:val="24"/>
                <w:szCs w:val="24"/>
                <w:color w:val="auto"/>
              </w:rPr>
            </w:pPr>
          </w:p>
        </w:tc>
        <w:tc>
          <w:tcPr>
            <w:tcW w:w="272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3240" w:type="dxa"/>
            <w:vAlign w:val="bottom"/>
            <w:tcBorders>
              <w:bottom w:val="single" w:sz="8" w:color="808080"/>
            </w:tcBorders>
          </w:tcPr>
          <w:p>
            <w:pPr>
              <w:spacing w:after="0"/>
              <w:rPr>
                <w:sz w:val="24"/>
                <w:szCs w:val="24"/>
                <w:color w:val="auto"/>
              </w:rPr>
            </w:pPr>
          </w:p>
        </w:tc>
        <w:tc>
          <w:tcPr>
            <w:tcW w:w="1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o"/>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2019-12-10T02:59:56Z</dcterms:created>
  <dcterms:modified xsi:type="dcterms:W3CDTF">2019-12-10T02:59:56Z</dcterms:modified>
</cp:coreProperties>
</file>