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198755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March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632460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134620</wp:posOffset>
            </wp:positionV>
            <wp:extent cx="3027045"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704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40" w:lineRule="exact"/>
        <w:rPr>
          <w:sz w:val="24"/>
          <w:szCs w:val="24"/>
          <w:color w:val="auto"/>
        </w:rPr>
      </w:pPr>
    </w:p>
    <w:tbl>
      <w:tblPr>
        <w:tblLayout w:type="fixed"/>
        <w:tblInd w:w="1120" w:type="dxa"/>
        <w:tblCellMar>
          <w:top w:w="0" w:type="dxa"/>
          <w:left w:w="0" w:type="dxa"/>
          <w:bottom w:w="0" w:type="dxa"/>
          <w:right w:w="0" w:type="dxa"/>
        </w:tblCellMar>
      </w:tblPr>
      <w:tr>
        <w:trPr>
          <w:trHeight w:val="254"/>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192"/>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219"/>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8"/>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2"/>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81"/>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51"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87630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370"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3"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3"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3"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3" w:lineRule="exact"/>
        <w:rPr>
          <w:sz w:val="24"/>
          <w:szCs w:val="24"/>
          <w:color w:val="auto"/>
        </w:rPr>
      </w:pPr>
    </w:p>
    <w:p>
      <w:pPr>
        <w:ind w:right="180"/>
        <w:spacing w:after="0" w:line="25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 xml:space="preserve">Emerging growth company </w:t>
      </w:r>
      <w:r>
        <w:rPr>
          <w:rFonts w:ascii="Times New Roman" w:cs="Times New Roman" w:eastAsia="Times New Roman" w:hAnsi="Times New Roman"/>
          <w:sz w:val="16"/>
          <w:szCs w:val="16"/>
          <w:color w:val="auto"/>
        </w:rPr>
        <w:t>o</w:t>
      </w:r>
    </w:p>
    <w:p>
      <w:pPr>
        <w:spacing w:after="0" w:line="92" w:lineRule="exact"/>
        <w:rPr>
          <w:sz w:val="24"/>
          <w:szCs w:val="24"/>
          <w:color w:val="auto"/>
        </w:rPr>
      </w:pPr>
    </w:p>
    <w:p>
      <w:pPr>
        <w:ind w:right="300"/>
        <w:spacing w:after="0" w:line="29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3"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March 25, 2019, Winnebago Industries, Inc. issued a press release to report financial results for the second quarter of Fiscal 2019 ended February 23, 2019. A copy of the press release is attached as Exhibit 99.1 and is incorporated by reference herein.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second quarter of Fiscal 2019.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7"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7023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46" w:lineRule="exact"/>
        <w:rPr>
          <w:sz w:val="20"/>
          <w:szCs w:val="20"/>
          <w:color w:val="auto"/>
        </w:rPr>
      </w:pPr>
    </w:p>
    <w:p>
      <w:pPr>
        <w:ind w:left="380"/>
        <w:spacing w:after="0"/>
        <w:tabs>
          <w:tab w:leader="none" w:pos="140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Press Release of Winnebago Industries, Inc. dated March 25, 2019</w:t>
        </w:r>
      </w:hyperlink>
    </w:p>
    <w:p>
      <w:pPr>
        <w:sectPr>
          <w:pgSz w:w="11900" w:h="16838" w:orient="portrait"/>
          <w:cols w:equalWidth="0" w:num="1">
            <w:col w:w="11120"/>
          </w:cols>
          <w:pgMar w:left="240" w:top="552" w:right="5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94"/>
        </w:trPr>
        <w:tc>
          <w:tcPr>
            <w:tcW w:w="6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640" w:type="dxa"/>
            <w:vAlign w:val="bottom"/>
            <w:gridSpan w:val="2"/>
          </w:tcPr>
          <w:p>
            <w:pPr>
              <w:ind w:left="12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58"/>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540" w:type="dxa"/>
            <w:vAlign w:val="bottom"/>
          </w:tcPr>
          <w:p>
            <w:pPr>
              <w:ind w:left="200"/>
              <w:spacing w:after="0"/>
              <w:rPr>
                <w:sz w:val="20"/>
                <w:szCs w:val="20"/>
                <w:color w:val="auto"/>
              </w:rPr>
            </w:pPr>
            <w:r>
              <w:rPr>
                <w:rFonts w:ascii="Arial" w:cs="Arial" w:eastAsia="Arial" w:hAnsi="Arial"/>
                <w:sz w:val="16"/>
                <w:szCs w:val="16"/>
                <w:color w:val="auto"/>
              </w:rPr>
              <w:t>March 25, 2019</w:t>
            </w:r>
          </w:p>
        </w:tc>
        <w:tc>
          <w:tcPr>
            <w:tcW w:w="1980" w:type="dxa"/>
            <w:vAlign w:val="bottom"/>
          </w:tcPr>
          <w:p>
            <w:pPr>
              <w:ind w:left="120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41"/>
        </w:trPr>
        <w:tc>
          <w:tcPr>
            <w:tcW w:w="6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980" w:type="dxa"/>
            <w:vAlign w:val="bottom"/>
          </w:tcPr>
          <w:p>
            <w:pPr>
              <w:ind w:left="120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70"/>
        </w:trPr>
        <w:tc>
          <w:tcPr>
            <w:tcW w:w="6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980" w:type="dxa"/>
            <w:vAlign w:val="bottom"/>
          </w:tcPr>
          <w:p>
            <w:pPr>
              <w:ind w:left="120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220"/>
          </w:cols>
          <w:pgMar w:left="240" w:top="54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16" w:lineRule="exact"/>
        <w:rPr>
          <w:sz w:val="20"/>
          <w:szCs w:val="20"/>
          <w:color w:val="auto"/>
        </w:rPr>
      </w:pPr>
    </w:p>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-374650</wp:posOffset>
            </wp:positionV>
            <wp:extent cx="230695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3257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ANNOUNCES SECOND QUARTER FISCAL 2019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Sales Performance Continues to Outperform The Industry --</w:t>
      </w:r>
    </w:p>
    <w:p>
      <w:pPr>
        <w:spacing w:after="0" w:line="194" w:lineRule="exact"/>
        <w:rPr>
          <w:sz w:val="20"/>
          <w:szCs w:val="20"/>
          <w:color w:val="auto"/>
        </w:rPr>
      </w:pPr>
    </w:p>
    <w:p>
      <w:pPr>
        <w:jc w:val="center"/>
        <w:spacing w:after="0" w:line="522" w:lineRule="auto"/>
        <w:rPr>
          <w:sz w:val="20"/>
          <w:szCs w:val="20"/>
          <w:color w:val="auto"/>
        </w:rPr>
      </w:pPr>
      <w:r>
        <w:rPr>
          <w:rFonts w:ascii="Arial" w:cs="Arial" w:eastAsia="Arial" w:hAnsi="Arial"/>
          <w:sz w:val="16"/>
          <w:szCs w:val="16"/>
          <w:b w:val="1"/>
          <w:bCs w:val="1"/>
          <w:color w:val="auto"/>
        </w:rPr>
        <w:t>-- Quarterly Gross Margins of 15.4% Increased 100 Basis Points Over Prior Year -- -- Strong Improvements in YTD Operating Cash Flow, Up 245% Over Prior Year -- -- Quarterly Diluted EPS of $0.68 Compares to $0.69 Last Year --</w:t>
      </w:r>
    </w:p>
    <w:p>
      <w:pPr>
        <w:spacing w:after="0" w:line="247" w:lineRule="exact"/>
        <w:rPr>
          <w:sz w:val="20"/>
          <w:szCs w:val="20"/>
          <w:color w:val="auto"/>
        </w:rPr>
      </w:pPr>
    </w:p>
    <w:p>
      <w:pPr>
        <w:ind w:right="240"/>
        <w:spacing w:after="0" w:line="397" w:lineRule="auto"/>
        <w:rPr>
          <w:sz w:val="20"/>
          <w:szCs w:val="20"/>
          <w:color w:val="auto"/>
        </w:rPr>
      </w:pPr>
      <w:r>
        <w:rPr>
          <w:rFonts w:ascii="Arial" w:cs="Arial" w:eastAsia="Arial" w:hAnsi="Arial"/>
          <w:sz w:val="16"/>
          <w:szCs w:val="16"/>
          <w:color w:val="auto"/>
        </w:rPr>
        <w:t>FOREST CITY, IOWA, March 25, 2019 - Winnebago Industries, Inc. (NYSE:WGO), a leading outdoor lifestyle product manufacturer, today reported financial results for the Company's second quarter Fiscal 2019.</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Second Quarter Fiscal 2019 Results</w:t>
      </w:r>
    </w:p>
    <w:p>
      <w:pPr>
        <w:spacing w:after="0" w:line="86" w:lineRule="exact"/>
        <w:rPr>
          <w:sz w:val="20"/>
          <w:szCs w:val="20"/>
          <w:color w:val="auto"/>
        </w:rPr>
      </w:pPr>
    </w:p>
    <w:p>
      <w:pPr>
        <w:ind w:right="60"/>
        <w:spacing w:after="0" w:line="358" w:lineRule="auto"/>
        <w:rPr>
          <w:sz w:val="20"/>
          <w:szCs w:val="20"/>
          <w:color w:val="auto"/>
        </w:rPr>
      </w:pPr>
      <w:r>
        <w:rPr>
          <w:rFonts w:ascii="Arial" w:cs="Arial" w:eastAsia="Arial" w:hAnsi="Arial"/>
          <w:sz w:val="16"/>
          <w:szCs w:val="16"/>
          <w:color w:val="auto"/>
        </w:rPr>
        <w:t>Revenues for the Fiscal 2019 second quarter ended February 23, 2019, were $432.7 million, a decrease of 7.6% compared to $468.4 million for the Fiscal 2018 period. Gross profit was $66.4 million, a decrease of 1.8% compared to $67.7 million for the Fiscal 2018 period. Gross profit margin increased 100 basis points in the quarter, driven by revenue mix, pricing and Motorhome segment operational improvements, partially offset by inflationary cost pressures and heightened dealer incentives. Operating income was $28.9 million for the quarter, a decrease of 18.0% compared to $35.3 million in the second quarter of last year, driven primarily by the decline in RV unit sales. Fiscal 2019 second quarter net income was $21.6 million, a decrease of 2.2% compared to $22.1 million in the same period last year. Earnings per diluted share were $0.68, a decrease of 1.4% compared to earnings per diluted share of $0.69 in the same period last year. Net Income and earnings per share were favorably impacted by discrete tax items totaling $2.5 million, or $0.08. Consolidated Adjusted EBITDA was $34.5 million for the quarter, compared to $39.4 million last year, a decrease of 12.4%.</w:t>
      </w:r>
    </w:p>
    <w:p>
      <w:pPr>
        <w:spacing w:after="0" w:line="235" w:lineRule="exact"/>
        <w:rPr>
          <w:sz w:val="20"/>
          <w:szCs w:val="20"/>
          <w:color w:val="auto"/>
        </w:rPr>
      </w:pPr>
    </w:p>
    <w:p>
      <w:pPr>
        <w:jc w:val="both"/>
        <w:ind w:right="20"/>
        <w:spacing w:after="0" w:line="352" w:lineRule="auto"/>
        <w:rPr>
          <w:sz w:val="20"/>
          <w:szCs w:val="20"/>
          <w:color w:val="auto"/>
        </w:rPr>
      </w:pPr>
      <w:r>
        <w:rPr>
          <w:rFonts w:ascii="Arial" w:cs="Arial" w:eastAsia="Arial" w:hAnsi="Arial"/>
          <w:sz w:val="16"/>
          <w:szCs w:val="16"/>
          <w:color w:val="auto"/>
        </w:rPr>
        <w:t>President and Chief Executive Officer Michael Happe commented, “Our solid consolidated second quarter results represent the growing strength of our brands in the marketplace. We continued to make progress advancing our competitive position, gaining market share and increasing the overall appeal of our products with customers, despite challenging macro conditions within the RV industry as dealers continued to reduce their overall inventory levels in the quarter.</w:t>
      </w:r>
    </w:p>
    <w:p>
      <w:pPr>
        <w:spacing w:after="0" w:line="1" w:lineRule="exact"/>
        <w:rPr>
          <w:sz w:val="20"/>
          <w:szCs w:val="20"/>
          <w:color w:val="auto"/>
        </w:rPr>
      </w:pPr>
    </w:p>
    <w:p>
      <w:pPr>
        <w:ind w:right="100"/>
        <w:spacing w:after="0" w:line="361" w:lineRule="auto"/>
        <w:rPr>
          <w:sz w:val="20"/>
          <w:szCs w:val="20"/>
          <w:color w:val="auto"/>
        </w:rPr>
      </w:pPr>
      <w:r>
        <w:rPr>
          <w:rFonts w:ascii="Arial" w:cs="Arial" w:eastAsia="Arial" w:hAnsi="Arial"/>
          <w:sz w:val="16"/>
          <w:szCs w:val="16"/>
          <w:color w:val="auto"/>
        </w:rPr>
        <w:t>Although Company sales decreased modestly, we continued to materially outpace the industry and expand our year-over-year margins, primarily due to the improved product vitality and profitability of our Motorhome segment and the continued strength and momentum of our Towables segment. Our Chris-Craft business also continues to grow and establish a presence for our enterprise in the growing marine industry. We continue to remain confident in the potential of our multi-branded lineup and the opportunities we have to further leverage our strong position and outperform the markets in which we compete. I want to thank all of our Winnebago Industries employees for their hard work during the quarter and for helping to transform our Company into the trusted leader in outdoor lifestyle solutions.”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w:t>
      </w:r>
    </w:p>
    <w:p>
      <w:pPr>
        <w:spacing w:after="0" w:line="86" w:lineRule="exact"/>
        <w:rPr>
          <w:sz w:val="20"/>
          <w:szCs w:val="20"/>
          <w:color w:val="auto"/>
        </w:rPr>
      </w:pPr>
    </w:p>
    <w:p>
      <w:pPr>
        <w:spacing w:after="0" w:line="397" w:lineRule="auto"/>
        <w:rPr>
          <w:sz w:val="20"/>
          <w:szCs w:val="20"/>
          <w:color w:val="auto"/>
        </w:rPr>
      </w:pPr>
      <w:r>
        <w:rPr>
          <w:rFonts w:ascii="Arial" w:cs="Arial" w:eastAsia="Arial" w:hAnsi="Arial"/>
          <w:sz w:val="16"/>
          <w:szCs w:val="16"/>
          <w:color w:val="auto"/>
        </w:rPr>
        <w:t>In the second quarter, revenues for the Motorhome segment were $164.7 million, down 17.3% from the prior year driven primarily by a decrease in Class A and Class C unit sales, partially offset by an increase in Class B unit sales. Segment Adjusted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362" w:right="239" w:bottom="1440" w:gutter="0" w:footer="0" w:header="0"/>
        </w:sectPr>
      </w:pPr>
    </w:p>
    <w:bookmarkStart w:id="4" w:name="page5"/>
    <w:bookmarkEnd w:id="4"/>
    <w:p>
      <w:pPr>
        <w:ind w:right="260"/>
        <w:spacing w:after="0" w:line="374" w:lineRule="auto"/>
        <w:rPr>
          <w:sz w:val="20"/>
          <w:szCs w:val="20"/>
          <w:color w:val="auto"/>
        </w:rPr>
      </w:pPr>
      <w:r>
        <w:rPr>
          <w:rFonts w:ascii="Arial" w:cs="Arial" w:eastAsia="Arial" w:hAnsi="Arial"/>
          <w:sz w:val="16"/>
          <w:szCs w:val="16"/>
          <w:color w:val="auto"/>
        </w:rPr>
        <w:t>EBITDA was $4.4 million, down 23.4% from the prior year. Adjusted EBITDA margin decreased 30 basis points, driven primarily by the decline in sales, and further impacted by investments in SG&amp;A, partially offset by favorable product mix. Backlog decreased 38.6%, in dollars, versus the prior year, reflecting dealers continuing to right-size inventory levels and prior year Class B new product order timing.</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ind w:right="160"/>
        <w:spacing w:after="0" w:line="352" w:lineRule="auto"/>
        <w:rPr>
          <w:sz w:val="20"/>
          <w:szCs w:val="20"/>
          <w:color w:val="auto"/>
        </w:rPr>
      </w:pPr>
      <w:r>
        <w:rPr>
          <w:rFonts w:ascii="Arial" w:cs="Arial" w:eastAsia="Arial" w:hAnsi="Arial"/>
          <w:sz w:val="16"/>
          <w:szCs w:val="16"/>
          <w:color w:val="auto"/>
        </w:rPr>
        <w:t>Revenues for the Towable segment were $250.7 million for the second quarter, down 5.9% from the prior year, driven by dealer network efforts to reduce inventory levels and comparing against very strong shipments in the prior year, partially offset by pricing. Segment Adjusted EBITDA was $33.6 million, down</w:t>
      </w:r>
    </w:p>
    <w:p>
      <w:pPr>
        <w:spacing w:after="0" w:line="1" w:lineRule="exact"/>
        <w:rPr>
          <w:sz w:val="20"/>
          <w:szCs w:val="20"/>
          <w:color w:val="auto"/>
        </w:rPr>
      </w:pPr>
    </w:p>
    <w:p>
      <w:pPr>
        <w:ind w:right="20"/>
        <w:spacing w:after="0" w:line="374" w:lineRule="auto"/>
        <w:rPr>
          <w:sz w:val="20"/>
          <w:szCs w:val="20"/>
          <w:color w:val="auto"/>
        </w:rPr>
      </w:pPr>
      <w:r>
        <w:rPr>
          <w:rFonts w:ascii="Arial" w:cs="Arial" w:eastAsia="Arial" w:hAnsi="Arial"/>
          <w:sz w:val="16"/>
          <w:szCs w:val="16"/>
          <w:color w:val="auto"/>
        </w:rPr>
        <w:t>7.3% from the prior year. Adjusted EBITDA margin of 13.4% decreased 20 basis points, reflecting pricing actions taken during the last twelve months which did not fully recover increases to cost inputs. Backlog levels remained strong at over 8,000 units but declined 5.7%, in dollars, versus the prior year, reflecting the positive impact of utilizing additional capacity added during calendar 2018 and dealers continuing to right-size inventory levels.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w:t>
      </w:r>
    </w:p>
    <w:p>
      <w:pPr>
        <w:spacing w:after="0" w:line="86" w:lineRule="exact"/>
        <w:rPr>
          <w:sz w:val="20"/>
          <w:szCs w:val="20"/>
          <w:color w:val="auto"/>
        </w:rPr>
      </w:pPr>
    </w:p>
    <w:p>
      <w:pPr>
        <w:spacing w:after="0" w:line="367" w:lineRule="auto"/>
        <w:rPr>
          <w:sz w:val="20"/>
          <w:szCs w:val="20"/>
          <w:color w:val="auto"/>
        </w:rPr>
      </w:pPr>
      <w:r>
        <w:rPr>
          <w:rFonts w:ascii="Arial" w:cs="Arial" w:eastAsia="Arial" w:hAnsi="Arial"/>
          <w:sz w:val="16"/>
          <w:szCs w:val="16"/>
          <w:color w:val="auto"/>
        </w:rPr>
        <w:t>Our effective tax rate for the second quarter was 12.8%, driven lower primarily by favorable discrete items. These discrete items, totaling $2.5 million, were primarily related to R&amp;D tax credits and had an $0.08 impact to earnings per share. Considering our first quarter tax provision and the second quarter favorable discrete items, as well as our current ongoing tax rate assumptions for the remainder of the year, we expect our full year fiscal 2019 tax rate to be approximately 22%. Under the current tax code, our ongoing tax rate in fiscal 2020 and beyond is expected to be in the range of 23% to 24%.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ind w:right="60"/>
        <w:spacing w:after="0" w:line="367" w:lineRule="auto"/>
        <w:rPr>
          <w:sz w:val="20"/>
          <w:szCs w:val="20"/>
          <w:color w:val="auto"/>
        </w:rPr>
      </w:pPr>
      <w:r>
        <w:rPr>
          <w:rFonts w:ascii="Arial" w:cs="Arial" w:eastAsia="Arial" w:hAnsi="Arial"/>
          <w:sz w:val="16"/>
          <w:szCs w:val="16"/>
          <w:color w:val="auto"/>
        </w:rPr>
        <w:t>As of February 23, 2019, the Company had total outstanding debt of $276.9 million ($283.3 million of debt, net of debt issuance costs of $6.4 million) and working capital of $175.3 million. The debt-to-equity ratio decreased to 48.5% from 54.5% as of August 25, 2018, and the ratio of net debt to Adjusted EBITDA was 1.6x as of the end of the quarter. Cash flow from operations was $51.9 million for the first six months of Fiscal 2019, an increase of $36.9 million from the same period in Fiscal 2018.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940"/>
        <w:spacing w:after="0" w:line="397" w:lineRule="auto"/>
        <w:rPr>
          <w:sz w:val="20"/>
          <w:szCs w:val="20"/>
          <w:color w:val="auto"/>
        </w:rPr>
      </w:pPr>
      <w:r>
        <w:rPr>
          <w:rFonts w:ascii="Arial" w:cs="Arial" w:eastAsia="Arial" w:hAnsi="Arial"/>
          <w:sz w:val="16"/>
          <w:szCs w:val="16"/>
          <w:color w:val="auto"/>
        </w:rPr>
        <w:t>On March 8, 2019, the Company’s board of directors approved a quarterly cash dividend of $0.11 per share payable on April 17, 2019, to common stockholders of record at the close of business on April 3, 2019.</w:t>
      </w:r>
    </w:p>
    <w:p>
      <w:pPr>
        <w:spacing w:after="0" w:line="202" w:lineRule="exact"/>
        <w:rPr>
          <w:sz w:val="20"/>
          <w:szCs w:val="20"/>
          <w:color w:val="auto"/>
        </w:rPr>
      </w:pPr>
    </w:p>
    <w:p>
      <w:pPr>
        <w:ind w:right="40"/>
        <w:spacing w:after="0" w:line="357" w:lineRule="auto"/>
        <w:rPr>
          <w:sz w:val="20"/>
          <w:szCs w:val="20"/>
          <w:color w:val="auto"/>
        </w:rPr>
      </w:pPr>
      <w:r>
        <w:rPr>
          <w:rFonts w:ascii="Arial" w:cs="Arial" w:eastAsia="Arial" w:hAnsi="Arial"/>
          <w:sz w:val="16"/>
          <w:szCs w:val="16"/>
          <w:color w:val="auto"/>
        </w:rPr>
        <w:t>Mr. Happe continued, “As we move into the second half of Fiscal 2019, Winnebago Industries is positioned within the outdoor lifestyle market to drive consolidated share growth and long-term value for shareholders. While the RV industry has been challenged over the past 6 months, we believe the wholesale shipment and retail sales equation will approach a new equilibrium during our fiscal Q3. We are well positioned to capitalize on the upcoming retail season across all of our brands. As demonstrated by the strong showing of our new product launches at the recent RVX show, including the new Class B Winnebago Boldt; the Class C Winnebago View; the Grand Design Transcend XPlor travel trailer and our award-winning Winnebago All-Electric Specialty Vehicle, we continue to expect our prospects to remain strong and result in continued share gains. Our efforts to strengthen and expand our core RV business as well as diversify into new, profitable markets, demonstrated by our entrance into the marine industry with the integration of Chris-Craft, have created significant momentum that we aspire to build on through the second half of Fiscal 2019. The Chris-Craft team has had a strong start to Calendar Year 2019 via the introduction of several new models and positive results at the retail shows across the country.”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480"/>
        <w:spacing w:after="0" w:line="397" w:lineRule="auto"/>
        <w:rPr>
          <w:sz w:val="20"/>
          <w:szCs w:val="20"/>
          <w:color w:val="auto"/>
        </w:rPr>
      </w:pPr>
      <w:r>
        <w:rPr>
          <w:rFonts w:ascii="Arial" w:cs="Arial" w:eastAsia="Arial" w:hAnsi="Arial"/>
          <w:sz w:val="16"/>
          <w:szCs w:val="16"/>
          <w:color w:val="auto"/>
        </w:rPr>
        <w:t>Winnebago Industries, Inc. will discuss second quarter Fiscal 2019 earnings results during a conference call scheduled for 9:00 a.m. Central Time today. Members of the news media, investors and the general public are invited to access a live broadcast of</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405" w:right="259" w:bottom="1440" w:gutter="0" w:footer="0" w:header="0"/>
        </w:sectPr>
      </w:pPr>
    </w:p>
    <w:bookmarkStart w:id="5" w:name="page6"/>
    <w:bookmarkEnd w:id="5"/>
    <w:p>
      <w:pPr>
        <w:ind w:right="140"/>
        <w:spacing w:after="0" w:line="397" w:lineRule="auto"/>
        <w:rPr>
          <w:sz w:val="20"/>
          <w:szCs w:val="20"/>
          <w:color w:val="auto"/>
        </w:rPr>
      </w:pPr>
      <w:r>
        <w:rPr>
          <w:rFonts w:ascii="Arial" w:cs="Arial" w:eastAsia="Arial" w:hAnsi="Arial"/>
          <w:sz w:val="16"/>
          <w:szCs w:val="16"/>
          <w:color w:val="auto"/>
        </w:rPr>
        <w:t>the conference call via the Investor Relations page of the Company's website at http://investor.wgo.net. The event will be archived and available for replay for the next 90 days.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ind w:right="20"/>
        <w:spacing w:after="0" w:line="363" w:lineRule="auto"/>
        <w:rPr>
          <w:sz w:val="20"/>
          <w:szCs w:val="20"/>
          <w:color w:val="auto"/>
        </w:rPr>
      </w:pPr>
      <w:r>
        <w:rPr>
          <w:rFonts w:ascii="Arial" w:cs="Arial" w:eastAsia="Arial" w:hAnsi="Arial"/>
          <w:sz w:val="16"/>
          <w:szCs w:val="16"/>
          <w:color w:val="auto"/>
        </w:rPr>
        <w:t>Winnebago Industries, Inc. is a leading U.S. manufacturer of outdoor lifestyle products under the Winnebago, Grand Design, and Chris-Craft brands, which are used primarily in leisure travel and outdoor recreation activities. The Company builds quality motorhomes, travel trailers, fifth wheel products, and boats. Winnebago Industries has multiple facilities in Iowa, Indiana, Oregon,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86"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405"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64"/>
        </w:trPr>
        <w:tc>
          <w:tcPr>
            <w:tcW w:w="44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February 23, 2019</w:t>
            </w: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February 24, 2018</w:t>
            </w:r>
          </w:p>
        </w:tc>
        <w:tc>
          <w:tcPr>
            <w:tcW w:w="900" w:type="dxa"/>
            <w:vAlign w:val="bottom"/>
            <w:tcBorders>
              <w:bottom w:val="single" w:sz="8" w:color="auto"/>
            </w:tcBorders>
          </w:tcPr>
          <w:p>
            <w:pPr>
              <w:spacing w:after="0"/>
              <w:rPr>
                <w:sz w:val="22"/>
                <w:szCs w:val="22"/>
                <w:color w:val="auto"/>
              </w:rPr>
            </w:pPr>
          </w:p>
        </w:tc>
      </w:tr>
      <w:tr>
        <w:trPr>
          <w:trHeight w:val="267"/>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432,690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468,359</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r>
      <w:tr>
        <w:trPr>
          <w:trHeight w:val="264"/>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366,261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84.6 %</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400,698</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85.6 %</w:t>
            </w:r>
          </w:p>
        </w:tc>
      </w:tr>
      <w:tr>
        <w:trPr>
          <w:trHeight w:val="257"/>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66,429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15.4 %</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67,661</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14.4 %</w:t>
            </w:r>
          </w:p>
        </w:tc>
      </w:tr>
      <w:tr>
        <w:trPr>
          <w:trHeight w:val="262"/>
        </w:trPr>
        <w:tc>
          <w:tcPr>
            <w:tcW w:w="44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35,259</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30,477</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6.5 %</w:t>
            </w:r>
          </w:p>
        </w:tc>
      </w:tr>
      <w:tr>
        <w:trPr>
          <w:trHeight w:val="271"/>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1,933</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0.4 %</w:t>
            </w:r>
          </w:p>
        </w:tc>
      </w:tr>
      <w:tr>
        <w:trPr>
          <w:trHeight w:val="250"/>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37,526</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8.7 %</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32,410</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6.9 %</w:t>
            </w:r>
          </w:p>
        </w:tc>
      </w:tr>
      <w:tr>
        <w:trPr>
          <w:trHeight w:val="257"/>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28,903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6.7 %</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35,251</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7.5 %</w:t>
            </w:r>
          </w:p>
        </w:tc>
      </w:tr>
      <w:tr>
        <w:trPr>
          <w:trHeight w:val="262"/>
        </w:trPr>
        <w:tc>
          <w:tcPr>
            <w:tcW w:w="44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5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4,346</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4,918</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1.1 %</w:t>
            </w:r>
          </w:p>
        </w:tc>
      </w:tr>
      <w:tr>
        <w:trPr>
          <w:trHeight w:val="271"/>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 expense</w:t>
            </w: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8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49"/>
        </w:trPr>
        <w:tc>
          <w:tcPr>
            <w:tcW w:w="44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5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24,764</w:t>
            </w:r>
          </w:p>
        </w:tc>
        <w:tc>
          <w:tcPr>
            <w:tcW w:w="10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5.7 %</w:t>
            </w:r>
          </w:p>
        </w:tc>
        <w:tc>
          <w:tcPr>
            <w:tcW w:w="1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30,322</w:t>
            </w:r>
          </w:p>
        </w:tc>
        <w:tc>
          <w:tcPr>
            <w:tcW w:w="1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6.5 %</w:t>
            </w:r>
          </w:p>
        </w:tc>
      </w:tr>
      <w:tr>
        <w:trPr>
          <w:trHeight w:val="271"/>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3,166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8,234</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1.8 %</w:t>
            </w:r>
          </w:p>
        </w:tc>
      </w:tr>
      <w:tr>
        <w:trPr>
          <w:trHeight w:val="282"/>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21,598</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5.0 %</w:t>
            </w: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22,088</w:t>
            </w: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4.7 %</w:t>
            </w:r>
          </w:p>
        </w:tc>
      </w:tr>
      <w:tr>
        <w:trPr>
          <w:trHeight w:val="171"/>
        </w:trPr>
        <w:tc>
          <w:tcPr>
            <w:tcW w:w="4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62"/>
        </w:trPr>
        <w:tc>
          <w:tcPr>
            <w:tcW w:w="4420" w:type="dxa"/>
            <w:vAlign w:val="bottom"/>
          </w:tcPr>
          <w:p>
            <w:pPr>
              <w:ind w:left="40"/>
              <w:spacing w:after="0"/>
              <w:rPr>
                <w:sz w:val="20"/>
                <w:szCs w:val="20"/>
                <w:color w:val="auto"/>
              </w:rPr>
            </w:pPr>
            <w:r>
              <w:rPr>
                <w:rFonts w:ascii="Arial" w:cs="Arial" w:eastAsia="Arial" w:hAnsi="Arial"/>
                <w:sz w:val="16"/>
                <w:szCs w:val="16"/>
                <w:color w:val="auto"/>
              </w:rPr>
              <w:t>Income per common share:</w:t>
            </w:r>
          </w:p>
        </w:tc>
        <w:tc>
          <w:tcPr>
            <w:tcW w:w="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0.70</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4420" w:type="dxa"/>
            <w:vAlign w:val="bottom"/>
          </w:tcPr>
          <w:p>
            <w:pPr>
              <w:ind w:left="120"/>
              <w:spacing w:after="0"/>
              <w:rPr>
                <w:sz w:val="20"/>
                <w:szCs w:val="20"/>
                <w:color w:val="auto"/>
              </w:rPr>
            </w:pPr>
            <w:r>
              <w:rPr>
                <w:rFonts w:ascii="Arial" w:cs="Arial" w:eastAsia="Arial" w:hAnsi="Arial"/>
                <w:sz w:val="16"/>
                <w:szCs w:val="16"/>
                <w:color w:val="auto"/>
              </w:rPr>
              <w:t>Diluted</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4420" w:type="dxa"/>
            <w:vAlign w:val="bottom"/>
          </w:tcPr>
          <w:p>
            <w:pPr>
              <w:ind w:left="12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31,577</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31,654</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31,724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31,854</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401"/>
        </w:trPr>
        <w:tc>
          <w:tcPr>
            <w:tcW w:w="44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Six Months Ended</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44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February 23, 2019</w:t>
            </w: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February 24, 2018</w:t>
            </w:r>
          </w:p>
        </w:tc>
        <w:tc>
          <w:tcPr>
            <w:tcW w:w="900" w:type="dxa"/>
            <w:vAlign w:val="bottom"/>
            <w:tcBorders>
              <w:bottom w:val="single" w:sz="8" w:color="auto"/>
            </w:tcBorders>
          </w:tcPr>
          <w:p>
            <w:pPr>
              <w:spacing w:after="0"/>
              <w:rPr>
                <w:sz w:val="22"/>
                <w:szCs w:val="22"/>
                <w:color w:val="auto"/>
              </w:rPr>
            </w:pPr>
          </w:p>
        </w:tc>
      </w:tr>
      <w:tr>
        <w:trPr>
          <w:trHeight w:val="254"/>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926,338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918,380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r>
      <w:tr>
        <w:trPr>
          <w:trHeight w:val="264"/>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788,913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85.2 %</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787,888</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85.8 %</w:t>
            </w:r>
          </w:p>
        </w:tc>
      </w:tr>
      <w:tr>
        <w:trPr>
          <w:trHeight w:val="257"/>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137,425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14.8 %</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130,492</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14.2 %</w:t>
            </w:r>
          </w:p>
        </w:tc>
      </w:tr>
      <w:tr>
        <w:trPr>
          <w:trHeight w:val="262"/>
        </w:trPr>
        <w:tc>
          <w:tcPr>
            <w:tcW w:w="44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70,971</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7.7 %</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60,077</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6.5 %</w:t>
            </w:r>
          </w:p>
        </w:tc>
      </w:tr>
      <w:tr>
        <w:trPr>
          <w:trHeight w:val="271"/>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4,926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3,988</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0.4 %</w:t>
            </w:r>
          </w:p>
        </w:tc>
      </w:tr>
      <w:tr>
        <w:trPr>
          <w:trHeight w:val="250"/>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75,897</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8.2 %</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64,065</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7.0 %</w:t>
            </w:r>
          </w:p>
        </w:tc>
      </w:tr>
      <w:tr>
        <w:trPr>
          <w:trHeight w:val="257"/>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61,528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6.6 %</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66,427</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7.2 %</w:t>
            </w:r>
          </w:p>
        </w:tc>
      </w:tr>
      <w:tr>
        <w:trPr>
          <w:trHeight w:val="262"/>
        </w:trPr>
        <w:tc>
          <w:tcPr>
            <w:tcW w:w="44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5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8,847</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9,699</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1.1 %</w:t>
            </w:r>
          </w:p>
        </w:tc>
      </w:tr>
      <w:tr>
        <w:trPr>
          <w:trHeight w:val="271"/>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49"/>
        </w:trPr>
        <w:tc>
          <w:tcPr>
            <w:tcW w:w="44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5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53,651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5.8 %</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56,840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6.2 %</w:t>
            </w:r>
          </w:p>
        </w:tc>
      </w:tr>
      <w:tr>
        <w:trPr>
          <w:trHeight w:val="271"/>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9,892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1.1 %</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16,794</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1.8 %</w:t>
            </w:r>
          </w:p>
        </w:tc>
      </w:tr>
      <w:tr>
        <w:trPr>
          <w:trHeight w:val="282"/>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43,759</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4.7 %</w:t>
            </w: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40,046</w:t>
            </w: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4.4 %</w:t>
            </w:r>
          </w:p>
        </w:tc>
      </w:tr>
      <w:tr>
        <w:trPr>
          <w:trHeight w:val="171"/>
        </w:trPr>
        <w:tc>
          <w:tcPr>
            <w:tcW w:w="4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62"/>
        </w:trPr>
        <w:tc>
          <w:tcPr>
            <w:tcW w:w="4420" w:type="dxa"/>
            <w:vAlign w:val="bottom"/>
          </w:tcPr>
          <w:p>
            <w:pPr>
              <w:ind w:left="40"/>
              <w:spacing w:after="0"/>
              <w:rPr>
                <w:sz w:val="20"/>
                <w:szCs w:val="20"/>
                <w:color w:val="auto"/>
              </w:rPr>
            </w:pPr>
            <w:r>
              <w:rPr>
                <w:rFonts w:ascii="Arial" w:cs="Arial" w:eastAsia="Arial" w:hAnsi="Arial"/>
                <w:sz w:val="16"/>
                <w:szCs w:val="16"/>
                <w:color w:val="auto"/>
              </w:rPr>
              <w:t>Income per common share:</w:t>
            </w:r>
          </w:p>
        </w:tc>
        <w:tc>
          <w:tcPr>
            <w:tcW w:w="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4420" w:type="dxa"/>
            <w:vAlign w:val="bottom"/>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4420" w:type="dxa"/>
            <w:vAlign w:val="bottom"/>
          </w:tcPr>
          <w:p>
            <w:pPr>
              <w:ind w:left="12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31,572</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31,634</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31,852</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19"/>
        </w:trPr>
        <w:tc>
          <w:tcPr>
            <w:tcW w:w="4420" w:type="dxa"/>
            <w:vAlign w:val="bottom"/>
          </w:tcPr>
          <w:p>
            <w:pPr>
              <w:spacing w:after="0"/>
              <w:rPr>
                <w:sz w:val="20"/>
                <w:szCs w:val="20"/>
                <w:color w:val="auto"/>
              </w:rPr>
            </w:pPr>
            <w:r>
              <w:rPr>
                <w:rFonts w:ascii="Arial" w:cs="Arial" w:eastAsia="Arial" w:hAnsi="Arial"/>
                <w:sz w:val="16"/>
                <w:szCs w:val="16"/>
                <w:color w:val="auto"/>
              </w:rPr>
              <w:t>Percentages may not add due to rounding differences.</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14"/>
        </w:trPr>
        <w:tc>
          <w:tcPr>
            <w:tcW w:w="4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35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c>
          <w:tcPr>
            <w:tcW w:w="0" w:type="dxa"/>
            <w:vAlign w:val="bottom"/>
          </w:tcPr>
          <w:p>
            <w:pPr>
              <w:spacing w:after="0"/>
              <w:rPr>
                <w:sz w:val="1"/>
                <w:szCs w:val="1"/>
                <w:color w:val="auto"/>
              </w:rPr>
            </w:pPr>
          </w:p>
        </w:tc>
      </w:tr>
      <w:tr>
        <w:trPr>
          <w:trHeight w:val="232"/>
        </w:trPr>
        <w:tc>
          <w:tcPr>
            <w:tcW w:w="48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67"/>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8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4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Receivables, net</w:t>
            </w:r>
          </w:p>
        </w:tc>
        <w:tc>
          <w:tcPr>
            <w:tcW w:w="3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179,940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164,585</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3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189,611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195,128</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Prepaid expenses and other assets</w:t>
            </w:r>
          </w:p>
        </w:tc>
        <w:tc>
          <w:tcPr>
            <w:tcW w:w="3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9,883</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3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387,785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371,938</w:t>
            </w:r>
          </w:p>
        </w:tc>
        <w:tc>
          <w:tcPr>
            <w:tcW w:w="0" w:type="dxa"/>
            <w:vAlign w:val="bottom"/>
          </w:tcPr>
          <w:p>
            <w:pPr>
              <w:spacing w:after="0"/>
              <w:rPr>
                <w:sz w:val="1"/>
                <w:szCs w:val="1"/>
                <w:color w:val="auto"/>
              </w:rPr>
            </w:pPr>
          </w:p>
        </w:tc>
      </w:tr>
      <w:tr>
        <w:trPr>
          <w:trHeight w:val="262"/>
        </w:trPr>
        <w:tc>
          <w:tcPr>
            <w:tcW w:w="48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117,761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101,193</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Goodwill</w:t>
            </w:r>
          </w:p>
        </w:tc>
        <w:tc>
          <w:tcPr>
            <w:tcW w:w="3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275,072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274,370</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3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260,791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265,717</w:t>
            </w: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Investment in life insurance</w:t>
            </w:r>
          </w:p>
        </w:tc>
        <w:tc>
          <w:tcPr>
            <w:tcW w:w="3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26,963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28,297</w:t>
            </w:r>
          </w:p>
        </w:tc>
        <w:tc>
          <w:tcPr>
            <w:tcW w:w="0" w:type="dxa"/>
            <w:vAlign w:val="bottom"/>
          </w:tcPr>
          <w:p>
            <w:pPr>
              <w:spacing w:after="0"/>
              <w:rPr>
                <w:sz w:val="1"/>
                <w:szCs w:val="1"/>
                <w:color w:val="auto"/>
              </w:rPr>
            </w:pPr>
          </w:p>
        </w:tc>
      </w:tr>
      <w:tr>
        <w:trPr>
          <w:trHeight w:val="271"/>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3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9,764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10,290</w:t>
            </w:r>
          </w:p>
        </w:tc>
        <w:tc>
          <w:tcPr>
            <w:tcW w:w="0" w:type="dxa"/>
            <w:vAlign w:val="bottom"/>
          </w:tcPr>
          <w:p>
            <w:pPr>
              <w:spacing w:after="0"/>
              <w:rPr>
                <w:sz w:val="1"/>
                <w:szCs w:val="1"/>
                <w:color w:val="auto"/>
              </w:rPr>
            </w:pPr>
          </w:p>
        </w:tc>
      </w:tr>
      <w:tr>
        <w:trPr>
          <w:trHeight w:val="282"/>
        </w:trPr>
        <w:tc>
          <w:tcPr>
            <w:tcW w:w="48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1,078,136</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1,051,805</w:t>
            </w:r>
          </w:p>
        </w:tc>
        <w:tc>
          <w:tcPr>
            <w:tcW w:w="0" w:type="dxa"/>
            <w:vAlign w:val="bottom"/>
          </w:tcPr>
          <w:p>
            <w:pPr>
              <w:spacing w:after="0"/>
              <w:rPr>
                <w:sz w:val="1"/>
                <w:szCs w:val="1"/>
                <w:color w:val="auto"/>
              </w:rPr>
            </w:pPr>
          </w:p>
        </w:tc>
      </w:tr>
      <w:tr>
        <w:trPr>
          <w:trHeight w:val="279"/>
        </w:trPr>
        <w:tc>
          <w:tcPr>
            <w:tcW w:w="4860" w:type="dxa"/>
            <w:vAlign w:val="bottom"/>
            <w:tcBorders>
              <w:top w:val="single" w:sz="8" w:color="CCEEFF"/>
            </w:tcBorders>
            <w:shd w:val="clear" w:color="auto" w:fill="CCEEFF"/>
          </w:tcPr>
          <w:p>
            <w:pPr>
              <w:spacing w:after="0"/>
              <w:rPr>
                <w:sz w:val="24"/>
                <w:szCs w:val="24"/>
                <w:color w:val="auto"/>
              </w:rPr>
            </w:pPr>
          </w:p>
        </w:tc>
        <w:tc>
          <w:tcPr>
            <w:tcW w:w="326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4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92,592</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81,039</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3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15,655</w:t>
            </w: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3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116,703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107,491</w:t>
            </w:r>
          </w:p>
        </w:tc>
        <w:tc>
          <w:tcPr>
            <w:tcW w:w="0" w:type="dxa"/>
            <w:vAlign w:val="bottom"/>
          </w:tcPr>
          <w:p>
            <w:pPr>
              <w:spacing w:after="0"/>
              <w:rPr>
                <w:sz w:val="1"/>
                <w:szCs w:val="1"/>
                <w:color w:val="auto"/>
              </w:rPr>
            </w:pPr>
          </w:p>
        </w:tc>
      </w:tr>
      <w:tr>
        <w:trPr>
          <w:trHeight w:val="271"/>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3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current liabilities</w:t>
            </w:r>
          </w:p>
        </w:tc>
        <w:tc>
          <w:tcPr>
            <w:tcW w:w="3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212,517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204,185</w:t>
            </w: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3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3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274,168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291,441</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3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Unrecognized tax benefits</w:t>
            </w:r>
          </w:p>
        </w:tc>
        <w:tc>
          <w:tcPr>
            <w:tcW w:w="3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compensation benefits, net of current portion</w:t>
            </w:r>
          </w:p>
        </w:tc>
        <w:tc>
          <w:tcPr>
            <w:tcW w:w="3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15,282</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3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non-current liabilities</w:t>
            </w:r>
          </w:p>
        </w:tc>
        <w:tc>
          <w:tcPr>
            <w:tcW w:w="3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294,953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313,175</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Stockholders' equity</w:t>
            </w:r>
          </w:p>
        </w:tc>
        <w:tc>
          <w:tcPr>
            <w:tcW w:w="3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570,666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534,445</w:t>
            </w:r>
          </w:p>
        </w:tc>
        <w:tc>
          <w:tcPr>
            <w:tcW w:w="0" w:type="dxa"/>
            <w:vAlign w:val="bottom"/>
          </w:tcPr>
          <w:p>
            <w:pPr>
              <w:spacing w:after="0"/>
              <w:rPr>
                <w:sz w:val="1"/>
                <w:szCs w:val="1"/>
                <w:color w:val="auto"/>
              </w:rPr>
            </w:pPr>
          </w:p>
        </w:tc>
      </w:tr>
      <w:tr>
        <w:trPr>
          <w:trHeight w:val="242"/>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4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1,078,136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1,051,805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2279"/>
              <w:spacing w:after="0"/>
              <w:rPr>
                <w:sz w:val="20"/>
                <w:szCs w:val="20"/>
                <w:color w:val="auto"/>
              </w:rPr>
            </w:pPr>
            <w:r>
              <w:rPr>
                <w:rFonts w:ascii="Arial" w:cs="Arial" w:eastAsia="Arial" w:hAnsi="Arial"/>
                <w:sz w:val="16"/>
                <w:szCs w:val="16"/>
                <w:color w:val="auto"/>
              </w:rPr>
              <w:t>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8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23,</w:t>
            </w:r>
          </w:p>
        </w:tc>
        <w:tc>
          <w:tcPr>
            <w:tcW w:w="240" w:type="dxa"/>
            <w:vAlign w:val="bottom"/>
          </w:tcPr>
          <w:p>
            <w:pPr>
              <w:spacing w:after="0"/>
              <w:rPr>
                <w:sz w:val="16"/>
                <w:szCs w:val="16"/>
                <w:color w:val="auto"/>
              </w:rPr>
            </w:pPr>
          </w:p>
        </w:tc>
        <w:tc>
          <w:tcPr>
            <w:tcW w:w="146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24,</w:t>
            </w:r>
          </w:p>
        </w:tc>
      </w:tr>
      <w:tr>
        <w:trPr>
          <w:trHeight w:val="232"/>
        </w:trPr>
        <w:tc>
          <w:tcPr>
            <w:tcW w:w="7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26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43,759</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40,046</w:t>
            </w:r>
          </w:p>
        </w:tc>
      </w:tr>
      <w:tr>
        <w:trPr>
          <w:trHeight w:val="278"/>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2"/>
        </w:trPr>
        <w:tc>
          <w:tcPr>
            <w:tcW w:w="7900" w:type="dxa"/>
            <w:vAlign w:val="bottom"/>
          </w:tcPr>
          <w:p>
            <w:pPr>
              <w:ind w:left="28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22"/>
                <w:szCs w:val="22"/>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6,268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4,328</w:t>
            </w:r>
          </w:p>
        </w:tc>
      </w:tr>
      <w:tr>
        <w:trPr>
          <w:trHeight w:val="278"/>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3,988</w:t>
            </w:r>
          </w:p>
        </w:tc>
      </w:tr>
      <w:tr>
        <w:trPr>
          <w:trHeight w:val="262"/>
        </w:trPr>
        <w:tc>
          <w:tcPr>
            <w:tcW w:w="7900" w:type="dxa"/>
            <w:vAlign w:val="bottom"/>
          </w:tcPr>
          <w:p>
            <w:pPr>
              <w:ind w:left="280"/>
              <w:spacing w:after="0"/>
              <w:rPr>
                <w:sz w:val="20"/>
                <w:szCs w:val="20"/>
                <w:color w:val="auto"/>
              </w:rPr>
            </w:pPr>
            <w:r>
              <w:rPr>
                <w:rFonts w:ascii="Arial" w:cs="Arial" w:eastAsia="Arial" w:hAnsi="Arial"/>
                <w:sz w:val="16"/>
                <w:szCs w:val="16"/>
                <w:color w:val="auto"/>
              </w:rPr>
              <w:t>Amortization of debt issuance costs</w:t>
            </w:r>
          </w:p>
        </w:tc>
        <w:tc>
          <w:tcPr>
            <w:tcW w:w="240" w:type="dxa"/>
            <w:vAlign w:val="bottom"/>
          </w:tcPr>
          <w:p>
            <w:pPr>
              <w:spacing w:after="0"/>
              <w:rPr>
                <w:sz w:val="22"/>
                <w:szCs w:val="22"/>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826</w:t>
            </w:r>
          </w:p>
        </w:tc>
      </w:tr>
      <w:tr>
        <w:trPr>
          <w:trHeight w:val="278"/>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Last in, first-out expense</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598</w:t>
            </w:r>
          </w:p>
        </w:tc>
      </w:tr>
      <w:tr>
        <w:trPr>
          <w:trHeight w:val="262"/>
        </w:trPr>
        <w:tc>
          <w:tcPr>
            <w:tcW w:w="790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22"/>
                <w:szCs w:val="22"/>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4,605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3,553</w:t>
            </w:r>
          </w:p>
        </w:tc>
      </w:tr>
      <w:tr>
        <w:trPr>
          <w:trHeight w:val="278"/>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2,080</w:t>
            </w:r>
          </w:p>
        </w:tc>
      </w:tr>
      <w:tr>
        <w:trPr>
          <w:trHeight w:val="262"/>
        </w:trPr>
        <w:tc>
          <w:tcPr>
            <w:tcW w:w="790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22"/>
                <w:szCs w:val="22"/>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80</w:t>
            </w:r>
          </w:p>
        </w:tc>
      </w:tr>
      <w:tr>
        <w:trPr>
          <w:trHeight w:val="278"/>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2"/>
        </w:trPr>
        <w:tc>
          <w:tcPr>
            <w:tcW w:w="7900" w:type="dxa"/>
            <w:vAlign w:val="bottom"/>
          </w:tcPr>
          <w:p>
            <w:pPr>
              <w:ind w:left="280"/>
              <w:spacing w:after="0"/>
              <w:rPr>
                <w:sz w:val="20"/>
                <w:szCs w:val="20"/>
                <w:color w:val="auto"/>
              </w:rPr>
            </w:pPr>
            <w:r>
              <w:rPr>
                <w:rFonts w:ascii="Arial" w:cs="Arial" w:eastAsia="Arial" w:hAnsi="Arial"/>
                <w:sz w:val="16"/>
                <w:szCs w:val="16"/>
                <w:color w:val="auto"/>
              </w:rPr>
              <w:t>Receivables</w:t>
            </w:r>
          </w:p>
        </w:tc>
        <w:tc>
          <w:tcPr>
            <w:tcW w:w="240" w:type="dxa"/>
            <w:vAlign w:val="bottom"/>
          </w:tcPr>
          <w:p>
            <w:pPr>
              <w:spacing w:after="0"/>
              <w:rPr>
                <w:sz w:val="22"/>
                <w:szCs w:val="22"/>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(15,355)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(33,017)</w:t>
            </w:r>
          </w:p>
        </w:tc>
      </w:tr>
      <w:tr>
        <w:trPr>
          <w:trHeight w:val="278"/>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(36,379)</w:t>
            </w:r>
          </w:p>
        </w:tc>
      </w:tr>
      <w:tr>
        <w:trPr>
          <w:trHeight w:val="262"/>
        </w:trPr>
        <w:tc>
          <w:tcPr>
            <w:tcW w:w="790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22"/>
                <w:szCs w:val="22"/>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(4,926)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1,921</w:t>
            </w:r>
          </w:p>
        </w:tc>
      </w:tr>
      <w:tr>
        <w:trPr>
          <w:trHeight w:val="278"/>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11,992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20,542</w:t>
            </w:r>
          </w:p>
        </w:tc>
      </w:tr>
      <w:tr>
        <w:trPr>
          <w:trHeight w:val="262"/>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40" w:type="dxa"/>
            <w:vAlign w:val="bottom"/>
          </w:tcPr>
          <w:p>
            <w:pPr>
              <w:spacing w:after="0"/>
              <w:rPr>
                <w:sz w:val="22"/>
                <w:szCs w:val="22"/>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(15,216)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(4,510)</w:t>
            </w:r>
          </w:p>
        </w:tc>
      </w:tr>
      <w:tr>
        <w:trPr>
          <w:trHeight w:val="271"/>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expenses and other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9,402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10,989</w:t>
            </w:r>
          </w:p>
        </w:tc>
      </w:tr>
      <w:tr>
        <w:trPr>
          <w:trHeight w:val="25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51,938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15,045</w:t>
            </w:r>
          </w:p>
        </w:tc>
      </w:tr>
      <w:tr>
        <w:trPr>
          <w:trHeight w:val="297"/>
        </w:trPr>
        <w:tc>
          <w:tcPr>
            <w:tcW w:w="7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6"/>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4"/>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(23,366)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(11,675)</w:t>
            </w: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240" w:type="dxa"/>
            <w:vAlign w:val="bottom"/>
          </w:tcPr>
          <w:p>
            <w:pPr>
              <w:spacing w:after="0"/>
              <w:rPr>
                <w:sz w:val="22"/>
                <w:szCs w:val="22"/>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8"/>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299</w:t>
            </w:r>
          </w:p>
        </w:tc>
      </w:tr>
      <w:tr>
        <w:trPr>
          <w:trHeight w:val="26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w:t>
            </w: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(23,024)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(11,394)</w:t>
            </w:r>
          </w:p>
        </w:tc>
      </w:tr>
      <w:tr>
        <w:trPr>
          <w:trHeight w:val="297"/>
        </w:trPr>
        <w:tc>
          <w:tcPr>
            <w:tcW w:w="7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Borrowings on credit agreement</w:t>
            </w:r>
          </w:p>
        </w:tc>
        <w:tc>
          <w:tcPr>
            <w:tcW w:w="240" w:type="dxa"/>
            <w:vAlign w:val="bottom"/>
          </w:tcPr>
          <w:p>
            <w:pPr>
              <w:spacing w:after="0"/>
              <w:rPr>
                <w:sz w:val="22"/>
                <w:szCs w:val="22"/>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218,720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19,700</w:t>
            </w:r>
          </w:p>
        </w:tc>
      </w:tr>
      <w:tr>
        <w:trPr>
          <w:trHeight w:val="278"/>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of credit agreement</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(233,922)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(24,000)</w:t>
            </w: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Payments of cash dividends</w:t>
            </w:r>
          </w:p>
        </w:tc>
        <w:tc>
          <w:tcPr>
            <w:tcW w:w="240" w:type="dxa"/>
            <w:vAlign w:val="bottom"/>
          </w:tcPr>
          <w:p>
            <w:pPr>
              <w:spacing w:after="0"/>
              <w:rPr>
                <w:sz w:val="22"/>
                <w:szCs w:val="22"/>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(6,713)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(6,375)</w:t>
            </w:r>
          </w:p>
        </w:tc>
      </w:tr>
      <w:tr>
        <w:trPr>
          <w:trHeight w:val="278"/>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for repurchases of common stock</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(1,478)</w:t>
            </w:r>
          </w:p>
        </w:tc>
      </w:tr>
      <w:tr>
        <w:trPr>
          <w:trHeight w:val="26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(28,239)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(12,153)</w:t>
            </w:r>
          </w:p>
        </w:tc>
      </w:tr>
      <w:tr>
        <w:trPr>
          <w:trHeight w:val="297"/>
        </w:trPr>
        <w:tc>
          <w:tcPr>
            <w:tcW w:w="7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(8,502)</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2,342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35,945</w:t>
            </w:r>
          </w:p>
        </w:tc>
      </w:tr>
      <w:tr>
        <w:trPr>
          <w:trHeight w:val="242"/>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27,443</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79"/>
        </w:trPr>
        <w:tc>
          <w:tcPr>
            <w:tcW w:w="7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 cash flow disclosure:</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Income taxes paid, net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30,262</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19,290</w:t>
            </w:r>
          </w:p>
        </w:tc>
      </w:tr>
      <w:tr>
        <w:trPr>
          <w:trHeight w:val="278"/>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8,906</w:t>
            </w:r>
          </w:p>
        </w:tc>
      </w:tr>
      <w:tr>
        <w:trPr>
          <w:trHeight w:val="266"/>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4"/>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1,012</w:t>
            </w:r>
          </w:p>
        </w:tc>
      </w:tr>
    </w:tbl>
    <w:p>
      <w:pPr>
        <w:spacing w:after="0" w:line="200" w:lineRule="exact"/>
        <w:rPr>
          <w:sz w:val="20"/>
          <w:szCs w:val="20"/>
          <w:color w:val="auto"/>
        </w:rPr>
      </w:pPr>
    </w:p>
    <w:p>
      <w:pPr>
        <w:sectPr>
          <w:pgSz w:w="11900" w:h="16838" w:orient="portrait"/>
          <w:cols w:equalWidth="0" w:num="1">
            <w:col w:w="11420"/>
          </w:cols>
          <w:pgMar w:left="240" w:top="35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58"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Motorhome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center"/>
              <w:ind w:right="6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3"/>
        </w:trPr>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24,</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00" w:type="dxa"/>
            <w:vAlign w:val="bottom"/>
          </w:tcPr>
          <w:p>
            <w:pPr>
              <w:spacing w:after="0"/>
              <w:rPr>
                <w:sz w:val="20"/>
                <w:szCs w:val="20"/>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164,662</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199,081</w:t>
            </w:r>
          </w:p>
        </w:tc>
        <w:tc>
          <w:tcPr>
            <w:tcW w:w="10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(34,419)</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(17.3)%</w:t>
            </w:r>
          </w:p>
        </w:tc>
      </w:tr>
      <w:tr>
        <w:trPr>
          <w:trHeight w:val="255"/>
        </w:trPr>
        <w:tc>
          <w:tcPr>
            <w:tcW w:w="27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4,359</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5,687</w:t>
            </w: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(23.4)%</w:t>
            </w:r>
          </w:p>
        </w:tc>
      </w:tr>
      <w:tr>
        <w:trPr>
          <w:trHeight w:val="511"/>
        </w:trPr>
        <w:tc>
          <w:tcPr>
            <w:tcW w:w="2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6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24,</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529</w:t>
            </w: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881</w:t>
            </w:r>
          </w:p>
        </w:tc>
        <w:tc>
          <w:tcPr>
            <w:tcW w:w="1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(40.0)%</w:t>
            </w:r>
          </w:p>
        </w:tc>
      </w:tr>
      <w:tr>
        <w:trPr>
          <w:trHeight w:val="262"/>
        </w:trPr>
        <w:tc>
          <w:tcPr>
            <w:tcW w:w="2740" w:type="dxa"/>
            <w:vAlign w:val="bottom"/>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613</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411</w:t>
            </w: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49.1 %</w:t>
            </w:r>
          </w:p>
        </w:tc>
      </w:tr>
      <w:tr>
        <w:trPr>
          <w:trHeight w:val="271"/>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41.5%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(25.6)%</w:t>
            </w:r>
          </w:p>
        </w:tc>
      </w:tr>
      <w:tr>
        <w:trPr>
          <w:trHeight w:val="242"/>
        </w:trPr>
        <w:tc>
          <w:tcPr>
            <w:tcW w:w="2740" w:type="dxa"/>
            <w:vAlign w:val="bottom"/>
          </w:tcPr>
          <w:p>
            <w:pPr>
              <w:ind w:left="1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1,825</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2,210</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(17.4)%</w:t>
            </w: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72"/>
        </w:trPr>
        <w:tc>
          <w:tcPr>
            <w:tcW w:w="2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6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24,</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00" w:type="dxa"/>
            <w:vAlign w:val="bottom"/>
          </w:tcPr>
          <w:p>
            <w:pPr>
              <w:spacing w:after="0"/>
              <w:rPr>
                <w:sz w:val="20"/>
                <w:szCs w:val="20"/>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345,990</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387,278</w:t>
            </w:r>
          </w:p>
        </w:tc>
        <w:tc>
          <w:tcPr>
            <w:tcW w:w="10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(41,288)</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r>
      <w:tr>
        <w:trPr>
          <w:trHeight w:val="255"/>
        </w:trPr>
        <w:tc>
          <w:tcPr>
            <w:tcW w:w="27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16,335</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10,587</w:t>
            </w: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5,748</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54.3 %</w:t>
            </w:r>
          </w:p>
        </w:tc>
      </w:tr>
      <w:tr>
        <w:trPr>
          <w:trHeight w:val="511"/>
        </w:trPr>
        <w:tc>
          <w:tcPr>
            <w:tcW w:w="2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6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24,</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951</w:t>
            </w: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1,604</w:t>
            </w:r>
          </w:p>
        </w:tc>
        <w:tc>
          <w:tcPr>
            <w:tcW w:w="1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(40.7)%</w:t>
            </w:r>
          </w:p>
        </w:tc>
      </w:tr>
      <w:tr>
        <w:trPr>
          <w:trHeight w:val="262"/>
        </w:trPr>
        <w:tc>
          <w:tcPr>
            <w:tcW w:w="2740" w:type="dxa"/>
            <w:vAlign w:val="bottom"/>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1,332</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781</w:t>
            </w: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70.6 %</w:t>
            </w:r>
          </w:p>
        </w:tc>
      </w:tr>
      <w:tr>
        <w:trPr>
          <w:trHeight w:val="271"/>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1,361</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1,844</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(26.2)%</w:t>
            </w:r>
          </w:p>
        </w:tc>
      </w:tr>
      <w:tr>
        <w:trPr>
          <w:trHeight w:val="242"/>
        </w:trPr>
        <w:tc>
          <w:tcPr>
            <w:tcW w:w="2740" w:type="dxa"/>
            <w:vAlign w:val="bottom"/>
          </w:tcPr>
          <w:p>
            <w:pPr>
              <w:ind w:left="180"/>
              <w:spacing w:after="0"/>
              <w:rPr>
                <w:sz w:val="20"/>
                <w:szCs w:val="20"/>
                <w:color w:val="auto"/>
              </w:rPr>
            </w:pPr>
            <w:r>
              <w:rPr>
                <w:rFonts w:ascii="Arial" w:cs="Arial" w:eastAsia="Arial" w:hAnsi="Arial"/>
                <w:sz w:val="16"/>
                <w:szCs w:val="16"/>
                <w:color w:val="auto"/>
              </w:rPr>
              <w:t>Total motorhomes</w:t>
            </w:r>
          </w:p>
        </w:tc>
        <w:tc>
          <w:tcPr>
            <w:tcW w:w="20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3,644</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4,229</w:t>
            </w: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1"/>
                <w:szCs w:val="21"/>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(13.8)%</w:t>
            </w:r>
          </w:p>
        </w:tc>
      </w:tr>
      <w:tr>
        <w:trPr>
          <w:trHeight w:val="20"/>
        </w:trPr>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502"/>
        </w:trPr>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24,</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2"/>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20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2"/>
        </w:trPr>
        <w:tc>
          <w:tcPr>
            <w:tcW w:w="2740" w:type="dxa"/>
            <w:vAlign w:val="bottom"/>
          </w:tcPr>
          <w:p>
            <w:pPr>
              <w:ind w:left="180"/>
              <w:spacing w:after="0"/>
              <w:rPr>
                <w:sz w:val="20"/>
                <w:szCs w:val="20"/>
                <w:color w:val="auto"/>
              </w:rPr>
            </w:pPr>
            <w:r>
              <w:rPr>
                <w:rFonts w:ascii="Arial" w:cs="Arial" w:eastAsia="Arial" w:hAnsi="Arial"/>
                <w:sz w:val="16"/>
                <w:szCs w:val="16"/>
                <w:color w:val="auto"/>
              </w:rPr>
              <w:t>Units</w:t>
            </w: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1,882</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3,053</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(38.4)%</w:t>
            </w: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Dollars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169,581</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276,231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(106,650)</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(38.6)%</w:t>
            </w:r>
          </w:p>
        </w:tc>
      </w:tr>
      <w:tr>
        <w:trPr>
          <w:trHeight w:val="266"/>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4,812</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4,827</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r>
    </w:tbl>
    <w:p>
      <w:pPr>
        <w:spacing w:after="0" w:line="4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9" w:lineRule="exact"/>
        <w:rPr>
          <w:rFonts w:ascii="Arial" w:cs="Arial" w:eastAsia="Arial" w:hAnsi="Arial"/>
          <w:sz w:val="14"/>
          <w:szCs w:val="14"/>
          <w:color w:val="auto"/>
        </w:rPr>
      </w:pPr>
    </w:p>
    <w:p>
      <w:pPr>
        <w:ind w:left="260" w:right="20" w:hanging="252"/>
        <w:spacing w:after="0" w:line="264"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5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center"/>
              <w:ind w:right="6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3"/>
        </w:trPr>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24,</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00" w:type="dxa"/>
            <w:vAlign w:val="bottom"/>
          </w:tcPr>
          <w:p>
            <w:pPr>
              <w:spacing w:after="0"/>
              <w:rPr>
                <w:sz w:val="20"/>
                <w:szCs w:val="20"/>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250,691</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266,358</w:t>
            </w:r>
          </w:p>
        </w:tc>
        <w:tc>
          <w:tcPr>
            <w:tcW w:w="10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(15,667)</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(5.9)%</w:t>
            </w:r>
          </w:p>
        </w:tc>
      </w:tr>
      <w:tr>
        <w:trPr>
          <w:trHeight w:val="255"/>
        </w:trPr>
        <w:tc>
          <w:tcPr>
            <w:tcW w:w="27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33,638</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36,296</w:t>
            </w:r>
          </w:p>
        </w:tc>
        <w:tc>
          <w:tcPr>
            <w:tcW w:w="1480" w:type="dxa"/>
            <w:vAlign w:val="bottom"/>
            <w:gridSpan w:val="2"/>
          </w:tcPr>
          <w:p>
            <w:pPr>
              <w:jc w:val="right"/>
              <w:ind w:right="19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(2,658)</w:t>
            </w:r>
          </w:p>
        </w:tc>
        <w:tc>
          <w:tcPr>
            <w:tcW w:w="1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(7.3)%</w:t>
            </w:r>
          </w:p>
        </w:tc>
      </w:tr>
      <w:tr>
        <w:trPr>
          <w:trHeight w:val="511"/>
        </w:trPr>
        <w:tc>
          <w:tcPr>
            <w:tcW w:w="2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6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24,</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4,543</w:t>
            </w: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5,083</w:t>
            </w:r>
          </w:p>
        </w:tc>
        <w:tc>
          <w:tcPr>
            <w:tcW w:w="14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3,053</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3,398</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w:t>
            </w:r>
          </w:p>
        </w:tc>
      </w:tr>
      <w:tr>
        <w:trPr>
          <w:trHeight w:val="242"/>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7,596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8,481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(10.4)%</w:t>
            </w: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72"/>
        </w:trPr>
        <w:tc>
          <w:tcPr>
            <w:tcW w:w="2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680"/>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24,</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200" w:type="dxa"/>
            <w:vAlign w:val="bottom"/>
          </w:tcPr>
          <w:p>
            <w:pPr>
              <w:spacing w:after="0"/>
              <w:rPr>
                <w:sz w:val="20"/>
                <w:szCs w:val="20"/>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543,524</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526,023</w:t>
            </w:r>
          </w:p>
        </w:tc>
        <w:tc>
          <w:tcPr>
            <w:tcW w:w="10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17,501</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3.3 %</w:t>
            </w:r>
          </w:p>
        </w:tc>
      </w:tr>
      <w:tr>
        <w:trPr>
          <w:trHeight w:val="255"/>
        </w:trPr>
        <w:tc>
          <w:tcPr>
            <w:tcW w:w="27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64,466</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69,688</w:t>
            </w:r>
          </w:p>
        </w:tc>
        <w:tc>
          <w:tcPr>
            <w:tcW w:w="1480" w:type="dxa"/>
            <w:vAlign w:val="bottom"/>
            <w:gridSpan w:val="2"/>
          </w:tcPr>
          <w:p>
            <w:pPr>
              <w:jc w:val="right"/>
              <w:ind w:right="19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(5,222)</w:t>
            </w:r>
          </w:p>
        </w:tc>
        <w:tc>
          <w:tcPr>
            <w:tcW w:w="1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(7.5)%</w:t>
            </w:r>
          </w:p>
        </w:tc>
      </w:tr>
      <w:tr>
        <w:trPr>
          <w:trHeight w:val="552"/>
        </w:trPr>
        <w:tc>
          <w:tcPr>
            <w:tcW w:w="2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680"/>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24,</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10,379</w:t>
            </w: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10,432</w:t>
            </w:r>
          </w:p>
        </w:tc>
        <w:tc>
          <w:tcPr>
            <w:tcW w:w="14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6,602</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6,725</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w:t>
            </w:r>
          </w:p>
        </w:tc>
      </w:tr>
      <w:tr>
        <w:trPr>
          <w:trHeight w:val="242"/>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towables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16,981</w:t>
            </w: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17,157</w:t>
            </w:r>
          </w:p>
        </w:tc>
        <w:tc>
          <w:tcPr>
            <w:tcW w:w="14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502"/>
        </w:trPr>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24,</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2"/>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20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2"/>
        </w:trPr>
        <w:tc>
          <w:tcPr>
            <w:tcW w:w="2740" w:type="dxa"/>
            <w:vAlign w:val="bottom"/>
          </w:tcPr>
          <w:p>
            <w:pPr>
              <w:ind w:left="180"/>
              <w:spacing w:after="0"/>
              <w:rPr>
                <w:sz w:val="20"/>
                <w:szCs w:val="20"/>
                <w:color w:val="auto"/>
              </w:rPr>
            </w:pPr>
            <w:r>
              <w:rPr>
                <w:rFonts w:ascii="Arial" w:cs="Arial" w:eastAsia="Arial" w:hAnsi="Arial"/>
                <w:sz w:val="16"/>
                <w:szCs w:val="16"/>
                <w:color w:val="auto"/>
              </w:rPr>
              <w:t>Units</w:t>
            </w: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8,002</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9,342</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(14.3)%</w:t>
            </w: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Dollars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285,391</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302,630</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(17,239)</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w:t>
            </w:r>
          </w:p>
        </w:tc>
      </w:tr>
      <w:tr>
        <w:trPr>
          <w:trHeight w:val="266"/>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19,141</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15,728</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3,413</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21.7 %</w:t>
            </w:r>
          </w:p>
        </w:tc>
      </w:tr>
    </w:tbl>
    <w:p>
      <w:pPr>
        <w:spacing w:after="0" w:line="4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9" w:lineRule="exact"/>
        <w:rPr>
          <w:rFonts w:ascii="Arial" w:cs="Arial" w:eastAsia="Arial" w:hAnsi="Arial"/>
          <w:sz w:val="14"/>
          <w:szCs w:val="14"/>
          <w:color w:val="auto"/>
        </w:rPr>
      </w:pPr>
    </w:p>
    <w:p>
      <w:pPr>
        <w:ind w:left="260" w:right="20" w:hanging="252"/>
        <w:spacing w:after="0" w:line="264"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Reconciliation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23,</w:t>
            </w:r>
          </w:p>
        </w:tc>
        <w:tc>
          <w:tcPr>
            <w:tcW w:w="20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24,</w:t>
            </w:r>
          </w:p>
        </w:tc>
        <w:tc>
          <w:tcPr>
            <w:tcW w:w="22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23,</w:t>
            </w:r>
          </w:p>
        </w:tc>
        <w:tc>
          <w:tcPr>
            <w:tcW w:w="22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24,</w:t>
            </w:r>
          </w:p>
        </w:tc>
      </w:tr>
      <w:tr>
        <w:trPr>
          <w:trHeight w:val="232"/>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67"/>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21,598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22,088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43,759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40,046</w:t>
            </w:r>
          </w:p>
        </w:tc>
      </w:tr>
      <w:tr>
        <w:trPr>
          <w:trHeight w:val="262"/>
        </w:trPr>
        <w:tc>
          <w:tcPr>
            <w:tcW w:w="44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4,346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8,847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9,699</w:t>
            </w:r>
          </w:p>
        </w:tc>
      </w:tr>
      <w:tr>
        <w:trPr>
          <w:trHeight w:val="278"/>
        </w:trPr>
        <w:tc>
          <w:tcPr>
            <w:tcW w:w="4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9,892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16,794</w:t>
            </w:r>
          </w:p>
        </w:tc>
      </w:tr>
      <w:tr>
        <w:trPr>
          <w:trHeight w:val="262"/>
        </w:trPr>
        <w:tc>
          <w:tcPr>
            <w:tcW w:w="44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6,268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4,328</w:t>
            </w:r>
          </w:p>
        </w:tc>
      </w:tr>
      <w:tr>
        <w:trPr>
          <w:trHeight w:val="271"/>
        </w:trPr>
        <w:tc>
          <w:tcPr>
            <w:tcW w:w="4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4,926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3,988</w:t>
            </w:r>
          </w:p>
        </w:tc>
      </w:tr>
      <w:tr>
        <w:trPr>
          <w:trHeight w:val="249"/>
        </w:trPr>
        <w:tc>
          <w:tcPr>
            <w:tcW w:w="4480" w:type="dxa"/>
            <w:vAlign w:val="bottom"/>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21"/>
                <w:szCs w:val="21"/>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34,476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39,371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73,692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74,855</w:t>
            </w:r>
          </w:p>
        </w:tc>
      </w:tr>
      <w:tr>
        <w:trPr>
          <w:trHeight w:val="278"/>
        </w:trPr>
        <w:tc>
          <w:tcPr>
            <w:tcW w:w="4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Acquisition-related costs</w:t>
            </w:r>
          </w:p>
        </w:tc>
        <w:tc>
          <w:tcPr>
            <w:tcW w:w="22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w:t>
            </w:r>
          </w:p>
        </w:tc>
      </w:tr>
      <w:tr>
        <w:trPr>
          <w:trHeight w:val="262"/>
        </w:trPr>
        <w:tc>
          <w:tcPr>
            <w:tcW w:w="4480" w:type="dxa"/>
            <w:vAlign w:val="bottom"/>
          </w:tcPr>
          <w:p>
            <w:pPr>
              <w:ind w:left="180"/>
              <w:spacing w:after="0"/>
              <w:rPr>
                <w:sz w:val="20"/>
                <w:szCs w:val="20"/>
                <w:color w:val="auto"/>
              </w:rPr>
            </w:pPr>
            <w:r>
              <w:rPr>
                <w:rFonts w:ascii="Arial" w:cs="Arial" w:eastAsia="Arial" w:hAnsi="Arial"/>
                <w:sz w:val="16"/>
                <w:szCs w:val="16"/>
                <w:color w:val="auto"/>
              </w:rPr>
              <w:t>Restructuring expenses</w:t>
            </w:r>
          </w:p>
        </w:tc>
        <w:tc>
          <w:tcPr>
            <w:tcW w:w="22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1"/>
        </w:trPr>
        <w:tc>
          <w:tcPr>
            <w:tcW w:w="4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Non-operating (income) expense</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(970)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(112)</w:t>
            </w:r>
          </w:p>
        </w:tc>
      </w:tr>
      <w:tr>
        <w:trPr>
          <w:trHeight w:val="242"/>
        </w:trPr>
        <w:tc>
          <w:tcPr>
            <w:tcW w:w="448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34,488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39,382</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72,941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74,793</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reported periods and improve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We believe Adjusted EBITDA provides meaningful supplemental information about our operating performance because this measure excludes amounts that we do not consider part of our core operating results when assessing our performance. Examples of items excluded from Adjusted EBITDA include costs related to acquisitions and non-operating income. These types of adjustments are also specified in the definition of certain measures required under the terms of our Credit Agreement.</w:t>
      </w:r>
    </w:p>
    <w:p>
      <w:pPr>
        <w:spacing w:after="0" w:line="150"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Management uses these non-GAAP financial measures (a) to evaluate its historical and prospective financial performance and trends as well as its performance relative to competitors and peers; (b) to measure operational profitability on a consistent basis; (c) in presentations to the members of its board of directors to enable its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its Credit Agreement.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sectPr>
      <w:pgSz w:w="11900" w:h="16838" w:orient="portrait"/>
      <w:cols w:equalWidth="0" w:num="1">
        <w:col w:w="11420"/>
      </w:cols>
      <w:pgMar w:left="240" w:top="3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2019-12-28T14:06:53Z</dcterms:created>
  <dcterms:modified xsi:type="dcterms:W3CDTF">2019-12-28T14:06:53Z</dcterms:modified>
</cp:coreProperties>
</file>